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rPr>
      </w:pPr>
      <w:bookmarkStart w:id="0" w:name="_Hlk57883707"/>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bookmarkEnd w:id="0"/>
    <w:p>
      <w:pPr>
        <w:adjustRightInd w:val="0"/>
        <w:snapToGrid w:val="0"/>
        <w:jc w:val="center"/>
        <w:outlineLvl w:val="0"/>
        <w:rPr>
          <w:rFonts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（生态影响类）</w:t>
      </w:r>
    </w:p>
    <w:p>
      <w:pPr>
        <w:rPr>
          <w:color w:val="auto"/>
        </w:rPr>
      </w:pPr>
      <w:bookmarkStart w:id="1" w:name="_Hlk57883728"/>
    </w:p>
    <w:p>
      <w:pPr>
        <w:jc w:val="center"/>
        <w:rPr>
          <w:rFonts w:eastAsia="仿宋"/>
          <w:color w:val="auto"/>
          <w:sz w:val="30"/>
          <w:szCs w:val="30"/>
        </w:rPr>
      </w:pPr>
      <w:r>
        <w:rPr>
          <w:rFonts w:hint="eastAsia" w:eastAsia="仿宋"/>
          <w:color w:val="auto"/>
          <w:sz w:val="30"/>
          <w:szCs w:val="30"/>
        </w:rPr>
        <w:t>（</w:t>
      </w:r>
      <w:r>
        <w:rPr>
          <w:rFonts w:hint="eastAsia" w:eastAsia="仿宋"/>
          <w:color w:val="auto"/>
          <w:sz w:val="30"/>
          <w:szCs w:val="30"/>
          <w:lang w:eastAsia="zh-CN"/>
        </w:rPr>
        <w:t>公示</w:t>
      </w:r>
      <w:r>
        <w:rPr>
          <w:rFonts w:hint="eastAsia" w:eastAsia="仿宋"/>
          <w:color w:val="auto"/>
          <w:sz w:val="30"/>
          <w:szCs w:val="30"/>
        </w:rPr>
        <w:t>本）</w:t>
      </w:r>
      <w:r>
        <w:rPr>
          <w:rFonts w:eastAsia="仿宋"/>
          <w:color w:val="auto"/>
          <w:sz w:val="30"/>
          <w:szCs w:val="30"/>
        </w:rPr>
        <w:br w:type="textWrapping"/>
      </w: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bookmarkEnd w:id="1"/>
    <w:p>
      <w:pPr>
        <w:adjustRightInd w:val="0"/>
        <w:snapToGrid w:val="0"/>
        <w:spacing w:line="288" w:lineRule="auto"/>
        <w:ind w:firstLine="1040"/>
        <w:rPr>
          <w:rFonts w:ascii="仿宋_GB2312" w:eastAsia="仿宋_GB2312"/>
          <w:color w:val="auto"/>
          <w:sz w:val="32"/>
          <w:szCs w:val="32"/>
          <w:u w:val="single"/>
        </w:rPr>
      </w:pPr>
      <w:r>
        <w:rPr>
          <w:rFonts w:hint="eastAsia" w:ascii="仿宋_GB2312" w:eastAsia="仿宋_GB2312"/>
          <w:color w:val="auto"/>
          <w:sz w:val="32"/>
          <w:szCs w:val="32"/>
        </w:rPr>
        <w:t xml:space="preserve">项目名称： </w:t>
      </w:r>
      <w:r>
        <w:rPr>
          <w:rFonts w:hint="eastAsia" w:ascii="仿宋_GB2312" w:eastAsia="仿宋_GB2312"/>
          <w:color w:val="auto"/>
          <w:sz w:val="32"/>
          <w:szCs w:val="32"/>
          <w:u w:val="single"/>
        </w:rPr>
        <w:t xml:space="preserve"> 宣汉县漆树土家族乡乘龙村鲁家洞建筑</w:t>
      </w:r>
    </w:p>
    <w:p>
      <w:pPr>
        <w:adjustRightInd w:val="0"/>
        <w:snapToGrid w:val="0"/>
        <w:spacing w:line="288" w:lineRule="auto"/>
        <w:ind w:firstLine="2880" w:firstLineChars="900"/>
        <w:rPr>
          <w:rFonts w:ascii="仿宋_GB2312" w:eastAsia="仿宋_GB2312"/>
          <w:color w:val="auto"/>
          <w:sz w:val="32"/>
          <w:szCs w:val="32"/>
          <w:u w:val="single"/>
        </w:rPr>
      </w:pPr>
      <w:r>
        <w:rPr>
          <w:rFonts w:hint="eastAsia" w:ascii="仿宋_GB2312" w:eastAsia="仿宋_GB2312"/>
          <w:color w:val="auto"/>
          <w:sz w:val="32"/>
          <w:szCs w:val="32"/>
          <w:u w:val="single"/>
        </w:rPr>
        <w:t xml:space="preserve">石料用灰岩开发项目 </w:t>
      </w:r>
    </w:p>
    <w:p>
      <w:pPr>
        <w:adjustRightInd w:val="0"/>
        <w:snapToGrid w:val="0"/>
        <w:spacing w:line="288" w:lineRule="auto"/>
        <w:ind w:firstLine="1040"/>
        <w:rPr>
          <w:rFonts w:ascii="仿宋_GB2312" w:eastAsia="仿宋_GB2312"/>
          <w:color w:val="auto"/>
          <w:sz w:val="32"/>
          <w:szCs w:val="32"/>
          <w:u w:val="single"/>
        </w:rPr>
      </w:pPr>
      <w:r>
        <w:rPr>
          <w:rFonts w:hint="eastAsia" w:ascii="仿宋_GB2312" w:eastAsia="仿宋_GB2312"/>
          <w:color w:val="auto"/>
          <w:sz w:val="32"/>
          <w:szCs w:val="32"/>
        </w:rPr>
        <w:t>建设单位（盖章）：</w:t>
      </w:r>
      <w:r>
        <w:rPr>
          <w:rFonts w:hint="eastAsia" w:ascii="仿宋_GB2312" w:eastAsia="仿宋_GB2312"/>
          <w:color w:val="auto"/>
          <w:sz w:val="32"/>
          <w:szCs w:val="32"/>
          <w:u w:val="single"/>
        </w:rPr>
        <w:t xml:space="preserve"> 宣汉发展投资集团有限公司 </w:t>
      </w:r>
    </w:p>
    <w:p>
      <w:pPr>
        <w:adjustRightInd w:val="0"/>
        <w:snapToGrid w:val="0"/>
        <w:spacing w:line="288" w:lineRule="auto"/>
        <w:ind w:firstLine="1040"/>
        <w:rPr>
          <w:rFonts w:ascii="仿宋_GB2312" w:eastAsia="仿宋_GB2312"/>
          <w:color w:val="auto"/>
          <w:sz w:val="32"/>
          <w:szCs w:val="32"/>
          <w:u w:val="single"/>
        </w:rPr>
      </w:pPr>
      <w:r>
        <w:rPr>
          <w:rFonts w:hint="eastAsia" w:ascii="仿宋_GB2312" w:eastAsia="仿宋_GB2312"/>
          <w:color w:val="auto"/>
          <w:sz w:val="32"/>
          <w:szCs w:val="32"/>
        </w:rPr>
        <w:t>编制日期：</w:t>
      </w:r>
      <w:r>
        <w:rPr>
          <w:rFonts w:hint="eastAsia" w:ascii="仿宋_GB2312" w:eastAsia="仿宋_GB2312"/>
          <w:color w:val="auto"/>
          <w:sz w:val="32"/>
          <w:szCs w:val="32"/>
          <w:u w:val="single"/>
        </w:rPr>
        <w:t xml:space="preserve"> </w:t>
      </w:r>
      <w:r>
        <w:rPr>
          <w:rFonts w:ascii="仿宋_GB2312" w:eastAsia="仿宋_GB2312"/>
          <w:color w:val="auto"/>
          <w:sz w:val="32"/>
          <w:szCs w:val="32"/>
          <w:u w:val="single"/>
        </w:rPr>
        <w:t xml:space="preserve">       2024</w:t>
      </w:r>
      <w:r>
        <w:rPr>
          <w:rFonts w:hint="eastAsia" w:ascii="仿宋_GB2312" w:eastAsia="仿宋_GB2312"/>
          <w:color w:val="auto"/>
          <w:sz w:val="32"/>
          <w:szCs w:val="32"/>
          <w:u w:val="single"/>
        </w:rPr>
        <w:t>年</w:t>
      </w:r>
      <w:r>
        <w:rPr>
          <w:rFonts w:hint="eastAsia" w:ascii="仿宋_GB2312" w:eastAsia="仿宋_GB2312"/>
          <w:color w:val="auto"/>
          <w:sz w:val="32"/>
          <w:szCs w:val="32"/>
          <w:u w:val="single"/>
          <w:lang w:val="en-US" w:eastAsia="zh-CN"/>
        </w:rPr>
        <w:t>5</w:t>
      </w:r>
      <w:r>
        <w:rPr>
          <w:rFonts w:hint="eastAsia" w:ascii="仿宋_GB2312" w:eastAsia="仿宋_GB2312"/>
          <w:color w:val="auto"/>
          <w:sz w:val="32"/>
          <w:szCs w:val="32"/>
          <w:u w:val="single"/>
        </w:rPr>
        <w:t>月</w:t>
      </w:r>
      <w:r>
        <w:rPr>
          <w:rFonts w:ascii="仿宋_GB2312" w:eastAsia="仿宋_GB2312"/>
          <w:color w:val="auto"/>
          <w:sz w:val="32"/>
          <w:szCs w:val="32"/>
          <w:u w:val="single"/>
        </w:rPr>
        <w:t xml:space="preserve">   </w:t>
      </w:r>
      <w:r>
        <w:rPr>
          <w:rFonts w:hint="eastAsia" w:ascii="仿宋_GB2312" w:eastAsia="仿宋_GB2312"/>
          <w:color w:val="auto"/>
          <w:sz w:val="32"/>
          <w:szCs w:val="32"/>
          <w:u w:val="single"/>
        </w:rPr>
        <w:t xml:space="preserve"> </w:t>
      </w:r>
    </w:p>
    <w:p>
      <w:pPr>
        <w:adjustRightInd w:val="0"/>
        <w:snapToGrid w:val="0"/>
        <w:spacing w:line="288" w:lineRule="auto"/>
        <w:ind w:firstLine="1040"/>
        <w:rPr>
          <w:rFonts w:ascii="仿宋_GB2312" w:eastAsia="仿宋_GB2312"/>
          <w:color w:val="auto"/>
          <w:sz w:val="36"/>
          <w:szCs w:val="36"/>
          <w:u w:val="single"/>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pStyle w:val="1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14"/>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90"/>
        <w:gridCol w:w="2438"/>
        <w:gridCol w:w="2126"/>
        <w:gridCol w:w="3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390" w:type="dxa"/>
            <w:tcMar>
              <w:top w:w="16" w:type="dxa"/>
              <w:left w:w="16" w:type="dxa"/>
              <w:right w:w="16" w:type="dxa"/>
            </w:tcMar>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建设项目名称</w:t>
            </w:r>
          </w:p>
        </w:tc>
        <w:tc>
          <w:tcPr>
            <w:tcW w:w="7649" w:type="dxa"/>
            <w:gridSpan w:val="3"/>
            <w:vAlign w:val="center"/>
          </w:tcPr>
          <w:p>
            <w:pPr>
              <w:adjustRightInd w:val="0"/>
              <w:snapToGrid w:val="0"/>
              <w:spacing w:line="360" w:lineRule="auto"/>
              <w:jc w:val="center"/>
              <w:rPr>
                <w:rFonts w:ascii="宋体" w:hAnsi="宋体" w:cs="宋体"/>
                <w:color w:val="auto"/>
                <w:szCs w:val="21"/>
              </w:rPr>
            </w:pPr>
            <w:bookmarkStart w:id="2" w:name="_Hlk163564534"/>
            <w:r>
              <w:rPr>
                <w:rFonts w:hint="eastAsia" w:ascii="宋体" w:hAnsi="宋体" w:cs="宋体"/>
                <w:color w:val="auto"/>
                <w:szCs w:val="21"/>
              </w:rPr>
              <w:t>宣汉县漆树土家族乡乘龙村鲁家洞建筑石料用灰岩开发项目</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390" w:type="dxa"/>
            <w:tcMar>
              <w:top w:w="16" w:type="dxa"/>
              <w:left w:w="16" w:type="dxa"/>
              <w:right w:w="16" w:type="dxa"/>
            </w:tcMar>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项目代码</w:t>
            </w:r>
          </w:p>
        </w:tc>
        <w:tc>
          <w:tcPr>
            <w:tcW w:w="7649" w:type="dxa"/>
            <w:gridSpan w:val="3"/>
            <w:vAlign w:val="center"/>
          </w:tcPr>
          <w:p>
            <w:pPr>
              <w:adjustRightInd w:val="0"/>
              <w:snapToGrid w:val="0"/>
              <w:spacing w:line="360" w:lineRule="auto"/>
              <w:jc w:val="center"/>
              <w:rPr>
                <w:rFonts w:ascii="宋体" w:hAnsi="宋体" w:cs="宋体"/>
                <w:color w:val="auto"/>
                <w:szCs w:val="21"/>
              </w:rPr>
            </w:pPr>
            <w:r>
              <w:rPr>
                <w:rFonts w:ascii="宋体" w:hAnsi="宋体" w:cs="宋体"/>
                <w:color w:val="auto"/>
                <w:szCs w:val="21"/>
              </w:rPr>
              <w:t>2310-511722-04-01-302608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390" w:type="dxa"/>
            <w:tcMar>
              <w:top w:w="16" w:type="dxa"/>
              <w:left w:w="16" w:type="dxa"/>
              <w:right w:w="16" w:type="dxa"/>
            </w:tcMar>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建设单位联系人</w:t>
            </w:r>
          </w:p>
        </w:tc>
        <w:tc>
          <w:tcPr>
            <w:tcW w:w="2438" w:type="dxa"/>
            <w:vAlign w:val="center"/>
          </w:tcPr>
          <w:p>
            <w:pPr>
              <w:adjustRightInd w:val="0"/>
              <w:snapToGrid w:val="0"/>
              <w:spacing w:line="360" w:lineRule="auto"/>
              <w:jc w:val="center"/>
              <w:rPr>
                <w:rFonts w:hint="eastAsia" w:ascii="宋体" w:hAnsi="宋体" w:eastAsia="宋体" w:cs="宋体"/>
                <w:color w:val="auto"/>
                <w:szCs w:val="21"/>
                <w:lang w:eastAsia="zh-CN"/>
              </w:rPr>
            </w:pPr>
            <w:r>
              <w:rPr>
                <w:rFonts w:hint="eastAsia" w:ascii="宋体" w:hAnsi="宋体" w:cs="宋体"/>
                <w:color w:val="auto"/>
                <w:szCs w:val="21"/>
                <w:lang w:eastAsia="zh-CN"/>
              </w:rPr>
              <w:t>陈洪波</w:t>
            </w:r>
          </w:p>
        </w:tc>
        <w:tc>
          <w:tcPr>
            <w:tcW w:w="21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联系方式</w:t>
            </w:r>
          </w:p>
        </w:tc>
        <w:tc>
          <w:tcPr>
            <w:tcW w:w="3085" w:type="dxa"/>
            <w:vAlign w:val="center"/>
          </w:tcPr>
          <w:p>
            <w:pPr>
              <w:adjustRightInd w:val="0"/>
              <w:snapToGrid w:val="0"/>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13982875633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390" w:type="dxa"/>
            <w:tcMar>
              <w:top w:w="16" w:type="dxa"/>
              <w:left w:w="16" w:type="dxa"/>
              <w:right w:w="16" w:type="dxa"/>
            </w:tcMar>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建设地点</w:t>
            </w:r>
          </w:p>
        </w:tc>
        <w:tc>
          <w:tcPr>
            <w:tcW w:w="7649" w:type="dxa"/>
            <w:gridSpan w:val="3"/>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四川省达州市宣汉县漆树土家族乡乘龙村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390" w:type="dxa"/>
            <w:tcMar>
              <w:top w:w="16" w:type="dxa"/>
              <w:left w:w="16" w:type="dxa"/>
              <w:right w:w="16" w:type="dxa"/>
            </w:tcMar>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地理坐标</w:t>
            </w:r>
          </w:p>
        </w:tc>
        <w:tc>
          <w:tcPr>
            <w:tcW w:w="7649" w:type="dxa"/>
            <w:gridSpan w:val="3"/>
            <w:vAlign w:val="center"/>
          </w:tcPr>
          <w:p>
            <w:pPr>
              <w:adjustRightInd w:val="0"/>
              <w:snapToGrid w:val="0"/>
              <w:jc w:val="center"/>
              <w:rPr>
                <w:color w:val="auto"/>
                <w:szCs w:val="21"/>
              </w:rPr>
            </w:pPr>
            <w:r>
              <w:rPr>
                <w:color w:val="auto"/>
                <w:szCs w:val="21"/>
              </w:rPr>
              <w:t>矿区： 108 度 22 分47.381 秒， 31 度33分14.142秒</w:t>
            </w:r>
          </w:p>
          <w:p>
            <w:pPr>
              <w:adjustRightInd w:val="0"/>
              <w:snapToGrid w:val="0"/>
              <w:jc w:val="center"/>
              <w:rPr>
                <w:color w:val="auto"/>
                <w:szCs w:val="21"/>
              </w:rPr>
            </w:pPr>
            <w:r>
              <w:rPr>
                <w:color w:val="auto"/>
                <w:szCs w:val="21"/>
              </w:rPr>
              <w:t>加工区： 108 度 23分3.440 秒， 31 度33分 32.904秒</w:t>
            </w:r>
          </w:p>
          <w:p>
            <w:pPr>
              <w:adjustRightInd w:val="0"/>
              <w:snapToGrid w:val="0"/>
              <w:jc w:val="center"/>
              <w:rPr>
                <w:color w:val="auto"/>
                <w:szCs w:val="21"/>
              </w:rPr>
            </w:pPr>
            <w:r>
              <w:rPr>
                <w:rFonts w:hint="eastAsia"/>
                <w:color w:val="auto"/>
                <w:szCs w:val="21"/>
              </w:rPr>
              <w:t>道路</w:t>
            </w:r>
            <w:r>
              <w:rPr>
                <w:color w:val="auto"/>
                <w:szCs w:val="21"/>
              </w:rPr>
              <w:t>起点：108度23分</w:t>
            </w:r>
            <w:r>
              <w:rPr>
                <w:rFonts w:hint="eastAsia"/>
                <w:color w:val="auto"/>
                <w:szCs w:val="21"/>
              </w:rPr>
              <w:t>8</w:t>
            </w:r>
            <w:r>
              <w:rPr>
                <w:color w:val="auto"/>
                <w:szCs w:val="21"/>
              </w:rPr>
              <w:t>.773秒，31度33分57.255</w:t>
            </w:r>
            <w:r>
              <w:rPr>
                <w:rFonts w:hint="eastAsia"/>
                <w:color w:val="auto"/>
                <w:szCs w:val="21"/>
              </w:rPr>
              <w:t>秒</w:t>
            </w:r>
          </w:p>
          <w:p>
            <w:pPr>
              <w:adjustRightInd w:val="0"/>
              <w:snapToGrid w:val="0"/>
              <w:jc w:val="center"/>
              <w:rPr>
                <w:rFonts w:ascii="宋体" w:hAnsi="宋体" w:cs="宋体"/>
                <w:color w:val="auto"/>
                <w:szCs w:val="21"/>
              </w:rPr>
            </w:pPr>
            <w:r>
              <w:rPr>
                <w:rFonts w:hint="eastAsia"/>
                <w:color w:val="auto"/>
                <w:szCs w:val="21"/>
              </w:rPr>
              <w:t>道路终点：</w:t>
            </w:r>
            <w:r>
              <w:rPr>
                <w:color w:val="auto"/>
                <w:szCs w:val="21"/>
              </w:rPr>
              <w:t>108度22分42.596秒，31度33分21.972</w:t>
            </w:r>
            <w:r>
              <w:rPr>
                <w:rFonts w:hint="eastAsia"/>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390" w:type="dxa"/>
            <w:tcMar>
              <w:top w:w="16" w:type="dxa"/>
              <w:left w:w="16" w:type="dxa"/>
              <w:right w:w="16" w:type="dxa"/>
            </w:tcMar>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建设项目</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行业类别</w:t>
            </w:r>
          </w:p>
        </w:tc>
        <w:tc>
          <w:tcPr>
            <w:tcW w:w="2438" w:type="dxa"/>
            <w:vAlign w:val="center"/>
          </w:tcPr>
          <w:p>
            <w:pPr>
              <w:adjustRightInd w:val="0"/>
              <w:snapToGrid w:val="0"/>
              <w:spacing w:line="360" w:lineRule="auto"/>
              <w:jc w:val="center"/>
              <w:rPr>
                <w:color w:val="auto"/>
              </w:rPr>
            </w:pPr>
            <w:r>
              <w:rPr>
                <w:rFonts w:hint="eastAsia"/>
                <w:color w:val="auto"/>
              </w:rPr>
              <w:t>八、非金属矿采选业中11土砂石开采：其他</w:t>
            </w:r>
          </w:p>
          <w:p>
            <w:pPr>
              <w:adjustRightInd w:val="0"/>
              <w:snapToGrid w:val="0"/>
              <w:spacing w:line="360" w:lineRule="auto"/>
              <w:jc w:val="center"/>
              <w:rPr>
                <w:rFonts w:ascii="宋体" w:hAnsi="宋体" w:cs="宋体"/>
                <w:color w:val="auto"/>
                <w:szCs w:val="21"/>
              </w:rPr>
            </w:pPr>
            <w:r>
              <w:rPr>
                <w:rFonts w:hint="eastAsia"/>
                <w:color w:val="auto"/>
              </w:rPr>
              <w:t>二十七、非金属矿物制品业中</w:t>
            </w:r>
            <w:r>
              <w:rPr>
                <w:color w:val="auto"/>
              </w:rPr>
              <w:t>56</w:t>
            </w:r>
            <w:r>
              <w:rPr>
                <w:rFonts w:hint="eastAsia"/>
                <w:color w:val="auto"/>
              </w:rPr>
              <w:t>、砖瓦、石材等建筑材料制造 30</w:t>
            </w:r>
            <w:r>
              <w:rPr>
                <w:color w:val="auto"/>
              </w:rPr>
              <w:t>3</w:t>
            </w:r>
          </w:p>
        </w:tc>
        <w:tc>
          <w:tcPr>
            <w:tcW w:w="21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用地（用海）面积（</w:t>
            </w:r>
            <w:r>
              <w:rPr>
                <w:rFonts w:ascii="宋体" w:hAnsi="宋体" w:cs="宋体"/>
                <w:color w:val="auto"/>
                <w:szCs w:val="21"/>
              </w:rPr>
              <w:t>m</w:t>
            </w:r>
            <w:r>
              <w:rPr>
                <w:rFonts w:ascii="宋体" w:hAnsi="宋体" w:cs="宋体"/>
                <w:color w:val="auto"/>
                <w:szCs w:val="21"/>
                <w:vertAlign w:val="superscript"/>
              </w:rPr>
              <w:t>2</w:t>
            </w:r>
            <w:r>
              <w:rPr>
                <w:rFonts w:hint="eastAsia" w:ascii="宋体" w:hAnsi="宋体" w:cs="宋体"/>
                <w:color w:val="auto"/>
                <w:szCs w:val="21"/>
              </w:rPr>
              <w:t>）</w:t>
            </w:r>
            <w:r>
              <w:rPr>
                <w:rFonts w:ascii="宋体" w:hAnsi="宋体" w:cs="宋体"/>
                <w:color w:val="auto"/>
                <w:szCs w:val="21"/>
              </w:rPr>
              <w:t>/</w:t>
            </w:r>
            <w:r>
              <w:rPr>
                <w:rFonts w:hint="eastAsia" w:ascii="宋体" w:hAnsi="宋体" w:cs="宋体"/>
                <w:color w:val="auto"/>
                <w:szCs w:val="21"/>
              </w:rPr>
              <w:t>长度（</w:t>
            </w:r>
            <w:r>
              <w:rPr>
                <w:rFonts w:ascii="宋体" w:hAnsi="宋体" w:cs="宋体"/>
                <w:color w:val="auto"/>
                <w:szCs w:val="21"/>
              </w:rPr>
              <w:t>km</w:t>
            </w:r>
            <w:r>
              <w:rPr>
                <w:rFonts w:hint="eastAsia" w:ascii="宋体" w:hAnsi="宋体" w:cs="宋体"/>
                <w:color w:val="auto"/>
                <w:szCs w:val="21"/>
              </w:rPr>
              <w:t>）</w:t>
            </w:r>
          </w:p>
        </w:tc>
        <w:tc>
          <w:tcPr>
            <w:tcW w:w="3085" w:type="dxa"/>
            <w:vAlign w:val="center"/>
          </w:tcPr>
          <w:p>
            <w:pPr>
              <w:adjustRightInd w:val="0"/>
              <w:snapToGrid w:val="0"/>
              <w:spacing w:line="360" w:lineRule="auto"/>
              <w:jc w:val="center"/>
              <w:rPr>
                <w:rFonts w:ascii="宋体" w:hAnsi="宋体" w:cs="宋体"/>
                <w:color w:val="auto"/>
                <w:szCs w:val="21"/>
              </w:rPr>
            </w:pPr>
            <w:r>
              <w:rPr>
                <w:rFonts w:ascii="宋体" w:hAnsi="宋体" w:cs="宋体"/>
                <w:color w:val="auto"/>
                <w:szCs w:val="21"/>
              </w:rPr>
              <w:t>47.46hm</w:t>
            </w:r>
            <w:r>
              <w:rPr>
                <w:rFonts w:ascii="宋体" w:hAnsi="宋体" w:cs="宋体"/>
                <w:color w:val="auto"/>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390" w:type="dxa"/>
            <w:tcMar>
              <w:top w:w="16" w:type="dxa"/>
              <w:left w:w="16" w:type="dxa"/>
              <w:right w:w="16" w:type="dxa"/>
            </w:tcMar>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建设性质</w:t>
            </w:r>
          </w:p>
        </w:tc>
        <w:tc>
          <w:tcPr>
            <w:tcW w:w="2438" w:type="dxa"/>
            <w:vAlign w:val="center"/>
          </w:tcPr>
          <w:p>
            <w:pPr>
              <w:adjustRightInd w:val="0"/>
              <w:snapToGrid w:val="0"/>
              <w:spacing w:line="360" w:lineRule="auto"/>
              <w:jc w:val="left"/>
              <w:rPr>
                <w:rFonts w:ascii="宋体" w:hAnsi="宋体" w:cs="宋体"/>
                <w:color w:val="auto"/>
                <w:szCs w:val="21"/>
              </w:rPr>
            </w:pPr>
            <w:r>
              <w:rPr>
                <w:rFonts w:hint="eastAsia" w:ascii="宋体" w:hAnsi="宋体" w:cs="宋体"/>
                <w:color w:val="auto"/>
                <w:szCs w:val="21"/>
              </w:rPr>
              <w:t>√新建（迁建）</w:t>
            </w:r>
          </w:p>
          <w:p>
            <w:pPr>
              <w:adjustRightInd w:val="0"/>
              <w:snapToGrid w:val="0"/>
              <w:spacing w:line="360" w:lineRule="auto"/>
              <w:jc w:val="left"/>
              <w:rPr>
                <w:rFonts w:ascii="宋体" w:hAnsi="宋体" w:cs="宋体"/>
                <w:color w:val="auto"/>
                <w:szCs w:val="21"/>
              </w:rPr>
            </w:pPr>
            <w:r>
              <w:rPr>
                <w:rFonts w:hint="eastAsia" w:ascii="宋体" w:hAnsi="宋体" w:cs="宋体"/>
                <w:color w:val="auto"/>
                <w:szCs w:val="21"/>
              </w:rPr>
              <w:t>□改建</w:t>
            </w:r>
          </w:p>
          <w:p>
            <w:pPr>
              <w:adjustRightInd w:val="0"/>
              <w:snapToGrid w:val="0"/>
              <w:spacing w:line="360" w:lineRule="auto"/>
              <w:jc w:val="left"/>
              <w:rPr>
                <w:rFonts w:ascii="宋体" w:hAnsi="宋体" w:cs="宋体"/>
                <w:color w:val="auto"/>
                <w:szCs w:val="21"/>
              </w:rPr>
            </w:pPr>
            <w:r>
              <w:rPr>
                <w:rFonts w:hint="eastAsia" w:ascii="宋体" w:hAnsi="宋体" w:cs="宋体"/>
                <w:color w:val="auto"/>
                <w:szCs w:val="21"/>
              </w:rPr>
              <w:t>□扩建</w:t>
            </w:r>
          </w:p>
          <w:p>
            <w:pPr>
              <w:adjustRightInd w:val="0"/>
              <w:snapToGrid w:val="0"/>
              <w:spacing w:line="360" w:lineRule="auto"/>
              <w:jc w:val="left"/>
              <w:rPr>
                <w:rFonts w:ascii="宋体" w:hAnsi="宋体" w:cs="宋体"/>
                <w:color w:val="auto"/>
                <w:szCs w:val="21"/>
              </w:rPr>
            </w:pPr>
            <w:r>
              <w:rPr>
                <w:rFonts w:hint="eastAsia" w:ascii="宋体" w:hAnsi="宋体" w:cs="宋体"/>
                <w:color w:val="auto"/>
                <w:szCs w:val="21"/>
              </w:rPr>
              <w:t>□技术改造</w:t>
            </w:r>
          </w:p>
        </w:tc>
        <w:tc>
          <w:tcPr>
            <w:tcW w:w="21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建设项目</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申报情形</w:t>
            </w:r>
          </w:p>
        </w:tc>
        <w:tc>
          <w:tcPr>
            <w:tcW w:w="3085" w:type="dxa"/>
            <w:vAlign w:val="center"/>
          </w:tcPr>
          <w:p>
            <w:pPr>
              <w:adjustRightInd w:val="0"/>
              <w:snapToGrid w:val="0"/>
              <w:spacing w:line="360" w:lineRule="auto"/>
              <w:jc w:val="left"/>
              <w:rPr>
                <w:rFonts w:ascii="宋体" w:hAnsi="宋体" w:cs="宋体"/>
                <w:color w:val="auto"/>
                <w:szCs w:val="21"/>
              </w:rPr>
            </w:pPr>
            <w:r>
              <w:rPr>
                <w:rFonts w:hint="eastAsia" w:ascii="宋体" w:hAnsi="宋体" w:cs="宋体"/>
                <w:color w:val="auto"/>
                <w:szCs w:val="21"/>
              </w:rPr>
              <w:t>√首次申报项目</w:t>
            </w:r>
          </w:p>
          <w:p>
            <w:pPr>
              <w:adjustRightInd w:val="0"/>
              <w:snapToGrid w:val="0"/>
              <w:spacing w:line="360" w:lineRule="auto"/>
              <w:jc w:val="left"/>
              <w:rPr>
                <w:rFonts w:ascii="宋体" w:hAnsi="宋体" w:cs="宋体"/>
                <w:color w:val="auto"/>
                <w:szCs w:val="21"/>
              </w:rPr>
            </w:pPr>
            <w:r>
              <w:rPr>
                <w:rFonts w:hint="eastAsia" w:ascii="宋体" w:hAnsi="宋体" w:cs="宋体"/>
                <w:color w:val="auto"/>
                <w:szCs w:val="21"/>
              </w:rPr>
              <w:t>□不予批准后再次申报项目</w:t>
            </w:r>
          </w:p>
          <w:p>
            <w:pPr>
              <w:adjustRightInd w:val="0"/>
              <w:snapToGrid w:val="0"/>
              <w:spacing w:line="360" w:lineRule="auto"/>
              <w:jc w:val="left"/>
              <w:rPr>
                <w:rFonts w:ascii="宋体" w:hAnsi="宋体" w:cs="宋体"/>
                <w:color w:val="auto"/>
                <w:szCs w:val="21"/>
              </w:rPr>
            </w:pPr>
            <w:r>
              <w:rPr>
                <w:rFonts w:hint="eastAsia" w:ascii="宋体" w:hAnsi="宋体" w:cs="宋体"/>
                <w:color w:val="auto"/>
                <w:szCs w:val="21"/>
              </w:rPr>
              <w:t>□超五年重新审核项目</w:t>
            </w:r>
          </w:p>
          <w:p>
            <w:pPr>
              <w:adjustRightInd w:val="0"/>
              <w:snapToGrid w:val="0"/>
              <w:spacing w:line="360" w:lineRule="auto"/>
              <w:rPr>
                <w:rFonts w:ascii="宋体" w:hAnsi="宋体" w:cs="宋体"/>
                <w:color w:val="auto"/>
                <w:szCs w:val="21"/>
              </w:rPr>
            </w:pPr>
            <w:r>
              <w:rPr>
                <w:rFonts w:hint="eastAsia" w:ascii="宋体" w:hAnsi="宋体" w:cs="宋体"/>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390" w:type="dxa"/>
            <w:tcMar>
              <w:top w:w="16" w:type="dxa"/>
              <w:left w:w="16" w:type="dxa"/>
              <w:right w:w="16" w:type="dxa"/>
            </w:tcMar>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项目审批（核准</w:t>
            </w:r>
            <w:r>
              <w:rPr>
                <w:rFonts w:ascii="宋体" w:hAnsi="宋体" w:cs="宋体"/>
                <w:color w:val="auto"/>
                <w:szCs w:val="21"/>
              </w:rPr>
              <w:t>/</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备案）部门（选填）</w:t>
            </w:r>
          </w:p>
        </w:tc>
        <w:tc>
          <w:tcPr>
            <w:tcW w:w="2438"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宣汉县发改局</w:t>
            </w:r>
          </w:p>
        </w:tc>
        <w:tc>
          <w:tcPr>
            <w:tcW w:w="21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项目审批（核准</w:t>
            </w:r>
            <w:r>
              <w:rPr>
                <w:rFonts w:ascii="宋体" w:hAnsi="宋体" w:cs="宋体"/>
                <w:color w:val="auto"/>
                <w:szCs w:val="21"/>
              </w:rPr>
              <w:t>/</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备案）文号（选填）</w:t>
            </w:r>
          </w:p>
        </w:tc>
        <w:tc>
          <w:tcPr>
            <w:tcW w:w="308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川投资备【2310-511722-04-01-302608】FGQB-0560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390" w:type="dxa"/>
            <w:tcMar>
              <w:top w:w="16" w:type="dxa"/>
              <w:left w:w="16" w:type="dxa"/>
              <w:right w:w="16" w:type="dxa"/>
            </w:tcMar>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总投资（万元）</w:t>
            </w:r>
          </w:p>
        </w:tc>
        <w:tc>
          <w:tcPr>
            <w:tcW w:w="2438" w:type="dxa"/>
            <w:vAlign w:val="center"/>
          </w:tcPr>
          <w:p>
            <w:pPr>
              <w:adjustRightInd w:val="0"/>
              <w:snapToGrid w:val="0"/>
              <w:spacing w:line="360" w:lineRule="auto"/>
              <w:jc w:val="center"/>
              <w:rPr>
                <w:color w:val="auto"/>
                <w:szCs w:val="21"/>
              </w:rPr>
            </w:pPr>
            <w:r>
              <w:rPr>
                <w:color w:val="auto"/>
                <w:szCs w:val="21"/>
              </w:rPr>
              <w:t>56318.89</w:t>
            </w:r>
          </w:p>
        </w:tc>
        <w:tc>
          <w:tcPr>
            <w:tcW w:w="2126" w:type="dxa"/>
            <w:tcMar>
              <w:top w:w="16" w:type="dxa"/>
              <w:left w:w="16" w:type="dxa"/>
              <w:right w:w="16" w:type="dxa"/>
            </w:tcMar>
            <w:vAlign w:val="center"/>
          </w:tcPr>
          <w:p>
            <w:pPr>
              <w:adjustRightInd w:val="0"/>
              <w:snapToGrid w:val="0"/>
              <w:spacing w:line="360" w:lineRule="auto"/>
              <w:jc w:val="center"/>
              <w:rPr>
                <w:color w:val="auto"/>
                <w:szCs w:val="21"/>
              </w:rPr>
            </w:pPr>
            <w:r>
              <w:rPr>
                <w:color w:val="auto"/>
                <w:szCs w:val="21"/>
              </w:rPr>
              <w:t>环保投资（万元）</w:t>
            </w:r>
          </w:p>
        </w:tc>
        <w:tc>
          <w:tcPr>
            <w:tcW w:w="3085" w:type="dxa"/>
            <w:vAlign w:val="center"/>
          </w:tcPr>
          <w:p>
            <w:pPr>
              <w:adjustRightInd w:val="0"/>
              <w:snapToGrid w:val="0"/>
              <w:spacing w:line="360" w:lineRule="auto"/>
              <w:jc w:val="center"/>
              <w:rPr>
                <w:color w:val="auto"/>
                <w:szCs w:val="21"/>
              </w:rPr>
            </w:pPr>
            <w:r>
              <w:rPr>
                <w:color w:val="auto"/>
                <w:szCs w:val="21"/>
              </w:rPr>
              <w:t>1509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390" w:type="dxa"/>
            <w:tcMar>
              <w:top w:w="16" w:type="dxa"/>
              <w:left w:w="16" w:type="dxa"/>
              <w:right w:w="16" w:type="dxa"/>
            </w:tcMar>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环保投资占比（</w:t>
            </w:r>
            <w:r>
              <w:rPr>
                <w:rFonts w:ascii="宋体" w:hAnsi="宋体" w:cs="宋体"/>
                <w:color w:val="auto"/>
                <w:szCs w:val="21"/>
              </w:rPr>
              <w:t>%</w:t>
            </w:r>
            <w:r>
              <w:rPr>
                <w:rFonts w:hint="eastAsia" w:ascii="宋体" w:hAnsi="宋体" w:cs="宋体"/>
                <w:color w:val="auto"/>
                <w:szCs w:val="21"/>
              </w:rPr>
              <w:t>）</w:t>
            </w:r>
          </w:p>
        </w:tc>
        <w:tc>
          <w:tcPr>
            <w:tcW w:w="2438" w:type="dxa"/>
            <w:vAlign w:val="center"/>
          </w:tcPr>
          <w:p>
            <w:pPr>
              <w:adjustRightInd w:val="0"/>
              <w:snapToGrid w:val="0"/>
              <w:spacing w:line="360" w:lineRule="auto"/>
              <w:jc w:val="center"/>
              <w:rPr>
                <w:color w:val="auto"/>
                <w:szCs w:val="21"/>
              </w:rPr>
            </w:pPr>
            <w:r>
              <w:rPr>
                <w:color w:val="auto"/>
                <w:szCs w:val="21"/>
              </w:rPr>
              <w:t>2.68</w:t>
            </w:r>
          </w:p>
        </w:tc>
        <w:tc>
          <w:tcPr>
            <w:tcW w:w="2126" w:type="dxa"/>
            <w:tcMar>
              <w:top w:w="16" w:type="dxa"/>
              <w:left w:w="16" w:type="dxa"/>
              <w:right w:w="16" w:type="dxa"/>
            </w:tcMar>
            <w:vAlign w:val="center"/>
          </w:tcPr>
          <w:p>
            <w:pPr>
              <w:adjustRightInd w:val="0"/>
              <w:snapToGrid w:val="0"/>
              <w:spacing w:line="360" w:lineRule="auto"/>
              <w:jc w:val="center"/>
              <w:rPr>
                <w:color w:val="auto"/>
                <w:szCs w:val="21"/>
              </w:rPr>
            </w:pPr>
            <w:r>
              <w:rPr>
                <w:color w:val="auto"/>
                <w:szCs w:val="21"/>
              </w:rPr>
              <w:t>施工工期</w:t>
            </w:r>
          </w:p>
        </w:tc>
        <w:tc>
          <w:tcPr>
            <w:tcW w:w="3085" w:type="dxa"/>
            <w:vAlign w:val="center"/>
          </w:tcPr>
          <w:p>
            <w:pPr>
              <w:adjustRightInd w:val="0"/>
              <w:snapToGrid w:val="0"/>
              <w:spacing w:line="360" w:lineRule="auto"/>
              <w:jc w:val="center"/>
              <w:rPr>
                <w:color w:val="auto"/>
                <w:szCs w:val="21"/>
              </w:rPr>
            </w:pPr>
            <w:r>
              <w:rPr>
                <w:color w:val="auto"/>
                <w:szCs w:val="21"/>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390" w:type="dxa"/>
            <w:tcMar>
              <w:top w:w="16" w:type="dxa"/>
              <w:left w:w="16" w:type="dxa"/>
              <w:right w:w="16" w:type="dxa"/>
            </w:tcMar>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是否开工建设</w:t>
            </w:r>
          </w:p>
        </w:tc>
        <w:tc>
          <w:tcPr>
            <w:tcW w:w="7649" w:type="dxa"/>
            <w:gridSpan w:val="3"/>
            <w:vAlign w:val="center"/>
          </w:tcPr>
          <w:p>
            <w:pPr>
              <w:adjustRightInd w:val="0"/>
              <w:snapToGrid w:val="0"/>
              <w:spacing w:line="360" w:lineRule="auto"/>
              <w:ind w:firstLine="105"/>
              <w:jc w:val="left"/>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否</w:t>
            </w:r>
          </w:p>
          <w:p>
            <w:pPr>
              <w:adjustRightInd w:val="0"/>
              <w:snapToGrid w:val="0"/>
              <w:spacing w:line="360" w:lineRule="auto"/>
              <w:ind w:firstLine="92"/>
              <w:jc w:val="left"/>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是：</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390" w:type="dxa"/>
            <w:tcMar>
              <w:top w:w="16" w:type="dxa"/>
              <w:left w:w="16" w:type="dxa"/>
              <w:right w:w="16" w:type="dxa"/>
            </w:tcMar>
            <w:vAlign w:val="center"/>
          </w:tcPr>
          <w:p>
            <w:pPr>
              <w:autoSpaceDE w:val="0"/>
              <w:autoSpaceDN w:val="0"/>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专项评价设置情况</w:t>
            </w:r>
          </w:p>
        </w:tc>
        <w:tc>
          <w:tcPr>
            <w:tcW w:w="7649" w:type="dxa"/>
            <w:gridSpan w:val="3"/>
            <w:tcMar>
              <w:top w:w="16" w:type="dxa"/>
              <w:left w:w="16" w:type="dxa"/>
              <w:right w:w="16" w:type="dxa"/>
            </w:tcMar>
            <w:vAlign w:val="center"/>
          </w:tcPr>
          <w:p>
            <w:pPr>
              <w:autoSpaceDE w:val="0"/>
              <w:autoSpaceDN w:val="0"/>
              <w:adjustRightInd w:val="0"/>
              <w:snapToGrid w:val="0"/>
              <w:spacing w:line="360" w:lineRule="auto"/>
              <w:rPr>
                <w:rFonts w:ascii="宋体" w:hAnsi="宋体" w:cs="宋体"/>
                <w:color w:val="auto"/>
                <w:kern w:val="0"/>
                <w:szCs w:val="21"/>
              </w:rPr>
            </w:pPr>
            <w:r>
              <w:rPr>
                <w:rFonts w:hint="eastAsia" w:ascii="宋体" w:hAnsi="宋体" w:cs="宋体"/>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390" w:type="dxa"/>
            <w:tcMar>
              <w:top w:w="16" w:type="dxa"/>
              <w:left w:w="16" w:type="dxa"/>
              <w:right w:w="16" w:type="dxa"/>
            </w:tcMar>
            <w:vAlign w:val="center"/>
          </w:tcPr>
          <w:p>
            <w:pPr>
              <w:autoSpaceDE w:val="0"/>
              <w:autoSpaceDN w:val="0"/>
              <w:adjustRightInd w:val="0"/>
              <w:snapToGrid w:val="0"/>
              <w:spacing w:line="360" w:lineRule="auto"/>
              <w:jc w:val="center"/>
              <w:rPr>
                <w:rFonts w:ascii="宋体" w:hAnsi="宋体" w:cs="宋体"/>
                <w:color w:val="auto"/>
                <w:kern w:val="0"/>
                <w:szCs w:val="21"/>
              </w:rPr>
            </w:pPr>
            <w:r>
              <w:rPr>
                <w:rFonts w:hint="eastAsia" w:ascii="宋体" w:hAnsi="宋体" w:cs="宋体"/>
                <w:color w:val="auto"/>
                <w:szCs w:val="21"/>
              </w:rPr>
              <w:t>规划情况</w:t>
            </w:r>
          </w:p>
        </w:tc>
        <w:tc>
          <w:tcPr>
            <w:tcW w:w="7649" w:type="dxa"/>
            <w:gridSpan w:val="3"/>
            <w:tcMar>
              <w:top w:w="16" w:type="dxa"/>
              <w:left w:w="16" w:type="dxa"/>
              <w:right w:w="16" w:type="dxa"/>
            </w:tcMar>
            <w:vAlign w:val="center"/>
          </w:tcPr>
          <w:p>
            <w:pPr>
              <w:autoSpaceDE w:val="0"/>
              <w:autoSpaceDN w:val="0"/>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四川省自然资源厅《四川省矿产资源总体规划（2</w:t>
            </w:r>
            <w:r>
              <w:rPr>
                <w:rFonts w:ascii="宋体" w:hAnsi="宋体" w:cs="宋体"/>
                <w:color w:val="auto"/>
                <w:kern w:val="0"/>
                <w:szCs w:val="21"/>
              </w:rPr>
              <w:t>021-2025</w:t>
            </w:r>
            <w:r>
              <w:rPr>
                <w:rFonts w:hint="eastAsia" w:ascii="宋体" w:hAnsi="宋体" w:cs="宋体"/>
                <w:color w:val="auto"/>
                <w:kern w:val="0"/>
                <w:szCs w:val="21"/>
              </w:rPr>
              <w:t>年）》；</w:t>
            </w:r>
          </w:p>
          <w:p>
            <w:pPr>
              <w:autoSpaceDE w:val="0"/>
              <w:autoSpaceDN w:val="0"/>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达州</w:t>
            </w:r>
            <w:r>
              <w:rPr>
                <w:rFonts w:hint="eastAsia" w:ascii="宋体" w:hAnsi="宋体" w:cs="宋体"/>
                <w:color w:val="auto"/>
                <w:kern w:val="0"/>
                <w:szCs w:val="21"/>
                <w:lang w:eastAsia="zh-CN"/>
              </w:rPr>
              <w:t>市自然资源和规划局</w:t>
            </w:r>
            <w:r>
              <w:rPr>
                <w:rFonts w:hint="eastAsia" w:ascii="宋体" w:hAnsi="宋体" w:cs="宋体"/>
                <w:color w:val="auto"/>
                <w:kern w:val="0"/>
                <w:szCs w:val="21"/>
              </w:rPr>
              <w:t>《达州市矿产资源总体规划（2</w:t>
            </w:r>
            <w:r>
              <w:rPr>
                <w:rFonts w:ascii="宋体" w:hAnsi="宋体" w:cs="宋体"/>
                <w:color w:val="auto"/>
                <w:kern w:val="0"/>
                <w:szCs w:val="21"/>
              </w:rPr>
              <w:t>021-2025</w:t>
            </w:r>
            <w:r>
              <w:rPr>
                <w:rFonts w:hint="eastAsia" w:ascii="宋体" w:hAnsi="宋体" w:cs="宋体"/>
                <w:color w:val="auto"/>
                <w:kern w:val="0"/>
                <w:szCs w:val="21"/>
              </w:rPr>
              <w:t>年）》；</w:t>
            </w:r>
          </w:p>
          <w:p>
            <w:pPr>
              <w:autoSpaceDE w:val="0"/>
              <w:autoSpaceDN w:val="0"/>
              <w:adjustRightInd w:val="0"/>
              <w:snapToGrid w:val="0"/>
              <w:spacing w:line="360" w:lineRule="auto"/>
              <w:jc w:val="center"/>
              <w:rPr>
                <w:rFonts w:ascii="宋体" w:hAnsi="宋体" w:cs="宋体"/>
                <w:color w:val="auto"/>
                <w:kern w:val="0"/>
                <w:szCs w:val="21"/>
              </w:rPr>
            </w:pPr>
            <w:r>
              <w:rPr>
                <w:rFonts w:hint="eastAsia"/>
                <w:color w:val="auto"/>
                <w:shd w:val="clear" w:color="auto" w:fill="FFFFFF"/>
              </w:rPr>
              <w:t>宣汉县自然资源局</w:t>
            </w:r>
            <w:r>
              <w:rPr>
                <w:rFonts w:hint="eastAsia" w:ascii="宋体" w:hAnsi="宋体" w:cs="宋体"/>
                <w:color w:val="auto"/>
                <w:kern w:val="0"/>
                <w:szCs w:val="21"/>
              </w:rPr>
              <w:t>《</w:t>
            </w:r>
            <w:r>
              <w:rPr>
                <w:rFonts w:hint="eastAsia"/>
                <w:color w:val="auto"/>
              </w:rPr>
              <w:t>宣汉县矿产资源总体规划</w:t>
            </w:r>
            <w:r>
              <w:rPr>
                <w:rFonts w:hint="eastAsia" w:ascii="宋体" w:hAnsi="宋体" w:cs="宋体"/>
                <w:color w:val="auto"/>
                <w:kern w:val="0"/>
                <w:szCs w:val="21"/>
              </w:rPr>
              <w:t>（2</w:t>
            </w:r>
            <w:r>
              <w:rPr>
                <w:rFonts w:ascii="宋体" w:hAnsi="宋体" w:cs="宋体"/>
                <w:color w:val="auto"/>
                <w:kern w:val="0"/>
                <w:szCs w:val="21"/>
              </w:rPr>
              <w:t>021-2025</w:t>
            </w:r>
            <w:r>
              <w:rPr>
                <w:rFonts w:hint="eastAsia" w:ascii="宋体" w:hAnsi="宋体" w:cs="宋体"/>
                <w:color w:val="auto"/>
                <w:kern w:val="0"/>
                <w:szCs w:val="21"/>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390" w:type="dxa"/>
            <w:tcMar>
              <w:top w:w="16" w:type="dxa"/>
              <w:left w:w="16" w:type="dxa"/>
              <w:right w:w="16" w:type="dxa"/>
            </w:tcMar>
            <w:vAlign w:val="center"/>
          </w:tcPr>
          <w:p>
            <w:pPr>
              <w:autoSpaceDE w:val="0"/>
              <w:autoSpaceDN w:val="0"/>
              <w:adjustRightInd w:val="0"/>
              <w:snapToGrid w:val="0"/>
              <w:spacing w:line="360" w:lineRule="auto"/>
              <w:jc w:val="center"/>
              <w:rPr>
                <w:rFonts w:ascii="宋体" w:hAnsi="宋体" w:cs="宋体"/>
                <w:color w:val="auto"/>
                <w:szCs w:val="21"/>
              </w:rPr>
            </w:pPr>
            <w:r>
              <w:rPr>
                <w:rFonts w:hint="eastAsia" w:ascii="宋体" w:hAnsi="宋体" w:cs="宋体"/>
                <w:color w:val="auto"/>
                <w:szCs w:val="21"/>
              </w:rPr>
              <w:t>规划环境影响</w:t>
            </w:r>
          </w:p>
          <w:p>
            <w:pPr>
              <w:autoSpaceDE w:val="0"/>
              <w:autoSpaceDN w:val="0"/>
              <w:adjustRightInd w:val="0"/>
              <w:snapToGrid w:val="0"/>
              <w:spacing w:line="360" w:lineRule="auto"/>
              <w:jc w:val="center"/>
              <w:rPr>
                <w:rFonts w:ascii="宋体" w:hAnsi="宋体" w:cs="宋体"/>
                <w:color w:val="auto"/>
                <w:kern w:val="0"/>
                <w:szCs w:val="21"/>
              </w:rPr>
            </w:pPr>
            <w:r>
              <w:rPr>
                <w:rFonts w:hint="eastAsia" w:ascii="宋体" w:hAnsi="宋体" w:cs="宋体"/>
                <w:color w:val="auto"/>
                <w:szCs w:val="21"/>
              </w:rPr>
              <w:t>评价情况</w:t>
            </w:r>
          </w:p>
        </w:tc>
        <w:tc>
          <w:tcPr>
            <w:tcW w:w="7649" w:type="dxa"/>
            <w:gridSpan w:val="3"/>
            <w:tcMar>
              <w:top w:w="16" w:type="dxa"/>
              <w:left w:w="16" w:type="dxa"/>
              <w:right w:w="16" w:type="dxa"/>
            </w:tcMar>
            <w:vAlign w:val="center"/>
          </w:tcPr>
          <w:p>
            <w:pPr>
              <w:adjustRightInd w:val="0"/>
              <w:snapToGrid w:val="0"/>
              <w:spacing w:line="360" w:lineRule="auto"/>
              <w:jc w:val="center"/>
              <w:rPr>
                <w:rFonts w:ascii="宋体" w:hAnsi="宋体" w:cs="宋体"/>
                <w:color w:val="auto"/>
                <w:kern w:val="0"/>
                <w:szCs w:val="21"/>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1390" w:type="dxa"/>
            <w:tcMar>
              <w:top w:w="16" w:type="dxa"/>
              <w:left w:w="16" w:type="dxa"/>
              <w:right w:w="16" w:type="dxa"/>
            </w:tcMar>
            <w:vAlign w:val="center"/>
          </w:tcPr>
          <w:p>
            <w:pPr>
              <w:autoSpaceDE w:val="0"/>
              <w:autoSpaceDN w:val="0"/>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规划及</w:t>
            </w:r>
            <w:r>
              <w:rPr>
                <w:rFonts w:hint="eastAsia" w:ascii="宋体" w:hAnsi="宋体" w:cs="宋体"/>
                <w:color w:val="auto"/>
                <w:szCs w:val="21"/>
              </w:rPr>
              <w:t>规划环境影响评价</w:t>
            </w:r>
            <w:r>
              <w:rPr>
                <w:rFonts w:hint="eastAsia" w:ascii="宋体" w:hAnsi="宋体" w:cs="宋体"/>
                <w:color w:val="auto"/>
                <w:kern w:val="0"/>
                <w:szCs w:val="21"/>
              </w:rPr>
              <w:t>符合性分析</w:t>
            </w:r>
          </w:p>
        </w:tc>
        <w:tc>
          <w:tcPr>
            <w:tcW w:w="7649" w:type="dxa"/>
            <w:gridSpan w:val="3"/>
            <w:tcMar>
              <w:top w:w="16" w:type="dxa"/>
              <w:left w:w="16" w:type="dxa"/>
              <w:right w:w="16" w:type="dxa"/>
            </w:tcMar>
            <w:vAlign w:val="center"/>
          </w:tcPr>
          <w:p>
            <w:pPr>
              <w:autoSpaceDE w:val="0"/>
              <w:autoSpaceDN w:val="0"/>
              <w:adjustRightInd w:val="0"/>
              <w:snapToGrid w:val="0"/>
              <w:spacing w:line="360" w:lineRule="auto"/>
              <w:rPr>
                <w:rFonts w:hAnsi="宋体"/>
                <w:b/>
                <w:bCs/>
                <w:color w:val="auto"/>
              </w:rPr>
            </w:pPr>
            <w:r>
              <w:rPr>
                <w:rFonts w:hint="eastAsia" w:hAnsi="宋体"/>
                <w:b/>
                <w:bCs/>
                <w:color w:val="auto"/>
              </w:rPr>
              <w:t>1、与相关规划符合性分析</w:t>
            </w:r>
          </w:p>
          <w:p>
            <w:pPr>
              <w:autoSpaceDE w:val="0"/>
              <w:autoSpaceDN w:val="0"/>
              <w:adjustRightInd w:val="0"/>
              <w:snapToGrid w:val="0"/>
              <w:spacing w:line="360" w:lineRule="auto"/>
              <w:rPr>
                <w:rFonts w:hAnsi="宋体"/>
                <w:bCs/>
                <w:color w:val="auto"/>
              </w:rPr>
            </w:pPr>
            <w:r>
              <w:rPr>
                <w:rFonts w:hint="eastAsia" w:hAnsi="宋体"/>
                <w:bCs/>
                <w:color w:val="auto"/>
              </w:rPr>
              <w:t>（1）与《</w:t>
            </w:r>
            <w:r>
              <w:rPr>
                <w:rFonts w:hint="eastAsia" w:ascii="宋体" w:hAnsi="宋体" w:cs="宋体"/>
                <w:color w:val="auto"/>
                <w:kern w:val="0"/>
                <w:szCs w:val="21"/>
              </w:rPr>
              <w:t>四川省矿产资源总体规划（2</w:t>
            </w:r>
            <w:r>
              <w:rPr>
                <w:rFonts w:ascii="宋体" w:hAnsi="宋体" w:cs="宋体"/>
                <w:color w:val="auto"/>
                <w:kern w:val="0"/>
                <w:szCs w:val="21"/>
              </w:rPr>
              <w:t>021-2025</w:t>
            </w:r>
            <w:r>
              <w:rPr>
                <w:rFonts w:hint="eastAsia" w:ascii="宋体" w:hAnsi="宋体" w:cs="宋体"/>
                <w:color w:val="auto"/>
                <w:kern w:val="0"/>
                <w:szCs w:val="21"/>
              </w:rPr>
              <w:t>年）》符合性分析</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hAnsi="宋体"/>
                <w:bCs/>
                <w:color w:val="auto"/>
              </w:rPr>
              <w:t>《</w:t>
            </w:r>
            <w:r>
              <w:rPr>
                <w:rFonts w:hint="eastAsia" w:ascii="宋体" w:hAnsi="宋体" w:cs="宋体"/>
                <w:color w:val="auto"/>
                <w:kern w:val="0"/>
                <w:szCs w:val="21"/>
              </w:rPr>
              <w:t>四川省矿产资源总体规划（2</w:t>
            </w:r>
            <w:r>
              <w:rPr>
                <w:rFonts w:ascii="宋体" w:hAnsi="宋体" w:cs="宋体"/>
                <w:color w:val="auto"/>
                <w:kern w:val="0"/>
                <w:szCs w:val="21"/>
              </w:rPr>
              <w:t>021-2025</w:t>
            </w:r>
            <w:r>
              <w:rPr>
                <w:rFonts w:hint="eastAsia" w:ascii="宋体" w:hAnsi="宋体" w:cs="宋体"/>
                <w:color w:val="auto"/>
                <w:kern w:val="0"/>
                <w:szCs w:val="21"/>
              </w:rPr>
              <w:t>年）》于202</w:t>
            </w:r>
            <w:r>
              <w:rPr>
                <w:rFonts w:ascii="宋体" w:hAnsi="宋体" w:cs="宋体"/>
                <w:color w:val="auto"/>
                <w:kern w:val="0"/>
                <w:szCs w:val="21"/>
              </w:rPr>
              <w:t>3</w:t>
            </w:r>
            <w:r>
              <w:rPr>
                <w:rFonts w:hint="eastAsia" w:ascii="宋体" w:hAnsi="宋体" w:cs="宋体"/>
                <w:color w:val="auto"/>
                <w:kern w:val="0"/>
                <w:szCs w:val="21"/>
              </w:rPr>
              <w:t>年</w:t>
            </w:r>
            <w:r>
              <w:rPr>
                <w:rFonts w:ascii="宋体" w:hAnsi="宋体" w:cs="宋体"/>
                <w:color w:val="auto"/>
                <w:kern w:val="0"/>
                <w:szCs w:val="21"/>
              </w:rPr>
              <w:t>2</w:t>
            </w:r>
            <w:r>
              <w:rPr>
                <w:rFonts w:hint="eastAsia" w:ascii="宋体" w:hAnsi="宋体" w:cs="宋体"/>
                <w:color w:val="auto"/>
                <w:kern w:val="0"/>
                <w:szCs w:val="21"/>
              </w:rPr>
              <w:t>月由四川省自然资源厅组织编制完成，《四川省矿产资源总体规划（2</w:t>
            </w:r>
            <w:r>
              <w:rPr>
                <w:rFonts w:ascii="宋体" w:hAnsi="宋体" w:cs="宋体"/>
                <w:color w:val="auto"/>
                <w:kern w:val="0"/>
                <w:szCs w:val="21"/>
              </w:rPr>
              <w:t>021-2025</w:t>
            </w:r>
            <w:r>
              <w:rPr>
                <w:rFonts w:hint="eastAsia" w:ascii="宋体" w:hAnsi="宋体" w:cs="宋体"/>
                <w:color w:val="auto"/>
                <w:kern w:val="0"/>
                <w:szCs w:val="21"/>
              </w:rPr>
              <w:t>年）》是矿产资源勘查、开发利用与保护的指导性文件，是落实国家资源安全战略、推进矿业绿色低碳发展、深化矿产资源宏观管理的重要手段，是依法审批和监督管理地质勘查、矿产资源开发利用和保护活动的重要依据，本项目的建设与《四川省矿产资源总体规划（2</w:t>
            </w:r>
            <w:r>
              <w:rPr>
                <w:rFonts w:ascii="宋体" w:hAnsi="宋体" w:cs="宋体"/>
                <w:color w:val="auto"/>
                <w:kern w:val="0"/>
                <w:szCs w:val="21"/>
              </w:rPr>
              <w:t>021-2025</w:t>
            </w:r>
            <w:r>
              <w:rPr>
                <w:rFonts w:hint="eastAsia" w:ascii="宋体" w:hAnsi="宋体" w:cs="宋体"/>
                <w:color w:val="auto"/>
                <w:kern w:val="0"/>
                <w:szCs w:val="21"/>
              </w:rPr>
              <w:t>年）》符合性分析如下：</w:t>
            </w:r>
          </w:p>
          <w:p>
            <w:pPr>
              <w:autoSpaceDE w:val="0"/>
              <w:autoSpaceDN w:val="0"/>
              <w:adjustRightInd w:val="0"/>
              <w:snapToGrid w:val="0"/>
              <w:spacing w:line="360" w:lineRule="auto"/>
              <w:jc w:val="center"/>
              <w:rPr>
                <w:rFonts w:hAnsi="宋体"/>
                <w:b/>
                <w:bCs/>
                <w:color w:val="auto"/>
                <w:sz w:val="18"/>
                <w:szCs w:val="18"/>
              </w:rPr>
            </w:pPr>
            <w:r>
              <w:rPr>
                <w:rFonts w:hint="eastAsia" w:hAnsi="宋体"/>
                <w:b/>
                <w:bCs/>
                <w:color w:val="auto"/>
                <w:sz w:val="18"/>
                <w:szCs w:val="18"/>
              </w:rPr>
              <w:t>表1</w:t>
            </w:r>
            <w:r>
              <w:rPr>
                <w:rFonts w:hAnsi="宋体"/>
                <w:b/>
                <w:bCs/>
                <w:color w:val="auto"/>
                <w:sz w:val="18"/>
                <w:szCs w:val="18"/>
              </w:rPr>
              <w:t xml:space="preserve">-1 </w:t>
            </w:r>
            <w:r>
              <w:rPr>
                <w:rFonts w:hint="eastAsia" w:hAnsi="宋体"/>
                <w:b/>
                <w:bCs/>
                <w:color w:val="auto"/>
                <w:sz w:val="18"/>
                <w:szCs w:val="18"/>
              </w:rPr>
              <w:t>项目与</w:t>
            </w:r>
            <w:r>
              <w:rPr>
                <w:rFonts w:hint="eastAsia" w:ascii="宋体" w:hAnsi="宋体" w:cs="宋体"/>
                <w:b/>
                <w:color w:val="auto"/>
                <w:kern w:val="0"/>
                <w:sz w:val="18"/>
                <w:szCs w:val="18"/>
              </w:rPr>
              <w:t>《四川省矿产资源总体规划（2</w:t>
            </w:r>
            <w:r>
              <w:rPr>
                <w:rFonts w:ascii="宋体" w:hAnsi="宋体" w:cs="宋体"/>
                <w:b/>
                <w:color w:val="auto"/>
                <w:kern w:val="0"/>
                <w:sz w:val="18"/>
                <w:szCs w:val="18"/>
              </w:rPr>
              <w:t>021-2025</w:t>
            </w:r>
            <w:r>
              <w:rPr>
                <w:rFonts w:hint="eastAsia" w:ascii="宋体" w:hAnsi="宋体" w:cs="宋体"/>
                <w:b/>
                <w:color w:val="auto"/>
                <w:kern w:val="0"/>
                <w:sz w:val="18"/>
                <w:szCs w:val="18"/>
              </w:rPr>
              <w:t>年）》符合性分析</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99"/>
              <w:gridCol w:w="2150"/>
              <w:gridCol w:w="7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5" w:type="pct"/>
                  <w:vAlign w:val="center"/>
                </w:tcPr>
                <w:p>
                  <w:pPr>
                    <w:spacing w:line="276" w:lineRule="auto"/>
                    <w:jc w:val="center"/>
                    <w:rPr>
                      <w:color w:val="auto"/>
                      <w:sz w:val="18"/>
                      <w:szCs w:val="18"/>
                    </w:rPr>
                  </w:pPr>
                  <w:r>
                    <w:rPr>
                      <w:rFonts w:hint="eastAsia"/>
                      <w:color w:val="auto"/>
                      <w:sz w:val="18"/>
                      <w:szCs w:val="18"/>
                    </w:rPr>
                    <w:t>规划内容</w:t>
                  </w:r>
                </w:p>
              </w:tc>
              <w:tc>
                <w:tcPr>
                  <w:tcW w:w="1411" w:type="pct"/>
                  <w:vAlign w:val="center"/>
                </w:tcPr>
                <w:p>
                  <w:pPr>
                    <w:spacing w:line="276" w:lineRule="auto"/>
                    <w:jc w:val="center"/>
                    <w:rPr>
                      <w:color w:val="auto"/>
                      <w:sz w:val="18"/>
                      <w:szCs w:val="18"/>
                    </w:rPr>
                  </w:pPr>
                  <w:r>
                    <w:rPr>
                      <w:rFonts w:hint="eastAsia"/>
                      <w:color w:val="auto"/>
                      <w:sz w:val="18"/>
                      <w:szCs w:val="18"/>
                    </w:rPr>
                    <w:t>本项目</w:t>
                  </w:r>
                </w:p>
              </w:tc>
              <w:tc>
                <w:tcPr>
                  <w:tcW w:w="504" w:type="pct"/>
                  <w:vAlign w:val="center"/>
                </w:tcPr>
                <w:p>
                  <w:pPr>
                    <w:spacing w:line="276" w:lineRule="auto"/>
                    <w:jc w:val="center"/>
                    <w:rPr>
                      <w:color w:val="auto"/>
                      <w:sz w:val="18"/>
                      <w:szCs w:val="18"/>
                    </w:rPr>
                  </w:pPr>
                  <w:r>
                    <w:rPr>
                      <w:rFonts w:hint="eastAsia"/>
                      <w:color w:val="auto"/>
                      <w:sz w:val="18"/>
                      <w:szCs w:val="18"/>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5" w:type="pct"/>
                  <w:vAlign w:val="center"/>
                </w:tcPr>
                <w:p>
                  <w:pPr>
                    <w:spacing w:line="276" w:lineRule="auto"/>
                    <w:jc w:val="left"/>
                    <w:rPr>
                      <w:b/>
                      <w:color w:val="auto"/>
                      <w:sz w:val="18"/>
                      <w:szCs w:val="18"/>
                    </w:rPr>
                  </w:pPr>
                  <w:r>
                    <w:rPr>
                      <w:rFonts w:hint="eastAsia"/>
                      <w:b/>
                      <w:color w:val="auto"/>
                      <w:sz w:val="18"/>
                      <w:szCs w:val="18"/>
                    </w:rPr>
                    <w:t>开发利用方向</w:t>
                  </w:r>
                </w:p>
                <w:p>
                  <w:pPr>
                    <w:spacing w:line="276" w:lineRule="auto"/>
                    <w:jc w:val="left"/>
                    <w:rPr>
                      <w:color w:val="auto"/>
                      <w:sz w:val="18"/>
                      <w:szCs w:val="18"/>
                    </w:rPr>
                  </w:pPr>
                  <w:r>
                    <w:rPr>
                      <w:rFonts w:hint="eastAsia"/>
                      <w:color w:val="auto"/>
                      <w:sz w:val="18"/>
                      <w:szCs w:val="18"/>
                    </w:rPr>
                    <w:t>重点开采矿种：重点开采天然气、页岩气、煤层气、炼焦用煤、无烟煤、地热、钒钛磁铁矿、锰、铜、岩金、银、稀土、锂、磷、优质玄武岩等矿产，在符合准入条件的前提下，优先出让采矿权，适度扩大开发规模，提高资源供应能力。稀土等国家保护性开采矿种采矿权出让及开采应符合国家相关管控要求。</w:t>
                  </w:r>
                </w:p>
                <w:p>
                  <w:pPr>
                    <w:spacing w:line="276" w:lineRule="auto"/>
                    <w:jc w:val="left"/>
                    <w:rPr>
                      <w:color w:val="auto"/>
                      <w:sz w:val="18"/>
                      <w:szCs w:val="18"/>
                    </w:rPr>
                  </w:pPr>
                  <w:r>
                    <w:rPr>
                      <w:rFonts w:hint="eastAsia"/>
                      <w:color w:val="auto"/>
                      <w:sz w:val="18"/>
                      <w:szCs w:val="18"/>
                    </w:rPr>
                    <w:t>限制开采矿种：限制开采难选冶赤铁矿、菱铁矿以及对生态环境影响较大的硫铁矿。限制开采矿种应严格控制采矿权数量，在产能未优化、环保问题未解决、选冶技术未过关前实行限采保护，确需新设的必须严格规划论证和审查。</w:t>
                  </w:r>
                </w:p>
                <w:p>
                  <w:pPr>
                    <w:spacing w:line="276" w:lineRule="auto"/>
                    <w:jc w:val="left"/>
                    <w:rPr>
                      <w:color w:val="auto"/>
                      <w:sz w:val="18"/>
                      <w:szCs w:val="18"/>
                    </w:rPr>
                  </w:pPr>
                  <w:r>
                    <w:rPr>
                      <w:rFonts w:hint="eastAsia"/>
                      <w:color w:val="auto"/>
                      <w:sz w:val="18"/>
                      <w:szCs w:val="18"/>
                    </w:rPr>
                    <w:t>禁止开采矿种：禁止开采高硫、高砷、高氟煤炭和石棉、砂金、湿地泥炭、可耕地砖瓦用粘土等矿产。禁止开采矿种原则上不新设采矿权。</w:t>
                  </w:r>
                </w:p>
              </w:tc>
              <w:tc>
                <w:tcPr>
                  <w:tcW w:w="1411" w:type="pct"/>
                  <w:vAlign w:val="center"/>
                </w:tcPr>
                <w:p>
                  <w:pPr>
                    <w:spacing w:line="276" w:lineRule="auto"/>
                    <w:jc w:val="left"/>
                    <w:rPr>
                      <w:color w:val="auto"/>
                      <w:sz w:val="18"/>
                      <w:szCs w:val="18"/>
                    </w:rPr>
                  </w:pPr>
                  <w:r>
                    <w:rPr>
                      <w:rFonts w:hint="eastAsia"/>
                      <w:color w:val="auto"/>
                      <w:sz w:val="18"/>
                      <w:szCs w:val="18"/>
                    </w:rPr>
                    <w:t>项目为建筑石料用灰岩矿开采，不属于限制及禁止开采矿种。</w:t>
                  </w:r>
                </w:p>
              </w:tc>
              <w:tc>
                <w:tcPr>
                  <w:tcW w:w="504"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5" w:type="pct"/>
                  <w:vAlign w:val="center"/>
                </w:tcPr>
                <w:p>
                  <w:pPr>
                    <w:spacing w:line="276" w:lineRule="auto"/>
                    <w:jc w:val="left"/>
                    <w:rPr>
                      <w:b/>
                      <w:color w:val="auto"/>
                      <w:sz w:val="18"/>
                      <w:szCs w:val="18"/>
                    </w:rPr>
                  </w:pPr>
                  <w:r>
                    <w:rPr>
                      <w:rFonts w:hint="eastAsia"/>
                      <w:b/>
                      <w:color w:val="auto"/>
                      <w:sz w:val="18"/>
                      <w:szCs w:val="18"/>
                    </w:rPr>
                    <w:t>提高重要矿产资源供应能力</w:t>
                  </w:r>
                </w:p>
                <w:p>
                  <w:pPr>
                    <w:spacing w:line="276" w:lineRule="auto"/>
                    <w:jc w:val="left"/>
                    <w:rPr>
                      <w:color w:val="auto"/>
                      <w:sz w:val="18"/>
                      <w:szCs w:val="18"/>
                    </w:rPr>
                  </w:pPr>
                  <w:r>
                    <w:rPr>
                      <w:rFonts w:hint="eastAsia"/>
                      <w:color w:val="auto"/>
                      <w:sz w:val="18"/>
                      <w:szCs w:val="18"/>
                    </w:rPr>
                    <w:t>非金属矿产：鼓励企业依靠科技进步，研究开发新型非金属矿产品和矿物材料，延伸下游应用领域，实现矿产品升级增值。鼓励规模开采水泥原料、陶瓷原料、饰面石材和其他非金属矿产。玻璃用石英岩、砂岩、白云岩产能达到250万吨/年左右，矿山数稳定在40个左右；饰面用大理石、花岗石等荒料产能达到35万立方米/年，矿山数保持在105个左右。</w:t>
                  </w:r>
                </w:p>
              </w:tc>
              <w:tc>
                <w:tcPr>
                  <w:tcW w:w="1411" w:type="pct"/>
                  <w:vAlign w:val="center"/>
                </w:tcPr>
                <w:p>
                  <w:pPr>
                    <w:spacing w:line="276" w:lineRule="auto"/>
                    <w:jc w:val="left"/>
                    <w:rPr>
                      <w:color w:val="auto"/>
                      <w:sz w:val="18"/>
                      <w:szCs w:val="18"/>
                    </w:rPr>
                  </w:pPr>
                  <w:r>
                    <w:rPr>
                      <w:color w:val="auto"/>
                      <w:sz w:val="18"/>
                      <w:szCs w:val="18"/>
                    </w:rPr>
                    <w:t>项目为建筑石料用灰岩矿开采</w:t>
                  </w:r>
                  <w:r>
                    <w:rPr>
                      <w:rFonts w:hint="eastAsia"/>
                      <w:color w:val="auto"/>
                      <w:sz w:val="18"/>
                      <w:szCs w:val="18"/>
                    </w:rPr>
                    <w:t>，产能为250万吨/年。</w:t>
                  </w:r>
                </w:p>
              </w:tc>
              <w:tc>
                <w:tcPr>
                  <w:tcW w:w="504"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5" w:type="pct"/>
                  <w:vAlign w:val="center"/>
                </w:tcPr>
                <w:p>
                  <w:pPr>
                    <w:spacing w:line="276" w:lineRule="auto"/>
                    <w:jc w:val="left"/>
                    <w:rPr>
                      <w:b/>
                      <w:color w:val="auto"/>
                      <w:sz w:val="18"/>
                      <w:szCs w:val="18"/>
                    </w:rPr>
                  </w:pPr>
                  <w:r>
                    <w:rPr>
                      <w:rFonts w:hint="eastAsia"/>
                      <w:b/>
                      <w:color w:val="auto"/>
                      <w:sz w:val="18"/>
                      <w:szCs w:val="18"/>
                    </w:rPr>
                    <w:t>加强重要优势矿产保护和开采管理</w:t>
                  </w:r>
                </w:p>
                <w:p>
                  <w:pPr>
                    <w:spacing w:line="276" w:lineRule="auto"/>
                    <w:jc w:val="left"/>
                    <w:rPr>
                      <w:b/>
                      <w:color w:val="auto"/>
                      <w:sz w:val="18"/>
                      <w:szCs w:val="18"/>
                    </w:rPr>
                  </w:pPr>
                  <w:r>
                    <w:rPr>
                      <w:rFonts w:hint="eastAsia"/>
                      <w:color w:val="auto"/>
                      <w:sz w:val="18"/>
                      <w:szCs w:val="18"/>
                    </w:rPr>
                    <w:t>非金属矿产：原则上有水泥产业的县（市、区）且现有水泥用灰岩保有资源量小于八年服务期的，经规划论证后可新设勘查开采规划区块，新建矿山资源量和开采规模均须达到中型及以上。对硫铁矿、芒硝、盐矿等产能过剩或对生态环境影响较大矿种，严格限制新设置勘查开采规划区块。</w:t>
                  </w:r>
                </w:p>
              </w:tc>
              <w:tc>
                <w:tcPr>
                  <w:tcW w:w="1411" w:type="pct"/>
                  <w:vAlign w:val="center"/>
                </w:tcPr>
                <w:p>
                  <w:pPr>
                    <w:spacing w:line="276" w:lineRule="auto"/>
                    <w:jc w:val="left"/>
                    <w:rPr>
                      <w:color w:val="auto"/>
                      <w:sz w:val="18"/>
                      <w:szCs w:val="18"/>
                    </w:rPr>
                  </w:pPr>
                  <w:r>
                    <w:rPr>
                      <w:color w:val="auto"/>
                      <w:sz w:val="18"/>
                      <w:szCs w:val="18"/>
                    </w:rPr>
                    <w:t>项目为建筑石料用灰岩矿开采</w:t>
                  </w:r>
                  <w:r>
                    <w:rPr>
                      <w:rFonts w:hint="eastAsia"/>
                      <w:color w:val="auto"/>
                      <w:sz w:val="18"/>
                      <w:szCs w:val="18"/>
                    </w:rPr>
                    <w:t>，产能为250万吨/年。</w:t>
                  </w:r>
                </w:p>
              </w:tc>
              <w:tc>
                <w:tcPr>
                  <w:tcW w:w="504"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5" w:type="pct"/>
                  <w:vAlign w:val="center"/>
                </w:tcPr>
                <w:p>
                  <w:pPr>
                    <w:spacing w:line="276" w:lineRule="auto"/>
                    <w:jc w:val="left"/>
                    <w:rPr>
                      <w:b/>
                      <w:color w:val="auto"/>
                      <w:sz w:val="18"/>
                      <w:szCs w:val="18"/>
                    </w:rPr>
                  </w:pPr>
                  <w:r>
                    <w:rPr>
                      <w:rFonts w:hint="eastAsia"/>
                      <w:b/>
                      <w:color w:val="auto"/>
                      <w:sz w:val="18"/>
                      <w:szCs w:val="18"/>
                    </w:rPr>
                    <w:t>开采规划区块设置</w:t>
                  </w:r>
                </w:p>
                <w:p>
                  <w:pPr>
                    <w:spacing w:line="276" w:lineRule="auto"/>
                    <w:jc w:val="left"/>
                    <w:rPr>
                      <w:color w:val="auto"/>
                      <w:sz w:val="18"/>
                      <w:szCs w:val="18"/>
                    </w:rPr>
                  </w:pPr>
                  <w:r>
                    <w:rPr>
                      <w:rFonts w:hint="eastAsia"/>
                      <w:color w:val="auto"/>
                      <w:sz w:val="18"/>
                      <w:szCs w:val="18"/>
                    </w:rPr>
                    <w:t>综合考虑产业发展、地形、构造、矿床形态、矿体连续性、矿体埋深、资源储量、采矿技术经济条件、生产安全、生态修复等因素，科学划定开采规划区块。原则上不能将同一个矿体、矿体群拆分成多个开采单元，原则上一个开采规划区块对应一个开采主体。开采规划区块优先设置在能源资源基地、国家规划矿区及重点开采区内，优先投放区域经济发展急需的重要矿种。</w:t>
                  </w:r>
                </w:p>
              </w:tc>
              <w:tc>
                <w:tcPr>
                  <w:tcW w:w="1411" w:type="pct"/>
                  <w:vAlign w:val="center"/>
                </w:tcPr>
                <w:p>
                  <w:pPr>
                    <w:spacing w:line="276" w:lineRule="auto"/>
                    <w:jc w:val="left"/>
                    <w:rPr>
                      <w:color w:val="auto"/>
                      <w:sz w:val="18"/>
                      <w:szCs w:val="18"/>
                    </w:rPr>
                  </w:pPr>
                  <w:r>
                    <w:rPr>
                      <w:color w:val="auto"/>
                      <w:sz w:val="18"/>
                      <w:szCs w:val="18"/>
                    </w:rPr>
                    <w:t>项目为建筑石料用灰岩矿开采</w:t>
                  </w:r>
                  <w:r>
                    <w:rPr>
                      <w:rFonts w:hint="eastAsia"/>
                      <w:color w:val="auto"/>
                      <w:sz w:val="18"/>
                      <w:szCs w:val="18"/>
                    </w:rPr>
                    <w:t>，开采区为一个开采单元</w:t>
                  </w:r>
                </w:p>
              </w:tc>
              <w:tc>
                <w:tcPr>
                  <w:tcW w:w="504"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5" w:type="pct"/>
                  <w:vAlign w:val="center"/>
                </w:tcPr>
                <w:p>
                  <w:pPr>
                    <w:spacing w:line="276" w:lineRule="auto"/>
                    <w:jc w:val="left"/>
                    <w:rPr>
                      <w:b/>
                      <w:color w:val="auto"/>
                      <w:sz w:val="18"/>
                      <w:szCs w:val="18"/>
                    </w:rPr>
                  </w:pPr>
                  <w:r>
                    <w:rPr>
                      <w:rFonts w:hint="eastAsia"/>
                      <w:b/>
                      <w:color w:val="auto"/>
                      <w:sz w:val="18"/>
                      <w:szCs w:val="18"/>
                    </w:rPr>
                    <w:t>加强建筑用砂石资源基地建设。</w:t>
                  </w:r>
                  <w:r>
                    <w:rPr>
                      <w:rFonts w:hint="eastAsia"/>
                      <w:color w:val="auto"/>
                      <w:sz w:val="18"/>
                      <w:szCs w:val="18"/>
                    </w:rPr>
                    <w:t>按照砂石资源基地、砂石集中开采区、砂石规划开采区块三个层次科学规划砂石资源开发，重点推进砂石资源基地建设。立足成渝地区双城经济圈城市发展、重大交通水利等基础设施建设和民生工程保障需要，支持绵阳、乐山、宜宾、雅安、达州等地，以资源条件丰富、交通运输便利、有环境容量的集中开采区为基础，布局一批千万吨级大型建筑用砂石生产基地，确保砂石资源保供稳价。</w:t>
                  </w:r>
                </w:p>
              </w:tc>
              <w:tc>
                <w:tcPr>
                  <w:tcW w:w="1411" w:type="pct"/>
                  <w:vAlign w:val="center"/>
                </w:tcPr>
                <w:p>
                  <w:pPr>
                    <w:spacing w:line="276" w:lineRule="auto"/>
                    <w:jc w:val="left"/>
                    <w:rPr>
                      <w:color w:val="auto"/>
                      <w:sz w:val="18"/>
                      <w:szCs w:val="18"/>
                    </w:rPr>
                  </w:pPr>
                  <w:r>
                    <w:rPr>
                      <w:color w:val="auto"/>
                      <w:sz w:val="18"/>
                      <w:szCs w:val="18"/>
                    </w:rPr>
                    <w:t>项目为建筑石料用灰岩矿开采</w:t>
                  </w:r>
                  <w:r>
                    <w:rPr>
                      <w:rFonts w:hint="eastAsia"/>
                      <w:color w:val="auto"/>
                      <w:sz w:val="18"/>
                      <w:szCs w:val="18"/>
                    </w:rPr>
                    <w:t>，项目位于达州市宣汉县漆树土家族乡乘龙村</w:t>
                  </w:r>
                </w:p>
              </w:tc>
              <w:tc>
                <w:tcPr>
                  <w:tcW w:w="504"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85" w:type="pct"/>
                  <w:vAlign w:val="center"/>
                </w:tcPr>
                <w:p>
                  <w:pPr>
                    <w:spacing w:line="276" w:lineRule="auto"/>
                    <w:jc w:val="left"/>
                    <w:rPr>
                      <w:b/>
                      <w:color w:val="auto"/>
                      <w:sz w:val="18"/>
                      <w:szCs w:val="18"/>
                    </w:rPr>
                  </w:pPr>
                  <w:r>
                    <w:rPr>
                      <w:rFonts w:hint="eastAsia"/>
                      <w:b/>
                      <w:color w:val="auto"/>
                      <w:sz w:val="18"/>
                      <w:szCs w:val="18"/>
                    </w:rPr>
                    <w:t>加强矿山固体废弃物、尾矿资源和废水利用。</w:t>
                  </w:r>
                  <w:r>
                    <w:rPr>
                      <w:rFonts w:hint="eastAsia"/>
                      <w:color w:val="auto"/>
                      <w:sz w:val="18"/>
                      <w:szCs w:val="18"/>
                    </w:rPr>
                    <w:t>鼓励矿山企业内部或不同企业之间的原料、产品、排放物合理循环，充分利用矿山固体废弃物和尾矿资源中有用元素，通过废弃物减量化、无害化和资源化处理，促进资源环境协调发展。重点开展煤矸石、金属矿山、非金属矿山固体废弃物的综合利用，推广尾矿充填，规划期内煤矸石和粉煤灰应得到充分利用。加强矿山废水循环利用，矿业用水复用率提高到100%。</w:t>
                  </w:r>
                </w:p>
              </w:tc>
              <w:tc>
                <w:tcPr>
                  <w:tcW w:w="1411" w:type="pct"/>
                  <w:vAlign w:val="center"/>
                </w:tcPr>
                <w:p>
                  <w:pPr>
                    <w:spacing w:line="276" w:lineRule="auto"/>
                    <w:jc w:val="left"/>
                    <w:rPr>
                      <w:color w:val="auto"/>
                      <w:sz w:val="18"/>
                      <w:szCs w:val="18"/>
                    </w:rPr>
                  </w:pPr>
                  <w:r>
                    <w:rPr>
                      <w:rFonts w:hint="eastAsia"/>
                      <w:color w:val="auto"/>
                      <w:sz w:val="18"/>
                      <w:szCs w:val="18"/>
                    </w:rPr>
                    <w:t>矿山尾矿与原矿一起及时送至生产区作为原料加工利用，矿区不设尾矿库，矿山生产废水全部循环利用，生活污水用作农肥，不外排</w:t>
                  </w:r>
                </w:p>
              </w:tc>
              <w:tc>
                <w:tcPr>
                  <w:tcW w:w="504" w:type="pct"/>
                  <w:vAlign w:val="center"/>
                </w:tcPr>
                <w:p>
                  <w:pPr>
                    <w:spacing w:line="276" w:lineRule="auto"/>
                    <w:jc w:val="center"/>
                    <w:rPr>
                      <w:color w:val="auto"/>
                      <w:sz w:val="18"/>
                      <w:szCs w:val="18"/>
                    </w:rPr>
                  </w:pPr>
                  <w:r>
                    <w:rPr>
                      <w:rFonts w:hint="eastAsia"/>
                      <w:color w:val="auto"/>
                      <w:sz w:val="18"/>
                      <w:szCs w:val="18"/>
                    </w:rPr>
                    <w:t>符合</w:t>
                  </w:r>
                </w:p>
              </w:tc>
            </w:tr>
          </w:tbl>
          <w:p>
            <w:pPr>
              <w:autoSpaceDE w:val="0"/>
              <w:autoSpaceDN w:val="0"/>
              <w:adjustRightInd w:val="0"/>
              <w:snapToGrid w:val="0"/>
              <w:spacing w:line="360" w:lineRule="auto"/>
              <w:ind w:firstLine="420" w:firstLineChars="200"/>
              <w:rPr>
                <w:rFonts w:hAnsi="宋体"/>
                <w:bCs/>
                <w:color w:val="auto"/>
              </w:rPr>
            </w:pPr>
            <w:r>
              <w:rPr>
                <w:rFonts w:hint="eastAsia" w:hAnsi="宋体"/>
                <w:bCs/>
                <w:color w:val="auto"/>
              </w:rPr>
              <w:t>综上，本项目的建设与《四川省矿产资源总体规划（2021-2025年）》相关内容相符。</w:t>
            </w:r>
          </w:p>
          <w:p>
            <w:pPr>
              <w:autoSpaceDE w:val="0"/>
              <w:autoSpaceDN w:val="0"/>
              <w:adjustRightInd w:val="0"/>
              <w:snapToGrid w:val="0"/>
              <w:spacing w:line="360" w:lineRule="auto"/>
              <w:ind w:firstLine="420" w:firstLineChars="200"/>
              <w:rPr>
                <w:rFonts w:hAnsi="宋体"/>
                <w:bCs/>
                <w:color w:val="auto"/>
              </w:rPr>
            </w:pPr>
            <w:r>
              <w:rPr>
                <w:rFonts w:hint="eastAsia" w:hAnsi="宋体"/>
                <w:bCs/>
                <w:color w:val="auto"/>
              </w:rPr>
              <w:t>（2）与《达州市</w:t>
            </w:r>
            <w:r>
              <w:rPr>
                <w:rFonts w:hint="eastAsia" w:ascii="宋体" w:hAnsi="宋体" w:cs="宋体"/>
                <w:color w:val="auto"/>
                <w:kern w:val="0"/>
                <w:szCs w:val="21"/>
              </w:rPr>
              <w:t>矿产资源总体规划（2</w:t>
            </w:r>
            <w:r>
              <w:rPr>
                <w:rFonts w:ascii="宋体" w:hAnsi="宋体" w:cs="宋体"/>
                <w:color w:val="auto"/>
                <w:kern w:val="0"/>
                <w:szCs w:val="21"/>
              </w:rPr>
              <w:t>021-2025</w:t>
            </w:r>
            <w:r>
              <w:rPr>
                <w:rFonts w:hint="eastAsia" w:ascii="宋体" w:hAnsi="宋体" w:cs="宋体"/>
                <w:color w:val="auto"/>
                <w:kern w:val="0"/>
                <w:szCs w:val="21"/>
              </w:rPr>
              <w:t>年）》符合性分析</w:t>
            </w:r>
          </w:p>
          <w:p>
            <w:pPr>
              <w:autoSpaceDE w:val="0"/>
              <w:autoSpaceDN w:val="0"/>
              <w:adjustRightInd w:val="0"/>
              <w:snapToGrid w:val="0"/>
              <w:spacing w:line="360" w:lineRule="auto"/>
              <w:ind w:firstLine="420" w:firstLineChars="200"/>
              <w:rPr>
                <w:rFonts w:hAnsi="宋体"/>
                <w:bCs/>
                <w:color w:val="auto"/>
              </w:rPr>
            </w:pPr>
            <w:r>
              <w:rPr>
                <w:rFonts w:hint="eastAsia" w:hAnsi="宋体"/>
                <w:bCs/>
                <w:color w:val="auto"/>
              </w:rPr>
              <w:t>《达州市</w:t>
            </w:r>
            <w:r>
              <w:rPr>
                <w:rFonts w:hint="eastAsia" w:ascii="宋体" w:hAnsi="宋体" w:cs="宋体"/>
                <w:color w:val="auto"/>
                <w:kern w:val="0"/>
                <w:szCs w:val="21"/>
              </w:rPr>
              <w:t>矿产资源总体规划（2</w:t>
            </w:r>
            <w:r>
              <w:rPr>
                <w:rFonts w:ascii="宋体" w:hAnsi="宋体" w:cs="宋体"/>
                <w:color w:val="auto"/>
                <w:kern w:val="0"/>
                <w:szCs w:val="21"/>
              </w:rPr>
              <w:t>021-2025</w:t>
            </w:r>
            <w:r>
              <w:rPr>
                <w:rFonts w:hint="eastAsia" w:ascii="宋体" w:hAnsi="宋体" w:cs="宋体"/>
                <w:color w:val="auto"/>
                <w:kern w:val="0"/>
                <w:szCs w:val="21"/>
              </w:rPr>
              <w:t>年）》于202</w:t>
            </w:r>
            <w:r>
              <w:rPr>
                <w:rFonts w:ascii="宋体" w:hAnsi="宋体" w:cs="宋体"/>
                <w:color w:val="auto"/>
                <w:kern w:val="0"/>
                <w:szCs w:val="21"/>
              </w:rPr>
              <w:t>3</w:t>
            </w:r>
            <w:r>
              <w:rPr>
                <w:rFonts w:hint="eastAsia" w:ascii="宋体" w:hAnsi="宋体" w:cs="宋体"/>
                <w:color w:val="auto"/>
                <w:kern w:val="0"/>
                <w:szCs w:val="21"/>
              </w:rPr>
              <w:t>年</w:t>
            </w:r>
            <w:r>
              <w:rPr>
                <w:rFonts w:ascii="宋体" w:hAnsi="宋体" w:cs="宋体"/>
                <w:color w:val="auto"/>
                <w:kern w:val="0"/>
                <w:szCs w:val="21"/>
              </w:rPr>
              <w:t>6</w:t>
            </w:r>
            <w:r>
              <w:rPr>
                <w:rFonts w:hint="eastAsia" w:ascii="宋体" w:hAnsi="宋体" w:cs="宋体"/>
                <w:color w:val="auto"/>
                <w:kern w:val="0"/>
                <w:szCs w:val="21"/>
              </w:rPr>
              <w:t>月由达州</w:t>
            </w:r>
            <w:r>
              <w:rPr>
                <w:rFonts w:hint="eastAsia" w:ascii="宋体" w:hAnsi="宋体" w:cs="宋体"/>
                <w:color w:val="auto"/>
                <w:kern w:val="0"/>
                <w:szCs w:val="21"/>
                <w:lang w:eastAsia="zh-CN"/>
              </w:rPr>
              <w:t>市自然资源和规划局</w:t>
            </w:r>
            <w:r>
              <w:rPr>
                <w:rFonts w:hint="eastAsia" w:ascii="宋体" w:hAnsi="宋体" w:cs="宋体"/>
                <w:color w:val="auto"/>
                <w:kern w:val="0"/>
                <w:szCs w:val="21"/>
              </w:rPr>
              <w:t>组织编制完成，《四川省矿产资源总体规划（2</w:t>
            </w:r>
            <w:r>
              <w:rPr>
                <w:rFonts w:ascii="宋体" w:hAnsi="宋体" w:cs="宋体"/>
                <w:color w:val="auto"/>
                <w:kern w:val="0"/>
                <w:szCs w:val="21"/>
              </w:rPr>
              <w:t>021-2025</w:t>
            </w:r>
            <w:r>
              <w:rPr>
                <w:rFonts w:hint="eastAsia" w:ascii="宋体" w:hAnsi="宋体" w:cs="宋体"/>
                <w:color w:val="auto"/>
                <w:kern w:val="0"/>
                <w:szCs w:val="21"/>
              </w:rPr>
              <w:t>年）》是达州市矿产资源勘查、开发利用与保护的指导性文件，本项目的建设与《达州市矿产资源总体规划（2</w:t>
            </w:r>
            <w:r>
              <w:rPr>
                <w:rFonts w:ascii="宋体" w:hAnsi="宋体" w:cs="宋体"/>
                <w:color w:val="auto"/>
                <w:kern w:val="0"/>
                <w:szCs w:val="21"/>
              </w:rPr>
              <w:t>021-2025</w:t>
            </w:r>
            <w:r>
              <w:rPr>
                <w:rFonts w:hint="eastAsia" w:ascii="宋体" w:hAnsi="宋体" w:cs="宋体"/>
                <w:color w:val="auto"/>
                <w:kern w:val="0"/>
                <w:szCs w:val="21"/>
              </w:rPr>
              <w:t>年）》符合性分析如下：</w:t>
            </w:r>
          </w:p>
          <w:p>
            <w:pPr>
              <w:autoSpaceDE w:val="0"/>
              <w:autoSpaceDN w:val="0"/>
              <w:adjustRightInd w:val="0"/>
              <w:snapToGrid w:val="0"/>
              <w:spacing w:line="360" w:lineRule="auto"/>
              <w:jc w:val="center"/>
              <w:rPr>
                <w:rFonts w:hAnsi="宋体"/>
                <w:b/>
                <w:bCs/>
                <w:color w:val="auto"/>
                <w:sz w:val="18"/>
                <w:szCs w:val="18"/>
              </w:rPr>
            </w:pPr>
            <w:r>
              <w:rPr>
                <w:rFonts w:hint="eastAsia" w:hAnsi="宋体"/>
                <w:b/>
                <w:bCs/>
                <w:color w:val="auto"/>
                <w:sz w:val="18"/>
                <w:szCs w:val="18"/>
              </w:rPr>
              <w:t>表1</w:t>
            </w:r>
            <w:r>
              <w:rPr>
                <w:rFonts w:hAnsi="宋体"/>
                <w:b/>
                <w:bCs/>
                <w:color w:val="auto"/>
                <w:sz w:val="18"/>
                <w:szCs w:val="18"/>
              </w:rPr>
              <w:t xml:space="preserve">-2 </w:t>
            </w:r>
            <w:r>
              <w:rPr>
                <w:rFonts w:hint="eastAsia" w:hAnsi="宋体"/>
                <w:b/>
                <w:bCs/>
                <w:color w:val="auto"/>
                <w:sz w:val="18"/>
                <w:szCs w:val="18"/>
              </w:rPr>
              <w:t>项目与</w:t>
            </w:r>
            <w:r>
              <w:rPr>
                <w:rFonts w:hint="eastAsia" w:ascii="宋体" w:hAnsi="宋体" w:cs="宋体"/>
                <w:b/>
                <w:color w:val="auto"/>
                <w:kern w:val="0"/>
                <w:sz w:val="18"/>
                <w:szCs w:val="18"/>
              </w:rPr>
              <w:t>《达州市矿产资源总体规划（2</w:t>
            </w:r>
            <w:r>
              <w:rPr>
                <w:rFonts w:ascii="宋体" w:hAnsi="宋体" w:cs="宋体"/>
                <w:b/>
                <w:color w:val="auto"/>
                <w:kern w:val="0"/>
                <w:sz w:val="18"/>
                <w:szCs w:val="18"/>
              </w:rPr>
              <w:t>021-2025</w:t>
            </w:r>
            <w:r>
              <w:rPr>
                <w:rFonts w:hint="eastAsia" w:ascii="宋体" w:hAnsi="宋体" w:cs="宋体"/>
                <w:b/>
                <w:color w:val="auto"/>
                <w:kern w:val="0"/>
                <w:sz w:val="18"/>
                <w:szCs w:val="18"/>
              </w:rPr>
              <w:t>年）》符合性分析</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29"/>
              <w:gridCol w:w="2491"/>
              <w:gridCol w:w="5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3" w:type="pct"/>
                  <w:vAlign w:val="center"/>
                </w:tcPr>
                <w:p>
                  <w:pPr>
                    <w:spacing w:line="276" w:lineRule="auto"/>
                    <w:jc w:val="center"/>
                    <w:rPr>
                      <w:color w:val="auto"/>
                      <w:sz w:val="18"/>
                      <w:szCs w:val="18"/>
                    </w:rPr>
                  </w:pPr>
                  <w:r>
                    <w:rPr>
                      <w:rFonts w:hint="eastAsia"/>
                      <w:color w:val="auto"/>
                      <w:sz w:val="18"/>
                      <w:szCs w:val="18"/>
                    </w:rPr>
                    <w:t>规划内容</w:t>
                  </w:r>
                </w:p>
              </w:tc>
              <w:tc>
                <w:tcPr>
                  <w:tcW w:w="1635" w:type="pct"/>
                  <w:vAlign w:val="center"/>
                </w:tcPr>
                <w:p>
                  <w:pPr>
                    <w:spacing w:line="276" w:lineRule="auto"/>
                    <w:jc w:val="center"/>
                    <w:rPr>
                      <w:color w:val="auto"/>
                      <w:sz w:val="18"/>
                      <w:szCs w:val="18"/>
                    </w:rPr>
                  </w:pPr>
                  <w:r>
                    <w:rPr>
                      <w:rFonts w:hint="eastAsia"/>
                      <w:color w:val="auto"/>
                      <w:sz w:val="18"/>
                      <w:szCs w:val="18"/>
                    </w:rPr>
                    <w:t>本项目</w:t>
                  </w:r>
                </w:p>
              </w:tc>
              <w:tc>
                <w:tcPr>
                  <w:tcW w:w="393" w:type="pct"/>
                  <w:vAlign w:val="center"/>
                </w:tcPr>
                <w:p>
                  <w:pPr>
                    <w:spacing w:line="276" w:lineRule="auto"/>
                    <w:jc w:val="center"/>
                    <w:rPr>
                      <w:color w:val="auto"/>
                      <w:sz w:val="18"/>
                      <w:szCs w:val="18"/>
                    </w:rPr>
                  </w:pPr>
                  <w:r>
                    <w:rPr>
                      <w:rFonts w:hint="eastAsia"/>
                      <w:color w:val="auto"/>
                      <w:sz w:val="18"/>
                      <w:szCs w:val="18"/>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3" w:type="pct"/>
                  <w:vAlign w:val="center"/>
                </w:tcPr>
                <w:p>
                  <w:pPr>
                    <w:spacing w:line="276" w:lineRule="auto"/>
                    <w:jc w:val="left"/>
                    <w:rPr>
                      <w:color w:val="auto"/>
                      <w:sz w:val="18"/>
                      <w:szCs w:val="18"/>
                    </w:rPr>
                  </w:pPr>
                  <w:r>
                    <w:rPr>
                      <w:rFonts w:hint="eastAsia"/>
                      <w:b/>
                      <w:color w:val="auto"/>
                      <w:sz w:val="18"/>
                      <w:szCs w:val="18"/>
                    </w:rPr>
                    <w:t>落实绿色矿业发展要求。</w:t>
                  </w:r>
                  <w:r>
                    <w:rPr>
                      <w:rFonts w:hint="eastAsia"/>
                      <w:color w:val="auto"/>
                      <w:sz w:val="18"/>
                      <w:szCs w:val="18"/>
                    </w:rPr>
                    <w:t>全面实施绿色勘查开发，严格执行部、省绿色矿山建设相关要求，加快推进矿业转型升级和绿色发展。新建矿山严格按绿色矿山建设标准进行建设、生产。到2025年，新建矿山全部达到绿色矿山要求，符合条件的生产矿山逐步达到绿色矿山建设标准，进入各级绿色矿山建设名录。到2035年，力争全市所有生产矿山进入绿色矿山建设名录。</w:t>
                  </w:r>
                </w:p>
              </w:tc>
              <w:tc>
                <w:tcPr>
                  <w:tcW w:w="1635" w:type="pct"/>
                  <w:vAlign w:val="center"/>
                </w:tcPr>
                <w:p>
                  <w:pPr>
                    <w:spacing w:line="276" w:lineRule="auto"/>
                    <w:jc w:val="left"/>
                    <w:rPr>
                      <w:color w:val="auto"/>
                      <w:sz w:val="18"/>
                      <w:szCs w:val="18"/>
                    </w:rPr>
                  </w:pPr>
                  <w:r>
                    <w:rPr>
                      <w:rFonts w:hint="eastAsia"/>
                      <w:color w:val="auto"/>
                      <w:sz w:val="18"/>
                      <w:szCs w:val="18"/>
                    </w:rPr>
                    <w:t>本项目严格按照绿色矿山建设标准进行建设、生产</w:t>
                  </w:r>
                </w:p>
              </w:tc>
              <w:tc>
                <w:tcPr>
                  <w:tcW w:w="393"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3" w:type="pct"/>
                  <w:vAlign w:val="center"/>
                </w:tcPr>
                <w:p>
                  <w:pPr>
                    <w:spacing w:line="276" w:lineRule="auto"/>
                    <w:jc w:val="left"/>
                    <w:rPr>
                      <w:b/>
                      <w:color w:val="auto"/>
                      <w:sz w:val="18"/>
                      <w:szCs w:val="18"/>
                    </w:rPr>
                  </w:pPr>
                  <w:r>
                    <w:rPr>
                      <w:rFonts w:hint="eastAsia"/>
                      <w:b/>
                      <w:color w:val="auto"/>
                      <w:sz w:val="18"/>
                      <w:szCs w:val="18"/>
                    </w:rPr>
                    <w:t>提高矿产资源保障能力。</w:t>
                  </w:r>
                  <w:r>
                    <w:rPr>
                      <w:rFonts w:hint="eastAsia"/>
                      <w:color w:val="auto"/>
                      <w:sz w:val="18"/>
                      <w:szCs w:val="18"/>
                    </w:rPr>
                    <w:t>加大钾盐、煤炭、地热、锰、钒等矿产资源调查评价与勘查力度，强化探矿权设置布局引导。“十四五”期间投放一批钾盐、煤、地热、辉绿岩等矿种的探矿权。为满足城市发展及重要建设项目的实施，各县（市、区）划定砂石土矿产集中开采区，保障社会经济发展及西渝高铁、成达万高铁等重大基础设施项目建设。</w:t>
                  </w:r>
                </w:p>
              </w:tc>
              <w:tc>
                <w:tcPr>
                  <w:tcW w:w="1635" w:type="pct"/>
                  <w:vAlign w:val="center"/>
                </w:tcPr>
                <w:p>
                  <w:pPr>
                    <w:spacing w:line="276" w:lineRule="auto"/>
                    <w:jc w:val="left"/>
                    <w:rPr>
                      <w:color w:val="auto"/>
                      <w:sz w:val="18"/>
                      <w:szCs w:val="18"/>
                    </w:rPr>
                  </w:pPr>
                  <w:r>
                    <w:rPr>
                      <w:color w:val="auto"/>
                      <w:sz w:val="18"/>
                      <w:szCs w:val="18"/>
                    </w:rPr>
                    <w:t>项目为建筑石料用灰岩矿开采</w:t>
                  </w:r>
                  <w:r>
                    <w:rPr>
                      <w:rFonts w:hint="eastAsia"/>
                      <w:color w:val="auto"/>
                      <w:sz w:val="18"/>
                      <w:szCs w:val="18"/>
                    </w:rPr>
                    <w:t>，产能为250万吨/年。</w:t>
                  </w:r>
                </w:p>
              </w:tc>
              <w:tc>
                <w:tcPr>
                  <w:tcW w:w="393"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3" w:type="pct"/>
                  <w:vAlign w:val="center"/>
                </w:tcPr>
                <w:p>
                  <w:pPr>
                    <w:spacing w:line="276" w:lineRule="auto"/>
                    <w:jc w:val="left"/>
                    <w:rPr>
                      <w:b/>
                      <w:color w:val="auto"/>
                      <w:sz w:val="18"/>
                      <w:szCs w:val="18"/>
                    </w:rPr>
                  </w:pPr>
                  <w:r>
                    <w:rPr>
                      <w:rFonts w:hint="eastAsia"/>
                      <w:b/>
                      <w:color w:val="auto"/>
                      <w:sz w:val="18"/>
                      <w:szCs w:val="18"/>
                    </w:rPr>
                    <w:t>矿产资源开采调控方向</w:t>
                  </w:r>
                </w:p>
                <w:p>
                  <w:pPr>
                    <w:spacing w:line="276" w:lineRule="auto"/>
                    <w:jc w:val="left"/>
                    <w:rPr>
                      <w:color w:val="auto"/>
                      <w:sz w:val="18"/>
                      <w:szCs w:val="18"/>
                    </w:rPr>
                  </w:pPr>
                  <w:r>
                    <w:rPr>
                      <w:rFonts w:hint="eastAsia"/>
                      <w:color w:val="auto"/>
                      <w:sz w:val="18"/>
                      <w:szCs w:val="18"/>
                    </w:rPr>
                    <w:t>重点开采矿种：天然气、炼焦用煤、地热、石灰岩、砂岩及钾盐。在符合准入条件的前提下，优先出让采矿权，适度扩大开发规模，提高资源供应能力。</w:t>
                  </w:r>
                </w:p>
                <w:p>
                  <w:pPr>
                    <w:spacing w:line="276" w:lineRule="auto"/>
                    <w:jc w:val="left"/>
                    <w:rPr>
                      <w:color w:val="auto"/>
                      <w:sz w:val="18"/>
                      <w:szCs w:val="18"/>
                    </w:rPr>
                  </w:pPr>
                  <w:r>
                    <w:rPr>
                      <w:rFonts w:hint="eastAsia"/>
                      <w:color w:val="auto"/>
                      <w:sz w:val="18"/>
                      <w:szCs w:val="18"/>
                    </w:rPr>
                    <w:t>限制开采矿种：限制开采对生态环境影响较大的硫铁矿。限制开采矿种应严格控制矿权投放，确需新设的必须严格规划论证和审查，必须达到绿色矿山建设要求。</w:t>
                  </w:r>
                </w:p>
                <w:p>
                  <w:pPr>
                    <w:spacing w:line="276" w:lineRule="auto"/>
                    <w:jc w:val="left"/>
                    <w:rPr>
                      <w:b/>
                      <w:color w:val="auto"/>
                      <w:sz w:val="18"/>
                      <w:szCs w:val="18"/>
                    </w:rPr>
                  </w:pPr>
                  <w:r>
                    <w:rPr>
                      <w:rFonts w:hint="eastAsia"/>
                      <w:color w:val="auto"/>
                      <w:sz w:val="18"/>
                      <w:szCs w:val="18"/>
                    </w:rPr>
                    <w:t>禁止开采矿种：禁止开采高硫煤炭、可耕地砖瓦用粘土矿等矿产。禁止开采矿种原则上禁止新设采矿权。</w:t>
                  </w:r>
                </w:p>
              </w:tc>
              <w:tc>
                <w:tcPr>
                  <w:tcW w:w="1635" w:type="pct"/>
                  <w:vAlign w:val="center"/>
                </w:tcPr>
                <w:p>
                  <w:pPr>
                    <w:spacing w:line="276" w:lineRule="auto"/>
                    <w:jc w:val="left"/>
                    <w:rPr>
                      <w:color w:val="auto"/>
                      <w:sz w:val="18"/>
                      <w:szCs w:val="18"/>
                    </w:rPr>
                  </w:pPr>
                  <w:r>
                    <w:rPr>
                      <w:rFonts w:hint="eastAsia"/>
                      <w:color w:val="auto"/>
                      <w:sz w:val="18"/>
                      <w:szCs w:val="18"/>
                    </w:rPr>
                    <w:t>项目为建筑石料用灰岩矿开采，不属于限制及禁止开采矿种。</w:t>
                  </w:r>
                </w:p>
              </w:tc>
              <w:tc>
                <w:tcPr>
                  <w:tcW w:w="393"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3" w:type="pct"/>
                  <w:vAlign w:val="center"/>
                </w:tcPr>
                <w:p>
                  <w:pPr>
                    <w:spacing w:line="276" w:lineRule="auto"/>
                    <w:jc w:val="left"/>
                    <w:rPr>
                      <w:b/>
                      <w:color w:val="auto"/>
                      <w:sz w:val="18"/>
                      <w:szCs w:val="18"/>
                    </w:rPr>
                  </w:pPr>
                  <w:r>
                    <w:rPr>
                      <w:rFonts w:hint="eastAsia"/>
                      <w:b/>
                      <w:color w:val="auto"/>
                      <w:sz w:val="18"/>
                      <w:szCs w:val="18"/>
                    </w:rPr>
                    <w:t>开采规划区块设置原则</w:t>
                  </w:r>
                </w:p>
                <w:p>
                  <w:pPr>
                    <w:spacing w:line="276" w:lineRule="auto"/>
                    <w:jc w:val="left"/>
                    <w:rPr>
                      <w:b/>
                      <w:color w:val="auto"/>
                      <w:sz w:val="18"/>
                      <w:szCs w:val="18"/>
                    </w:rPr>
                  </w:pPr>
                  <w:r>
                    <w:rPr>
                      <w:rFonts w:hint="eastAsia"/>
                      <w:color w:val="auto"/>
                      <w:sz w:val="18"/>
                      <w:szCs w:val="18"/>
                    </w:rPr>
                    <w:t>原则上不能将同一个矿体、矿体群拆分成多个开采单元，一个开采规划区块对应一个开采主体。严格落实国土空间规划“三区三线”、自然保护地及铁路、公路、电力线路、水利工程、油气管道等相关管控要求。除国家和省级重点高速公路、铁路建设项目所急需矿产资源以及已设探矿权转采矿权外，长江主要支流（渠江）两岸3公里范围内原则上不新设露天开采规划区块。为确保生态景观不受影响，铁路、高速公路两侧可视范围内原则上不得新设露天开采规划区块。开采规划区块设置应充分考虑矿山开采安全和露天开采境界。露天矿产开采规划区块应保持300米以上安全距离，并充分论证影响开采安全的自然条件，尽量做到不留边坡或少留边坡，禁止高陡边坡开采。集中开采区之外，新设置的砂石土类开采规划区块之间距离应大于10千米。</w:t>
                  </w:r>
                </w:p>
              </w:tc>
              <w:tc>
                <w:tcPr>
                  <w:tcW w:w="1635" w:type="pct"/>
                  <w:vAlign w:val="center"/>
                </w:tcPr>
                <w:p>
                  <w:pPr>
                    <w:spacing w:line="276" w:lineRule="auto"/>
                    <w:jc w:val="left"/>
                    <w:rPr>
                      <w:color w:val="auto"/>
                      <w:sz w:val="18"/>
                      <w:szCs w:val="18"/>
                    </w:rPr>
                  </w:pPr>
                  <w:r>
                    <w:rPr>
                      <w:color w:val="auto"/>
                      <w:sz w:val="18"/>
                      <w:szCs w:val="18"/>
                    </w:rPr>
                    <w:t>项目为建筑石料用灰岩矿开采</w:t>
                  </w:r>
                  <w:r>
                    <w:rPr>
                      <w:rFonts w:hint="eastAsia"/>
                      <w:color w:val="auto"/>
                      <w:sz w:val="18"/>
                      <w:szCs w:val="18"/>
                    </w:rPr>
                    <w:t>，开采区为一个开采单元</w:t>
                  </w:r>
                </w:p>
              </w:tc>
              <w:tc>
                <w:tcPr>
                  <w:tcW w:w="393"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3" w:type="pct"/>
                  <w:vAlign w:val="center"/>
                </w:tcPr>
                <w:p>
                  <w:pPr>
                    <w:spacing w:line="276" w:lineRule="auto"/>
                    <w:jc w:val="left"/>
                    <w:rPr>
                      <w:b/>
                      <w:color w:val="auto"/>
                      <w:sz w:val="18"/>
                      <w:szCs w:val="18"/>
                    </w:rPr>
                  </w:pPr>
                  <w:r>
                    <w:rPr>
                      <w:rFonts w:hint="eastAsia"/>
                      <w:b/>
                      <w:color w:val="auto"/>
                      <w:sz w:val="18"/>
                      <w:szCs w:val="18"/>
                    </w:rPr>
                    <w:t>合理确定开发利用强度</w:t>
                  </w:r>
                </w:p>
                <w:p>
                  <w:pPr>
                    <w:spacing w:line="276" w:lineRule="auto"/>
                    <w:jc w:val="left"/>
                    <w:rPr>
                      <w:color w:val="auto"/>
                      <w:sz w:val="18"/>
                      <w:szCs w:val="18"/>
                    </w:rPr>
                  </w:pPr>
                  <w:r>
                    <w:rPr>
                      <w:rFonts w:hint="eastAsia"/>
                      <w:color w:val="auto"/>
                      <w:sz w:val="18"/>
                      <w:szCs w:val="18"/>
                    </w:rPr>
                    <w:t>非金属矿产：落实《省规》确定的主要矿种控制指标，明确总量控制指标，通过总量调控，确保矿产资源稳定供应，大幅减少小型矿山数量，提高矿山整体竞争力。鼓励规模开采水泥原料、陶瓷原料、饰面石材和其他非金属矿产。到2025年，水泥用灰岩矿山数量控制在11个左右，产量控制在1300万吨/年左右；建筑用砂石矿山数量控制在70个以内，产量控制在6400万吨/年左右；砖瓦用建材矿山数量控制在30个以内，产量控制在120万吨/年左右；饰面用石材产量达到84万立方米/年。</w:t>
                  </w:r>
                </w:p>
              </w:tc>
              <w:tc>
                <w:tcPr>
                  <w:tcW w:w="1635" w:type="pct"/>
                  <w:vAlign w:val="center"/>
                </w:tcPr>
                <w:p>
                  <w:pPr>
                    <w:spacing w:line="276" w:lineRule="auto"/>
                    <w:jc w:val="left"/>
                    <w:rPr>
                      <w:color w:val="auto"/>
                      <w:sz w:val="18"/>
                      <w:szCs w:val="18"/>
                    </w:rPr>
                  </w:pPr>
                  <w:r>
                    <w:rPr>
                      <w:color w:val="auto"/>
                      <w:sz w:val="18"/>
                      <w:szCs w:val="18"/>
                    </w:rPr>
                    <w:t>项目为建筑石料用灰岩矿开采</w:t>
                  </w:r>
                  <w:r>
                    <w:rPr>
                      <w:rFonts w:hint="eastAsia"/>
                      <w:color w:val="auto"/>
                      <w:sz w:val="18"/>
                      <w:szCs w:val="18"/>
                    </w:rPr>
                    <w:t>，产能为250万吨/年。项目已完成《四川省宣汉县漆树土家族乡乘龙村鲁家洞建筑石料用灰岩、建筑用白云岩矿矿产资源开发利用方案》，并取得了《采矿许可证》（证号：C5117002024027140156361）</w:t>
                  </w:r>
                </w:p>
              </w:tc>
              <w:tc>
                <w:tcPr>
                  <w:tcW w:w="393"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3" w:type="pct"/>
                  <w:vAlign w:val="center"/>
                </w:tcPr>
                <w:p>
                  <w:pPr>
                    <w:spacing w:line="276" w:lineRule="auto"/>
                    <w:jc w:val="left"/>
                    <w:rPr>
                      <w:b/>
                      <w:color w:val="auto"/>
                      <w:sz w:val="18"/>
                      <w:szCs w:val="18"/>
                    </w:rPr>
                  </w:pPr>
                  <w:r>
                    <w:rPr>
                      <w:rFonts w:hint="eastAsia"/>
                      <w:b/>
                      <w:color w:val="auto"/>
                      <w:sz w:val="18"/>
                      <w:szCs w:val="18"/>
                    </w:rPr>
                    <w:t>优化开发利用结构</w:t>
                  </w:r>
                </w:p>
                <w:p>
                  <w:pPr>
                    <w:spacing w:line="276" w:lineRule="auto"/>
                    <w:jc w:val="left"/>
                    <w:rPr>
                      <w:color w:val="auto"/>
                      <w:sz w:val="18"/>
                      <w:szCs w:val="18"/>
                    </w:rPr>
                  </w:pPr>
                  <w:r>
                    <w:rPr>
                      <w:rFonts w:hint="eastAsia"/>
                      <w:color w:val="auto"/>
                      <w:sz w:val="18"/>
                      <w:szCs w:val="18"/>
                    </w:rPr>
                    <w:t>鼓励矿山企业根据市场需求和国家产业政策，调整矿产品结构，促进单一产品向配套产品、高耗能产品向低耗能产品的转化，增强矿产精深加工产品开发，提高矿产品技术含量和附加值。大力发展选矿和深加工技术，提高矿产资源利用水平，引进新技术、新工艺、新设备，积极推行清洁生产工艺和先进、适用的采、选、冶及精深加工技术，改造、提升传统矿业。</w:t>
                  </w:r>
                </w:p>
              </w:tc>
              <w:tc>
                <w:tcPr>
                  <w:tcW w:w="1635" w:type="pct"/>
                  <w:vAlign w:val="center"/>
                </w:tcPr>
                <w:p>
                  <w:pPr>
                    <w:spacing w:line="276" w:lineRule="auto"/>
                    <w:jc w:val="left"/>
                    <w:rPr>
                      <w:color w:val="auto"/>
                      <w:sz w:val="18"/>
                      <w:szCs w:val="18"/>
                    </w:rPr>
                  </w:pPr>
                  <w:r>
                    <w:rPr>
                      <w:rFonts w:hint="eastAsia"/>
                      <w:color w:val="auto"/>
                      <w:sz w:val="18"/>
                      <w:szCs w:val="18"/>
                    </w:rPr>
                    <w:t>本项目在采矿及加工生产过程积极引进新技术、新工艺、新设备，推进清洁生产工艺和先进、适用的采、选加工技术</w:t>
                  </w:r>
                </w:p>
              </w:tc>
              <w:tc>
                <w:tcPr>
                  <w:tcW w:w="393"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3" w:type="pct"/>
                  <w:vAlign w:val="center"/>
                </w:tcPr>
                <w:p>
                  <w:pPr>
                    <w:spacing w:line="276" w:lineRule="auto"/>
                    <w:jc w:val="left"/>
                    <w:rPr>
                      <w:b/>
                      <w:color w:val="auto"/>
                      <w:sz w:val="18"/>
                      <w:szCs w:val="18"/>
                    </w:rPr>
                  </w:pPr>
                  <w:r>
                    <w:rPr>
                      <w:rFonts w:hint="eastAsia"/>
                      <w:b/>
                      <w:color w:val="auto"/>
                      <w:sz w:val="18"/>
                      <w:szCs w:val="18"/>
                    </w:rPr>
                    <w:t>设置砂石集中开采区</w:t>
                  </w:r>
                </w:p>
                <w:p>
                  <w:pPr>
                    <w:spacing w:line="276" w:lineRule="auto"/>
                    <w:jc w:val="left"/>
                    <w:rPr>
                      <w:color w:val="auto"/>
                      <w:sz w:val="18"/>
                      <w:szCs w:val="18"/>
                    </w:rPr>
                  </w:pPr>
                  <w:r>
                    <w:rPr>
                      <w:rFonts w:hint="eastAsia"/>
                      <w:color w:val="auto"/>
                      <w:sz w:val="18"/>
                      <w:szCs w:val="18"/>
                    </w:rPr>
                    <w:t>根据砂石矿产资源禀赋情况，结合城市发展规划、交通规划、生态文明建设等要求，以服务于省、市战略部署和地方经济发展为主线，综合考虑达州市交通运输三年大会战、“两条高铁”和城镇发展、乡村振兴、基础设施建设等因素，合理划定砂石集中开采区8处（大巴山褶皱带2处、赫天祠背斜1处、明月峡背斜1处、中山背斜2处、华蓥山背斜2处），促进砂石资源规模化、集约化开发利用。</w:t>
                  </w:r>
                </w:p>
                <w:p>
                  <w:pPr>
                    <w:spacing w:line="276" w:lineRule="auto"/>
                    <w:jc w:val="left"/>
                    <w:rPr>
                      <w:color w:val="auto"/>
                      <w:sz w:val="18"/>
                      <w:szCs w:val="18"/>
                    </w:rPr>
                  </w:pPr>
                  <w:r>
                    <w:rPr>
                      <w:rFonts w:hint="eastAsia"/>
                      <w:color w:val="auto"/>
                      <w:sz w:val="18"/>
                      <w:szCs w:val="18"/>
                    </w:rPr>
                    <w:t>(宣汉县三墩—漆树—漆碑灰岩集中开采区。面积26.70km</w:t>
                  </w:r>
                  <w:r>
                    <w:rPr>
                      <w:rFonts w:hint="eastAsia"/>
                      <w:color w:val="auto"/>
                      <w:sz w:val="18"/>
                      <w:szCs w:val="18"/>
                      <w:vertAlign w:val="superscript"/>
                    </w:rPr>
                    <w:t>2</w:t>
                  </w:r>
                  <w:r>
                    <w:rPr>
                      <w:rFonts w:hint="eastAsia"/>
                      <w:color w:val="auto"/>
                      <w:sz w:val="18"/>
                      <w:szCs w:val="18"/>
                    </w:rPr>
                    <w:t>，区内拟设4个开采区块，主要开采矿种为建筑石料用灰岩、建筑用砂，单个矿山年产量不低于100万吨。</w:t>
                  </w:r>
                  <w:r>
                    <w:rPr>
                      <w:color w:val="auto"/>
                      <w:sz w:val="18"/>
                      <w:szCs w:val="18"/>
                    </w:rPr>
                    <w:t>)</w:t>
                  </w:r>
                </w:p>
              </w:tc>
              <w:tc>
                <w:tcPr>
                  <w:tcW w:w="1635" w:type="pct"/>
                  <w:vAlign w:val="center"/>
                </w:tcPr>
                <w:p>
                  <w:pPr>
                    <w:spacing w:line="276" w:lineRule="auto"/>
                    <w:jc w:val="left"/>
                    <w:rPr>
                      <w:color w:val="auto"/>
                      <w:sz w:val="18"/>
                      <w:szCs w:val="18"/>
                    </w:rPr>
                  </w:pPr>
                  <w:r>
                    <w:rPr>
                      <w:color w:val="auto"/>
                      <w:sz w:val="18"/>
                      <w:szCs w:val="18"/>
                    </w:rPr>
                    <w:t>项目为建筑石料用灰岩矿开采</w:t>
                  </w:r>
                  <w:r>
                    <w:rPr>
                      <w:rFonts w:hint="eastAsia"/>
                      <w:color w:val="auto"/>
                      <w:sz w:val="18"/>
                      <w:szCs w:val="18"/>
                    </w:rPr>
                    <w:t>，项目位于达州市宣汉县漆树土家族乡乘龙村，属于宣汉县三墩—漆树—漆碑灰岩集中开采区中的开采区块</w:t>
                  </w:r>
                </w:p>
              </w:tc>
              <w:tc>
                <w:tcPr>
                  <w:tcW w:w="393"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3" w:type="pct"/>
                  <w:vAlign w:val="center"/>
                </w:tcPr>
                <w:p>
                  <w:pPr>
                    <w:spacing w:line="276" w:lineRule="auto"/>
                    <w:jc w:val="left"/>
                    <w:rPr>
                      <w:b/>
                      <w:color w:val="auto"/>
                      <w:sz w:val="18"/>
                      <w:szCs w:val="18"/>
                    </w:rPr>
                  </w:pPr>
                  <w:r>
                    <w:rPr>
                      <w:rFonts w:hint="eastAsia"/>
                      <w:b/>
                      <w:color w:val="auto"/>
                      <w:sz w:val="18"/>
                      <w:szCs w:val="18"/>
                    </w:rPr>
                    <w:t>生态环境保护准入条件</w:t>
                  </w:r>
                </w:p>
                <w:p>
                  <w:pPr>
                    <w:spacing w:line="276" w:lineRule="auto"/>
                    <w:jc w:val="left"/>
                    <w:rPr>
                      <w:color w:val="auto"/>
                      <w:sz w:val="18"/>
                      <w:szCs w:val="18"/>
                    </w:rPr>
                  </w:pPr>
                  <w:r>
                    <w:rPr>
                      <w:rFonts w:hint="eastAsia"/>
                      <w:color w:val="auto"/>
                      <w:sz w:val="18"/>
                      <w:szCs w:val="18"/>
                    </w:rPr>
                    <w:t>矿山布局须符合规划分区要求，坚持生态环保优先。在饮用水源保护区附近或在饮用水源保护区上游分水岭范围内设置、投放矿业权必须满足《四川省饮用水水源保护管理条例》《达州市集中式饮用水水源保护管理条例》等相关要求。矿山勘查开采必须符合《中华人民共和国环境保护法》《中华人民共和国固体废物污染环境防治法》《中华人民共和国水污染防治法》《四川省地质环境管理条例》《土地复垦条例》等法律、法规规定。矿山企业应严格执行《四川省在建与生产矿山生态修复管理办法》，建立矿山地质环境恢复治理基金账户，积极履行“边开采、边修复”义务，做到经济效益与环境效益相协调。</w:t>
                  </w:r>
                </w:p>
              </w:tc>
              <w:tc>
                <w:tcPr>
                  <w:tcW w:w="1635" w:type="pct"/>
                  <w:vAlign w:val="center"/>
                </w:tcPr>
                <w:p>
                  <w:pPr>
                    <w:spacing w:line="276" w:lineRule="auto"/>
                    <w:jc w:val="left"/>
                    <w:rPr>
                      <w:color w:val="auto"/>
                      <w:sz w:val="18"/>
                      <w:szCs w:val="18"/>
                    </w:rPr>
                  </w:pPr>
                  <w:r>
                    <w:rPr>
                      <w:color w:val="auto"/>
                      <w:sz w:val="18"/>
                      <w:szCs w:val="18"/>
                    </w:rPr>
                    <w:t>编制了矿山开发利用方案，设计的开采回采率、选矿回收率、总回收率指标满足国家有关规定</w:t>
                  </w:r>
                  <w:r>
                    <w:rPr>
                      <w:rFonts w:hint="eastAsia"/>
                      <w:color w:val="auto"/>
                      <w:sz w:val="18"/>
                      <w:szCs w:val="18"/>
                    </w:rPr>
                    <w:t>，</w:t>
                  </w:r>
                  <w:r>
                    <w:rPr>
                      <w:color w:val="auto"/>
                      <w:sz w:val="18"/>
                      <w:szCs w:val="18"/>
                    </w:rPr>
                    <w:t>矿山已编制复垦方案</w:t>
                  </w:r>
                </w:p>
              </w:tc>
              <w:tc>
                <w:tcPr>
                  <w:tcW w:w="393"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3" w:type="pct"/>
                  <w:vAlign w:val="center"/>
                </w:tcPr>
                <w:p>
                  <w:pPr>
                    <w:spacing w:line="276" w:lineRule="auto"/>
                    <w:jc w:val="left"/>
                    <w:rPr>
                      <w:b/>
                      <w:color w:val="auto"/>
                      <w:sz w:val="18"/>
                      <w:szCs w:val="18"/>
                    </w:rPr>
                  </w:pPr>
                  <w:r>
                    <w:rPr>
                      <w:rFonts w:hint="eastAsia"/>
                      <w:b/>
                      <w:color w:val="auto"/>
                      <w:sz w:val="18"/>
                      <w:szCs w:val="18"/>
                    </w:rPr>
                    <w:t>矿山建设规模准入条件</w:t>
                  </w:r>
                </w:p>
                <w:p>
                  <w:pPr>
                    <w:spacing w:line="276" w:lineRule="auto"/>
                    <w:jc w:val="left"/>
                    <w:rPr>
                      <w:color w:val="auto"/>
                      <w:sz w:val="18"/>
                      <w:szCs w:val="18"/>
                    </w:rPr>
                  </w:pPr>
                  <w:r>
                    <w:rPr>
                      <w:rFonts w:hint="eastAsia"/>
                      <w:color w:val="auto"/>
                      <w:sz w:val="18"/>
                      <w:szCs w:val="18"/>
                    </w:rPr>
                    <w:t>新建矿山开采规模须与资源储量规模相适应，且符合规划确定的最低储量规模、最低开采规模、最低服务年限等要求，不得大矿小开、一矿多开。要满足矿产资源开发利用总量调控、结构调控和区块设置要求，符合矿产资源保护和合理利用、生态环境保护等要求。</w:t>
                  </w:r>
                </w:p>
              </w:tc>
              <w:tc>
                <w:tcPr>
                  <w:tcW w:w="1635" w:type="pct"/>
                  <w:vAlign w:val="center"/>
                </w:tcPr>
                <w:p>
                  <w:pPr>
                    <w:spacing w:line="276" w:lineRule="auto"/>
                    <w:jc w:val="left"/>
                    <w:rPr>
                      <w:color w:val="auto"/>
                      <w:sz w:val="18"/>
                      <w:szCs w:val="18"/>
                    </w:rPr>
                  </w:pPr>
                  <w:r>
                    <w:rPr>
                      <w:color w:val="auto"/>
                      <w:sz w:val="18"/>
                      <w:szCs w:val="18"/>
                    </w:rPr>
                    <w:t>项目为建筑石料用灰岩矿开采</w:t>
                  </w:r>
                  <w:r>
                    <w:rPr>
                      <w:rFonts w:hint="eastAsia"/>
                      <w:color w:val="auto"/>
                      <w:sz w:val="18"/>
                      <w:szCs w:val="18"/>
                    </w:rPr>
                    <w:t>，产能为250万吨/年。</w:t>
                  </w:r>
                </w:p>
              </w:tc>
              <w:tc>
                <w:tcPr>
                  <w:tcW w:w="393"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3" w:type="pct"/>
                  <w:vAlign w:val="center"/>
                </w:tcPr>
                <w:p>
                  <w:pPr>
                    <w:spacing w:line="276" w:lineRule="auto"/>
                    <w:jc w:val="left"/>
                    <w:rPr>
                      <w:b/>
                      <w:color w:val="auto"/>
                      <w:sz w:val="18"/>
                      <w:szCs w:val="18"/>
                    </w:rPr>
                  </w:pPr>
                  <w:r>
                    <w:rPr>
                      <w:rFonts w:hint="eastAsia"/>
                      <w:b/>
                      <w:color w:val="auto"/>
                      <w:sz w:val="18"/>
                      <w:szCs w:val="18"/>
                    </w:rPr>
                    <w:t>开发利用水平准入条件</w:t>
                  </w:r>
                </w:p>
                <w:p>
                  <w:pPr>
                    <w:spacing w:line="276" w:lineRule="auto"/>
                    <w:jc w:val="left"/>
                    <w:rPr>
                      <w:color w:val="auto"/>
                      <w:sz w:val="18"/>
                      <w:szCs w:val="18"/>
                    </w:rPr>
                  </w:pPr>
                  <w:r>
                    <w:rPr>
                      <w:rFonts w:hint="eastAsia"/>
                      <w:color w:val="auto"/>
                      <w:sz w:val="18"/>
                      <w:szCs w:val="18"/>
                    </w:rPr>
                    <w:t>新建矿山不得采用国家限制和淘汰的采选技术、工艺和设备，开发利用需符合“三率”指标、矿山设计、开发利用方案等要求。具有现实经济利用价值的共、伴生矿产应进行综合利用，综合利用率指标应达到相应水平，暂难利用的共、伴生矿产应有具体有效的处理和保护措施。重点开展煤矸石、非金属矿山固体废弃物的综合利用，规划期内煤矸石和粉煤灰应得到充分利用。</w:t>
                  </w:r>
                </w:p>
              </w:tc>
              <w:tc>
                <w:tcPr>
                  <w:tcW w:w="1635" w:type="pct"/>
                  <w:vAlign w:val="center"/>
                </w:tcPr>
                <w:p>
                  <w:pPr>
                    <w:spacing w:line="276" w:lineRule="auto"/>
                    <w:jc w:val="left"/>
                    <w:rPr>
                      <w:color w:val="auto"/>
                      <w:sz w:val="18"/>
                      <w:szCs w:val="18"/>
                    </w:rPr>
                  </w:pPr>
                  <w:r>
                    <w:rPr>
                      <w:rFonts w:hint="eastAsia"/>
                      <w:color w:val="auto"/>
                      <w:sz w:val="18"/>
                      <w:szCs w:val="18"/>
                    </w:rPr>
                    <w:t>矿山尾矿与原矿一起及时送至生产区作为原料加工利用，矿区不设尾矿库，产生的固体废物均进行合理的综合利用</w:t>
                  </w:r>
                </w:p>
              </w:tc>
              <w:tc>
                <w:tcPr>
                  <w:tcW w:w="393"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3" w:type="pct"/>
                  <w:vAlign w:val="center"/>
                </w:tcPr>
                <w:p>
                  <w:pPr>
                    <w:spacing w:line="276" w:lineRule="auto"/>
                    <w:jc w:val="left"/>
                    <w:rPr>
                      <w:b/>
                      <w:color w:val="auto"/>
                      <w:sz w:val="18"/>
                      <w:szCs w:val="18"/>
                    </w:rPr>
                  </w:pPr>
                  <w:r>
                    <w:rPr>
                      <w:rFonts w:hint="eastAsia"/>
                      <w:b/>
                      <w:color w:val="auto"/>
                      <w:sz w:val="18"/>
                      <w:szCs w:val="18"/>
                    </w:rPr>
                    <w:t>矿山安全生产准入条件</w:t>
                  </w:r>
                </w:p>
                <w:p>
                  <w:pPr>
                    <w:spacing w:line="276" w:lineRule="auto"/>
                    <w:jc w:val="left"/>
                    <w:rPr>
                      <w:color w:val="auto"/>
                      <w:sz w:val="18"/>
                      <w:szCs w:val="18"/>
                    </w:rPr>
                  </w:pPr>
                  <w:r>
                    <w:rPr>
                      <w:rFonts w:hint="eastAsia"/>
                      <w:color w:val="auto"/>
                      <w:sz w:val="18"/>
                      <w:szCs w:val="18"/>
                    </w:rPr>
                    <w:t>科学设置矿业权，从源头上加强安全管理。合理划定矿区范围（含标高），避免形成高边坡、顺向坡、深采坑等安全隐患。新设、在建和扩建矿山应严格执行《</w:t>
                  </w:r>
                  <w:r>
                    <w:rPr>
                      <w:rFonts w:hint="eastAsia"/>
                      <w:color w:val="auto"/>
                      <w:sz w:val="18"/>
                      <w:szCs w:val="18"/>
                      <w:lang w:eastAsia="zh-CN"/>
                    </w:rPr>
                    <w:t>中华人民共和国矿山安全法</w:t>
                  </w:r>
                  <w:r>
                    <w:rPr>
                      <w:rFonts w:hint="eastAsia"/>
                      <w:color w:val="auto"/>
                      <w:sz w:val="18"/>
                      <w:szCs w:val="18"/>
                    </w:rPr>
                    <w:t>》及矿山安全生产有关法律法规和规范标准。新设矿山与其相邻矿山、周边基础设施、民房等的安全距离，应严格按照《铁路安全管理条例》《高速铁路安全防护管理办法》《公路安全保护条例》《电力设施保护条例》《</w:t>
                  </w:r>
                  <w:r>
                    <w:rPr>
                      <w:rFonts w:hint="eastAsia"/>
                      <w:color w:val="auto"/>
                      <w:sz w:val="18"/>
                      <w:szCs w:val="18"/>
                      <w:lang w:eastAsia="zh-CN"/>
                    </w:rPr>
                    <w:t>中华人民共和国石油天然气管道保护法</w:t>
                  </w:r>
                  <w:r>
                    <w:rPr>
                      <w:rFonts w:hint="eastAsia"/>
                      <w:color w:val="auto"/>
                      <w:sz w:val="18"/>
                      <w:szCs w:val="18"/>
                    </w:rPr>
                    <w:t>》等法律法规要求执行，保持一定安全间距。矿山企业要及时编制、更新《矿产资源开发利用方案》和《安全设施设计方案》，并经有关主管部门审查通过，取得安全生产许可证。</w:t>
                  </w:r>
                </w:p>
              </w:tc>
              <w:tc>
                <w:tcPr>
                  <w:tcW w:w="1635" w:type="pct"/>
                  <w:vAlign w:val="center"/>
                </w:tcPr>
                <w:p>
                  <w:pPr>
                    <w:spacing w:line="276" w:lineRule="auto"/>
                    <w:jc w:val="left"/>
                    <w:rPr>
                      <w:color w:val="auto"/>
                      <w:sz w:val="18"/>
                      <w:szCs w:val="18"/>
                    </w:rPr>
                  </w:pPr>
                  <w:r>
                    <w:rPr>
                      <w:rFonts w:hint="eastAsia"/>
                      <w:color w:val="auto"/>
                      <w:sz w:val="18"/>
                      <w:szCs w:val="18"/>
                    </w:rPr>
                    <w:t>项目已完成《四川省宣汉县漆树土家族乡乘龙村鲁家洞建筑石料用灰岩、建筑用白云岩矿矿产资源开发利用方案》，并取得了《采矿许可证》（证号：C5117002024027140156361），目前正在办理安全生产许可证，环评要求在取得安全生产许可证之前不得开工建设</w:t>
                  </w:r>
                </w:p>
              </w:tc>
              <w:tc>
                <w:tcPr>
                  <w:tcW w:w="393" w:type="pct"/>
                  <w:vAlign w:val="center"/>
                </w:tcPr>
                <w:p>
                  <w:pPr>
                    <w:spacing w:line="276" w:lineRule="auto"/>
                    <w:jc w:val="center"/>
                    <w:rPr>
                      <w:color w:val="auto"/>
                      <w:sz w:val="18"/>
                      <w:szCs w:val="18"/>
                    </w:rPr>
                  </w:pPr>
                  <w:r>
                    <w:rPr>
                      <w:rFonts w:hint="eastAsia"/>
                      <w:color w:val="auto"/>
                      <w:sz w:val="18"/>
                      <w:szCs w:val="18"/>
                    </w:rPr>
                    <w:t>符合</w:t>
                  </w:r>
                </w:p>
              </w:tc>
            </w:tr>
          </w:tbl>
          <w:p>
            <w:pPr>
              <w:autoSpaceDE w:val="0"/>
              <w:autoSpaceDN w:val="0"/>
              <w:adjustRightInd w:val="0"/>
              <w:snapToGrid w:val="0"/>
              <w:spacing w:line="360" w:lineRule="auto"/>
              <w:ind w:firstLine="420" w:firstLineChars="200"/>
              <w:rPr>
                <w:rFonts w:hAnsi="宋体"/>
                <w:bCs/>
                <w:color w:val="auto"/>
              </w:rPr>
            </w:pPr>
            <w:r>
              <w:rPr>
                <w:rFonts w:hint="eastAsia" w:hAnsi="宋体"/>
                <w:bCs/>
                <w:color w:val="auto"/>
              </w:rPr>
              <w:t>综上，本项目的建设与《达州市矿产资源总体规划（2021-2025年）》相关内容相符。</w:t>
            </w:r>
          </w:p>
          <w:p>
            <w:pPr>
              <w:autoSpaceDE w:val="0"/>
              <w:autoSpaceDN w:val="0"/>
              <w:adjustRightInd w:val="0"/>
              <w:snapToGrid w:val="0"/>
              <w:spacing w:line="360" w:lineRule="auto"/>
              <w:ind w:firstLine="420" w:firstLineChars="200"/>
              <w:rPr>
                <w:rFonts w:hAnsi="宋体"/>
                <w:bCs/>
                <w:color w:val="auto"/>
              </w:rPr>
            </w:pPr>
            <w:r>
              <w:rPr>
                <w:rFonts w:hint="eastAsia" w:hAnsi="宋体"/>
                <w:bCs/>
                <w:color w:val="auto"/>
              </w:rPr>
              <w:t>（3）与《宣汉县</w:t>
            </w:r>
            <w:r>
              <w:rPr>
                <w:rFonts w:hint="eastAsia" w:ascii="宋体" w:hAnsi="宋体" w:cs="宋体"/>
                <w:color w:val="auto"/>
                <w:kern w:val="0"/>
                <w:szCs w:val="21"/>
              </w:rPr>
              <w:t>矿产资源总体规划（2</w:t>
            </w:r>
            <w:r>
              <w:rPr>
                <w:rFonts w:ascii="宋体" w:hAnsi="宋体" w:cs="宋体"/>
                <w:color w:val="auto"/>
                <w:kern w:val="0"/>
                <w:szCs w:val="21"/>
              </w:rPr>
              <w:t>021-2025</w:t>
            </w:r>
            <w:r>
              <w:rPr>
                <w:rFonts w:hint="eastAsia" w:ascii="宋体" w:hAnsi="宋体" w:cs="宋体"/>
                <w:color w:val="auto"/>
                <w:kern w:val="0"/>
                <w:szCs w:val="21"/>
              </w:rPr>
              <w:t>年）》符合性分析</w:t>
            </w:r>
          </w:p>
          <w:p>
            <w:pPr>
              <w:autoSpaceDE w:val="0"/>
              <w:autoSpaceDN w:val="0"/>
              <w:adjustRightInd w:val="0"/>
              <w:snapToGrid w:val="0"/>
              <w:spacing w:line="360" w:lineRule="auto"/>
              <w:ind w:firstLine="420" w:firstLineChars="200"/>
              <w:rPr>
                <w:rFonts w:hAnsi="宋体"/>
                <w:bCs/>
                <w:color w:val="auto"/>
              </w:rPr>
            </w:pPr>
            <w:r>
              <w:rPr>
                <w:rFonts w:hint="eastAsia" w:hAnsi="宋体"/>
                <w:bCs/>
                <w:color w:val="auto"/>
              </w:rPr>
              <w:t>《宣汉县</w:t>
            </w:r>
            <w:r>
              <w:rPr>
                <w:rFonts w:hint="eastAsia" w:ascii="宋体" w:hAnsi="宋体" w:cs="宋体"/>
                <w:color w:val="auto"/>
                <w:kern w:val="0"/>
                <w:szCs w:val="21"/>
              </w:rPr>
              <w:t>矿产资源总体规划（2</w:t>
            </w:r>
            <w:r>
              <w:rPr>
                <w:rFonts w:ascii="宋体" w:hAnsi="宋体" w:cs="宋体"/>
                <w:color w:val="auto"/>
                <w:kern w:val="0"/>
                <w:szCs w:val="21"/>
              </w:rPr>
              <w:t>021-2025</w:t>
            </w:r>
            <w:r>
              <w:rPr>
                <w:rFonts w:hint="eastAsia" w:ascii="宋体" w:hAnsi="宋体" w:cs="宋体"/>
                <w:color w:val="auto"/>
                <w:kern w:val="0"/>
                <w:szCs w:val="21"/>
              </w:rPr>
              <w:t>年）》于202</w:t>
            </w:r>
            <w:r>
              <w:rPr>
                <w:rFonts w:ascii="宋体" w:hAnsi="宋体" w:cs="宋体"/>
                <w:color w:val="auto"/>
                <w:kern w:val="0"/>
                <w:szCs w:val="21"/>
              </w:rPr>
              <w:t>3</w:t>
            </w:r>
            <w:r>
              <w:rPr>
                <w:rFonts w:hint="eastAsia" w:ascii="宋体" w:hAnsi="宋体" w:cs="宋体"/>
                <w:color w:val="auto"/>
                <w:kern w:val="0"/>
                <w:szCs w:val="21"/>
              </w:rPr>
              <w:t>年</w:t>
            </w:r>
            <w:r>
              <w:rPr>
                <w:rFonts w:ascii="宋体" w:hAnsi="宋体" w:cs="宋体"/>
                <w:color w:val="auto"/>
                <w:kern w:val="0"/>
                <w:szCs w:val="21"/>
              </w:rPr>
              <w:t>6</w:t>
            </w:r>
            <w:r>
              <w:rPr>
                <w:rFonts w:hint="eastAsia" w:ascii="宋体" w:hAnsi="宋体" w:cs="宋体"/>
                <w:color w:val="auto"/>
                <w:kern w:val="0"/>
                <w:szCs w:val="21"/>
              </w:rPr>
              <w:t>月获达州市自然资源和规划局批复，《宣汉县矿产资源总体规划（2</w:t>
            </w:r>
            <w:r>
              <w:rPr>
                <w:rFonts w:ascii="宋体" w:hAnsi="宋体" w:cs="宋体"/>
                <w:color w:val="auto"/>
                <w:kern w:val="0"/>
                <w:szCs w:val="21"/>
              </w:rPr>
              <w:t>021-2025</w:t>
            </w:r>
            <w:r>
              <w:rPr>
                <w:rFonts w:hint="eastAsia" w:ascii="宋体" w:hAnsi="宋体" w:cs="宋体"/>
                <w:color w:val="auto"/>
                <w:kern w:val="0"/>
                <w:szCs w:val="21"/>
              </w:rPr>
              <w:t>年）》是宣汉县地质勘查、矿产资源开发利用与保护的指导性文件，是落实国家资源安全战略、加强和改善矿产资源宏观管理的重要手段，是本行政区域内依法出让、登记和监督管理矿产资源勘查、开发利用与保护活动的重要依据。本项目的建设与《宣汉县矿产资源总体规划（2</w:t>
            </w:r>
            <w:r>
              <w:rPr>
                <w:rFonts w:ascii="宋体" w:hAnsi="宋体" w:cs="宋体"/>
                <w:color w:val="auto"/>
                <w:kern w:val="0"/>
                <w:szCs w:val="21"/>
              </w:rPr>
              <w:t>021-2025</w:t>
            </w:r>
            <w:r>
              <w:rPr>
                <w:rFonts w:hint="eastAsia" w:ascii="宋体" w:hAnsi="宋体" w:cs="宋体"/>
                <w:color w:val="auto"/>
                <w:kern w:val="0"/>
                <w:szCs w:val="21"/>
              </w:rPr>
              <w:t>年）》符合性分析如下：</w:t>
            </w:r>
          </w:p>
          <w:p>
            <w:pPr>
              <w:autoSpaceDE w:val="0"/>
              <w:autoSpaceDN w:val="0"/>
              <w:adjustRightInd w:val="0"/>
              <w:snapToGrid w:val="0"/>
              <w:spacing w:line="360" w:lineRule="auto"/>
              <w:jc w:val="center"/>
              <w:rPr>
                <w:rFonts w:hAnsi="宋体"/>
                <w:b/>
                <w:bCs/>
                <w:color w:val="auto"/>
                <w:sz w:val="18"/>
                <w:szCs w:val="18"/>
              </w:rPr>
            </w:pPr>
            <w:r>
              <w:rPr>
                <w:rFonts w:hint="eastAsia" w:hAnsi="宋体"/>
                <w:b/>
                <w:bCs/>
                <w:color w:val="auto"/>
                <w:sz w:val="18"/>
                <w:szCs w:val="18"/>
              </w:rPr>
              <w:t>表1</w:t>
            </w:r>
            <w:r>
              <w:rPr>
                <w:rFonts w:hAnsi="宋体"/>
                <w:b/>
                <w:bCs/>
                <w:color w:val="auto"/>
                <w:sz w:val="18"/>
                <w:szCs w:val="18"/>
              </w:rPr>
              <w:t xml:space="preserve">-3 </w:t>
            </w:r>
            <w:r>
              <w:rPr>
                <w:rFonts w:hint="eastAsia" w:hAnsi="宋体"/>
                <w:b/>
                <w:bCs/>
                <w:color w:val="auto"/>
                <w:sz w:val="18"/>
                <w:szCs w:val="18"/>
              </w:rPr>
              <w:t>项目与</w:t>
            </w:r>
            <w:r>
              <w:rPr>
                <w:rFonts w:hint="eastAsia" w:ascii="宋体" w:hAnsi="宋体" w:cs="宋体"/>
                <w:b/>
                <w:color w:val="auto"/>
                <w:kern w:val="0"/>
                <w:sz w:val="18"/>
                <w:szCs w:val="18"/>
              </w:rPr>
              <w:t>《宣汉县矿产资源总体规划（2</w:t>
            </w:r>
            <w:r>
              <w:rPr>
                <w:rFonts w:ascii="宋体" w:hAnsi="宋体" w:cs="宋体"/>
                <w:b/>
                <w:color w:val="auto"/>
                <w:kern w:val="0"/>
                <w:sz w:val="18"/>
                <w:szCs w:val="18"/>
              </w:rPr>
              <w:t>021-2025</w:t>
            </w:r>
            <w:r>
              <w:rPr>
                <w:rFonts w:hint="eastAsia" w:ascii="宋体" w:hAnsi="宋体" w:cs="宋体"/>
                <w:b/>
                <w:color w:val="auto"/>
                <w:kern w:val="0"/>
                <w:sz w:val="18"/>
                <w:szCs w:val="18"/>
              </w:rPr>
              <w:t>年）》符合性分析</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83"/>
              <w:gridCol w:w="2485"/>
              <w:gridCol w:w="6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3" w:type="pct"/>
                  <w:vAlign w:val="center"/>
                </w:tcPr>
                <w:p>
                  <w:pPr>
                    <w:spacing w:line="276" w:lineRule="auto"/>
                    <w:jc w:val="center"/>
                    <w:rPr>
                      <w:color w:val="auto"/>
                      <w:sz w:val="18"/>
                      <w:szCs w:val="18"/>
                    </w:rPr>
                  </w:pPr>
                  <w:r>
                    <w:rPr>
                      <w:rFonts w:hint="eastAsia"/>
                      <w:color w:val="auto"/>
                      <w:sz w:val="18"/>
                      <w:szCs w:val="18"/>
                    </w:rPr>
                    <w:t>规划内容</w:t>
                  </w:r>
                </w:p>
              </w:tc>
              <w:tc>
                <w:tcPr>
                  <w:tcW w:w="1631" w:type="pct"/>
                  <w:vAlign w:val="center"/>
                </w:tcPr>
                <w:p>
                  <w:pPr>
                    <w:spacing w:line="276" w:lineRule="auto"/>
                    <w:jc w:val="center"/>
                    <w:rPr>
                      <w:color w:val="auto"/>
                      <w:sz w:val="18"/>
                      <w:szCs w:val="18"/>
                    </w:rPr>
                  </w:pPr>
                  <w:r>
                    <w:rPr>
                      <w:rFonts w:hint="eastAsia"/>
                      <w:color w:val="auto"/>
                      <w:sz w:val="18"/>
                      <w:szCs w:val="18"/>
                    </w:rPr>
                    <w:t>本项目</w:t>
                  </w:r>
                </w:p>
              </w:tc>
              <w:tc>
                <w:tcPr>
                  <w:tcW w:w="426" w:type="pct"/>
                  <w:vAlign w:val="center"/>
                </w:tcPr>
                <w:p>
                  <w:pPr>
                    <w:spacing w:line="276" w:lineRule="auto"/>
                    <w:jc w:val="center"/>
                    <w:rPr>
                      <w:color w:val="auto"/>
                      <w:sz w:val="18"/>
                      <w:szCs w:val="18"/>
                    </w:rPr>
                  </w:pPr>
                  <w:r>
                    <w:rPr>
                      <w:rFonts w:hint="eastAsia"/>
                      <w:color w:val="auto"/>
                      <w:sz w:val="18"/>
                      <w:szCs w:val="18"/>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3" w:type="pct"/>
                  <w:vAlign w:val="center"/>
                </w:tcPr>
                <w:p>
                  <w:pPr>
                    <w:spacing w:line="276" w:lineRule="auto"/>
                    <w:rPr>
                      <w:b/>
                      <w:color w:val="auto"/>
                      <w:sz w:val="18"/>
                      <w:szCs w:val="18"/>
                    </w:rPr>
                  </w:pPr>
                  <w:r>
                    <w:rPr>
                      <w:rFonts w:hint="eastAsia"/>
                      <w:b/>
                      <w:color w:val="auto"/>
                      <w:sz w:val="18"/>
                      <w:szCs w:val="18"/>
                    </w:rPr>
                    <w:t>开发利用方向</w:t>
                  </w:r>
                </w:p>
                <w:p>
                  <w:pPr>
                    <w:spacing w:line="276" w:lineRule="auto"/>
                    <w:rPr>
                      <w:color w:val="auto"/>
                      <w:sz w:val="18"/>
                      <w:szCs w:val="18"/>
                    </w:rPr>
                  </w:pPr>
                  <w:r>
                    <w:rPr>
                      <w:rFonts w:hint="eastAsia"/>
                      <w:color w:val="auto"/>
                      <w:sz w:val="18"/>
                      <w:szCs w:val="18"/>
                    </w:rPr>
                    <w:t>1、重点开采矿种：天然气、地热及钾盐。在符合准入条件下，优先出让采矿权，适度扩大开发规模，提高资源供应能力。天然气采矿权出让及开采应符合国家相关管控要求。</w:t>
                  </w:r>
                </w:p>
                <w:p>
                  <w:pPr>
                    <w:spacing w:line="276" w:lineRule="auto"/>
                    <w:rPr>
                      <w:color w:val="auto"/>
                      <w:sz w:val="18"/>
                      <w:szCs w:val="18"/>
                    </w:rPr>
                  </w:pPr>
                  <w:r>
                    <w:rPr>
                      <w:rFonts w:hint="eastAsia"/>
                      <w:color w:val="auto"/>
                      <w:sz w:val="18"/>
                      <w:szCs w:val="18"/>
                    </w:rPr>
                    <w:t>2、限制开采矿种：限制开采对生态环境影响较大的硫铁矿。限制开采矿种投放矿业权必须达到绿色矿山建设要求，必须严格规划审查。</w:t>
                  </w:r>
                </w:p>
                <w:p>
                  <w:pPr>
                    <w:spacing w:line="276" w:lineRule="auto"/>
                    <w:rPr>
                      <w:color w:val="auto"/>
                      <w:sz w:val="18"/>
                      <w:szCs w:val="18"/>
                    </w:rPr>
                  </w:pPr>
                  <w:r>
                    <w:rPr>
                      <w:rFonts w:hint="eastAsia"/>
                      <w:color w:val="auto"/>
                      <w:sz w:val="18"/>
                      <w:szCs w:val="18"/>
                    </w:rPr>
                    <w:t>3、禁止开采矿种：禁止开采高硫煤炭、可耕地砖瓦用粘土矿等矿产。禁止开采矿种原则上禁止新设采矿权。</w:t>
                  </w:r>
                </w:p>
              </w:tc>
              <w:tc>
                <w:tcPr>
                  <w:tcW w:w="1631" w:type="pct"/>
                  <w:vAlign w:val="center"/>
                </w:tcPr>
                <w:p>
                  <w:pPr>
                    <w:spacing w:line="276" w:lineRule="auto"/>
                    <w:jc w:val="left"/>
                    <w:rPr>
                      <w:color w:val="auto"/>
                      <w:sz w:val="18"/>
                      <w:szCs w:val="18"/>
                    </w:rPr>
                  </w:pPr>
                  <w:r>
                    <w:rPr>
                      <w:rFonts w:hint="eastAsia"/>
                      <w:color w:val="auto"/>
                      <w:sz w:val="18"/>
                      <w:szCs w:val="18"/>
                    </w:rPr>
                    <w:t>项目为建筑石料用灰岩矿开采，不属于限制及禁止开采矿种。</w:t>
                  </w:r>
                </w:p>
              </w:tc>
              <w:tc>
                <w:tcPr>
                  <w:tcW w:w="426"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3" w:type="pct"/>
                  <w:vAlign w:val="center"/>
                </w:tcPr>
                <w:p>
                  <w:pPr>
                    <w:spacing w:line="276" w:lineRule="auto"/>
                    <w:rPr>
                      <w:b/>
                      <w:color w:val="auto"/>
                      <w:sz w:val="18"/>
                      <w:szCs w:val="18"/>
                    </w:rPr>
                  </w:pPr>
                  <w:r>
                    <w:rPr>
                      <w:rFonts w:hint="eastAsia"/>
                      <w:b/>
                      <w:color w:val="auto"/>
                      <w:sz w:val="18"/>
                      <w:szCs w:val="18"/>
                    </w:rPr>
                    <w:t>开采区块划定原则：</w:t>
                  </w:r>
                  <w:r>
                    <w:rPr>
                      <w:rFonts w:hint="eastAsia"/>
                      <w:color w:val="auto"/>
                      <w:sz w:val="18"/>
                      <w:szCs w:val="18"/>
                    </w:rPr>
                    <w:t>严格落实国土空间总体规划“三区三线”、自然保护地及铁路、公路、电力线路、水利工程、油气管道等相关文件管控要求。为确保生态景观不受影响，铁路、高速公路两侧可视范围内原则上不得新设露天开采规划区块。开采规划区块设置应充分考虑矿山开采安全，露天矿产开采规划区块应保持300米以上安全距离，并充分论证影响开采安全的自然条件，禁止高陡边坡开采。开采规划区块设置应充分考虑是否位于地质灾害易发区。</w:t>
                  </w:r>
                </w:p>
              </w:tc>
              <w:tc>
                <w:tcPr>
                  <w:tcW w:w="1631" w:type="pct"/>
                  <w:vAlign w:val="center"/>
                </w:tcPr>
                <w:p>
                  <w:pPr>
                    <w:spacing w:line="276" w:lineRule="auto"/>
                    <w:jc w:val="left"/>
                    <w:rPr>
                      <w:color w:val="auto"/>
                      <w:sz w:val="18"/>
                      <w:szCs w:val="18"/>
                    </w:rPr>
                  </w:pPr>
                  <w:r>
                    <w:rPr>
                      <w:rFonts w:hint="eastAsia"/>
                      <w:color w:val="auto"/>
                      <w:sz w:val="18"/>
                      <w:szCs w:val="18"/>
                    </w:rPr>
                    <w:t>项目的建设与国土空间总体规划“三区三线”、自然保护地及铁路、公路、电力线路、水利工程、油气管道等相关文件管控要求相符，矿区可视范围内无铁路、高速公路</w:t>
                  </w:r>
                </w:p>
              </w:tc>
              <w:tc>
                <w:tcPr>
                  <w:tcW w:w="426"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3" w:type="pct"/>
                  <w:vAlign w:val="center"/>
                </w:tcPr>
                <w:p>
                  <w:pPr>
                    <w:spacing w:line="276" w:lineRule="auto"/>
                    <w:rPr>
                      <w:b/>
                      <w:color w:val="auto"/>
                      <w:sz w:val="18"/>
                      <w:szCs w:val="18"/>
                    </w:rPr>
                  </w:pPr>
                  <w:r>
                    <w:rPr>
                      <w:rFonts w:hint="eastAsia"/>
                      <w:b/>
                      <w:color w:val="auto"/>
                      <w:sz w:val="18"/>
                      <w:szCs w:val="18"/>
                    </w:rPr>
                    <w:t>全面推行绿色矿山建设。</w:t>
                  </w:r>
                  <w:r>
                    <w:rPr>
                      <w:rFonts w:hint="eastAsia"/>
                      <w:color w:val="auto"/>
                      <w:sz w:val="18"/>
                      <w:szCs w:val="18"/>
                    </w:rPr>
                    <w:t>新设采矿权、技改扩能矿山执行绿色矿山建设标准，在出让合同中明确绿色矿山建设相关要求及违约责任。按绿色矿山建设标准编制矿产资源绿色开发利用方案，并在矿山筹建过程中同步建设，在正式投产时应符合绿色矿山建设要求。要加强矿山生态环境保护与恢复治理方案和水土保持方案的审查，监督企业落实保护措施，确保生态保护措施落实到位，矿山“固体废弃物、废水及废气”得到有效处理，污染物排放达标。要严格审查安全设施设计，监督企业落实安全措施，确保矿山绿色安全生产。</w:t>
                  </w:r>
                </w:p>
              </w:tc>
              <w:tc>
                <w:tcPr>
                  <w:tcW w:w="1631" w:type="pct"/>
                  <w:vAlign w:val="center"/>
                </w:tcPr>
                <w:p>
                  <w:pPr>
                    <w:spacing w:line="276" w:lineRule="auto"/>
                    <w:jc w:val="left"/>
                    <w:rPr>
                      <w:color w:val="auto"/>
                      <w:sz w:val="18"/>
                      <w:szCs w:val="18"/>
                    </w:rPr>
                  </w:pPr>
                  <w:r>
                    <w:rPr>
                      <w:rFonts w:hint="eastAsia"/>
                      <w:color w:val="auto"/>
                      <w:sz w:val="18"/>
                      <w:szCs w:val="18"/>
                    </w:rPr>
                    <w:t>本项目严格按照绿色矿山建设标准进行建设、生产</w:t>
                  </w:r>
                </w:p>
              </w:tc>
              <w:tc>
                <w:tcPr>
                  <w:tcW w:w="426"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3" w:type="pct"/>
                  <w:vAlign w:val="center"/>
                </w:tcPr>
                <w:p>
                  <w:pPr>
                    <w:spacing w:line="276" w:lineRule="auto"/>
                    <w:rPr>
                      <w:b/>
                      <w:color w:val="auto"/>
                      <w:sz w:val="18"/>
                      <w:szCs w:val="18"/>
                    </w:rPr>
                  </w:pPr>
                  <w:r>
                    <w:rPr>
                      <w:rFonts w:hint="eastAsia"/>
                      <w:b/>
                      <w:color w:val="auto"/>
                      <w:sz w:val="18"/>
                      <w:szCs w:val="18"/>
                    </w:rPr>
                    <w:t>集中开采区设置</w:t>
                  </w:r>
                </w:p>
                <w:p>
                  <w:pPr>
                    <w:spacing w:line="276" w:lineRule="auto"/>
                    <w:rPr>
                      <w:color w:val="auto"/>
                      <w:sz w:val="18"/>
                      <w:szCs w:val="18"/>
                    </w:rPr>
                  </w:pPr>
                  <w:r>
                    <w:rPr>
                      <w:rFonts w:hint="eastAsia"/>
                      <w:color w:val="auto"/>
                      <w:sz w:val="18"/>
                      <w:szCs w:val="18"/>
                    </w:rPr>
                    <w:t>立足宣汉及周边城市发展、以保障西渝高铁、城宣渝高速等重大交通水利等基础设施建设和民生需求为出发点，以区域平衡为原则，根据资源分布情况，结合新型城镇化发展方向和基础设施建设规划等因素，宣汉县在落实市级划定的2处砂石土集中开采区的基础上增划砂石土集中开采区1处，以保证砂石土资源供给程度，形成规模化管理。</w:t>
                  </w:r>
                </w:p>
                <w:p>
                  <w:pPr>
                    <w:spacing w:line="276" w:lineRule="auto"/>
                    <w:rPr>
                      <w:color w:val="auto"/>
                      <w:sz w:val="18"/>
                      <w:szCs w:val="18"/>
                    </w:rPr>
                  </w:pPr>
                  <w:r>
                    <w:rPr>
                      <w:rFonts w:hint="eastAsia"/>
                      <w:color w:val="auto"/>
                      <w:sz w:val="18"/>
                      <w:szCs w:val="18"/>
                    </w:rPr>
                    <w:t>（市级划定集中开采区：达州市白羊-铁矿-新华灰岩集中开采区、宣汉县三墩—漆树—漆碑灰岩集中开采区。）</w:t>
                  </w:r>
                </w:p>
              </w:tc>
              <w:tc>
                <w:tcPr>
                  <w:tcW w:w="1631" w:type="pct"/>
                  <w:vAlign w:val="center"/>
                </w:tcPr>
                <w:p>
                  <w:pPr>
                    <w:spacing w:line="276" w:lineRule="auto"/>
                    <w:jc w:val="left"/>
                    <w:rPr>
                      <w:color w:val="auto"/>
                      <w:sz w:val="18"/>
                      <w:szCs w:val="18"/>
                    </w:rPr>
                  </w:pPr>
                  <w:r>
                    <w:rPr>
                      <w:color w:val="auto"/>
                      <w:sz w:val="18"/>
                      <w:szCs w:val="18"/>
                    </w:rPr>
                    <w:t>项目为建筑石料用灰岩矿开采</w:t>
                  </w:r>
                  <w:r>
                    <w:rPr>
                      <w:rFonts w:hint="eastAsia"/>
                      <w:color w:val="auto"/>
                      <w:sz w:val="18"/>
                      <w:szCs w:val="18"/>
                    </w:rPr>
                    <w:t>，项目位于达州市宣汉县漆树土家族乡乘龙村，属于宣汉县三墩—漆树—漆碑灰岩集中开采区中的开采区块</w:t>
                  </w:r>
                </w:p>
              </w:tc>
              <w:tc>
                <w:tcPr>
                  <w:tcW w:w="426"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3" w:type="pct"/>
                  <w:vAlign w:val="center"/>
                </w:tcPr>
                <w:p>
                  <w:pPr>
                    <w:spacing w:line="276" w:lineRule="auto"/>
                    <w:rPr>
                      <w:b/>
                      <w:color w:val="auto"/>
                      <w:sz w:val="18"/>
                      <w:szCs w:val="18"/>
                    </w:rPr>
                  </w:pPr>
                  <w:bookmarkStart w:id="3" w:name="_Toc132836410"/>
                  <w:r>
                    <w:rPr>
                      <w:rFonts w:hint="eastAsia"/>
                      <w:b/>
                      <w:color w:val="auto"/>
                      <w:sz w:val="18"/>
                      <w:szCs w:val="18"/>
                    </w:rPr>
                    <w:t>优化矿山开采规模结构</w:t>
                  </w:r>
                  <w:bookmarkEnd w:id="3"/>
                </w:p>
                <w:p>
                  <w:pPr>
                    <w:spacing w:line="276" w:lineRule="auto"/>
                    <w:rPr>
                      <w:color w:val="auto"/>
                      <w:sz w:val="18"/>
                      <w:szCs w:val="18"/>
                    </w:rPr>
                  </w:pPr>
                  <w:r>
                    <w:rPr>
                      <w:rFonts w:hint="eastAsia"/>
                      <w:color w:val="auto"/>
                      <w:sz w:val="18"/>
                      <w:szCs w:val="18"/>
                    </w:rPr>
                    <w:t>规划期内新投放的砖瓦用页岩矿山生产规模不低于20万吨/年，服务年限不低于10年；建筑石料用灰岩、砂岩生产规模不低于100万吨/年，服务年限不低于10年，饰面用砂岩生产规模不低于3万方/年，服务年限不低于10年。</w:t>
                  </w:r>
                </w:p>
              </w:tc>
              <w:tc>
                <w:tcPr>
                  <w:tcW w:w="1631" w:type="pct"/>
                  <w:vAlign w:val="center"/>
                </w:tcPr>
                <w:p>
                  <w:pPr>
                    <w:spacing w:line="276" w:lineRule="auto"/>
                    <w:jc w:val="left"/>
                    <w:rPr>
                      <w:color w:val="auto"/>
                      <w:sz w:val="18"/>
                      <w:szCs w:val="18"/>
                    </w:rPr>
                  </w:pPr>
                  <w:r>
                    <w:rPr>
                      <w:color w:val="auto"/>
                      <w:sz w:val="18"/>
                      <w:szCs w:val="18"/>
                    </w:rPr>
                    <w:t>项目为建筑石料用灰岩矿开采</w:t>
                  </w:r>
                  <w:r>
                    <w:rPr>
                      <w:rFonts w:hint="eastAsia"/>
                      <w:color w:val="auto"/>
                      <w:sz w:val="18"/>
                      <w:szCs w:val="18"/>
                    </w:rPr>
                    <w:t>，产能为250万吨/年。服务年限为2</w:t>
                  </w:r>
                  <w:r>
                    <w:rPr>
                      <w:color w:val="auto"/>
                      <w:sz w:val="18"/>
                      <w:szCs w:val="18"/>
                    </w:rPr>
                    <w:t>5</w:t>
                  </w:r>
                  <w:r>
                    <w:rPr>
                      <w:rFonts w:hint="eastAsia"/>
                      <w:color w:val="auto"/>
                      <w:sz w:val="18"/>
                      <w:szCs w:val="18"/>
                    </w:rPr>
                    <w:t>年</w:t>
                  </w:r>
                </w:p>
              </w:tc>
              <w:tc>
                <w:tcPr>
                  <w:tcW w:w="426"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3" w:type="pct"/>
                  <w:vAlign w:val="center"/>
                </w:tcPr>
                <w:p>
                  <w:pPr>
                    <w:spacing w:line="276" w:lineRule="auto"/>
                    <w:rPr>
                      <w:b/>
                      <w:color w:val="auto"/>
                      <w:sz w:val="18"/>
                      <w:szCs w:val="18"/>
                    </w:rPr>
                  </w:pPr>
                  <w:r>
                    <w:rPr>
                      <w:rFonts w:hint="eastAsia"/>
                      <w:b/>
                      <w:color w:val="auto"/>
                      <w:sz w:val="18"/>
                      <w:szCs w:val="18"/>
                    </w:rPr>
                    <w:t>满足绿色矿山准入条件</w:t>
                  </w:r>
                </w:p>
                <w:p>
                  <w:pPr>
                    <w:spacing w:line="276" w:lineRule="auto"/>
                    <w:rPr>
                      <w:b/>
                      <w:color w:val="auto"/>
                      <w:sz w:val="18"/>
                      <w:szCs w:val="18"/>
                    </w:rPr>
                  </w:pPr>
                  <w:r>
                    <w:rPr>
                      <w:rFonts w:hint="eastAsia"/>
                      <w:color w:val="auto"/>
                      <w:sz w:val="18"/>
                      <w:szCs w:val="18"/>
                    </w:rPr>
                    <w:t>新建矿山必须按照绿色矿山标准进行规划、设计和建设，各项指标必须达到绿色矿山建设要求。矿山投放前应按照绿色矿山要求编制矿山开发利用方案、矿山地质环境保护与治理恢复和土地复垦方案以及绿色矿山建设实施方案。</w:t>
                  </w:r>
                </w:p>
              </w:tc>
              <w:tc>
                <w:tcPr>
                  <w:tcW w:w="1631" w:type="pct"/>
                  <w:vAlign w:val="center"/>
                </w:tcPr>
                <w:p>
                  <w:pPr>
                    <w:spacing w:line="276" w:lineRule="auto"/>
                    <w:jc w:val="left"/>
                    <w:rPr>
                      <w:color w:val="auto"/>
                      <w:sz w:val="18"/>
                      <w:szCs w:val="18"/>
                    </w:rPr>
                  </w:pPr>
                  <w:r>
                    <w:rPr>
                      <w:rFonts w:hint="eastAsia"/>
                      <w:color w:val="auto"/>
                      <w:sz w:val="18"/>
                      <w:szCs w:val="18"/>
                    </w:rPr>
                    <w:t>本项目严格按照绿色矿山建设标准进行建设、生产，项目已编制开发利用方案及土地复垦方案</w:t>
                  </w:r>
                </w:p>
              </w:tc>
              <w:tc>
                <w:tcPr>
                  <w:tcW w:w="426"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3" w:type="pct"/>
                  <w:vAlign w:val="center"/>
                </w:tcPr>
                <w:p>
                  <w:pPr>
                    <w:spacing w:line="276" w:lineRule="auto"/>
                    <w:rPr>
                      <w:b/>
                      <w:color w:val="auto"/>
                      <w:sz w:val="18"/>
                      <w:szCs w:val="18"/>
                    </w:rPr>
                  </w:pPr>
                  <w:r>
                    <w:rPr>
                      <w:rFonts w:hint="eastAsia"/>
                      <w:b/>
                      <w:color w:val="auto"/>
                      <w:sz w:val="18"/>
                      <w:szCs w:val="18"/>
                    </w:rPr>
                    <w:t>生态环境保护准入条件</w:t>
                  </w:r>
                </w:p>
                <w:p>
                  <w:pPr>
                    <w:spacing w:line="276" w:lineRule="auto"/>
                    <w:rPr>
                      <w:color w:val="auto"/>
                      <w:sz w:val="18"/>
                      <w:szCs w:val="18"/>
                    </w:rPr>
                  </w:pPr>
                  <w:r>
                    <w:rPr>
                      <w:rFonts w:hint="eastAsia"/>
                      <w:color w:val="auto"/>
                      <w:sz w:val="18"/>
                      <w:szCs w:val="18"/>
                    </w:rPr>
                    <w:t>新建露天矿山必须避让生态保护红线、永久基本农田、自然保护地及城镇开发边界；铁路、高速公路可视范围内原则上不投放新设露天勘查开采规划区块。</w:t>
                  </w:r>
                </w:p>
                <w:p>
                  <w:pPr>
                    <w:spacing w:line="276" w:lineRule="auto"/>
                    <w:rPr>
                      <w:b/>
                      <w:color w:val="auto"/>
                      <w:sz w:val="18"/>
                      <w:szCs w:val="18"/>
                    </w:rPr>
                  </w:pPr>
                  <w:r>
                    <w:rPr>
                      <w:rFonts w:hint="eastAsia"/>
                      <w:color w:val="auto"/>
                      <w:sz w:val="18"/>
                      <w:szCs w:val="18"/>
                    </w:rPr>
                    <w:t>矿山采矿的地质环境准入，必须符合《中华人民共和国环境保护法》《中华人民共和国水污染防治法》《四川省地质环境管理条例》《土地复垦条例》《四川省在建及生产矿山生态修复管理办法》等法律、法规规定的环保条件。在饮用水源保护区附近或在饮用水源保护区上游分水岭范围内设置、投放矿权必须满足《四川省饮用水水源保护管理条例》等相关法律法规的相关要求。职业健康与安全设施、环境保护设施必须与主体工程同时设计、同时施工、同时验收和投产使用。严格执行矿山生态恢复治理基金制度，根据“边开采、边治理”的原则，编制《矿山地质环境保护和土地复垦方案》，并按照《方案》按期进行矿山生态、地质环境恢复治理和土地复垦。矿山生态地质环境监测工作逐步建立和完善，达到环保部门要求的污染物排放总量控制指标，完成污染物减排任务；严格执行各矿种相关的污染物排放标准达标制度；按要求办理排污申报、排污许可证等环保手续，定期实施清洁生产审核，并通过评估验收。</w:t>
                  </w:r>
                </w:p>
              </w:tc>
              <w:tc>
                <w:tcPr>
                  <w:tcW w:w="1631" w:type="pct"/>
                  <w:vAlign w:val="center"/>
                </w:tcPr>
                <w:p>
                  <w:pPr>
                    <w:spacing w:line="276" w:lineRule="auto"/>
                    <w:jc w:val="left"/>
                    <w:rPr>
                      <w:color w:val="auto"/>
                      <w:sz w:val="18"/>
                      <w:szCs w:val="18"/>
                    </w:rPr>
                  </w:pPr>
                  <w:r>
                    <w:rPr>
                      <w:color w:val="auto"/>
                      <w:sz w:val="18"/>
                      <w:szCs w:val="18"/>
                    </w:rPr>
                    <w:t>编制了矿山开发利用方案，设计的开采回采率、选矿回收率、总回收率指标满足国家有关规定</w:t>
                  </w:r>
                </w:p>
              </w:tc>
              <w:tc>
                <w:tcPr>
                  <w:tcW w:w="426"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3" w:type="pct"/>
                  <w:vAlign w:val="center"/>
                </w:tcPr>
                <w:p>
                  <w:pPr>
                    <w:spacing w:line="276" w:lineRule="auto"/>
                    <w:rPr>
                      <w:b/>
                      <w:color w:val="auto"/>
                      <w:sz w:val="18"/>
                      <w:szCs w:val="18"/>
                    </w:rPr>
                  </w:pPr>
                  <w:r>
                    <w:rPr>
                      <w:rFonts w:hint="eastAsia"/>
                      <w:b/>
                      <w:color w:val="auto"/>
                      <w:sz w:val="18"/>
                      <w:szCs w:val="18"/>
                    </w:rPr>
                    <w:t>生产规模准入条件</w:t>
                  </w:r>
                </w:p>
                <w:p>
                  <w:pPr>
                    <w:spacing w:line="276" w:lineRule="auto"/>
                    <w:rPr>
                      <w:color w:val="auto"/>
                      <w:sz w:val="18"/>
                      <w:szCs w:val="18"/>
                    </w:rPr>
                  </w:pPr>
                  <w:r>
                    <w:rPr>
                      <w:rFonts w:hint="eastAsia"/>
                      <w:color w:val="auto"/>
                      <w:sz w:val="18"/>
                      <w:szCs w:val="18"/>
                    </w:rPr>
                    <w:t>新建矿山的开采规模必须与矿区的资源储量规模相适应，且不得低于规划限定的最低储量规模及开采规模。砂石土矿山最低开采规模严格执行规划的矿山最低开采规模要求。</w:t>
                  </w:r>
                </w:p>
              </w:tc>
              <w:tc>
                <w:tcPr>
                  <w:tcW w:w="1631" w:type="pct"/>
                  <w:vAlign w:val="center"/>
                </w:tcPr>
                <w:p>
                  <w:pPr>
                    <w:spacing w:line="276" w:lineRule="auto"/>
                    <w:jc w:val="left"/>
                    <w:rPr>
                      <w:color w:val="auto"/>
                      <w:sz w:val="18"/>
                      <w:szCs w:val="18"/>
                    </w:rPr>
                  </w:pPr>
                  <w:r>
                    <w:rPr>
                      <w:color w:val="auto"/>
                      <w:sz w:val="18"/>
                      <w:szCs w:val="18"/>
                    </w:rPr>
                    <w:t>项目为建筑石料用灰岩矿开采</w:t>
                  </w:r>
                  <w:r>
                    <w:rPr>
                      <w:rFonts w:hint="eastAsia"/>
                      <w:color w:val="auto"/>
                      <w:sz w:val="18"/>
                      <w:szCs w:val="18"/>
                    </w:rPr>
                    <w:t>，产能为250万吨/年</w:t>
                  </w:r>
                </w:p>
              </w:tc>
              <w:tc>
                <w:tcPr>
                  <w:tcW w:w="426"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3" w:type="pct"/>
                  <w:vAlign w:val="center"/>
                </w:tcPr>
                <w:p>
                  <w:pPr>
                    <w:spacing w:line="276" w:lineRule="auto"/>
                    <w:rPr>
                      <w:b/>
                      <w:color w:val="auto"/>
                      <w:sz w:val="18"/>
                      <w:szCs w:val="18"/>
                    </w:rPr>
                  </w:pPr>
                  <w:r>
                    <w:rPr>
                      <w:rFonts w:hint="eastAsia"/>
                      <w:b/>
                      <w:color w:val="auto"/>
                      <w:sz w:val="18"/>
                      <w:szCs w:val="18"/>
                    </w:rPr>
                    <w:t>总量调控指标</w:t>
                  </w:r>
                </w:p>
                <w:p>
                  <w:pPr>
                    <w:spacing w:line="276" w:lineRule="auto"/>
                    <w:rPr>
                      <w:color w:val="auto"/>
                      <w:sz w:val="18"/>
                      <w:szCs w:val="18"/>
                    </w:rPr>
                  </w:pPr>
                  <w:r>
                    <w:rPr>
                      <w:rFonts w:hint="eastAsia"/>
                      <w:color w:val="auto"/>
                      <w:sz w:val="18"/>
                      <w:szCs w:val="18"/>
                    </w:rPr>
                    <w:t>行政区内，砂石土类矿山数量总量及产能总量必须符合达州市分解宣汉县规划指标，即：到2025年，宣汉县建筑石料用灰岩矿采矿权数量不超过7宗、建筑石料用砂岩矿采矿权数量不超过2宗、砖瓦用页岩采矿权数量不超过3宗。</w:t>
                  </w:r>
                </w:p>
              </w:tc>
              <w:tc>
                <w:tcPr>
                  <w:tcW w:w="1631" w:type="pct"/>
                  <w:vAlign w:val="center"/>
                </w:tcPr>
                <w:p>
                  <w:pPr>
                    <w:spacing w:line="276" w:lineRule="auto"/>
                    <w:jc w:val="left"/>
                    <w:rPr>
                      <w:color w:val="auto"/>
                      <w:sz w:val="18"/>
                      <w:szCs w:val="18"/>
                    </w:rPr>
                  </w:pPr>
                  <w:r>
                    <w:rPr>
                      <w:color w:val="auto"/>
                      <w:sz w:val="18"/>
                      <w:szCs w:val="18"/>
                    </w:rPr>
                    <w:t>项目为建筑石料用灰岩矿开采</w:t>
                  </w:r>
                  <w:r>
                    <w:rPr>
                      <w:rFonts w:hint="eastAsia"/>
                      <w:color w:val="auto"/>
                      <w:sz w:val="18"/>
                      <w:szCs w:val="18"/>
                    </w:rPr>
                    <w:t>，项目位于达州市宣汉县漆树土家族乡乘龙村，属于宣汉县三墩—漆树—漆碑灰岩集中开采区中的开采区块</w:t>
                  </w:r>
                </w:p>
              </w:tc>
              <w:tc>
                <w:tcPr>
                  <w:tcW w:w="426"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3" w:type="pct"/>
                  <w:vAlign w:val="center"/>
                </w:tcPr>
                <w:p>
                  <w:pPr>
                    <w:spacing w:line="276" w:lineRule="auto"/>
                    <w:rPr>
                      <w:b/>
                      <w:color w:val="auto"/>
                      <w:sz w:val="18"/>
                      <w:szCs w:val="18"/>
                    </w:rPr>
                  </w:pPr>
                  <w:r>
                    <w:rPr>
                      <w:rFonts w:hint="eastAsia"/>
                      <w:b/>
                      <w:color w:val="auto"/>
                      <w:sz w:val="18"/>
                      <w:szCs w:val="18"/>
                    </w:rPr>
                    <w:t>安全生产条件</w:t>
                  </w:r>
                </w:p>
                <w:p>
                  <w:pPr>
                    <w:spacing w:line="276" w:lineRule="auto"/>
                    <w:rPr>
                      <w:color w:val="auto"/>
                      <w:sz w:val="18"/>
                      <w:szCs w:val="18"/>
                    </w:rPr>
                  </w:pPr>
                  <w:r>
                    <w:rPr>
                      <w:rFonts w:hint="eastAsia"/>
                      <w:color w:val="auto"/>
                      <w:sz w:val="18"/>
                      <w:szCs w:val="18"/>
                    </w:rPr>
                    <w:t>新设、在建和扩建矿山企业均应严格执行《</w:t>
                  </w:r>
                  <w:r>
                    <w:rPr>
                      <w:rFonts w:hint="eastAsia"/>
                      <w:color w:val="auto"/>
                      <w:sz w:val="18"/>
                      <w:szCs w:val="18"/>
                      <w:lang w:eastAsia="zh-CN"/>
                    </w:rPr>
                    <w:t>中华人民共和国矿山安全法</w:t>
                  </w:r>
                  <w:r>
                    <w:rPr>
                      <w:rFonts w:hint="eastAsia"/>
                      <w:color w:val="auto"/>
                      <w:sz w:val="18"/>
                      <w:szCs w:val="18"/>
                    </w:rPr>
                    <w:t>》及国家有关矿山安全生产工作的方针政策、法律法规和标准。矿山与其他相邻矿山、周边基础设施、民房等保持一定的安全间距，矿山安全开采方面必须达标，矿区范围划定（含标高）必须合理。及时编制、更新《矿山开发利用方案》和《开采设计》。设立矿山安全管理机构或配备专职安全管理人员，建立健全矿山企业安全管理网络，并加强安全生产宣传教育培训，建立健全以安全生产责任制为核心的各项安全生产管理制度，并取得安全生产许可证。</w:t>
                  </w:r>
                </w:p>
              </w:tc>
              <w:tc>
                <w:tcPr>
                  <w:tcW w:w="1631" w:type="pct"/>
                  <w:vAlign w:val="center"/>
                </w:tcPr>
                <w:p>
                  <w:pPr>
                    <w:spacing w:line="276" w:lineRule="auto"/>
                    <w:jc w:val="left"/>
                    <w:rPr>
                      <w:color w:val="auto"/>
                      <w:sz w:val="18"/>
                      <w:szCs w:val="18"/>
                    </w:rPr>
                  </w:pPr>
                  <w:r>
                    <w:rPr>
                      <w:rFonts w:hint="eastAsia"/>
                      <w:color w:val="auto"/>
                      <w:sz w:val="18"/>
                      <w:szCs w:val="18"/>
                    </w:rPr>
                    <w:t>目前已完成《四川省宣汉县漆树土家族乡乘龙村鲁家洞建筑石料用灰岩、建筑用白云岩矿矿产资源开发利用方案》，并取得了《采矿许可证》（证号：C5117002024027140156361），目前正在办理安全生产许可证，环评要求在取得安全生产许可证之前不得开工建设</w:t>
                  </w:r>
                </w:p>
              </w:tc>
              <w:tc>
                <w:tcPr>
                  <w:tcW w:w="426" w:type="pct"/>
                  <w:vAlign w:val="center"/>
                </w:tcPr>
                <w:p>
                  <w:pPr>
                    <w:spacing w:line="276" w:lineRule="auto"/>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3" w:type="pct"/>
                  <w:vAlign w:val="center"/>
                </w:tcPr>
                <w:p>
                  <w:pPr>
                    <w:spacing w:line="276" w:lineRule="auto"/>
                    <w:rPr>
                      <w:b/>
                      <w:color w:val="auto"/>
                      <w:sz w:val="18"/>
                      <w:szCs w:val="18"/>
                    </w:rPr>
                  </w:pPr>
                  <w:r>
                    <w:rPr>
                      <w:rFonts w:hint="eastAsia"/>
                      <w:b/>
                      <w:color w:val="auto"/>
                      <w:sz w:val="18"/>
                      <w:szCs w:val="18"/>
                    </w:rPr>
                    <w:t>矿区生态保护修复</w:t>
                  </w:r>
                </w:p>
                <w:p>
                  <w:pPr>
                    <w:spacing w:line="276" w:lineRule="auto"/>
                    <w:rPr>
                      <w:color w:val="auto"/>
                      <w:sz w:val="18"/>
                      <w:szCs w:val="18"/>
                    </w:rPr>
                  </w:pPr>
                  <w:r>
                    <w:rPr>
                      <w:rFonts w:hint="eastAsia"/>
                      <w:color w:val="auto"/>
                      <w:sz w:val="18"/>
                      <w:szCs w:val="18"/>
                    </w:rPr>
                    <w:t>新建矿山应严格执行《四川省在建与生产矿山生态修复管理办法》，按照经审查通过的“二合一方案”开展矿山生态修复工作，制定矿山年度生态修复计划，按计划推进生态环境修复和土地复垦工作，实现绿色矿业发展。</w:t>
                  </w:r>
                </w:p>
                <w:p>
                  <w:pPr>
                    <w:spacing w:line="276" w:lineRule="auto"/>
                    <w:rPr>
                      <w:b/>
                      <w:color w:val="auto"/>
                      <w:sz w:val="18"/>
                      <w:szCs w:val="18"/>
                    </w:rPr>
                  </w:pPr>
                  <w:r>
                    <w:rPr>
                      <w:rFonts w:hint="eastAsia"/>
                      <w:color w:val="auto"/>
                      <w:sz w:val="18"/>
                      <w:szCs w:val="18"/>
                    </w:rPr>
                    <w:t>根据《地质灾害防治条例》，新建矿山应在矿山建设开发前按照《地质灾害危险性评估规范》开展地质灾害危险性评估，并按地质灾害危险性评估报告中提出的防治措施及建议落实好矿山地质灾害防治工作。</w:t>
                  </w:r>
                </w:p>
              </w:tc>
              <w:tc>
                <w:tcPr>
                  <w:tcW w:w="1631" w:type="pct"/>
                  <w:vAlign w:val="center"/>
                </w:tcPr>
                <w:p>
                  <w:pPr>
                    <w:spacing w:line="276" w:lineRule="auto"/>
                    <w:jc w:val="left"/>
                    <w:rPr>
                      <w:color w:val="auto"/>
                      <w:sz w:val="18"/>
                      <w:szCs w:val="18"/>
                    </w:rPr>
                  </w:pPr>
                  <w:r>
                    <w:rPr>
                      <w:color w:val="auto"/>
                      <w:sz w:val="18"/>
                      <w:szCs w:val="18"/>
                    </w:rPr>
                    <w:t>矿山已编制复垦方案</w:t>
                  </w:r>
                </w:p>
              </w:tc>
              <w:tc>
                <w:tcPr>
                  <w:tcW w:w="426" w:type="pct"/>
                  <w:vAlign w:val="center"/>
                </w:tcPr>
                <w:p>
                  <w:pPr>
                    <w:spacing w:line="276" w:lineRule="auto"/>
                    <w:jc w:val="center"/>
                    <w:rPr>
                      <w:color w:val="auto"/>
                      <w:sz w:val="18"/>
                      <w:szCs w:val="18"/>
                    </w:rPr>
                  </w:pPr>
                  <w:r>
                    <w:rPr>
                      <w:rFonts w:hint="eastAsia"/>
                      <w:color w:val="auto"/>
                      <w:sz w:val="18"/>
                      <w:szCs w:val="18"/>
                    </w:rPr>
                    <w:t>符合</w:t>
                  </w:r>
                </w:p>
              </w:tc>
            </w:tr>
          </w:tbl>
          <w:p>
            <w:pPr>
              <w:autoSpaceDE w:val="0"/>
              <w:autoSpaceDN w:val="0"/>
              <w:adjustRightInd w:val="0"/>
              <w:snapToGrid w:val="0"/>
              <w:spacing w:line="360" w:lineRule="auto"/>
              <w:ind w:firstLine="420" w:firstLineChars="200"/>
              <w:rPr>
                <w:rFonts w:hAnsi="宋体"/>
                <w:bCs/>
                <w:color w:val="auto"/>
              </w:rPr>
            </w:pPr>
            <w:r>
              <w:rPr>
                <w:rFonts w:hint="eastAsia" w:hAnsi="宋体"/>
                <w:bCs/>
                <w:color w:val="auto"/>
              </w:rPr>
              <w:t>综上，本项目的建设与《宣汉县矿产资源总体规划（2021-2025年）》相关内容相符。</w:t>
            </w:r>
          </w:p>
          <w:p>
            <w:pPr>
              <w:autoSpaceDE w:val="0"/>
              <w:autoSpaceDN w:val="0"/>
              <w:adjustRightInd w:val="0"/>
              <w:snapToGrid w:val="0"/>
              <w:spacing w:line="360" w:lineRule="auto"/>
              <w:rPr>
                <w:rFonts w:ascii="宋体" w:hAnsi="宋体" w:cs="宋体"/>
                <w:color w:val="auto"/>
                <w:kern w:val="0"/>
                <w:szCs w:val="21"/>
              </w:rPr>
            </w:pPr>
          </w:p>
          <w:p>
            <w:pPr>
              <w:autoSpaceDE w:val="0"/>
              <w:autoSpaceDN w:val="0"/>
              <w:adjustRightInd w:val="0"/>
              <w:snapToGrid w:val="0"/>
              <w:spacing w:line="360" w:lineRule="auto"/>
              <w:ind w:firstLine="420" w:firstLineChars="200"/>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390" w:type="dxa"/>
            <w:tcMar>
              <w:top w:w="16" w:type="dxa"/>
              <w:left w:w="16" w:type="dxa"/>
              <w:right w:w="16" w:type="dxa"/>
            </w:tcMar>
            <w:vAlign w:val="center"/>
          </w:tcPr>
          <w:p>
            <w:pPr>
              <w:autoSpaceDE w:val="0"/>
              <w:autoSpaceDN w:val="0"/>
              <w:adjustRightInd w:val="0"/>
              <w:snapToGrid w:val="0"/>
              <w:spacing w:line="360" w:lineRule="auto"/>
              <w:jc w:val="center"/>
              <w:rPr>
                <w:rFonts w:ascii="宋体" w:hAnsi="宋体" w:cs="宋体"/>
                <w:color w:val="auto"/>
                <w:kern w:val="0"/>
                <w:szCs w:val="21"/>
              </w:rPr>
            </w:pPr>
            <w:bookmarkStart w:id="4" w:name="_Hlk56690880"/>
            <w:r>
              <w:rPr>
                <w:rFonts w:hint="eastAsia" w:ascii="宋体" w:hAnsi="宋体" w:cs="宋体"/>
                <w:color w:val="auto"/>
                <w:kern w:val="0"/>
                <w:szCs w:val="21"/>
              </w:rPr>
              <w:t>其他符合性分析</w:t>
            </w:r>
            <w:bookmarkEnd w:id="4"/>
          </w:p>
        </w:tc>
        <w:tc>
          <w:tcPr>
            <w:tcW w:w="7649" w:type="dxa"/>
            <w:gridSpan w:val="3"/>
            <w:tcMar>
              <w:top w:w="16" w:type="dxa"/>
              <w:left w:w="16" w:type="dxa"/>
              <w:right w:w="16" w:type="dxa"/>
            </w:tcMar>
            <w:vAlign w:val="center"/>
          </w:tcPr>
          <w:p>
            <w:pPr>
              <w:autoSpaceDE w:val="0"/>
              <w:autoSpaceDN w:val="0"/>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1、产业政策符合性分析</w:t>
            </w:r>
          </w:p>
          <w:p>
            <w:pPr>
              <w:autoSpaceDE w:val="0"/>
              <w:autoSpaceDN w:val="0"/>
              <w:adjustRightInd w:val="0"/>
              <w:snapToGrid w:val="0"/>
              <w:spacing w:line="360" w:lineRule="auto"/>
              <w:ind w:firstLine="420" w:firstLineChars="200"/>
              <w:rPr>
                <w:color w:val="auto"/>
                <w:szCs w:val="21"/>
              </w:rPr>
            </w:pPr>
            <w:r>
              <w:rPr>
                <w:color w:val="auto"/>
                <w:szCs w:val="21"/>
              </w:rPr>
              <w:t>本项目为建筑石料用灰岩矿开采及加工项目。</w:t>
            </w:r>
            <w:r>
              <w:rPr>
                <w:rFonts w:hint="eastAsia"/>
                <w:color w:val="auto"/>
                <w:szCs w:val="21"/>
              </w:rPr>
              <w:t>本项目属于建筑用砂岩矿开采项目，不属于《产业结构调整指导目录(2024年本)》</w:t>
            </w:r>
            <w:r>
              <w:rPr>
                <w:color w:val="auto"/>
                <w:szCs w:val="21"/>
              </w:rPr>
              <w:t>中的“鼓励类”、“限制类”及“淘汰类”，按照《促进产业结构调整暂行规定》（国发〔2005〕40号）中的规定，该项目属于允许类建设项目，本项目</w:t>
            </w:r>
            <w:r>
              <w:rPr>
                <w:rFonts w:hint="eastAsia"/>
                <w:color w:val="auto"/>
                <w:szCs w:val="21"/>
              </w:rPr>
              <w:t>采用的</w:t>
            </w:r>
            <w:r>
              <w:rPr>
                <w:color w:val="auto"/>
                <w:szCs w:val="21"/>
              </w:rPr>
              <w:t>工艺及设备均不属于淘汰类和限制类。建设单位已取得</w:t>
            </w:r>
            <w:r>
              <w:rPr>
                <w:rFonts w:hint="eastAsia"/>
                <w:color w:val="auto"/>
                <w:szCs w:val="21"/>
              </w:rPr>
              <w:t>该</w:t>
            </w:r>
            <w:r>
              <w:rPr>
                <w:color w:val="auto"/>
                <w:szCs w:val="21"/>
              </w:rPr>
              <w:t>矿山的《采矿许可证》（证号：</w:t>
            </w:r>
            <w:r>
              <w:rPr>
                <w:rFonts w:hint="eastAsia"/>
                <w:color w:val="auto"/>
                <w:szCs w:val="21"/>
              </w:rPr>
              <w:t>C</w:t>
            </w:r>
            <w:r>
              <w:rPr>
                <w:color w:val="auto"/>
                <w:szCs w:val="21"/>
              </w:rPr>
              <w:t>5117002024027140156361）。项目已完成备案，取得了《四川省固定资产投资项目备案表》，备案号：</w:t>
            </w:r>
            <w:r>
              <w:rPr>
                <w:rFonts w:hint="eastAsia"/>
                <w:color w:val="auto"/>
                <w:szCs w:val="21"/>
              </w:rPr>
              <w:t>川投资备【2310-511722-04-01-302608】FGQB-0560 号</w:t>
            </w:r>
            <w:r>
              <w:rPr>
                <w:color w:val="auto"/>
                <w:szCs w:val="21"/>
              </w:rPr>
              <w:t>。</w:t>
            </w:r>
          </w:p>
          <w:p>
            <w:pPr>
              <w:autoSpaceDE w:val="0"/>
              <w:autoSpaceDN w:val="0"/>
              <w:adjustRightInd w:val="0"/>
              <w:snapToGrid w:val="0"/>
              <w:spacing w:line="360" w:lineRule="auto"/>
              <w:ind w:firstLine="420" w:firstLineChars="200"/>
              <w:rPr>
                <w:color w:val="auto"/>
                <w:szCs w:val="21"/>
              </w:rPr>
            </w:pPr>
            <w:r>
              <w:rPr>
                <w:color w:val="auto"/>
                <w:szCs w:val="21"/>
              </w:rPr>
              <w:t>因此，本项目与国家产业政策是相符的。</w:t>
            </w:r>
          </w:p>
          <w:p>
            <w:pPr>
              <w:autoSpaceDE w:val="0"/>
              <w:autoSpaceDN w:val="0"/>
              <w:adjustRightInd w:val="0"/>
              <w:snapToGrid w:val="0"/>
              <w:spacing w:line="360" w:lineRule="auto"/>
              <w:rPr>
                <w:rFonts w:ascii="宋体" w:hAnsi="宋体" w:cs="宋体"/>
                <w:color w:val="auto"/>
                <w:kern w:val="0"/>
                <w:szCs w:val="21"/>
              </w:rPr>
            </w:pPr>
            <w:r>
              <w:rPr>
                <w:rFonts w:ascii="宋体" w:hAnsi="宋体" w:cs="宋体"/>
                <w:b/>
                <w:color w:val="auto"/>
                <w:kern w:val="0"/>
                <w:szCs w:val="21"/>
              </w:rPr>
              <w:t>2</w:t>
            </w:r>
            <w:r>
              <w:rPr>
                <w:rFonts w:hint="eastAsia" w:ascii="宋体" w:hAnsi="宋体" w:cs="宋体"/>
                <w:b/>
                <w:color w:val="auto"/>
                <w:kern w:val="0"/>
                <w:szCs w:val="21"/>
              </w:rPr>
              <w:t>、与“三线一单”的符合性分析</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“三线一单”是指生态保护红线、环境质量底线、资源利用上线和生态环境准入清单，是推进生态环境保护精细化管理、强化国土空间环境管控、推进绿色发展高质量发展的一项重要工作。</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生态保护红线指在生态空间范围内具有特殊重要生态功能、必须强制性严格保护的区域；环境质量底线指结合环境质量现状和相关规划、功能区划要求，确定的分区域分阶段环境质量目标及相应的环境管控、污染物排放控制等要求；资源利用上线以保障生态安全和改善环境质量为目的，结合自然资源开发管控，提出的分区域分阶段的资源开发利用总量、强度、效率等上线管控要求；生态环境准入清单则是指基于环境管控单元，统筹考虑“三线”的管控要求，提出的空间布局、污染物排放、环境风险、资源开发利用等方面禁止和限制的环境准入要求。</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（1）分析结构</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根据四川省生态环境厅办公室《关于印发《产业园区规划环评“三线一单”符合性分析技术要点(试行)》和《项目环评“三线一单”符合性分析技术要点(试行)》的通知》（川环办函〔2021〕469号），本项目属于生态影响类建设项目，项目区上位资源开发利用规划未开展规划环评。因此，项目“三线一单”符合性分析应包括空间符合性分析和管控要求符合性分析。</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（2）分析要点</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①管控单元类别</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根据达州市人民政府《关于落实生态保护红线、环境质量底线、资源利用上线制定生态环境准入清单实施生态环境分区管控的通知》（达市府发〔2021〕17号），全市行政区域从生态环境保护角度划分为优先保护、重点管控和一般管控三类环境管控单元，全市共划定46个综合环境管控单元。</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优先保护单元。以生态环境保护为主的区域，全市划分优先保护单元17个，主要包括生态保护红线、自然保护地、饮用水水源保护区等。</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重点管控单元。涉及水、大气、土壤、自然资源等资源环境要素重点管控的区域，全市划分重点管控单元22个，主要包括人口密集的城镇规划区和产业集聚的工业园区（工业集聚区）等。</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一般管控单元。除优先保护单元和重点管控单元之外的其他区域，全市共划分一般管控单元7个。</w:t>
            </w:r>
          </w:p>
          <w:p>
            <w:pPr>
              <w:autoSpaceDE w:val="0"/>
              <w:autoSpaceDN w:val="0"/>
              <w:adjustRightInd w:val="0"/>
              <w:snapToGrid w:val="0"/>
              <w:spacing w:line="360" w:lineRule="auto"/>
              <w:ind w:firstLine="420" w:firstLineChars="200"/>
              <w:rPr>
                <w:rFonts w:ascii="宋体" w:hAnsi="宋体" w:cs="宋体"/>
                <w:color w:val="auto"/>
                <w:kern w:val="0"/>
                <w:szCs w:val="21"/>
              </w:rPr>
            </w:pPr>
            <w:r>
              <w:rPr>
                <w:color w:val="auto"/>
                <w:szCs w:val="21"/>
                <w:lang w:val="zh-CN"/>
              </w:rPr>
              <w:t>本项目位于</w:t>
            </w:r>
            <w:r>
              <w:rPr>
                <w:rFonts w:hint="eastAsia" w:ascii="宋体" w:hAnsi="宋体" w:cs="宋体"/>
                <w:color w:val="auto"/>
                <w:szCs w:val="21"/>
              </w:rPr>
              <w:t>达州市宣汉县漆树土家族乡乘龙村</w:t>
            </w:r>
            <w:r>
              <w:rPr>
                <w:color w:val="auto"/>
                <w:szCs w:val="21"/>
              </w:rPr>
              <w:t>，</w:t>
            </w:r>
            <w:r>
              <w:rPr>
                <w:color w:val="auto"/>
                <w:kern w:val="0"/>
                <w:szCs w:val="21"/>
                <w:lang w:val="zh-CN"/>
              </w:rPr>
              <w:t>对照《达州市环境管控单元分布图》，本项目</w:t>
            </w:r>
            <w:r>
              <w:rPr>
                <w:color w:val="auto"/>
                <w:kern w:val="0"/>
                <w:szCs w:val="21"/>
              </w:rPr>
              <w:t>矿山开采区</w:t>
            </w:r>
            <w:r>
              <w:rPr>
                <w:rFonts w:hint="eastAsia"/>
                <w:color w:val="auto"/>
                <w:kern w:val="0"/>
                <w:szCs w:val="21"/>
              </w:rPr>
              <w:t>、加工区及矿区道路</w:t>
            </w:r>
            <w:r>
              <w:rPr>
                <w:color w:val="auto"/>
                <w:kern w:val="0"/>
                <w:szCs w:val="21"/>
                <w:lang w:val="zh-CN"/>
              </w:rPr>
              <w:t>位于</w:t>
            </w:r>
            <w:r>
              <w:rPr>
                <w:rFonts w:hint="eastAsia"/>
                <w:color w:val="auto"/>
                <w:kern w:val="0"/>
                <w:szCs w:val="21"/>
                <w:lang w:val="zh-CN"/>
              </w:rPr>
              <w:t>宣汉县</w:t>
            </w:r>
            <w:r>
              <w:rPr>
                <w:color w:val="auto"/>
                <w:kern w:val="0"/>
                <w:szCs w:val="21"/>
              </w:rPr>
              <w:t>一般</w:t>
            </w:r>
            <w:r>
              <w:rPr>
                <w:color w:val="auto"/>
                <w:kern w:val="0"/>
                <w:szCs w:val="21"/>
                <w:lang w:val="zh-CN"/>
              </w:rPr>
              <w:t>管控单元</w:t>
            </w:r>
            <w:r>
              <w:rPr>
                <w:rFonts w:hint="eastAsia"/>
                <w:color w:val="auto"/>
                <w:kern w:val="0"/>
                <w:szCs w:val="21"/>
                <w:lang w:val="zh-CN"/>
              </w:rPr>
              <w:t>。</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针对一般管控单元，执行区域生态环境保护的基本要求，重点加强农业、生活等领域污染治理。</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本项目通过采取有针对性的污染治理措施及生态保护措施，并提出了污染物排放建议指标，不会改变区域环境功能类别，能够守住建设区域的环境质量底线。</w:t>
            </w:r>
          </w:p>
          <w:p>
            <w:pPr>
              <w:autoSpaceDE w:val="0"/>
              <w:autoSpaceDN w:val="0"/>
              <w:adjustRightInd w:val="0"/>
              <w:snapToGrid w:val="0"/>
              <w:spacing w:line="360" w:lineRule="auto"/>
              <w:ind w:firstLine="420" w:firstLineChars="200"/>
              <w:rPr>
                <w:color w:val="auto"/>
                <w:kern w:val="0"/>
                <w:szCs w:val="21"/>
              </w:rPr>
            </w:pPr>
            <w:r>
              <w:rPr>
                <w:rFonts w:hint="eastAsia" w:ascii="宋体" w:hAnsi="宋体" w:cs="宋体"/>
                <w:color w:val="auto"/>
                <w:kern w:val="0"/>
                <w:szCs w:val="21"/>
              </w:rPr>
              <w:t>②</w:t>
            </w:r>
            <w:r>
              <w:rPr>
                <w:color w:val="auto"/>
                <w:kern w:val="0"/>
                <w:szCs w:val="21"/>
              </w:rPr>
              <w:t>与生态红线、生态空间及自然保护地的位置关系</w:t>
            </w:r>
          </w:p>
          <w:p>
            <w:pPr>
              <w:autoSpaceDE w:val="0"/>
              <w:autoSpaceDN w:val="0"/>
              <w:adjustRightInd w:val="0"/>
              <w:snapToGrid w:val="0"/>
              <w:spacing w:line="360" w:lineRule="auto"/>
              <w:ind w:firstLine="420" w:firstLineChars="200"/>
              <w:rPr>
                <w:rFonts w:ascii="宋体" w:hAnsi="宋体" w:cs="宋体"/>
                <w:color w:val="auto"/>
                <w:kern w:val="0"/>
                <w:szCs w:val="21"/>
              </w:rPr>
            </w:pPr>
            <w:r>
              <w:rPr>
                <w:color w:val="auto"/>
                <w:kern w:val="0"/>
                <w:szCs w:val="21"/>
              </w:rPr>
              <w:t>根据《长江经济带战略环境评价四川省达州市“三线一单”生态环境分区管控优化完善研究报告》，达州市生态保护红线主要分布在大巴山和盆地区域，涉及大巴山生物多样性维护—水源涵养生态保护红线、盆中城市饮用水源—水土保持生态保护红线。达州市生态保护红线面积1214.56km</w:t>
            </w:r>
            <w:r>
              <w:rPr>
                <w:color w:val="auto"/>
                <w:kern w:val="0"/>
                <w:szCs w:val="21"/>
                <w:vertAlign w:val="superscript"/>
              </w:rPr>
              <w:t>2</w:t>
            </w:r>
            <w:r>
              <w:rPr>
                <w:color w:val="auto"/>
                <w:kern w:val="0"/>
                <w:szCs w:val="21"/>
              </w:rPr>
              <w:t>，占达州市国土面积比例的7.33%。达州市的生态空间类型主要包括评估区域（生态功能重要区、生态环境敏感区）、自然保护区、风景名胜区、饮用水源地、湿地自然公园、森林自然公园、地质自然公园、其他重要生态保护区域等，面积7308.21km</w:t>
            </w:r>
            <w:r>
              <w:rPr>
                <w:color w:val="auto"/>
                <w:kern w:val="0"/>
                <w:szCs w:val="21"/>
                <w:vertAlign w:val="superscript"/>
              </w:rPr>
              <w:t>2</w:t>
            </w:r>
            <w:r>
              <w:rPr>
                <w:color w:val="auto"/>
                <w:kern w:val="0"/>
                <w:szCs w:val="21"/>
              </w:rPr>
              <w:t>，占达州市国土面积比例的44.05%。其中自然保护区有3处，分别为四川蜂桶山省级自然保护区、四川花萼山国家级自然保护区、四川宣汉县百里峡自然保护区</w:t>
            </w:r>
            <w:r>
              <w:rPr>
                <w:rFonts w:hint="eastAsia"/>
                <w:color w:val="auto"/>
                <w:kern w:val="0"/>
                <w:szCs w:val="21"/>
              </w:rPr>
              <w:t>。本项目与其距离最近的为</w:t>
            </w:r>
            <w:r>
              <w:rPr>
                <w:color w:val="auto"/>
                <w:kern w:val="0"/>
                <w:szCs w:val="21"/>
              </w:rPr>
              <w:t>四川宣汉县百里峡自然保护区</w:t>
            </w:r>
            <w:r>
              <w:rPr>
                <w:rFonts w:hint="eastAsia"/>
                <w:color w:val="auto"/>
                <w:kern w:val="0"/>
                <w:szCs w:val="21"/>
              </w:rPr>
              <w:t>，</w:t>
            </w:r>
            <w:r>
              <w:rPr>
                <w:color w:val="auto"/>
                <w:kern w:val="0"/>
                <w:szCs w:val="21"/>
              </w:rPr>
              <w:t>其边界与项目边界距离约为8.78km</w:t>
            </w:r>
            <w:r>
              <w:rPr>
                <w:rFonts w:hint="eastAsia" w:ascii="宋体" w:hAnsi="宋体" w:cs="宋体"/>
                <w:color w:val="auto"/>
                <w:kern w:val="0"/>
                <w:szCs w:val="21"/>
              </w:rPr>
              <w:t>。</w:t>
            </w:r>
          </w:p>
          <w:p>
            <w:pPr>
              <w:autoSpaceDE w:val="0"/>
              <w:autoSpaceDN w:val="0"/>
              <w:adjustRightInd w:val="0"/>
              <w:snapToGrid w:val="0"/>
              <w:spacing w:line="360" w:lineRule="auto"/>
              <w:ind w:firstLine="420" w:firstLineChars="200"/>
              <w:rPr>
                <w:rFonts w:ascii="宋体" w:hAnsi="宋体" w:cs="宋体"/>
                <w:color w:val="auto"/>
                <w:kern w:val="0"/>
                <w:szCs w:val="21"/>
              </w:rPr>
            </w:pPr>
            <w:r>
              <w:rPr>
                <w:color w:val="auto"/>
                <w:kern w:val="0"/>
                <w:szCs w:val="21"/>
              </w:rPr>
              <w:t>项目与达州市生态保护红线的位置关系如下图。</w:t>
            </w:r>
          </w:p>
          <w:p>
            <w:pPr>
              <w:autoSpaceDE w:val="0"/>
              <w:autoSpaceDN w:val="0"/>
              <w:adjustRightInd w:val="0"/>
              <w:snapToGrid w:val="0"/>
              <w:spacing w:line="360" w:lineRule="auto"/>
              <w:jc w:val="center"/>
              <w:rPr>
                <w:rFonts w:ascii="宋体" w:hAnsi="宋体" w:cs="宋体"/>
                <w:color w:val="auto"/>
                <w:kern w:val="0"/>
                <w:szCs w:val="21"/>
              </w:rPr>
            </w:pPr>
            <w:r>
              <w:rPr>
                <w:color w:val="auto"/>
              </w:rPr>
              <w:drawing>
                <wp:inline distT="0" distB="0" distL="0" distR="0">
                  <wp:extent cx="4667250" cy="30765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srcRect/>
                          <a:stretch>
                            <a:fillRect/>
                          </a:stretch>
                        </pic:blipFill>
                        <pic:spPr>
                          <a:xfrm>
                            <a:off x="0" y="0"/>
                            <a:ext cx="4667250" cy="3076575"/>
                          </a:xfrm>
                          <a:prstGeom prst="rect">
                            <a:avLst/>
                          </a:prstGeom>
                          <a:noFill/>
                          <a:ln w="9525" cmpd="sng">
                            <a:noFill/>
                            <a:miter lim="800000"/>
                            <a:headEnd/>
                            <a:tailEnd/>
                          </a:ln>
                        </pic:spPr>
                      </pic:pic>
                    </a:graphicData>
                  </a:graphic>
                </wp:inline>
              </w:drawing>
            </w:r>
          </w:p>
          <w:p>
            <w:pPr>
              <w:autoSpaceDE w:val="0"/>
              <w:autoSpaceDN w:val="0"/>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图</w:t>
            </w:r>
            <w:r>
              <w:rPr>
                <w:rFonts w:ascii="宋体" w:hAnsi="宋体" w:cs="宋体"/>
                <w:b/>
                <w:color w:val="auto"/>
                <w:kern w:val="0"/>
                <w:sz w:val="18"/>
                <w:szCs w:val="18"/>
              </w:rPr>
              <w:t xml:space="preserve">1-1 </w:t>
            </w:r>
            <w:r>
              <w:rPr>
                <w:rFonts w:hint="eastAsia" w:ascii="宋体" w:hAnsi="宋体" w:cs="宋体"/>
                <w:b/>
                <w:color w:val="auto"/>
                <w:kern w:val="0"/>
                <w:sz w:val="18"/>
                <w:szCs w:val="18"/>
              </w:rPr>
              <w:t>达州市生态保护红线分布图</w:t>
            </w:r>
          </w:p>
          <w:p>
            <w:pPr>
              <w:autoSpaceDE w:val="0"/>
              <w:autoSpaceDN w:val="0"/>
              <w:adjustRightInd w:val="0"/>
              <w:snapToGrid w:val="0"/>
              <w:spacing w:line="360" w:lineRule="auto"/>
              <w:ind w:firstLine="420" w:firstLineChars="200"/>
              <w:rPr>
                <w:rFonts w:ascii="宋体" w:hAnsi="宋体" w:cs="宋体"/>
                <w:color w:val="auto"/>
                <w:kern w:val="0"/>
                <w:szCs w:val="21"/>
              </w:rPr>
            </w:pPr>
            <w:r>
              <w:rPr>
                <w:color w:val="auto"/>
                <w:kern w:val="0"/>
                <w:szCs w:val="21"/>
              </w:rPr>
              <w:t>项目与达州市生态</w:t>
            </w:r>
            <w:r>
              <w:rPr>
                <w:rFonts w:hint="eastAsia"/>
                <w:color w:val="auto"/>
                <w:kern w:val="0"/>
                <w:szCs w:val="21"/>
              </w:rPr>
              <w:t>空间</w:t>
            </w:r>
            <w:r>
              <w:rPr>
                <w:color w:val="auto"/>
                <w:kern w:val="0"/>
                <w:szCs w:val="21"/>
              </w:rPr>
              <w:t>的位置关系如下图。</w:t>
            </w:r>
          </w:p>
          <w:p>
            <w:pPr>
              <w:autoSpaceDE w:val="0"/>
              <w:autoSpaceDN w:val="0"/>
              <w:adjustRightInd w:val="0"/>
              <w:snapToGrid w:val="0"/>
              <w:spacing w:line="360" w:lineRule="auto"/>
              <w:jc w:val="center"/>
              <w:rPr>
                <w:rFonts w:ascii="宋体" w:hAnsi="宋体" w:cs="宋体"/>
                <w:color w:val="auto"/>
                <w:kern w:val="0"/>
                <w:szCs w:val="21"/>
              </w:rPr>
            </w:pPr>
            <w:r>
              <w:rPr>
                <w:color w:val="auto"/>
              </w:rPr>
              <w:drawing>
                <wp:inline distT="0" distB="0" distL="0" distR="0">
                  <wp:extent cx="4648200" cy="3019425"/>
                  <wp:effectExtent l="19050" t="0" r="0" b="0"/>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noChangeArrowheads="1"/>
                          </pic:cNvPicPr>
                        </pic:nvPicPr>
                        <pic:blipFill>
                          <a:blip r:embed="rId8"/>
                          <a:srcRect/>
                          <a:stretch>
                            <a:fillRect/>
                          </a:stretch>
                        </pic:blipFill>
                        <pic:spPr>
                          <a:xfrm>
                            <a:off x="0" y="0"/>
                            <a:ext cx="4648200" cy="3019425"/>
                          </a:xfrm>
                          <a:prstGeom prst="rect">
                            <a:avLst/>
                          </a:prstGeom>
                          <a:noFill/>
                          <a:ln w="9525">
                            <a:noFill/>
                            <a:miter lim="800000"/>
                            <a:headEnd/>
                            <a:tailEnd/>
                          </a:ln>
                        </pic:spPr>
                      </pic:pic>
                    </a:graphicData>
                  </a:graphic>
                </wp:inline>
              </w:drawing>
            </w:r>
          </w:p>
          <w:p>
            <w:pPr>
              <w:autoSpaceDE w:val="0"/>
              <w:autoSpaceDN w:val="0"/>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图1</w:t>
            </w:r>
            <w:r>
              <w:rPr>
                <w:rFonts w:ascii="宋体" w:hAnsi="宋体" w:cs="宋体"/>
                <w:b/>
                <w:color w:val="auto"/>
                <w:kern w:val="0"/>
                <w:sz w:val="18"/>
                <w:szCs w:val="18"/>
              </w:rPr>
              <w:t xml:space="preserve">-2 </w:t>
            </w:r>
            <w:r>
              <w:rPr>
                <w:rFonts w:hint="eastAsia" w:ascii="宋体" w:hAnsi="宋体" w:cs="宋体"/>
                <w:b/>
                <w:color w:val="auto"/>
                <w:kern w:val="0"/>
                <w:sz w:val="18"/>
                <w:szCs w:val="18"/>
              </w:rPr>
              <w:t>达州市生态空间分布图</w:t>
            </w:r>
          </w:p>
          <w:p>
            <w:pPr>
              <w:autoSpaceDE w:val="0"/>
              <w:autoSpaceDN w:val="0"/>
              <w:adjustRightInd w:val="0"/>
              <w:snapToGrid w:val="0"/>
              <w:spacing w:line="360" w:lineRule="auto"/>
              <w:ind w:firstLine="420" w:firstLineChars="200"/>
              <w:rPr>
                <w:rFonts w:ascii="宋体" w:hAnsi="宋体" w:cs="宋体"/>
                <w:color w:val="auto"/>
                <w:kern w:val="0"/>
                <w:szCs w:val="21"/>
              </w:rPr>
            </w:pPr>
            <w:r>
              <w:rPr>
                <w:color w:val="auto"/>
                <w:kern w:val="0"/>
                <w:szCs w:val="21"/>
              </w:rPr>
              <w:t>通过与达州市生态保护红线图（调整后）对比分析，本项目不涉及达州市生态保护红线、不在生态空间范围内，也不涉及自然保护地</w:t>
            </w:r>
            <w:r>
              <w:rPr>
                <w:rFonts w:hint="eastAsia"/>
                <w:color w:val="auto"/>
                <w:kern w:val="0"/>
                <w:szCs w:val="21"/>
              </w:rPr>
              <w:t>。</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③生态环境准入清单符合性分析</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本项目位于达州市宣汉县漆树土家族乡乘龙村，根据查询四川政务服务网—四川省生态环境厅“三线一单”应用平台“http://103.203.219.138:8083/gis2/n_index.html”，</w:t>
            </w:r>
            <w:r>
              <w:rPr>
                <w:rFonts w:hint="eastAsia" w:ascii="宋体" w:hAnsi="宋体" w:cs="宋体"/>
                <w:color w:val="auto"/>
                <w:szCs w:val="21"/>
              </w:rPr>
              <w:t>宣汉县漆树土家族乡乘龙村鲁家洞建筑石料用灰岩开发项目</w:t>
            </w:r>
            <w:r>
              <w:rPr>
                <w:rFonts w:hint="eastAsia" w:ascii="宋体" w:hAnsi="宋体" w:cs="宋体"/>
                <w:color w:val="auto"/>
                <w:kern w:val="0"/>
                <w:szCs w:val="21"/>
              </w:rPr>
              <w:t>开采区、加工区、矿区道路均位于达州市宣汉县环境综合管控单元一般管控单元（管控单元名称：宣汉县一般管控单元，管控单元编号：ZH5117</w:t>
            </w:r>
            <w:r>
              <w:rPr>
                <w:rFonts w:ascii="宋体" w:hAnsi="宋体" w:cs="宋体"/>
                <w:color w:val="auto"/>
                <w:kern w:val="0"/>
                <w:szCs w:val="21"/>
              </w:rPr>
              <w:t>2230001</w:t>
            </w:r>
            <w:r>
              <w:rPr>
                <w:rFonts w:hint="eastAsia" w:ascii="宋体" w:hAnsi="宋体" w:cs="宋体"/>
                <w:color w:val="auto"/>
                <w:kern w:val="0"/>
                <w:szCs w:val="21"/>
              </w:rPr>
              <w:t>）。</w:t>
            </w:r>
          </w:p>
          <w:p>
            <w:pPr>
              <w:autoSpaceDE w:val="0"/>
              <w:autoSpaceDN w:val="0"/>
              <w:adjustRightInd w:val="0"/>
              <w:snapToGrid w:val="0"/>
              <w:spacing w:line="360" w:lineRule="auto"/>
              <w:rPr>
                <w:rFonts w:ascii="宋体" w:hAnsi="宋体" w:cs="宋体"/>
                <w:color w:val="auto"/>
                <w:kern w:val="0"/>
                <w:szCs w:val="21"/>
              </w:rPr>
            </w:pPr>
            <w:r>
              <w:rPr>
                <w:color w:val="auto"/>
              </w:rPr>
              <w:drawing>
                <wp:inline distT="0" distB="0" distL="0" distR="0">
                  <wp:extent cx="4772025" cy="2781300"/>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a:srcRect/>
                          <a:stretch>
                            <a:fillRect/>
                          </a:stretch>
                        </pic:blipFill>
                        <pic:spPr>
                          <a:xfrm>
                            <a:off x="0" y="0"/>
                            <a:ext cx="4772025" cy="2781300"/>
                          </a:xfrm>
                          <a:prstGeom prst="rect">
                            <a:avLst/>
                          </a:prstGeom>
                          <a:noFill/>
                          <a:ln w="9525" cmpd="sng">
                            <a:noFill/>
                            <a:miter lim="800000"/>
                            <a:headEnd/>
                            <a:tailEnd/>
                          </a:ln>
                        </pic:spPr>
                      </pic:pic>
                    </a:graphicData>
                  </a:graphic>
                </wp:inline>
              </w:drawing>
            </w:r>
          </w:p>
          <w:p>
            <w:pPr>
              <w:autoSpaceDE w:val="0"/>
              <w:autoSpaceDN w:val="0"/>
              <w:adjustRightInd w:val="0"/>
              <w:snapToGrid w:val="0"/>
              <w:spacing w:line="360" w:lineRule="auto"/>
              <w:rPr>
                <w:rFonts w:ascii="宋体" w:hAnsi="宋体" w:cs="宋体"/>
                <w:color w:val="auto"/>
                <w:kern w:val="0"/>
                <w:szCs w:val="21"/>
              </w:rPr>
            </w:pPr>
            <w:r>
              <w:rPr>
                <w:color w:val="auto"/>
              </w:rPr>
              <w:drawing>
                <wp:inline distT="0" distB="0" distL="0" distR="0">
                  <wp:extent cx="4733925" cy="2724150"/>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0"/>
                          <a:srcRect/>
                          <a:stretch>
                            <a:fillRect/>
                          </a:stretch>
                        </pic:blipFill>
                        <pic:spPr>
                          <a:xfrm>
                            <a:off x="0" y="0"/>
                            <a:ext cx="4733925" cy="2724150"/>
                          </a:xfrm>
                          <a:prstGeom prst="rect">
                            <a:avLst/>
                          </a:prstGeom>
                          <a:noFill/>
                          <a:ln w="9525" cmpd="sng">
                            <a:noFill/>
                            <a:miter lim="800000"/>
                            <a:headEnd/>
                            <a:tailEnd/>
                          </a:ln>
                        </pic:spPr>
                      </pic:pic>
                    </a:graphicData>
                  </a:graphic>
                </wp:inline>
              </w:drawing>
            </w:r>
          </w:p>
          <w:p>
            <w:pPr>
              <w:autoSpaceDE w:val="0"/>
              <w:autoSpaceDN w:val="0"/>
              <w:adjustRightInd w:val="0"/>
              <w:snapToGrid w:val="0"/>
              <w:spacing w:line="360" w:lineRule="auto"/>
              <w:rPr>
                <w:rFonts w:ascii="宋体" w:hAnsi="宋体" w:cs="宋体"/>
                <w:color w:val="auto"/>
                <w:kern w:val="0"/>
                <w:szCs w:val="21"/>
              </w:rPr>
            </w:pPr>
            <w:r>
              <w:rPr>
                <w:color w:val="auto"/>
              </w:rPr>
              <w:drawing>
                <wp:inline distT="0" distB="0" distL="0" distR="0">
                  <wp:extent cx="4676775" cy="2695575"/>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1"/>
                          <a:srcRect/>
                          <a:stretch>
                            <a:fillRect/>
                          </a:stretch>
                        </pic:blipFill>
                        <pic:spPr>
                          <a:xfrm>
                            <a:off x="0" y="0"/>
                            <a:ext cx="4676775" cy="2695575"/>
                          </a:xfrm>
                          <a:prstGeom prst="rect">
                            <a:avLst/>
                          </a:prstGeom>
                          <a:noFill/>
                          <a:ln w="9525" cmpd="sng">
                            <a:noFill/>
                            <a:miter lim="800000"/>
                            <a:headEnd/>
                            <a:tailEnd/>
                          </a:ln>
                        </pic:spPr>
                      </pic:pic>
                    </a:graphicData>
                  </a:graphic>
                </wp:inline>
              </w:drawing>
            </w:r>
          </w:p>
          <w:p>
            <w:pPr>
              <w:autoSpaceDE w:val="0"/>
              <w:autoSpaceDN w:val="0"/>
              <w:adjustRightInd w:val="0"/>
              <w:snapToGrid w:val="0"/>
              <w:spacing w:line="360" w:lineRule="auto"/>
              <w:jc w:val="center"/>
              <w:rPr>
                <w:rFonts w:ascii="宋体" w:hAnsi="宋体" w:cs="宋体"/>
                <w:b/>
                <w:color w:val="auto"/>
                <w:kern w:val="0"/>
                <w:sz w:val="18"/>
                <w:szCs w:val="18"/>
              </w:rPr>
            </w:pPr>
            <w:r>
              <w:rPr>
                <w:rFonts w:hint="eastAsia" w:ascii="宋体" w:hAnsi="宋体"/>
                <w:b/>
                <w:color w:val="auto"/>
                <w:sz w:val="18"/>
                <w:szCs w:val="18"/>
              </w:rPr>
              <w:t>图</w:t>
            </w:r>
            <w:r>
              <w:rPr>
                <w:rFonts w:ascii="宋体" w:hAnsi="宋体"/>
                <w:b/>
                <w:color w:val="auto"/>
                <w:sz w:val="18"/>
                <w:szCs w:val="18"/>
              </w:rPr>
              <w:t xml:space="preserve">1-3 </w:t>
            </w:r>
            <w:r>
              <w:rPr>
                <w:rFonts w:hint="eastAsia" w:ascii="宋体" w:hAnsi="宋体"/>
                <w:b/>
                <w:color w:val="auto"/>
                <w:sz w:val="18"/>
                <w:szCs w:val="18"/>
              </w:rPr>
              <w:t>项目“三线一单”符合性分析查询截图</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宣汉县漆树土家族乡乘龙村鲁家洞建筑石料用灰岩开发项目开采区、加工区、矿区道路位于达州市宣汉县环境综合管控单元一般管控单元（管控单元名称：宣汉县一般管控单元，管控单元编号：ZH51172230001）</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项目与管控单元相对位置如下图所示：（图中▼表示项目位置）</w:t>
            </w:r>
          </w:p>
          <w:p>
            <w:pPr>
              <w:autoSpaceDE w:val="0"/>
              <w:autoSpaceDN w:val="0"/>
              <w:adjustRightInd w:val="0"/>
              <w:snapToGrid w:val="0"/>
              <w:spacing w:line="360" w:lineRule="auto"/>
              <w:rPr>
                <w:rFonts w:ascii="宋体" w:hAnsi="宋体" w:cs="宋体"/>
                <w:color w:val="auto"/>
                <w:kern w:val="0"/>
                <w:szCs w:val="21"/>
              </w:rPr>
            </w:pPr>
            <w:r>
              <w:rPr>
                <w:rFonts w:ascii="Helvetica" w:hAnsi="Helvetica" w:cs="Helvetica"/>
                <w:color w:val="auto"/>
                <w:sz w:val="28"/>
                <w:szCs w:val="28"/>
              </w:rPr>
              <w:drawing>
                <wp:inline distT="0" distB="0" distL="0" distR="0">
                  <wp:extent cx="4724400" cy="28384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srcRect/>
                          <a:stretch>
                            <a:fillRect/>
                          </a:stretch>
                        </pic:blipFill>
                        <pic:spPr>
                          <a:xfrm>
                            <a:off x="0" y="0"/>
                            <a:ext cx="4724400" cy="2838450"/>
                          </a:xfrm>
                          <a:prstGeom prst="rect">
                            <a:avLst/>
                          </a:prstGeom>
                          <a:noFill/>
                          <a:ln w="9525" cmpd="sng">
                            <a:noFill/>
                            <a:miter lim="800000"/>
                            <a:headEnd/>
                            <a:tailEnd/>
                          </a:ln>
                        </pic:spPr>
                      </pic:pic>
                    </a:graphicData>
                  </a:graphic>
                </wp:inline>
              </w:drawing>
            </w:r>
          </w:p>
          <w:p>
            <w:pPr>
              <w:autoSpaceDE w:val="0"/>
              <w:autoSpaceDN w:val="0"/>
              <w:adjustRightInd w:val="0"/>
              <w:snapToGrid w:val="0"/>
              <w:spacing w:line="360" w:lineRule="auto"/>
              <w:jc w:val="center"/>
              <w:rPr>
                <w:rFonts w:ascii="宋体" w:hAnsi="宋体" w:cs="宋体"/>
                <w:color w:val="auto"/>
                <w:kern w:val="0"/>
                <w:szCs w:val="21"/>
              </w:rPr>
            </w:pPr>
            <w:r>
              <w:rPr>
                <w:rFonts w:hint="eastAsia" w:ascii="宋体" w:hAnsi="宋体"/>
                <w:b/>
                <w:color w:val="auto"/>
                <w:sz w:val="18"/>
                <w:szCs w:val="18"/>
              </w:rPr>
              <w:t>图</w:t>
            </w:r>
            <w:r>
              <w:rPr>
                <w:rFonts w:ascii="宋体" w:hAnsi="宋体"/>
                <w:b/>
                <w:color w:val="auto"/>
                <w:sz w:val="18"/>
                <w:szCs w:val="18"/>
              </w:rPr>
              <w:t xml:space="preserve">1-4 </w:t>
            </w:r>
            <w:r>
              <w:rPr>
                <w:rFonts w:hint="eastAsia" w:ascii="宋体" w:hAnsi="宋体"/>
                <w:b/>
                <w:color w:val="auto"/>
                <w:sz w:val="18"/>
                <w:szCs w:val="18"/>
              </w:rPr>
              <w:t>项目开采区与环境综合管控单元的位置关系图</w:t>
            </w:r>
          </w:p>
          <w:p>
            <w:pPr>
              <w:autoSpaceDE w:val="0"/>
              <w:autoSpaceDN w:val="0"/>
              <w:adjustRightInd w:val="0"/>
              <w:snapToGrid w:val="0"/>
              <w:spacing w:line="360" w:lineRule="auto"/>
              <w:rPr>
                <w:rFonts w:ascii="宋体" w:hAnsi="宋体" w:cs="宋体"/>
                <w:color w:val="auto"/>
                <w:kern w:val="0"/>
                <w:szCs w:val="21"/>
              </w:rPr>
            </w:pPr>
            <w:r>
              <w:rPr>
                <w:rFonts w:ascii="Helvetica" w:hAnsi="Helvetica" w:cs="Helvetica"/>
                <w:color w:val="auto"/>
                <w:sz w:val="28"/>
                <w:szCs w:val="28"/>
              </w:rPr>
              <w:drawing>
                <wp:inline distT="0" distB="0" distL="0" distR="0">
                  <wp:extent cx="4733925" cy="28384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srcRect/>
                          <a:stretch>
                            <a:fillRect/>
                          </a:stretch>
                        </pic:blipFill>
                        <pic:spPr>
                          <a:xfrm>
                            <a:off x="0" y="0"/>
                            <a:ext cx="4733925" cy="2838450"/>
                          </a:xfrm>
                          <a:prstGeom prst="rect">
                            <a:avLst/>
                          </a:prstGeom>
                          <a:noFill/>
                          <a:ln w="9525" cmpd="sng">
                            <a:noFill/>
                            <a:miter lim="800000"/>
                            <a:headEnd/>
                            <a:tailEnd/>
                          </a:ln>
                        </pic:spPr>
                      </pic:pic>
                    </a:graphicData>
                  </a:graphic>
                </wp:inline>
              </w:drawing>
            </w:r>
          </w:p>
          <w:p>
            <w:pPr>
              <w:autoSpaceDE w:val="0"/>
              <w:autoSpaceDN w:val="0"/>
              <w:adjustRightInd w:val="0"/>
              <w:snapToGrid w:val="0"/>
              <w:spacing w:line="360" w:lineRule="auto"/>
              <w:jc w:val="center"/>
              <w:rPr>
                <w:rFonts w:ascii="宋体" w:hAnsi="宋体" w:cs="宋体"/>
                <w:color w:val="auto"/>
                <w:kern w:val="0"/>
                <w:szCs w:val="21"/>
              </w:rPr>
            </w:pPr>
            <w:r>
              <w:rPr>
                <w:rFonts w:hint="eastAsia" w:ascii="宋体" w:hAnsi="宋体"/>
                <w:b/>
                <w:color w:val="auto"/>
                <w:sz w:val="18"/>
                <w:szCs w:val="18"/>
              </w:rPr>
              <w:t>图</w:t>
            </w:r>
            <w:r>
              <w:rPr>
                <w:rFonts w:ascii="宋体" w:hAnsi="宋体"/>
                <w:b/>
                <w:color w:val="auto"/>
                <w:sz w:val="18"/>
                <w:szCs w:val="18"/>
              </w:rPr>
              <w:t xml:space="preserve">1-5 </w:t>
            </w:r>
            <w:r>
              <w:rPr>
                <w:rFonts w:hint="eastAsia" w:ascii="宋体" w:hAnsi="宋体"/>
                <w:b/>
                <w:color w:val="auto"/>
                <w:sz w:val="18"/>
                <w:szCs w:val="18"/>
              </w:rPr>
              <w:t>项目加工区与环境综合管控单元的位置关系图</w:t>
            </w:r>
          </w:p>
          <w:p>
            <w:pPr>
              <w:autoSpaceDE w:val="0"/>
              <w:autoSpaceDN w:val="0"/>
              <w:adjustRightInd w:val="0"/>
              <w:snapToGrid w:val="0"/>
              <w:spacing w:line="360" w:lineRule="auto"/>
              <w:rPr>
                <w:rFonts w:ascii="宋体" w:hAnsi="宋体" w:cs="宋体"/>
                <w:color w:val="auto"/>
                <w:kern w:val="0"/>
                <w:szCs w:val="21"/>
              </w:rPr>
            </w:pPr>
            <w:r>
              <w:rPr>
                <w:rFonts w:ascii="Helvetica" w:hAnsi="Helvetica" w:cs="Helvetica"/>
                <w:color w:val="auto"/>
                <w:sz w:val="28"/>
                <w:szCs w:val="28"/>
              </w:rPr>
              <w:drawing>
                <wp:inline distT="0" distB="0" distL="0" distR="0">
                  <wp:extent cx="4733925" cy="2838450"/>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srcRect/>
                          <a:stretch>
                            <a:fillRect/>
                          </a:stretch>
                        </pic:blipFill>
                        <pic:spPr>
                          <a:xfrm>
                            <a:off x="0" y="0"/>
                            <a:ext cx="4733925" cy="2838450"/>
                          </a:xfrm>
                          <a:prstGeom prst="rect">
                            <a:avLst/>
                          </a:prstGeom>
                          <a:noFill/>
                          <a:ln w="9525" cmpd="sng">
                            <a:noFill/>
                            <a:miter lim="800000"/>
                            <a:headEnd/>
                            <a:tailEnd/>
                          </a:ln>
                        </pic:spPr>
                      </pic:pic>
                    </a:graphicData>
                  </a:graphic>
                </wp:inline>
              </w:drawing>
            </w:r>
          </w:p>
          <w:p>
            <w:pPr>
              <w:autoSpaceDE w:val="0"/>
              <w:autoSpaceDN w:val="0"/>
              <w:adjustRightInd w:val="0"/>
              <w:snapToGrid w:val="0"/>
              <w:spacing w:line="360" w:lineRule="auto"/>
              <w:jc w:val="center"/>
              <w:rPr>
                <w:rFonts w:ascii="宋体" w:hAnsi="宋体" w:cs="宋体"/>
                <w:color w:val="auto"/>
                <w:kern w:val="0"/>
                <w:szCs w:val="21"/>
              </w:rPr>
            </w:pPr>
            <w:r>
              <w:rPr>
                <w:rFonts w:hint="eastAsia" w:ascii="宋体" w:hAnsi="宋体"/>
                <w:b/>
                <w:color w:val="auto"/>
                <w:sz w:val="18"/>
                <w:szCs w:val="18"/>
              </w:rPr>
              <w:t>图</w:t>
            </w:r>
            <w:r>
              <w:rPr>
                <w:rFonts w:ascii="宋体" w:hAnsi="宋体"/>
                <w:b/>
                <w:color w:val="auto"/>
                <w:sz w:val="18"/>
                <w:szCs w:val="18"/>
              </w:rPr>
              <w:t xml:space="preserve">1-6 </w:t>
            </w:r>
            <w:r>
              <w:rPr>
                <w:rFonts w:hint="eastAsia" w:ascii="宋体" w:hAnsi="宋体"/>
                <w:b/>
                <w:color w:val="auto"/>
                <w:sz w:val="18"/>
                <w:szCs w:val="18"/>
              </w:rPr>
              <w:t>项目矿区道路与环境综合管控单元的位置关系图</w:t>
            </w:r>
          </w:p>
          <w:p>
            <w:pPr>
              <w:autoSpaceDE w:val="0"/>
              <w:autoSpaceDN w:val="0"/>
              <w:adjustRightInd w:val="0"/>
              <w:snapToGrid w:val="0"/>
              <w:spacing w:line="360" w:lineRule="auto"/>
              <w:ind w:firstLine="420" w:firstLineChars="200"/>
              <w:rPr>
                <w:rFonts w:ascii="宋体" w:hAnsi="宋体" w:cs="宋体"/>
                <w:color w:val="auto"/>
                <w:kern w:val="0"/>
                <w:szCs w:val="21"/>
              </w:rPr>
            </w:pPr>
            <w:r>
              <w:rPr>
                <w:color w:val="auto"/>
                <w:szCs w:val="21"/>
              </w:rPr>
              <w:t>项目开采区</w:t>
            </w:r>
            <w:r>
              <w:rPr>
                <w:rFonts w:hint="eastAsia"/>
                <w:color w:val="auto"/>
                <w:szCs w:val="21"/>
              </w:rPr>
              <w:t>、加工区及矿区道路</w:t>
            </w:r>
            <w:r>
              <w:rPr>
                <w:color w:val="auto"/>
                <w:szCs w:val="21"/>
              </w:rPr>
              <w:t>涉及环境管控单元3个，涉及管控单元见下表。</w:t>
            </w:r>
          </w:p>
          <w:p>
            <w:pPr>
              <w:autoSpaceDE w:val="0"/>
              <w:autoSpaceDN w:val="0"/>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w:t>
            </w:r>
            <w:r>
              <w:rPr>
                <w:rFonts w:ascii="宋体" w:hAnsi="宋体" w:cs="宋体"/>
                <w:b/>
                <w:color w:val="auto"/>
                <w:kern w:val="0"/>
                <w:sz w:val="18"/>
                <w:szCs w:val="18"/>
              </w:rPr>
              <w:t>1-4</w:t>
            </w:r>
            <w:r>
              <w:rPr>
                <w:rFonts w:hint="eastAsia" w:ascii="宋体" w:hAnsi="宋体" w:cs="宋体"/>
                <w:b/>
                <w:color w:val="auto"/>
                <w:kern w:val="0"/>
                <w:sz w:val="18"/>
                <w:szCs w:val="18"/>
              </w:rPr>
              <w:t xml:space="preserve"> 项目所涉及环境管控单元一览表</w:t>
            </w:r>
          </w:p>
          <w:tbl>
            <w:tblPr>
              <w:tblStyle w:val="14"/>
              <w:tblW w:w="485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1429"/>
              <w:gridCol w:w="1057"/>
              <w:gridCol w:w="795"/>
              <w:gridCol w:w="1233"/>
              <w:gridCol w:w="13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312" w:hRule="atLeast"/>
                <w:tblHeader/>
                <w:jc w:val="center"/>
              </w:trPr>
              <w:tc>
                <w:tcPr>
                  <w:tcW w:w="1025" w:type="pct"/>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环境管控单元编码</w:t>
                  </w:r>
                </w:p>
              </w:tc>
              <w:tc>
                <w:tcPr>
                  <w:tcW w:w="965" w:type="pct"/>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环境管控单元名称</w:t>
                  </w:r>
                </w:p>
              </w:tc>
              <w:tc>
                <w:tcPr>
                  <w:tcW w:w="714" w:type="pct"/>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所属市（州）</w:t>
                  </w:r>
                </w:p>
              </w:tc>
              <w:tc>
                <w:tcPr>
                  <w:tcW w:w="537" w:type="pct"/>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所属区县</w:t>
                  </w:r>
                </w:p>
              </w:tc>
              <w:tc>
                <w:tcPr>
                  <w:tcW w:w="833" w:type="pct"/>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准入清单类型</w:t>
                  </w:r>
                </w:p>
              </w:tc>
              <w:tc>
                <w:tcPr>
                  <w:tcW w:w="927" w:type="pct"/>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管控类型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312" w:hRule="atLeast"/>
                <w:tblHeader/>
                <w:jc w:val="center"/>
              </w:trPr>
              <w:tc>
                <w:tcPr>
                  <w:tcW w:w="1025"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YS5117223210002</w:t>
                  </w:r>
                </w:p>
              </w:tc>
              <w:tc>
                <w:tcPr>
                  <w:tcW w:w="965"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州河-宣汉县-张鼓坪-控制单元</w:t>
                  </w:r>
                </w:p>
              </w:tc>
              <w:tc>
                <w:tcPr>
                  <w:tcW w:w="714"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达州市</w:t>
                  </w:r>
                </w:p>
              </w:tc>
              <w:tc>
                <w:tcPr>
                  <w:tcW w:w="537"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宣汉县</w:t>
                  </w:r>
                </w:p>
              </w:tc>
              <w:tc>
                <w:tcPr>
                  <w:tcW w:w="833"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水环境管控分区</w:t>
                  </w:r>
                </w:p>
              </w:tc>
              <w:tc>
                <w:tcPr>
                  <w:tcW w:w="927"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水环境一般管控区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025"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YS5117223310001</w:t>
                  </w:r>
                </w:p>
              </w:tc>
              <w:tc>
                <w:tcPr>
                  <w:tcW w:w="965"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宣汉县大气环境一般管控区</w:t>
                  </w:r>
                </w:p>
              </w:tc>
              <w:tc>
                <w:tcPr>
                  <w:tcW w:w="714"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达州市</w:t>
                  </w:r>
                </w:p>
              </w:tc>
              <w:tc>
                <w:tcPr>
                  <w:tcW w:w="537"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宣汉县</w:t>
                  </w:r>
                </w:p>
              </w:tc>
              <w:tc>
                <w:tcPr>
                  <w:tcW w:w="833"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大气环境管控分区</w:t>
                  </w:r>
                </w:p>
              </w:tc>
              <w:tc>
                <w:tcPr>
                  <w:tcW w:w="927"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大气环境一般管控区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312" w:hRule="atLeast"/>
                <w:tblHeader/>
                <w:jc w:val="center"/>
              </w:trPr>
              <w:tc>
                <w:tcPr>
                  <w:tcW w:w="1025"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ZH51172230001</w:t>
                  </w:r>
                </w:p>
              </w:tc>
              <w:tc>
                <w:tcPr>
                  <w:tcW w:w="965"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宣汉县一般管控单元</w:t>
                  </w:r>
                </w:p>
              </w:tc>
              <w:tc>
                <w:tcPr>
                  <w:tcW w:w="714"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达州市</w:t>
                  </w:r>
                </w:p>
              </w:tc>
              <w:tc>
                <w:tcPr>
                  <w:tcW w:w="537"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宣汉县</w:t>
                  </w:r>
                </w:p>
              </w:tc>
              <w:tc>
                <w:tcPr>
                  <w:tcW w:w="833"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环境管控单元</w:t>
                  </w:r>
                </w:p>
              </w:tc>
              <w:tc>
                <w:tcPr>
                  <w:tcW w:w="927" w:type="pct"/>
                  <w:vAlign w:val="center"/>
                </w:tcPr>
                <w:p>
                  <w:pPr>
                    <w:pStyle w:val="47"/>
                    <w:widowControl/>
                    <w:spacing w:line="240" w:lineRule="auto"/>
                    <w:ind w:firstLine="0" w:firstLineChars="0"/>
                    <w:jc w:val="center"/>
                    <w:rPr>
                      <w:rFonts w:ascii="宋体" w:hAnsi="宋体" w:eastAsia="宋体"/>
                      <w:color w:val="auto"/>
                      <w:sz w:val="18"/>
                      <w:szCs w:val="18"/>
                    </w:rPr>
                  </w:pPr>
                  <w:r>
                    <w:rPr>
                      <w:rFonts w:hint="eastAsia" w:ascii="宋体" w:hAnsi="宋体" w:eastAsia="宋体"/>
                      <w:color w:val="auto"/>
                      <w:sz w:val="18"/>
                      <w:szCs w:val="18"/>
                    </w:rPr>
                    <w:t>环境综合管控单元一般管控单元</w:t>
                  </w:r>
                </w:p>
              </w:tc>
            </w:tr>
          </w:tbl>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综上，本项目</w:t>
            </w:r>
            <w:r>
              <w:rPr>
                <w:color w:val="auto"/>
                <w:szCs w:val="21"/>
              </w:rPr>
              <w:t>开采区</w:t>
            </w:r>
            <w:r>
              <w:rPr>
                <w:rFonts w:hint="eastAsia"/>
                <w:color w:val="auto"/>
                <w:szCs w:val="21"/>
              </w:rPr>
              <w:t>、加工区及矿区道路</w:t>
            </w:r>
            <w:r>
              <w:rPr>
                <w:rFonts w:hint="eastAsia" w:ascii="宋体" w:hAnsi="宋体" w:cs="宋体"/>
                <w:color w:val="auto"/>
                <w:kern w:val="0"/>
                <w:szCs w:val="21"/>
              </w:rPr>
              <w:t>所在区域均属于一般管控单元，均不在饮用水源保护区、自然保护区、风景名胜区、湿地公园、地质公园等各类生态保护红线范围内。项目所在地生态环境准入清单符合性分析见下表。</w:t>
            </w:r>
          </w:p>
          <w:p>
            <w:pPr>
              <w:autoSpaceDE w:val="0"/>
              <w:autoSpaceDN w:val="0"/>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w:t>
            </w:r>
            <w:r>
              <w:rPr>
                <w:rFonts w:ascii="宋体" w:hAnsi="宋体" w:cs="宋体"/>
                <w:b/>
                <w:color w:val="auto"/>
                <w:kern w:val="0"/>
                <w:sz w:val="18"/>
                <w:szCs w:val="18"/>
              </w:rPr>
              <w:t>1-5</w:t>
            </w:r>
            <w:r>
              <w:rPr>
                <w:rFonts w:hint="eastAsia" w:ascii="宋体" w:hAnsi="宋体" w:cs="宋体"/>
                <w:b/>
                <w:color w:val="auto"/>
                <w:kern w:val="0"/>
                <w:sz w:val="18"/>
                <w:szCs w:val="18"/>
              </w:rPr>
              <w:t xml:space="preserve">  项目与生态环境准入清单的符合性分析表</w:t>
            </w:r>
          </w:p>
          <w:tbl>
            <w:tblPr>
              <w:tblStyle w:val="1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720"/>
              <w:gridCol w:w="705"/>
              <w:gridCol w:w="555"/>
              <w:gridCol w:w="2505"/>
              <w:gridCol w:w="1305"/>
              <w:gridCol w:w="6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37" w:type="dxa"/>
                  <w:vAlign w:val="center"/>
                </w:tcPr>
                <w:p>
                  <w:pPr>
                    <w:jc w:val="center"/>
                    <w:rPr>
                      <w:b/>
                      <w:bCs/>
                      <w:color w:val="auto"/>
                      <w:sz w:val="18"/>
                      <w:szCs w:val="18"/>
                    </w:rPr>
                  </w:pPr>
                  <w:r>
                    <w:rPr>
                      <w:b/>
                      <w:bCs/>
                      <w:color w:val="auto"/>
                      <w:sz w:val="18"/>
                      <w:szCs w:val="18"/>
                    </w:rPr>
                    <w:t>环境管控单元编码</w:t>
                  </w:r>
                </w:p>
              </w:tc>
              <w:tc>
                <w:tcPr>
                  <w:tcW w:w="720" w:type="dxa"/>
                  <w:vAlign w:val="center"/>
                </w:tcPr>
                <w:p>
                  <w:pPr>
                    <w:jc w:val="center"/>
                    <w:rPr>
                      <w:b/>
                      <w:bCs/>
                      <w:color w:val="auto"/>
                      <w:sz w:val="18"/>
                      <w:szCs w:val="18"/>
                    </w:rPr>
                  </w:pPr>
                  <w:r>
                    <w:rPr>
                      <w:b/>
                      <w:bCs/>
                      <w:color w:val="auto"/>
                      <w:sz w:val="18"/>
                      <w:szCs w:val="18"/>
                    </w:rPr>
                    <w:t>环境管控单元名称</w:t>
                  </w:r>
                </w:p>
              </w:tc>
              <w:tc>
                <w:tcPr>
                  <w:tcW w:w="705" w:type="dxa"/>
                  <w:vAlign w:val="center"/>
                </w:tcPr>
                <w:p>
                  <w:pPr>
                    <w:jc w:val="center"/>
                    <w:rPr>
                      <w:b/>
                      <w:color w:val="auto"/>
                      <w:spacing w:val="-8"/>
                      <w:sz w:val="18"/>
                      <w:szCs w:val="18"/>
                    </w:rPr>
                  </w:pPr>
                  <w:r>
                    <w:rPr>
                      <w:b/>
                      <w:bCs/>
                      <w:color w:val="auto"/>
                      <w:kern w:val="0"/>
                      <w:sz w:val="18"/>
                      <w:szCs w:val="18"/>
                    </w:rPr>
                    <w:t>管控单元分类</w:t>
                  </w:r>
                </w:p>
              </w:tc>
              <w:tc>
                <w:tcPr>
                  <w:tcW w:w="555" w:type="dxa"/>
                  <w:vAlign w:val="center"/>
                </w:tcPr>
                <w:p>
                  <w:pPr>
                    <w:jc w:val="center"/>
                    <w:rPr>
                      <w:b/>
                      <w:bCs/>
                      <w:color w:val="auto"/>
                      <w:sz w:val="18"/>
                      <w:szCs w:val="18"/>
                    </w:rPr>
                  </w:pPr>
                  <w:r>
                    <w:rPr>
                      <w:b/>
                      <w:bCs/>
                      <w:color w:val="auto"/>
                      <w:sz w:val="18"/>
                      <w:szCs w:val="18"/>
                    </w:rPr>
                    <w:t>类别</w:t>
                  </w:r>
                </w:p>
              </w:tc>
              <w:tc>
                <w:tcPr>
                  <w:tcW w:w="2505" w:type="dxa"/>
                  <w:vAlign w:val="center"/>
                </w:tcPr>
                <w:p>
                  <w:pPr>
                    <w:jc w:val="center"/>
                    <w:rPr>
                      <w:b/>
                      <w:bCs/>
                      <w:color w:val="auto"/>
                      <w:sz w:val="18"/>
                      <w:szCs w:val="18"/>
                    </w:rPr>
                  </w:pPr>
                  <w:r>
                    <w:rPr>
                      <w:b/>
                      <w:bCs/>
                      <w:color w:val="auto"/>
                      <w:kern w:val="0"/>
                      <w:sz w:val="18"/>
                      <w:szCs w:val="18"/>
                    </w:rPr>
                    <w:t>管控要求</w:t>
                  </w:r>
                </w:p>
              </w:tc>
              <w:tc>
                <w:tcPr>
                  <w:tcW w:w="1305" w:type="dxa"/>
                  <w:vAlign w:val="center"/>
                </w:tcPr>
                <w:p>
                  <w:pPr>
                    <w:jc w:val="center"/>
                    <w:rPr>
                      <w:b/>
                      <w:bCs/>
                      <w:color w:val="auto"/>
                      <w:kern w:val="0"/>
                      <w:sz w:val="18"/>
                      <w:szCs w:val="18"/>
                    </w:rPr>
                  </w:pPr>
                  <w:r>
                    <w:rPr>
                      <w:b/>
                      <w:bCs/>
                      <w:color w:val="auto"/>
                      <w:kern w:val="0"/>
                      <w:sz w:val="18"/>
                      <w:szCs w:val="18"/>
                    </w:rPr>
                    <w:t>项目对应情况介绍</w:t>
                  </w:r>
                </w:p>
              </w:tc>
              <w:tc>
                <w:tcPr>
                  <w:tcW w:w="608" w:type="dxa"/>
                  <w:vAlign w:val="center"/>
                </w:tcPr>
                <w:p>
                  <w:pPr>
                    <w:jc w:val="center"/>
                    <w:rPr>
                      <w:b/>
                      <w:bCs/>
                      <w:color w:val="auto"/>
                      <w:kern w:val="0"/>
                      <w:sz w:val="18"/>
                      <w:szCs w:val="18"/>
                    </w:rPr>
                  </w:pPr>
                  <w:r>
                    <w:rPr>
                      <w:b/>
                      <w:bCs/>
                      <w:color w:val="auto"/>
                      <w:kern w:val="0"/>
                      <w:sz w:val="18"/>
                      <w:szCs w:val="18"/>
                    </w:rPr>
                    <w:t>符合性分析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37" w:type="dxa"/>
                  <w:vMerge w:val="restart"/>
                  <w:vAlign w:val="center"/>
                </w:tcPr>
                <w:p>
                  <w:pPr>
                    <w:jc w:val="center"/>
                    <w:rPr>
                      <w:bCs/>
                      <w:color w:val="auto"/>
                      <w:sz w:val="18"/>
                      <w:szCs w:val="18"/>
                    </w:rPr>
                  </w:pPr>
                  <w:r>
                    <w:rPr>
                      <w:bCs/>
                      <w:color w:val="auto"/>
                      <w:sz w:val="18"/>
                      <w:szCs w:val="18"/>
                    </w:rPr>
                    <w:t>ZH51172230001</w:t>
                  </w:r>
                </w:p>
              </w:tc>
              <w:tc>
                <w:tcPr>
                  <w:tcW w:w="720" w:type="dxa"/>
                  <w:vMerge w:val="restart"/>
                  <w:vAlign w:val="center"/>
                </w:tcPr>
                <w:p>
                  <w:pPr>
                    <w:jc w:val="center"/>
                    <w:rPr>
                      <w:bCs/>
                      <w:color w:val="auto"/>
                      <w:sz w:val="18"/>
                      <w:szCs w:val="18"/>
                    </w:rPr>
                  </w:pPr>
                  <w:r>
                    <w:rPr>
                      <w:rFonts w:hint="eastAsia"/>
                      <w:bCs/>
                      <w:color w:val="auto"/>
                      <w:sz w:val="18"/>
                      <w:szCs w:val="18"/>
                    </w:rPr>
                    <w:t>宣汉县一般管控单元</w:t>
                  </w:r>
                </w:p>
              </w:tc>
              <w:tc>
                <w:tcPr>
                  <w:tcW w:w="705" w:type="dxa"/>
                  <w:vMerge w:val="restart"/>
                  <w:vAlign w:val="center"/>
                </w:tcPr>
                <w:p>
                  <w:pPr>
                    <w:jc w:val="center"/>
                    <w:rPr>
                      <w:bCs/>
                      <w:color w:val="auto"/>
                      <w:sz w:val="18"/>
                      <w:szCs w:val="18"/>
                    </w:rPr>
                  </w:pPr>
                  <w:r>
                    <w:rPr>
                      <w:bCs/>
                      <w:color w:val="auto"/>
                      <w:sz w:val="18"/>
                      <w:szCs w:val="18"/>
                    </w:rPr>
                    <w:t>普适性清单管控要求</w:t>
                  </w:r>
                </w:p>
              </w:tc>
              <w:tc>
                <w:tcPr>
                  <w:tcW w:w="555" w:type="dxa"/>
                  <w:vAlign w:val="center"/>
                </w:tcPr>
                <w:p>
                  <w:pPr>
                    <w:jc w:val="center"/>
                    <w:rPr>
                      <w:bCs/>
                      <w:color w:val="auto"/>
                      <w:sz w:val="18"/>
                      <w:szCs w:val="18"/>
                    </w:rPr>
                  </w:pPr>
                  <w:r>
                    <w:rPr>
                      <w:bCs/>
                      <w:color w:val="auto"/>
                      <w:sz w:val="18"/>
                      <w:szCs w:val="18"/>
                    </w:rPr>
                    <w:t>空间布局约束</w:t>
                  </w:r>
                </w:p>
              </w:tc>
              <w:tc>
                <w:tcPr>
                  <w:tcW w:w="2505" w:type="dxa"/>
                  <w:vAlign w:val="center"/>
                </w:tcPr>
                <w:p>
                  <w:pPr>
                    <w:widowControl/>
                    <w:kinsoku w:val="0"/>
                    <w:autoSpaceDE w:val="0"/>
                    <w:autoSpaceDN w:val="0"/>
                    <w:adjustRightInd w:val="0"/>
                    <w:snapToGrid w:val="0"/>
                    <w:spacing w:line="228" w:lineRule="auto"/>
                    <w:textAlignment w:val="baseline"/>
                    <w:rPr>
                      <w:b/>
                      <w:bCs/>
                      <w:color w:val="auto"/>
                      <w:sz w:val="18"/>
                      <w:szCs w:val="18"/>
                    </w:rPr>
                  </w:pPr>
                  <w:r>
                    <w:rPr>
                      <w:b/>
                      <w:bCs/>
                      <w:color w:val="auto"/>
                      <w:spacing w:val="15"/>
                      <w:sz w:val="18"/>
                      <w:szCs w:val="18"/>
                    </w:rPr>
                    <w:t>1</w:t>
                  </w:r>
                  <w:r>
                    <w:rPr>
                      <w:rFonts w:hint="eastAsia"/>
                      <w:b/>
                      <w:bCs/>
                      <w:color w:val="auto"/>
                      <w:spacing w:val="15"/>
                      <w:sz w:val="18"/>
                      <w:szCs w:val="18"/>
                    </w:rPr>
                    <w:t>）</w:t>
                  </w:r>
                  <w:r>
                    <w:rPr>
                      <w:b/>
                      <w:bCs/>
                      <w:color w:val="auto"/>
                      <w:spacing w:val="8"/>
                      <w:sz w:val="18"/>
                      <w:szCs w:val="18"/>
                    </w:rPr>
                    <w:t>禁止开发建设活动的要求</w:t>
                  </w:r>
                </w:p>
                <w:p>
                  <w:pPr>
                    <w:widowControl/>
                    <w:kinsoku w:val="0"/>
                    <w:autoSpaceDE w:val="0"/>
                    <w:autoSpaceDN w:val="0"/>
                    <w:adjustRightInd w:val="0"/>
                    <w:snapToGrid w:val="0"/>
                    <w:spacing w:line="247" w:lineRule="auto"/>
                    <w:textAlignment w:val="baseline"/>
                    <w:rPr>
                      <w:color w:val="auto"/>
                      <w:spacing w:val="16"/>
                      <w:sz w:val="18"/>
                      <w:szCs w:val="18"/>
                    </w:rPr>
                  </w:pPr>
                  <w:r>
                    <w:rPr>
                      <w:rFonts w:hint="eastAsia"/>
                      <w:color w:val="auto"/>
                      <w:spacing w:val="16"/>
                      <w:sz w:val="18"/>
                      <w:szCs w:val="18"/>
                    </w:rPr>
                    <w:t>-禁止在长江干支流1公里范围内新建、扩建化工园区和化工项目。</w:t>
                  </w:r>
                </w:p>
                <w:p>
                  <w:pPr>
                    <w:widowControl/>
                    <w:kinsoku w:val="0"/>
                    <w:autoSpaceDE w:val="0"/>
                    <w:autoSpaceDN w:val="0"/>
                    <w:adjustRightInd w:val="0"/>
                    <w:snapToGrid w:val="0"/>
                    <w:spacing w:line="247" w:lineRule="auto"/>
                    <w:textAlignment w:val="baseline"/>
                    <w:rPr>
                      <w:color w:val="auto"/>
                      <w:spacing w:val="16"/>
                      <w:sz w:val="18"/>
                      <w:szCs w:val="18"/>
                    </w:rPr>
                  </w:pPr>
                  <w:r>
                    <w:rPr>
                      <w:rFonts w:hint="eastAsia"/>
                      <w:color w:val="auto"/>
                      <w:spacing w:val="16"/>
                      <w:sz w:val="18"/>
                      <w:szCs w:val="18"/>
                    </w:rPr>
                    <w:t>-禁止在法律法规规定的禁采区内新建矿山；禁止土法采、选、冶严重污染环境的矿产资源。</w:t>
                  </w:r>
                </w:p>
                <w:p>
                  <w:pPr>
                    <w:widowControl/>
                    <w:kinsoku w:val="0"/>
                    <w:autoSpaceDE w:val="0"/>
                    <w:autoSpaceDN w:val="0"/>
                    <w:adjustRightInd w:val="0"/>
                    <w:snapToGrid w:val="0"/>
                    <w:spacing w:line="247" w:lineRule="auto"/>
                    <w:textAlignment w:val="baseline"/>
                    <w:rPr>
                      <w:color w:val="auto"/>
                      <w:spacing w:val="16"/>
                      <w:sz w:val="18"/>
                      <w:szCs w:val="18"/>
                    </w:rPr>
                  </w:pPr>
                  <w:r>
                    <w:rPr>
                      <w:rFonts w:hint="eastAsia"/>
                      <w:color w:val="auto"/>
                      <w:spacing w:val="16"/>
                      <w:sz w:val="18"/>
                      <w:szCs w:val="18"/>
                    </w:rPr>
                    <w:t>-涉及永久基本农田的区域，除法律规定的重点建设项目选址确实无法避让外，其他任何建设不得占用。</w:t>
                  </w:r>
                </w:p>
                <w:p>
                  <w:pPr>
                    <w:widowControl/>
                    <w:kinsoku w:val="0"/>
                    <w:autoSpaceDE w:val="0"/>
                    <w:autoSpaceDN w:val="0"/>
                    <w:adjustRightInd w:val="0"/>
                    <w:snapToGrid w:val="0"/>
                    <w:spacing w:line="247" w:lineRule="auto"/>
                    <w:textAlignment w:val="baseline"/>
                    <w:rPr>
                      <w:color w:val="auto"/>
                      <w:spacing w:val="16"/>
                      <w:sz w:val="18"/>
                      <w:szCs w:val="18"/>
                    </w:rPr>
                  </w:pPr>
                  <w:r>
                    <w:rPr>
                      <w:rFonts w:hint="eastAsia"/>
                      <w:color w:val="auto"/>
                      <w:spacing w:val="16"/>
                      <w:sz w:val="18"/>
                      <w:szCs w:val="18"/>
                    </w:rPr>
                    <w:t>-禁止在长江流域河湖管理范围内倾倒、填埋、堆放、弃置、处理固体废物。</w:t>
                  </w:r>
                </w:p>
                <w:p>
                  <w:pPr>
                    <w:widowControl/>
                    <w:kinsoku w:val="0"/>
                    <w:autoSpaceDE w:val="0"/>
                    <w:autoSpaceDN w:val="0"/>
                    <w:adjustRightInd w:val="0"/>
                    <w:snapToGrid w:val="0"/>
                    <w:spacing w:line="247" w:lineRule="auto"/>
                    <w:textAlignment w:val="baseline"/>
                    <w:rPr>
                      <w:color w:val="auto"/>
                      <w:spacing w:val="16"/>
                      <w:sz w:val="18"/>
                      <w:szCs w:val="18"/>
                    </w:rPr>
                  </w:pPr>
                  <w:r>
                    <w:rPr>
                      <w:rFonts w:hint="eastAsia"/>
                      <w:color w:val="auto"/>
                      <w:spacing w:val="16"/>
                      <w:sz w:val="18"/>
                      <w:szCs w:val="18"/>
                    </w:rPr>
                    <w:t>-禁止在永久基本农田集中区域和其他需要特别保护的区域选址建设尾矿库、冶炼渣库、磷石膏库。</w:t>
                  </w:r>
                </w:p>
                <w:p>
                  <w:pPr>
                    <w:widowControl/>
                    <w:kinsoku w:val="0"/>
                    <w:autoSpaceDE w:val="0"/>
                    <w:autoSpaceDN w:val="0"/>
                    <w:adjustRightInd w:val="0"/>
                    <w:snapToGrid w:val="0"/>
                    <w:spacing w:line="241" w:lineRule="auto"/>
                    <w:ind w:firstLine="18"/>
                    <w:textAlignment w:val="baseline"/>
                    <w:rPr>
                      <w:color w:val="auto"/>
                      <w:sz w:val="18"/>
                      <w:szCs w:val="18"/>
                    </w:rPr>
                  </w:pPr>
                  <w:r>
                    <w:rPr>
                      <w:rFonts w:hint="eastAsia"/>
                      <w:color w:val="auto"/>
                      <w:spacing w:val="16"/>
                      <w:sz w:val="18"/>
                      <w:szCs w:val="18"/>
                    </w:rPr>
                    <w:t>-禁止在长江干流岸线三公里范围内和重要支流岸线一公里范围内新建、改建、扩建尾矿库、冶炼渣库、磷石膏库，以提升安全、生态环境保护水平为目的的改建除外。</w:t>
                  </w:r>
                </w:p>
                <w:p>
                  <w:pPr>
                    <w:widowControl/>
                    <w:kinsoku w:val="0"/>
                    <w:autoSpaceDE w:val="0"/>
                    <w:autoSpaceDN w:val="0"/>
                    <w:adjustRightInd w:val="0"/>
                    <w:snapToGrid w:val="0"/>
                    <w:spacing w:line="229" w:lineRule="auto"/>
                    <w:textAlignment w:val="baseline"/>
                    <w:rPr>
                      <w:b/>
                      <w:bCs/>
                      <w:color w:val="auto"/>
                      <w:sz w:val="18"/>
                      <w:szCs w:val="18"/>
                    </w:rPr>
                  </w:pPr>
                  <w:r>
                    <w:rPr>
                      <w:b/>
                      <w:bCs/>
                      <w:color w:val="auto"/>
                      <w:spacing w:val="10"/>
                      <w:sz w:val="18"/>
                      <w:szCs w:val="18"/>
                    </w:rPr>
                    <w:t>2</w:t>
                  </w:r>
                  <w:r>
                    <w:rPr>
                      <w:rFonts w:hint="eastAsia"/>
                      <w:b/>
                      <w:bCs/>
                      <w:color w:val="auto"/>
                      <w:spacing w:val="10"/>
                      <w:sz w:val="18"/>
                      <w:szCs w:val="18"/>
                    </w:rPr>
                    <w:t>）</w:t>
                  </w:r>
                  <w:r>
                    <w:rPr>
                      <w:b/>
                      <w:bCs/>
                      <w:color w:val="auto"/>
                      <w:spacing w:val="9"/>
                      <w:sz w:val="18"/>
                      <w:szCs w:val="18"/>
                    </w:rPr>
                    <w:t>限制开发建设活动的要求</w:t>
                  </w:r>
                </w:p>
                <w:p>
                  <w:pPr>
                    <w:widowControl/>
                    <w:kinsoku w:val="0"/>
                    <w:autoSpaceDE w:val="0"/>
                    <w:autoSpaceDN w:val="0"/>
                    <w:adjustRightInd w:val="0"/>
                    <w:snapToGrid w:val="0"/>
                    <w:spacing w:line="228" w:lineRule="auto"/>
                    <w:textAlignment w:val="baseline"/>
                    <w:rPr>
                      <w:color w:val="auto"/>
                      <w:spacing w:val="14"/>
                      <w:sz w:val="18"/>
                      <w:szCs w:val="18"/>
                    </w:rPr>
                  </w:pPr>
                  <w:r>
                    <w:rPr>
                      <w:rFonts w:hint="eastAsia"/>
                      <w:color w:val="auto"/>
                      <w:spacing w:val="14"/>
                      <w:sz w:val="18"/>
                      <w:szCs w:val="18"/>
                    </w:rPr>
                    <w:t>-按照相关要求严控水泥新增产能。</w:t>
                  </w:r>
                </w:p>
                <w:p>
                  <w:pPr>
                    <w:widowControl/>
                    <w:kinsoku w:val="0"/>
                    <w:autoSpaceDE w:val="0"/>
                    <w:autoSpaceDN w:val="0"/>
                    <w:adjustRightInd w:val="0"/>
                    <w:snapToGrid w:val="0"/>
                    <w:spacing w:line="228" w:lineRule="auto"/>
                    <w:textAlignment w:val="baseline"/>
                    <w:rPr>
                      <w:color w:val="auto"/>
                      <w:spacing w:val="14"/>
                      <w:sz w:val="18"/>
                      <w:szCs w:val="18"/>
                    </w:rPr>
                  </w:pPr>
                  <w:r>
                    <w:rPr>
                      <w:rFonts w:hint="eastAsia"/>
                      <w:color w:val="auto"/>
                      <w:spacing w:val="14"/>
                      <w:sz w:val="18"/>
                      <w:szCs w:val="18"/>
                    </w:rPr>
                    <w:t>-涉及法定保护地，严格按照国家及地方法律法规、管理办法等相关要求进行控制。配套旅游、基础设施等建设项目，在符合规划和相关保护要求的前提下，应实施生态避让、减缓影响及生态恢复措施。</w:t>
                  </w:r>
                </w:p>
                <w:p>
                  <w:pPr>
                    <w:widowControl/>
                    <w:kinsoku w:val="0"/>
                    <w:autoSpaceDE w:val="0"/>
                    <w:autoSpaceDN w:val="0"/>
                    <w:adjustRightInd w:val="0"/>
                    <w:snapToGrid w:val="0"/>
                    <w:spacing w:line="228" w:lineRule="auto"/>
                    <w:textAlignment w:val="baseline"/>
                    <w:rPr>
                      <w:color w:val="auto"/>
                      <w:spacing w:val="14"/>
                      <w:sz w:val="18"/>
                      <w:szCs w:val="18"/>
                    </w:rPr>
                  </w:pPr>
                  <w:r>
                    <w:rPr>
                      <w:rFonts w:hint="eastAsia"/>
                      <w:color w:val="auto"/>
                      <w:spacing w:val="14"/>
                      <w:sz w:val="18"/>
                      <w:szCs w:val="18"/>
                    </w:rPr>
                    <w:t>按照相关要求严控水泥新增产能。</w:t>
                  </w:r>
                </w:p>
                <w:p>
                  <w:pPr>
                    <w:widowControl/>
                    <w:kinsoku w:val="0"/>
                    <w:autoSpaceDE w:val="0"/>
                    <w:autoSpaceDN w:val="0"/>
                    <w:adjustRightInd w:val="0"/>
                    <w:snapToGrid w:val="0"/>
                    <w:spacing w:line="228" w:lineRule="auto"/>
                    <w:textAlignment w:val="baseline"/>
                    <w:rPr>
                      <w:color w:val="auto"/>
                      <w:spacing w:val="14"/>
                      <w:sz w:val="18"/>
                      <w:szCs w:val="18"/>
                    </w:rPr>
                  </w:pPr>
                  <w:r>
                    <w:rPr>
                      <w:rFonts w:hint="eastAsia"/>
                      <w:color w:val="auto"/>
                      <w:spacing w:val="14"/>
                      <w:sz w:val="18"/>
                      <w:szCs w:val="18"/>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widowControl/>
                    <w:kinsoku w:val="0"/>
                    <w:autoSpaceDE w:val="0"/>
                    <w:autoSpaceDN w:val="0"/>
                    <w:adjustRightInd w:val="0"/>
                    <w:snapToGrid w:val="0"/>
                    <w:spacing w:line="228" w:lineRule="auto"/>
                    <w:textAlignment w:val="baseline"/>
                    <w:rPr>
                      <w:color w:val="auto"/>
                      <w:spacing w:val="14"/>
                      <w:sz w:val="18"/>
                      <w:szCs w:val="18"/>
                    </w:rPr>
                  </w:pPr>
                  <w:r>
                    <w:rPr>
                      <w:rFonts w:hint="eastAsia"/>
                      <w:color w:val="auto"/>
                      <w:spacing w:val="14"/>
                      <w:sz w:val="18"/>
                      <w:szCs w:val="18"/>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pPr>
                    <w:widowControl/>
                    <w:kinsoku w:val="0"/>
                    <w:autoSpaceDE w:val="0"/>
                    <w:autoSpaceDN w:val="0"/>
                    <w:adjustRightInd w:val="0"/>
                    <w:snapToGrid w:val="0"/>
                    <w:spacing w:line="228" w:lineRule="auto"/>
                    <w:textAlignment w:val="baseline"/>
                    <w:rPr>
                      <w:color w:val="auto"/>
                      <w:sz w:val="18"/>
                      <w:szCs w:val="18"/>
                    </w:rPr>
                  </w:pPr>
                  <w:r>
                    <w:rPr>
                      <w:rFonts w:hint="eastAsia"/>
                      <w:color w:val="auto"/>
                      <w:spacing w:val="14"/>
                      <w:sz w:val="18"/>
                      <w:szCs w:val="18"/>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pPr>
                    <w:widowControl/>
                    <w:kinsoku w:val="0"/>
                    <w:autoSpaceDE w:val="0"/>
                    <w:autoSpaceDN w:val="0"/>
                    <w:adjustRightInd w:val="0"/>
                    <w:snapToGrid w:val="0"/>
                    <w:spacing w:line="228" w:lineRule="auto"/>
                    <w:textAlignment w:val="baseline"/>
                    <w:rPr>
                      <w:b/>
                      <w:bCs/>
                      <w:color w:val="auto"/>
                      <w:sz w:val="18"/>
                      <w:szCs w:val="18"/>
                    </w:rPr>
                  </w:pPr>
                  <w:r>
                    <w:rPr>
                      <w:b/>
                      <w:bCs/>
                      <w:color w:val="auto"/>
                      <w:spacing w:val="18"/>
                      <w:sz w:val="18"/>
                      <w:szCs w:val="18"/>
                    </w:rPr>
                    <w:t>3</w:t>
                  </w:r>
                  <w:r>
                    <w:rPr>
                      <w:rFonts w:hint="eastAsia"/>
                      <w:b/>
                      <w:bCs/>
                      <w:color w:val="auto"/>
                      <w:spacing w:val="18"/>
                      <w:sz w:val="18"/>
                      <w:szCs w:val="18"/>
                    </w:rPr>
                    <w:t>）</w:t>
                  </w:r>
                  <w:r>
                    <w:rPr>
                      <w:b/>
                      <w:bCs/>
                      <w:color w:val="auto"/>
                      <w:spacing w:val="9"/>
                      <w:sz w:val="18"/>
                      <w:szCs w:val="18"/>
                    </w:rPr>
                    <w:t>不符合空间布局要求活动的退出要求</w:t>
                  </w:r>
                </w:p>
                <w:p>
                  <w:pPr>
                    <w:widowControl/>
                    <w:kinsoku w:val="0"/>
                    <w:autoSpaceDE w:val="0"/>
                    <w:autoSpaceDN w:val="0"/>
                    <w:adjustRightInd w:val="0"/>
                    <w:snapToGrid w:val="0"/>
                    <w:spacing w:line="229" w:lineRule="auto"/>
                    <w:textAlignment w:val="baseline"/>
                    <w:rPr>
                      <w:color w:val="auto"/>
                      <w:spacing w:val="14"/>
                      <w:sz w:val="18"/>
                      <w:szCs w:val="18"/>
                    </w:rPr>
                  </w:pPr>
                  <w:r>
                    <w:rPr>
                      <w:rFonts w:hint="eastAsia"/>
                      <w:color w:val="auto"/>
                      <w:spacing w:val="14"/>
                      <w:sz w:val="18"/>
                      <w:szCs w:val="18"/>
                    </w:rPr>
                    <w:t>针对现有水泥企业，强化污染治理和污染物减排，依法依规整治或搬迁。</w:t>
                  </w:r>
                </w:p>
                <w:p>
                  <w:pPr>
                    <w:widowControl/>
                    <w:kinsoku w:val="0"/>
                    <w:autoSpaceDE w:val="0"/>
                    <w:autoSpaceDN w:val="0"/>
                    <w:adjustRightInd w:val="0"/>
                    <w:snapToGrid w:val="0"/>
                    <w:spacing w:line="229" w:lineRule="auto"/>
                    <w:textAlignment w:val="baseline"/>
                    <w:rPr>
                      <w:color w:val="auto"/>
                      <w:spacing w:val="14"/>
                      <w:sz w:val="18"/>
                      <w:szCs w:val="18"/>
                    </w:rPr>
                  </w:pPr>
                  <w:r>
                    <w:rPr>
                      <w:rFonts w:hint="eastAsia"/>
                      <w:color w:val="auto"/>
                      <w:spacing w:val="14"/>
                      <w:sz w:val="18"/>
                      <w:szCs w:val="18"/>
                    </w:rPr>
                    <w:t>全面取缔禁养区内规模化畜禽养殖场。</w:t>
                  </w:r>
                </w:p>
                <w:p>
                  <w:pPr>
                    <w:widowControl/>
                    <w:kinsoku w:val="0"/>
                    <w:autoSpaceDE w:val="0"/>
                    <w:autoSpaceDN w:val="0"/>
                    <w:adjustRightInd w:val="0"/>
                    <w:snapToGrid w:val="0"/>
                    <w:spacing w:line="229" w:lineRule="auto"/>
                    <w:textAlignment w:val="baseline"/>
                    <w:rPr>
                      <w:color w:val="auto"/>
                      <w:spacing w:val="14"/>
                      <w:sz w:val="18"/>
                      <w:szCs w:val="18"/>
                    </w:rPr>
                  </w:pPr>
                  <w:r>
                    <w:rPr>
                      <w:rFonts w:hint="eastAsia"/>
                      <w:color w:val="auto"/>
                      <w:spacing w:val="14"/>
                      <w:sz w:val="18"/>
                      <w:szCs w:val="18"/>
                    </w:rPr>
                    <w:t>2025年基本完成全域内“散乱污”企业整治工作。</w:t>
                  </w:r>
                </w:p>
                <w:p>
                  <w:pPr>
                    <w:widowControl/>
                    <w:kinsoku w:val="0"/>
                    <w:autoSpaceDE w:val="0"/>
                    <w:autoSpaceDN w:val="0"/>
                    <w:adjustRightInd w:val="0"/>
                    <w:snapToGrid w:val="0"/>
                    <w:spacing w:line="229" w:lineRule="auto"/>
                    <w:textAlignment w:val="baseline"/>
                    <w:rPr>
                      <w:color w:val="auto"/>
                      <w:spacing w:val="14"/>
                      <w:sz w:val="18"/>
                      <w:szCs w:val="18"/>
                    </w:rPr>
                  </w:pPr>
                  <w:r>
                    <w:rPr>
                      <w:rFonts w:hint="eastAsia"/>
                      <w:color w:val="auto"/>
                      <w:spacing w:val="14"/>
                      <w:sz w:val="18"/>
                      <w:szCs w:val="18"/>
                    </w:rPr>
                    <w:t>在全市范围深入开展集中整治“散乱污”工业企业，对不符合产业政策和规划布局的，一律责令停产、限期搬迁或关停；</w:t>
                  </w:r>
                </w:p>
                <w:p>
                  <w:pPr>
                    <w:widowControl/>
                    <w:kinsoku w:val="0"/>
                    <w:autoSpaceDE w:val="0"/>
                    <w:autoSpaceDN w:val="0"/>
                    <w:adjustRightInd w:val="0"/>
                    <w:snapToGrid w:val="0"/>
                    <w:spacing w:line="228" w:lineRule="auto"/>
                    <w:textAlignment w:val="baseline"/>
                    <w:rPr>
                      <w:b/>
                      <w:bCs/>
                      <w:color w:val="auto"/>
                      <w:sz w:val="18"/>
                      <w:szCs w:val="18"/>
                    </w:rPr>
                  </w:pPr>
                  <w:r>
                    <w:rPr>
                      <w:b/>
                      <w:bCs/>
                      <w:color w:val="auto"/>
                      <w:spacing w:val="9"/>
                      <w:sz w:val="18"/>
                      <w:szCs w:val="18"/>
                    </w:rPr>
                    <w:t>4</w:t>
                  </w:r>
                  <w:r>
                    <w:rPr>
                      <w:rFonts w:hint="eastAsia"/>
                      <w:b/>
                      <w:bCs/>
                      <w:color w:val="auto"/>
                      <w:spacing w:val="9"/>
                      <w:sz w:val="18"/>
                      <w:szCs w:val="18"/>
                    </w:rPr>
                    <w:t>）</w:t>
                  </w:r>
                  <w:r>
                    <w:rPr>
                      <w:b/>
                      <w:bCs/>
                      <w:color w:val="auto"/>
                      <w:spacing w:val="9"/>
                      <w:sz w:val="18"/>
                      <w:szCs w:val="18"/>
                    </w:rPr>
                    <w:t>其他空间布局约束要</w:t>
                  </w:r>
                  <w:r>
                    <w:rPr>
                      <w:b/>
                      <w:bCs/>
                      <w:color w:val="auto"/>
                      <w:spacing w:val="8"/>
                      <w:sz w:val="18"/>
                      <w:szCs w:val="18"/>
                    </w:rPr>
                    <w:t>求</w:t>
                  </w:r>
                </w:p>
                <w:p>
                  <w:pPr>
                    <w:textAlignment w:val="bottom"/>
                    <w:rPr>
                      <w:bCs/>
                      <w:color w:val="auto"/>
                      <w:sz w:val="18"/>
                      <w:szCs w:val="18"/>
                    </w:rPr>
                  </w:pPr>
                  <w:r>
                    <w:rPr>
                      <w:rFonts w:hint="eastAsia"/>
                      <w:color w:val="auto"/>
                      <w:spacing w:val="14"/>
                      <w:sz w:val="18"/>
                      <w:szCs w:val="18"/>
                    </w:rPr>
                    <w:t>新建矿山全部达到绿色矿山建设要求，生产矿山加快改造升级，逐步达到要求。</w:t>
                  </w:r>
                </w:p>
              </w:tc>
              <w:tc>
                <w:tcPr>
                  <w:tcW w:w="1305" w:type="dxa"/>
                  <w:vAlign w:val="center"/>
                </w:tcPr>
                <w:p>
                  <w:pPr>
                    <w:rPr>
                      <w:bCs/>
                      <w:color w:val="auto"/>
                      <w:sz w:val="18"/>
                      <w:szCs w:val="18"/>
                    </w:rPr>
                  </w:pPr>
                  <w:r>
                    <w:rPr>
                      <w:bCs/>
                      <w:color w:val="auto"/>
                      <w:sz w:val="18"/>
                      <w:szCs w:val="18"/>
                    </w:rPr>
                    <w:t>本项目</w:t>
                  </w:r>
                  <w:r>
                    <w:rPr>
                      <w:color w:val="auto"/>
                      <w:sz w:val="18"/>
                      <w:szCs w:val="18"/>
                    </w:rPr>
                    <w:t>为建筑石料用灰岩矿开采</w:t>
                  </w:r>
                  <w:r>
                    <w:rPr>
                      <w:rFonts w:hint="eastAsia"/>
                      <w:color w:val="auto"/>
                      <w:sz w:val="18"/>
                      <w:szCs w:val="18"/>
                    </w:rPr>
                    <w:t>加工项目</w:t>
                  </w:r>
                  <w:r>
                    <w:rPr>
                      <w:rFonts w:hint="eastAsia"/>
                      <w:bCs/>
                      <w:color w:val="auto"/>
                      <w:sz w:val="18"/>
                      <w:szCs w:val="18"/>
                    </w:rPr>
                    <w:t>，</w:t>
                  </w:r>
                  <w:r>
                    <w:rPr>
                      <w:bCs/>
                      <w:color w:val="auto"/>
                      <w:sz w:val="18"/>
                      <w:szCs w:val="18"/>
                    </w:rPr>
                    <w:t>不属于禁止开发、限制开发、不符合空间布局要求等建设活动，符合要求。</w:t>
                  </w:r>
                </w:p>
              </w:tc>
              <w:tc>
                <w:tcPr>
                  <w:tcW w:w="608" w:type="dxa"/>
                  <w:vAlign w:val="center"/>
                </w:tcPr>
                <w:p>
                  <w:pPr>
                    <w:jc w:val="center"/>
                    <w:rPr>
                      <w:bCs/>
                      <w:color w:val="auto"/>
                      <w:sz w:val="18"/>
                      <w:szCs w:val="18"/>
                    </w:rPr>
                  </w:pPr>
                  <w:r>
                    <w:rPr>
                      <w:bCs/>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pPr>
                    <w:jc w:val="center"/>
                    <w:rPr>
                      <w:bCs/>
                      <w:color w:val="auto"/>
                      <w:sz w:val="18"/>
                      <w:szCs w:val="18"/>
                    </w:rPr>
                  </w:pPr>
                </w:p>
              </w:tc>
              <w:tc>
                <w:tcPr>
                  <w:tcW w:w="720" w:type="dxa"/>
                  <w:vMerge w:val="continue"/>
                  <w:vAlign w:val="center"/>
                </w:tcPr>
                <w:p>
                  <w:pPr>
                    <w:jc w:val="center"/>
                    <w:rPr>
                      <w:bCs/>
                      <w:color w:val="auto"/>
                      <w:sz w:val="18"/>
                      <w:szCs w:val="18"/>
                    </w:rPr>
                  </w:pPr>
                </w:p>
              </w:tc>
              <w:tc>
                <w:tcPr>
                  <w:tcW w:w="705" w:type="dxa"/>
                  <w:vMerge w:val="continue"/>
                  <w:vAlign w:val="center"/>
                </w:tcPr>
                <w:p>
                  <w:pPr>
                    <w:jc w:val="center"/>
                    <w:rPr>
                      <w:bCs/>
                      <w:color w:val="auto"/>
                      <w:sz w:val="18"/>
                      <w:szCs w:val="18"/>
                    </w:rPr>
                  </w:pPr>
                </w:p>
              </w:tc>
              <w:tc>
                <w:tcPr>
                  <w:tcW w:w="555" w:type="dxa"/>
                  <w:vAlign w:val="center"/>
                </w:tcPr>
                <w:p>
                  <w:pPr>
                    <w:jc w:val="center"/>
                    <w:rPr>
                      <w:bCs/>
                      <w:color w:val="auto"/>
                      <w:sz w:val="18"/>
                      <w:szCs w:val="18"/>
                    </w:rPr>
                  </w:pPr>
                  <w:r>
                    <w:rPr>
                      <w:bCs/>
                      <w:color w:val="auto"/>
                      <w:sz w:val="18"/>
                      <w:szCs w:val="18"/>
                    </w:rPr>
                    <w:t>污染物排放管控</w:t>
                  </w:r>
                </w:p>
              </w:tc>
              <w:tc>
                <w:tcPr>
                  <w:tcW w:w="2505" w:type="dxa"/>
                  <w:vAlign w:val="center"/>
                </w:tcPr>
                <w:p>
                  <w:pPr>
                    <w:widowControl/>
                    <w:kinsoku w:val="0"/>
                    <w:autoSpaceDE w:val="0"/>
                    <w:autoSpaceDN w:val="0"/>
                    <w:adjustRightInd w:val="0"/>
                    <w:snapToGrid w:val="0"/>
                    <w:spacing w:line="228" w:lineRule="auto"/>
                    <w:textAlignment w:val="baseline"/>
                    <w:rPr>
                      <w:b/>
                      <w:bCs/>
                      <w:color w:val="auto"/>
                      <w:sz w:val="18"/>
                      <w:szCs w:val="18"/>
                    </w:rPr>
                  </w:pPr>
                  <w:r>
                    <w:rPr>
                      <w:b/>
                      <w:bCs/>
                      <w:color w:val="auto"/>
                      <w:spacing w:val="13"/>
                      <w:sz w:val="18"/>
                      <w:szCs w:val="18"/>
                    </w:rPr>
                    <w:t>1</w:t>
                  </w:r>
                  <w:r>
                    <w:rPr>
                      <w:rFonts w:hint="eastAsia"/>
                      <w:b/>
                      <w:bCs/>
                      <w:color w:val="auto"/>
                      <w:spacing w:val="13"/>
                      <w:sz w:val="18"/>
                      <w:szCs w:val="18"/>
                    </w:rPr>
                    <w:t>）</w:t>
                  </w:r>
                  <w:r>
                    <w:rPr>
                      <w:b/>
                      <w:bCs/>
                      <w:color w:val="auto"/>
                      <w:spacing w:val="7"/>
                      <w:sz w:val="18"/>
                      <w:szCs w:val="18"/>
                    </w:rPr>
                    <w:t>允许排放量要求</w:t>
                  </w:r>
                </w:p>
                <w:p>
                  <w:pPr>
                    <w:widowControl/>
                    <w:kinsoku w:val="0"/>
                    <w:autoSpaceDE w:val="0"/>
                    <w:autoSpaceDN w:val="0"/>
                    <w:adjustRightInd w:val="0"/>
                    <w:snapToGrid w:val="0"/>
                    <w:spacing w:line="251" w:lineRule="auto"/>
                    <w:textAlignment w:val="baseline"/>
                    <w:rPr>
                      <w:color w:val="auto"/>
                      <w:sz w:val="18"/>
                      <w:szCs w:val="18"/>
                    </w:rPr>
                  </w:pPr>
                  <w:r>
                    <w:rPr>
                      <w:rFonts w:hint="eastAsia"/>
                      <w:color w:val="auto"/>
                      <w:spacing w:val="7"/>
                      <w:sz w:val="18"/>
                      <w:szCs w:val="18"/>
                    </w:rPr>
                    <w:t>/</w:t>
                  </w:r>
                </w:p>
                <w:p>
                  <w:pPr>
                    <w:widowControl/>
                    <w:kinsoku w:val="0"/>
                    <w:autoSpaceDE w:val="0"/>
                    <w:autoSpaceDN w:val="0"/>
                    <w:adjustRightInd w:val="0"/>
                    <w:snapToGrid w:val="0"/>
                    <w:spacing w:line="228" w:lineRule="auto"/>
                    <w:textAlignment w:val="baseline"/>
                    <w:rPr>
                      <w:b/>
                      <w:bCs/>
                      <w:color w:val="auto"/>
                      <w:sz w:val="18"/>
                      <w:szCs w:val="18"/>
                    </w:rPr>
                  </w:pPr>
                  <w:r>
                    <w:rPr>
                      <w:b/>
                      <w:bCs/>
                      <w:color w:val="auto"/>
                      <w:spacing w:val="9"/>
                      <w:sz w:val="18"/>
                      <w:szCs w:val="18"/>
                    </w:rPr>
                    <w:t>2</w:t>
                  </w:r>
                  <w:r>
                    <w:rPr>
                      <w:rFonts w:hint="eastAsia"/>
                      <w:b/>
                      <w:bCs/>
                      <w:color w:val="auto"/>
                      <w:spacing w:val="9"/>
                      <w:sz w:val="18"/>
                      <w:szCs w:val="18"/>
                    </w:rPr>
                    <w:t>）</w:t>
                  </w:r>
                  <w:r>
                    <w:rPr>
                      <w:b/>
                      <w:bCs/>
                      <w:color w:val="auto"/>
                      <w:spacing w:val="9"/>
                      <w:sz w:val="18"/>
                      <w:szCs w:val="18"/>
                    </w:rPr>
                    <w:t>现有源提标升级改</w:t>
                  </w:r>
                  <w:r>
                    <w:rPr>
                      <w:b/>
                      <w:bCs/>
                      <w:color w:val="auto"/>
                      <w:spacing w:val="8"/>
                      <w:sz w:val="18"/>
                      <w:szCs w:val="18"/>
                    </w:rPr>
                    <w:t>造</w:t>
                  </w:r>
                </w:p>
                <w:p>
                  <w:pPr>
                    <w:widowControl/>
                    <w:kinsoku w:val="0"/>
                    <w:autoSpaceDE w:val="0"/>
                    <w:autoSpaceDN w:val="0"/>
                    <w:adjustRightInd w:val="0"/>
                    <w:snapToGrid w:val="0"/>
                    <w:ind w:firstLine="15"/>
                    <w:textAlignment w:val="baseline"/>
                    <w:rPr>
                      <w:color w:val="auto"/>
                      <w:spacing w:val="2"/>
                      <w:sz w:val="18"/>
                      <w:szCs w:val="18"/>
                    </w:rPr>
                  </w:pPr>
                  <w:r>
                    <w:rPr>
                      <w:rFonts w:hint="eastAsia"/>
                      <w:color w:val="auto"/>
                      <w:spacing w:val="2"/>
                      <w:sz w:val="18"/>
                      <w:szCs w:val="18"/>
                    </w:rPr>
                    <w:t>加快现有乡镇污水处理设施升级改造，按要求达《城镇污水处理厂污染物排放标准》一级A标后排放。</w:t>
                  </w:r>
                </w:p>
                <w:p>
                  <w:pPr>
                    <w:widowControl/>
                    <w:kinsoku w:val="0"/>
                    <w:autoSpaceDE w:val="0"/>
                    <w:autoSpaceDN w:val="0"/>
                    <w:adjustRightInd w:val="0"/>
                    <w:snapToGrid w:val="0"/>
                    <w:ind w:firstLine="15"/>
                    <w:textAlignment w:val="baseline"/>
                    <w:rPr>
                      <w:color w:val="auto"/>
                      <w:spacing w:val="2"/>
                      <w:sz w:val="18"/>
                      <w:szCs w:val="18"/>
                    </w:rPr>
                  </w:pPr>
                  <w:r>
                    <w:rPr>
                      <w:rFonts w:hint="eastAsia"/>
                      <w:color w:val="auto"/>
                      <w:spacing w:val="2"/>
                      <w:sz w:val="18"/>
                      <w:szCs w:val="18"/>
                    </w:rPr>
                    <w:t>在矿产资源开发活动集中区域，废水执行重金属污染物排放特别限值。</w:t>
                  </w:r>
                </w:p>
                <w:p>
                  <w:pPr>
                    <w:widowControl/>
                    <w:kinsoku w:val="0"/>
                    <w:autoSpaceDE w:val="0"/>
                    <w:autoSpaceDN w:val="0"/>
                    <w:adjustRightInd w:val="0"/>
                    <w:snapToGrid w:val="0"/>
                    <w:ind w:firstLine="15"/>
                    <w:textAlignment w:val="baseline"/>
                    <w:rPr>
                      <w:color w:val="auto"/>
                      <w:spacing w:val="2"/>
                      <w:sz w:val="18"/>
                      <w:szCs w:val="18"/>
                    </w:rPr>
                  </w:pPr>
                  <w:r>
                    <w:rPr>
                      <w:rFonts w:hint="eastAsia"/>
                      <w:color w:val="auto"/>
                      <w:spacing w:val="2"/>
                      <w:sz w:val="18"/>
                      <w:szCs w:val="18"/>
                    </w:rPr>
                    <w:t>火电、水泥等行业按相关要求推进大气污染物超低排放和深度治理。</w:t>
                  </w:r>
                </w:p>
                <w:p>
                  <w:pPr>
                    <w:widowControl/>
                    <w:kinsoku w:val="0"/>
                    <w:autoSpaceDE w:val="0"/>
                    <w:autoSpaceDN w:val="0"/>
                    <w:adjustRightInd w:val="0"/>
                    <w:snapToGrid w:val="0"/>
                    <w:spacing w:line="247" w:lineRule="auto"/>
                    <w:ind w:firstLine="16"/>
                    <w:textAlignment w:val="baseline"/>
                    <w:rPr>
                      <w:color w:val="auto"/>
                      <w:sz w:val="18"/>
                      <w:szCs w:val="18"/>
                    </w:rPr>
                  </w:pPr>
                  <w:r>
                    <w:rPr>
                      <w:rFonts w:hint="eastAsia"/>
                      <w:color w:val="auto"/>
                      <w:spacing w:val="2"/>
                      <w:sz w:val="18"/>
                      <w:szCs w:val="18"/>
                    </w:rPr>
                    <w:t>砖瓦行业实施脱硫、除尘升级改造，污染物排放达到《砖瓦工业大气污染物排放标准》相关要求。</w:t>
                  </w:r>
                </w:p>
                <w:p>
                  <w:pPr>
                    <w:widowControl/>
                    <w:kinsoku w:val="0"/>
                    <w:autoSpaceDE w:val="0"/>
                    <w:autoSpaceDN w:val="0"/>
                    <w:adjustRightInd w:val="0"/>
                    <w:snapToGrid w:val="0"/>
                    <w:spacing w:line="228" w:lineRule="auto"/>
                    <w:textAlignment w:val="baseline"/>
                    <w:rPr>
                      <w:b/>
                      <w:bCs/>
                      <w:color w:val="auto"/>
                      <w:sz w:val="18"/>
                      <w:szCs w:val="18"/>
                    </w:rPr>
                  </w:pPr>
                  <w:r>
                    <w:rPr>
                      <w:b/>
                      <w:bCs/>
                      <w:color w:val="auto"/>
                      <w:spacing w:val="12"/>
                      <w:sz w:val="18"/>
                      <w:szCs w:val="18"/>
                    </w:rPr>
                    <w:t>3</w:t>
                  </w:r>
                  <w:r>
                    <w:rPr>
                      <w:rFonts w:hint="eastAsia"/>
                      <w:b/>
                      <w:bCs/>
                      <w:color w:val="auto"/>
                      <w:spacing w:val="12"/>
                      <w:sz w:val="18"/>
                      <w:szCs w:val="18"/>
                    </w:rPr>
                    <w:t>）</w:t>
                  </w:r>
                  <w:r>
                    <w:rPr>
                      <w:b/>
                      <w:bCs/>
                      <w:color w:val="auto"/>
                      <w:spacing w:val="9"/>
                      <w:sz w:val="18"/>
                      <w:szCs w:val="18"/>
                    </w:rPr>
                    <w:t>其他污染物排放管控要求</w:t>
                  </w:r>
                </w:p>
                <w:p>
                  <w:pPr>
                    <w:widowControl/>
                    <w:kinsoku w:val="0"/>
                    <w:autoSpaceDE w:val="0"/>
                    <w:autoSpaceDN w:val="0"/>
                    <w:adjustRightInd w:val="0"/>
                    <w:snapToGrid w:val="0"/>
                    <w:spacing w:line="247" w:lineRule="auto"/>
                    <w:ind w:firstLine="16"/>
                    <w:textAlignment w:val="baseline"/>
                    <w:rPr>
                      <w:color w:val="auto"/>
                      <w:sz w:val="18"/>
                      <w:szCs w:val="18"/>
                    </w:rPr>
                  </w:pPr>
                  <w:r>
                    <w:rPr>
                      <w:rFonts w:hint="eastAsia"/>
                      <w:color w:val="auto"/>
                      <w:spacing w:val="8"/>
                      <w:sz w:val="18"/>
                      <w:szCs w:val="18"/>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pPr>
                    <w:widowControl/>
                    <w:kinsoku w:val="0"/>
                    <w:autoSpaceDE w:val="0"/>
                    <w:autoSpaceDN w:val="0"/>
                    <w:adjustRightInd w:val="0"/>
                    <w:snapToGrid w:val="0"/>
                    <w:spacing w:line="228" w:lineRule="auto"/>
                    <w:textAlignment w:val="baseline"/>
                    <w:rPr>
                      <w:b/>
                      <w:bCs/>
                      <w:color w:val="auto"/>
                      <w:sz w:val="18"/>
                      <w:szCs w:val="18"/>
                    </w:rPr>
                  </w:pPr>
                  <w:r>
                    <w:rPr>
                      <w:b/>
                      <w:bCs/>
                      <w:color w:val="auto"/>
                      <w:spacing w:val="16"/>
                      <w:sz w:val="18"/>
                      <w:szCs w:val="18"/>
                    </w:rPr>
                    <w:t>4</w:t>
                  </w:r>
                  <w:r>
                    <w:rPr>
                      <w:rFonts w:hint="eastAsia"/>
                      <w:b/>
                      <w:bCs/>
                      <w:color w:val="auto"/>
                      <w:spacing w:val="11"/>
                      <w:sz w:val="18"/>
                      <w:szCs w:val="18"/>
                    </w:rPr>
                    <w:t>）</w:t>
                  </w:r>
                  <w:r>
                    <w:rPr>
                      <w:b/>
                      <w:bCs/>
                      <w:color w:val="auto"/>
                      <w:spacing w:val="8"/>
                      <w:sz w:val="18"/>
                      <w:szCs w:val="18"/>
                    </w:rPr>
                    <w:t>污染物排放绩效水平准入要求</w:t>
                  </w:r>
                </w:p>
                <w:p>
                  <w:pPr>
                    <w:widowControl/>
                    <w:kinsoku w:val="0"/>
                    <w:autoSpaceDE w:val="0"/>
                    <w:autoSpaceDN w:val="0"/>
                    <w:adjustRightInd w:val="0"/>
                    <w:snapToGrid w:val="0"/>
                    <w:spacing w:line="253" w:lineRule="auto"/>
                    <w:textAlignment w:val="baseline"/>
                    <w:rPr>
                      <w:color w:val="auto"/>
                      <w:spacing w:val="18"/>
                      <w:sz w:val="18"/>
                      <w:szCs w:val="18"/>
                    </w:rPr>
                  </w:pPr>
                  <w:r>
                    <w:rPr>
                      <w:rFonts w:hint="eastAsia"/>
                      <w:color w:val="auto"/>
                      <w:spacing w:val="18"/>
                      <w:sz w:val="18"/>
                      <w:szCs w:val="18"/>
                    </w:rPr>
                    <w:t>屠宰项目必须配套污水处理设施或进入城市污水管网。</w:t>
                  </w:r>
                </w:p>
                <w:p>
                  <w:pPr>
                    <w:widowControl/>
                    <w:kinsoku w:val="0"/>
                    <w:autoSpaceDE w:val="0"/>
                    <w:autoSpaceDN w:val="0"/>
                    <w:adjustRightInd w:val="0"/>
                    <w:snapToGrid w:val="0"/>
                    <w:spacing w:line="253" w:lineRule="auto"/>
                    <w:textAlignment w:val="baseline"/>
                    <w:rPr>
                      <w:color w:val="auto"/>
                      <w:spacing w:val="18"/>
                      <w:sz w:val="18"/>
                      <w:szCs w:val="18"/>
                    </w:rPr>
                  </w:pPr>
                  <w:r>
                    <w:rPr>
                      <w:rFonts w:hint="eastAsia"/>
                      <w:color w:val="auto"/>
                      <w:spacing w:val="18"/>
                      <w:sz w:val="18"/>
                      <w:szCs w:val="18"/>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widowControl/>
                    <w:kinsoku w:val="0"/>
                    <w:autoSpaceDE w:val="0"/>
                    <w:autoSpaceDN w:val="0"/>
                    <w:adjustRightInd w:val="0"/>
                    <w:snapToGrid w:val="0"/>
                    <w:spacing w:line="253" w:lineRule="auto"/>
                    <w:textAlignment w:val="baseline"/>
                    <w:rPr>
                      <w:color w:val="auto"/>
                      <w:spacing w:val="18"/>
                      <w:sz w:val="18"/>
                      <w:szCs w:val="18"/>
                    </w:rPr>
                  </w:pPr>
                  <w:r>
                    <w:rPr>
                      <w:rFonts w:hint="eastAsia"/>
                      <w:color w:val="auto"/>
                      <w:spacing w:val="18"/>
                      <w:sz w:val="18"/>
                      <w:szCs w:val="18"/>
                    </w:rPr>
                    <w:t>-到2023年底，力争全市生活垃圾焚烧处理能力占比达60%以上，各县（市）生活垃圾无害化处理率保持95%以上，乡镇及行政村生活垃圾收转运处置体系基本实现全覆盖。</w:t>
                  </w:r>
                </w:p>
                <w:p>
                  <w:pPr>
                    <w:widowControl/>
                    <w:kinsoku w:val="0"/>
                    <w:autoSpaceDE w:val="0"/>
                    <w:autoSpaceDN w:val="0"/>
                    <w:adjustRightInd w:val="0"/>
                    <w:snapToGrid w:val="0"/>
                    <w:spacing w:line="253" w:lineRule="auto"/>
                    <w:textAlignment w:val="baseline"/>
                    <w:rPr>
                      <w:color w:val="auto"/>
                      <w:spacing w:val="18"/>
                      <w:sz w:val="18"/>
                      <w:szCs w:val="18"/>
                    </w:rPr>
                  </w:pPr>
                  <w:r>
                    <w:rPr>
                      <w:rFonts w:hint="eastAsia"/>
                      <w:color w:val="auto"/>
                      <w:spacing w:val="18"/>
                      <w:sz w:val="18"/>
                      <w:szCs w:val="18"/>
                    </w:rPr>
                    <w:t>-到2025年，农药包装废弃物回收率达80%；粮油绿色高质高效示范区、茶叶主产区和现代农业园区农药包装废弃物回收率100%。</w:t>
                  </w:r>
                </w:p>
                <w:p>
                  <w:pPr>
                    <w:widowControl/>
                    <w:kinsoku w:val="0"/>
                    <w:autoSpaceDE w:val="0"/>
                    <w:autoSpaceDN w:val="0"/>
                    <w:adjustRightInd w:val="0"/>
                    <w:snapToGrid w:val="0"/>
                    <w:spacing w:line="253" w:lineRule="auto"/>
                    <w:textAlignment w:val="baseline"/>
                    <w:rPr>
                      <w:color w:val="auto"/>
                      <w:spacing w:val="18"/>
                      <w:sz w:val="18"/>
                      <w:szCs w:val="18"/>
                    </w:rPr>
                  </w:pPr>
                  <w:r>
                    <w:rPr>
                      <w:rFonts w:hint="eastAsia"/>
                      <w:color w:val="auto"/>
                      <w:spacing w:val="18"/>
                      <w:sz w:val="18"/>
                      <w:szCs w:val="18"/>
                    </w:rPr>
                    <w:t>-到2025年，全国主要农作物化肥、农药利用率达43%，测土配方施肥技术推广覆盖率保持在90%以上，控制农村面源污染，采取灌排分离等措施控制农田氮磷流失。</w:t>
                  </w:r>
                </w:p>
                <w:p>
                  <w:pPr>
                    <w:widowControl/>
                    <w:kinsoku w:val="0"/>
                    <w:autoSpaceDE w:val="0"/>
                    <w:autoSpaceDN w:val="0"/>
                    <w:adjustRightInd w:val="0"/>
                    <w:snapToGrid w:val="0"/>
                    <w:spacing w:line="253" w:lineRule="auto"/>
                    <w:textAlignment w:val="baseline"/>
                    <w:rPr>
                      <w:color w:val="auto"/>
                      <w:spacing w:val="18"/>
                      <w:sz w:val="18"/>
                      <w:szCs w:val="18"/>
                    </w:rPr>
                  </w:pPr>
                  <w:r>
                    <w:rPr>
                      <w:rFonts w:hint="eastAsia"/>
                      <w:color w:val="auto"/>
                      <w:spacing w:val="18"/>
                      <w:sz w:val="18"/>
                      <w:szCs w:val="18"/>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widowControl/>
                    <w:kinsoku w:val="0"/>
                    <w:autoSpaceDE w:val="0"/>
                    <w:autoSpaceDN w:val="0"/>
                    <w:adjustRightInd w:val="0"/>
                    <w:snapToGrid w:val="0"/>
                    <w:spacing w:line="253" w:lineRule="auto"/>
                    <w:textAlignment w:val="baseline"/>
                    <w:rPr>
                      <w:color w:val="auto"/>
                      <w:spacing w:val="18"/>
                      <w:sz w:val="18"/>
                      <w:szCs w:val="18"/>
                    </w:rPr>
                  </w:pPr>
                  <w:r>
                    <w:rPr>
                      <w:rFonts w:hint="eastAsia"/>
                      <w:color w:val="auto"/>
                      <w:spacing w:val="18"/>
                      <w:sz w:val="18"/>
                      <w:szCs w:val="18"/>
                    </w:rPr>
                    <w:t>-到2025年，废旧农膜回收利用率达到85%以上。</w:t>
                  </w:r>
                </w:p>
                <w:p>
                  <w:pPr>
                    <w:widowControl/>
                    <w:kinsoku w:val="0"/>
                    <w:autoSpaceDE w:val="0"/>
                    <w:autoSpaceDN w:val="0"/>
                    <w:adjustRightInd w:val="0"/>
                    <w:snapToGrid w:val="0"/>
                    <w:spacing w:line="253" w:lineRule="auto"/>
                    <w:textAlignment w:val="baseline"/>
                    <w:rPr>
                      <w:bCs/>
                      <w:color w:val="auto"/>
                      <w:sz w:val="18"/>
                      <w:szCs w:val="18"/>
                    </w:rPr>
                  </w:pPr>
                  <w:r>
                    <w:rPr>
                      <w:rFonts w:hint="eastAsia"/>
                      <w:color w:val="auto"/>
                      <w:spacing w:val="18"/>
                      <w:sz w:val="18"/>
                      <w:szCs w:val="18"/>
                    </w:rPr>
                    <w:t>-非金属矿行业绿色矿山建设要求：固体废物妥善处置率应达到100%；选矿废水重复利用率一般达到85%以上。</w:t>
                  </w:r>
                </w:p>
              </w:tc>
              <w:tc>
                <w:tcPr>
                  <w:tcW w:w="1305" w:type="dxa"/>
                  <w:vAlign w:val="center"/>
                </w:tcPr>
                <w:p>
                  <w:pPr>
                    <w:rPr>
                      <w:bCs/>
                      <w:color w:val="auto"/>
                      <w:sz w:val="18"/>
                      <w:szCs w:val="18"/>
                    </w:rPr>
                  </w:pPr>
                  <w:r>
                    <w:rPr>
                      <w:bCs/>
                      <w:color w:val="auto"/>
                      <w:sz w:val="18"/>
                      <w:szCs w:val="18"/>
                    </w:rPr>
                    <w:t>项目施工期严格落实“六必须、六不准”的管控要求，减少施工扬尘的产生；施工废水回用，施工期</w:t>
                  </w:r>
                  <w:r>
                    <w:rPr>
                      <w:rFonts w:hint="eastAsia"/>
                      <w:color w:val="auto"/>
                      <w:sz w:val="18"/>
                      <w:szCs w:val="18"/>
                    </w:rPr>
                    <w:t>生活污水经预处理池处理后用作农肥</w:t>
                  </w:r>
                  <w:r>
                    <w:rPr>
                      <w:rFonts w:hint="eastAsia"/>
                      <w:color w:val="auto"/>
                      <w:kern w:val="0"/>
                      <w:sz w:val="18"/>
                      <w:szCs w:val="18"/>
                    </w:rPr>
                    <w:t>。</w:t>
                  </w:r>
                  <w:r>
                    <w:rPr>
                      <w:color w:val="auto"/>
                      <w:spacing w:val="9"/>
                      <w:sz w:val="18"/>
                      <w:szCs w:val="18"/>
                    </w:rPr>
                    <w:t>项目</w:t>
                  </w:r>
                  <w:r>
                    <w:rPr>
                      <w:rFonts w:hint="eastAsia"/>
                      <w:color w:val="auto"/>
                      <w:spacing w:val="9"/>
                      <w:sz w:val="18"/>
                      <w:szCs w:val="18"/>
                    </w:rPr>
                    <w:t>运营期生产废水循环使用，不外排，生活废水经预处理后用作农肥</w:t>
                  </w:r>
                  <w:r>
                    <w:rPr>
                      <w:color w:val="auto"/>
                      <w:sz w:val="18"/>
                      <w:szCs w:val="18"/>
                    </w:rPr>
                    <w:t>。</w:t>
                  </w:r>
                  <w:r>
                    <w:rPr>
                      <w:rFonts w:hint="eastAsia"/>
                      <w:color w:val="auto"/>
                      <w:sz w:val="18"/>
                      <w:szCs w:val="18"/>
                    </w:rPr>
                    <w:t>宣汉县</w:t>
                  </w:r>
                  <w:r>
                    <w:rPr>
                      <w:color w:val="auto"/>
                      <w:sz w:val="18"/>
                      <w:szCs w:val="18"/>
                    </w:rPr>
                    <w:t>为</w:t>
                  </w:r>
                  <w:r>
                    <w:rPr>
                      <w:color w:val="auto"/>
                      <w:spacing w:val="8"/>
                      <w:sz w:val="18"/>
                      <w:szCs w:val="18"/>
                    </w:rPr>
                    <w:t>空气质量</w:t>
                  </w:r>
                  <w:r>
                    <w:rPr>
                      <w:color w:val="auto"/>
                      <w:sz w:val="18"/>
                      <w:szCs w:val="18"/>
                    </w:rPr>
                    <w:t>达标城市</w:t>
                  </w:r>
                  <w:r>
                    <w:rPr>
                      <w:rFonts w:hint="eastAsia"/>
                      <w:color w:val="auto"/>
                      <w:spacing w:val="9"/>
                      <w:sz w:val="18"/>
                      <w:szCs w:val="18"/>
                    </w:rPr>
                    <w:t>。</w:t>
                  </w:r>
                  <w:r>
                    <w:rPr>
                      <w:color w:val="auto"/>
                      <w:kern w:val="0"/>
                      <w:sz w:val="18"/>
                      <w:szCs w:val="18"/>
                    </w:rPr>
                    <w:t>固体废物资源化利用、无害化处置率达100%；生活垃圾无害化处理率达100%；危险废物处置率达100%。</w:t>
                  </w:r>
                </w:p>
              </w:tc>
              <w:tc>
                <w:tcPr>
                  <w:tcW w:w="608" w:type="dxa"/>
                  <w:vAlign w:val="center"/>
                </w:tcPr>
                <w:p>
                  <w:pPr>
                    <w:jc w:val="center"/>
                    <w:rPr>
                      <w:bCs/>
                      <w:color w:val="auto"/>
                      <w:sz w:val="18"/>
                      <w:szCs w:val="18"/>
                    </w:rPr>
                  </w:pPr>
                  <w:r>
                    <w:rPr>
                      <w:bCs/>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pPr>
                    <w:jc w:val="center"/>
                    <w:rPr>
                      <w:bCs/>
                      <w:color w:val="auto"/>
                      <w:sz w:val="18"/>
                      <w:szCs w:val="18"/>
                    </w:rPr>
                  </w:pPr>
                </w:p>
              </w:tc>
              <w:tc>
                <w:tcPr>
                  <w:tcW w:w="720" w:type="dxa"/>
                  <w:vMerge w:val="continue"/>
                  <w:vAlign w:val="center"/>
                </w:tcPr>
                <w:p>
                  <w:pPr>
                    <w:jc w:val="center"/>
                    <w:rPr>
                      <w:bCs/>
                      <w:color w:val="auto"/>
                      <w:sz w:val="18"/>
                      <w:szCs w:val="18"/>
                    </w:rPr>
                  </w:pPr>
                </w:p>
              </w:tc>
              <w:tc>
                <w:tcPr>
                  <w:tcW w:w="705" w:type="dxa"/>
                  <w:vMerge w:val="continue"/>
                  <w:vAlign w:val="center"/>
                </w:tcPr>
                <w:p>
                  <w:pPr>
                    <w:jc w:val="center"/>
                    <w:rPr>
                      <w:bCs/>
                      <w:color w:val="auto"/>
                      <w:sz w:val="18"/>
                      <w:szCs w:val="18"/>
                    </w:rPr>
                  </w:pPr>
                </w:p>
              </w:tc>
              <w:tc>
                <w:tcPr>
                  <w:tcW w:w="555" w:type="dxa"/>
                  <w:vAlign w:val="center"/>
                </w:tcPr>
                <w:p>
                  <w:pPr>
                    <w:jc w:val="center"/>
                    <w:rPr>
                      <w:bCs/>
                      <w:color w:val="auto"/>
                      <w:sz w:val="18"/>
                      <w:szCs w:val="18"/>
                    </w:rPr>
                  </w:pPr>
                  <w:r>
                    <w:rPr>
                      <w:bCs/>
                      <w:color w:val="auto"/>
                      <w:sz w:val="18"/>
                      <w:szCs w:val="18"/>
                    </w:rPr>
                    <w:t>环境风险防控</w:t>
                  </w:r>
                </w:p>
              </w:tc>
              <w:tc>
                <w:tcPr>
                  <w:tcW w:w="2505" w:type="dxa"/>
                  <w:vAlign w:val="center"/>
                </w:tcPr>
                <w:p>
                  <w:pPr>
                    <w:widowControl/>
                    <w:kinsoku w:val="0"/>
                    <w:autoSpaceDE w:val="0"/>
                    <w:autoSpaceDN w:val="0"/>
                    <w:adjustRightInd w:val="0"/>
                    <w:snapToGrid w:val="0"/>
                    <w:spacing w:line="229" w:lineRule="auto"/>
                    <w:textAlignment w:val="baseline"/>
                    <w:rPr>
                      <w:b/>
                      <w:bCs/>
                      <w:color w:val="auto"/>
                      <w:sz w:val="18"/>
                      <w:szCs w:val="18"/>
                    </w:rPr>
                  </w:pPr>
                  <w:r>
                    <w:rPr>
                      <w:b/>
                      <w:bCs/>
                      <w:color w:val="auto"/>
                      <w:spacing w:val="9"/>
                      <w:sz w:val="18"/>
                      <w:szCs w:val="18"/>
                    </w:rPr>
                    <w:t>1</w:t>
                  </w:r>
                  <w:r>
                    <w:rPr>
                      <w:rFonts w:hint="eastAsia"/>
                      <w:b/>
                      <w:bCs/>
                      <w:color w:val="auto"/>
                      <w:spacing w:val="9"/>
                      <w:sz w:val="18"/>
                      <w:szCs w:val="18"/>
                    </w:rPr>
                    <w:t>）</w:t>
                  </w:r>
                  <w:r>
                    <w:rPr>
                      <w:b/>
                      <w:bCs/>
                      <w:color w:val="auto"/>
                      <w:spacing w:val="7"/>
                      <w:sz w:val="18"/>
                      <w:szCs w:val="18"/>
                    </w:rPr>
                    <w:t>联防联控要求</w:t>
                  </w:r>
                </w:p>
                <w:p>
                  <w:pPr>
                    <w:widowControl/>
                    <w:kinsoku w:val="0"/>
                    <w:autoSpaceDE w:val="0"/>
                    <w:autoSpaceDN w:val="0"/>
                    <w:adjustRightInd w:val="0"/>
                    <w:snapToGrid w:val="0"/>
                    <w:spacing w:line="251" w:lineRule="auto"/>
                    <w:ind w:firstLine="5"/>
                    <w:textAlignment w:val="baseline"/>
                    <w:rPr>
                      <w:color w:val="auto"/>
                      <w:sz w:val="18"/>
                      <w:szCs w:val="18"/>
                    </w:rPr>
                  </w:pPr>
                  <w:r>
                    <w:rPr>
                      <w:rFonts w:hint="eastAsia"/>
                      <w:color w:val="auto"/>
                      <w:spacing w:val="15"/>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widowControl/>
                    <w:kinsoku w:val="0"/>
                    <w:autoSpaceDE w:val="0"/>
                    <w:autoSpaceDN w:val="0"/>
                    <w:adjustRightInd w:val="0"/>
                    <w:snapToGrid w:val="0"/>
                    <w:spacing w:line="229" w:lineRule="auto"/>
                    <w:textAlignment w:val="baseline"/>
                    <w:rPr>
                      <w:b/>
                      <w:bCs/>
                      <w:color w:val="auto"/>
                      <w:sz w:val="18"/>
                      <w:szCs w:val="18"/>
                    </w:rPr>
                  </w:pPr>
                  <w:r>
                    <w:rPr>
                      <w:b/>
                      <w:bCs/>
                      <w:color w:val="auto"/>
                      <w:spacing w:val="9"/>
                      <w:sz w:val="18"/>
                      <w:szCs w:val="18"/>
                    </w:rPr>
                    <w:t>2</w:t>
                  </w:r>
                  <w:r>
                    <w:rPr>
                      <w:rFonts w:hint="eastAsia"/>
                      <w:b/>
                      <w:bCs/>
                      <w:color w:val="auto"/>
                      <w:spacing w:val="9"/>
                      <w:sz w:val="18"/>
                      <w:szCs w:val="18"/>
                    </w:rPr>
                    <w:t>）</w:t>
                  </w:r>
                  <w:r>
                    <w:rPr>
                      <w:b/>
                      <w:bCs/>
                      <w:color w:val="auto"/>
                      <w:spacing w:val="9"/>
                      <w:sz w:val="18"/>
                      <w:szCs w:val="18"/>
                    </w:rPr>
                    <w:t>其他环境风险防控要</w:t>
                  </w:r>
                  <w:r>
                    <w:rPr>
                      <w:b/>
                      <w:bCs/>
                      <w:color w:val="auto"/>
                      <w:spacing w:val="8"/>
                      <w:sz w:val="18"/>
                      <w:szCs w:val="18"/>
                    </w:rPr>
                    <w:t>求</w:t>
                  </w:r>
                </w:p>
                <w:p>
                  <w:pPr>
                    <w:textAlignment w:val="bottom"/>
                    <w:rPr>
                      <w:color w:val="auto"/>
                      <w:spacing w:val="17"/>
                      <w:sz w:val="18"/>
                      <w:szCs w:val="18"/>
                    </w:rPr>
                  </w:pPr>
                  <w:r>
                    <w:rPr>
                      <w:rFonts w:hint="eastAsia"/>
                      <w:color w:val="auto"/>
                      <w:spacing w:val="17"/>
                      <w:sz w:val="18"/>
                      <w:szCs w:val="18"/>
                    </w:rPr>
                    <w:t>企业环境风险防控要求:工业企业退出用地，须经评估、修复满足相应用地功能后，方可改变用途。</w:t>
                  </w:r>
                </w:p>
                <w:p>
                  <w:pPr>
                    <w:textAlignment w:val="bottom"/>
                    <w:rPr>
                      <w:color w:val="auto"/>
                      <w:spacing w:val="17"/>
                      <w:sz w:val="18"/>
                      <w:szCs w:val="18"/>
                    </w:rPr>
                  </w:pPr>
                  <w:r>
                    <w:rPr>
                      <w:rFonts w:hint="eastAsia"/>
                      <w:color w:val="auto"/>
                      <w:spacing w:val="17"/>
                      <w:sz w:val="18"/>
                      <w:szCs w:val="18"/>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textAlignment w:val="bottom"/>
                    <w:rPr>
                      <w:color w:val="auto"/>
                      <w:spacing w:val="17"/>
                      <w:sz w:val="18"/>
                      <w:szCs w:val="18"/>
                    </w:rPr>
                  </w:pPr>
                  <w:r>
                    <w:rPr>
                      <w:rFonts w:hint="eastAsia"/>
                      <w:color w:val="auto"/>
                      <w:spacing w:val="17"/>
                      <w:sz w:val="18"/>
                      <w:szCs w:val="18"/>
                    </w:rPr>
                    <w:t>定期对单元内尾矿库进行风险巡查，建立监测系统和环境风险应急预案；完善各尾矿库渗滤液收集、处理、回用系统，杜绝事故排放；尾矿库闭矿后因地制宜进行植被恢复和综合利用。</w:t>
                  </w:r>
                </w:p>
                <w:p>
                  <w:pPr>
                    <w:textAlignment w:val="bottom"/>
                    <w:rPr>
                      <w:color w:val="auto"/>
                      <w:spacing w:val="17"/>
                      <w:sz w:val="18"/>
                      <w:szCs w:val="18"/>
                    </w:rPr>
                  </w:pPr>
                  <w:r>
                    <w:rPr>
                      <w:rFonts w:hint="eastAsia"/>
                      <w:color w:val="auto"/>
                      <w:spacing w:val="17"/>
                      <w:sz w:val="18"/>
                      <w:szCs w:val="18"/>
                    </w:rPr>
                    <w:t>规范排土场、渣场等整治。禁止处理不达标的污泥进入耕地。</w:t>
                  </w:r>
                </w:p>
                <w:p>
                  <w:pPr>
                    <w:textAlignment w:val="bottom"/>
                    <w:rPr>
                      <w:color w:val="auto"/>
                      <w:spacing w:val="17"/>
                      <w:sz w:val="18"/>
                      <w:szCs w:val="18"/>
                    </w:rPr>
                  </w:pPr>
                  <w:r>
                    <w:rPr>
                      <w:rFonts w:hint="eastAsia"/>
                      <w:color w:val="auto"/>
                      <w:spacing w:val="17"/>
                      <w:sz w:val="18"/>
                      <w:szCs w:val="18"/>
                    </w:rPr>
                    <w:t>严格控制林地、草地、园地的农药使用量，禁止使用高毒、高残留农药。</w:t>
                  </w:r>
                </w:p>
                <w:p>
                  <w:pPr>
                    <w:textAlignment w:val="bottom"/>
                    <w:rPr>
                      <w:bCs/>
                      <w:color w:val="auto"/>
                      <w:sz w:val="18"/>
                      <w:szCs w:val="18"/>
                    </w:rPr>
                  </w:pPr>
                  <w:r>
                    <w:rPr>
                      <w:rFonts w:hint="eastAsia"/>
                      <w:color w:val="auto"/>
                      <w:spacing w:val="17"/>
                      <w:sz w:val="18"/>
                      <w:szCs w:val="18"/>
                    </w:rPr>
                    <w:t>到2030年，全市受污染耕地安全利用率达到95%以上，污染地块安全利用率达到95%以上。</w:t>
                  </w:r>
                </w:p>
              </w:tc>
              <w:tc>
                <w:tcPr>
                  <w:tcW w:w="1305" w:type="dxa"/>
                  <w:vAlign w:val="center"/>
                </w:tcPr>
                <w:p>
                  <w:pPr>
                    <w:widowControl/>
                    <w:rPr>
                      <w:bCs/>
                      <w:color w:val="auto"/>
                      <w:sz w:val="18"/>
                      <w:szCs w:val="18"/>
                    </w:rPr>
                  </w:pPr>
                  <w:r>
                    <w:rPr>
                      <w:color w:val="auto"/>
                      <w:kern w:val="0"/>
                      <w:sz w:val="18"/>
                      <w:szCs w:val="18"/>
                    </w:rPr>
                    <w:t>本项目不涉及五类重金属，</w:t>
                  </w:r>
                  <w:r>
                    <w:rPr>
                      <w:rFonts w:hint="eastAsia"/>
                      <w:color w:val="auto"/>
                      <w:kern w:val="0"/>
                      <w:sz w:val="18"/>
                      <w:szCs w:val="18"/>
                    </w:rPr>
                    <w:t>本项目</w:t>
                  </w:r>
                  <w:r>
                    <w:rPr>
                      <w:color w:val="auto"/>
                      <w:sz w:val="18"/>
                      <w:szCs w:val="18"/>
                    </w:rPr>
                    <w:t>建筑石料用灰岩矿开采</w:t>
                  </w:r>
                  <w:r>
                    <w:rPr>
                      <w:rFonts w:hint="eastAsia"/>
                      <w:color w:val="auto"/>
                      <w:sz w:val="18"/>
                      <w:szCs w:val="18"/>
                    </w:rPr>
                    <w:t>加工项目</w:t>
                  </w:r>
                  <w:r>
                    <w:rPr>
                      <w:color w:val="auto"/>
                      <w:kern w:val="0"/>
                      <w:sz w:val="18"/>
                      <w:szCs w:val="18"/>
                    </w:rPr>
                    <w:t>。</w:t>
                  </w:r>
                </w:p>
              </w:tc>
              <w:tc>
                <w:tcPr>
                  <w:tcW w:w="608" w:type="dxa"/>
                  <w:vAlign w:val="center"/>
                </w:tcPr>
                <w:p>
                  <w:pPr>
                    <w:jc w:val="center"/>
                    <w:rPr>
                      <w:bCs/>
                      <w:color w:val="auto"/>
                      <w:sz w:val="18"/>
                      <w:szCs w:val="18"/>
                    </w:rPr>
                  </w:pPr>
                  <w:r>
                    <w:rPr>
                      <w:bCs/>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pPr>
                    <w:jc w:val="center"/>
                    <w:rPr>
                      <w:bCs/>
                      <w:color w:val="auto"/>
                      <w:sz w:val="18"/>
                      <w:szCs w:val="18"/>
                    </w:rPr>
                  </w:pPr>
                </w:p>
              </w:tc>
              <w:tc>
                <w:tcPr>
                  <w:tcW w:w="720" w:type="dxa"/>
                  <w:vMerge w:val="continue"/>
                  <w:vAlign w:val="center"/>
                </w:tcPr>
                <w:p>
                  <w:pPr>
                    <w:jc w:val="center"/>
                    <w:rPr>
                      <w:bCs/>
                      <w:color w:val="auto"/>
                      <w:sz w:val="18"/>
                      <w:szCs w:val="18"/>
                    </w:rPr>
                  </w:pPr>
                </w:p>
              </w:tc>
              <w:tc>
                <w:tcPr>
                  <w:tcW w:w="705" w:type="dxa"/>
                  <w:vMerge w:val="continue"/>
                  <w:vAlign w:val="center"/>
                </w:tcPr>
                <w:p>
                  <w:pPr>
                    <w:jc w:val="center"/>
                    <w:rPr>
                      <w:bCs/>
                      <w:color w:val="auto"/>
                      <w:sz w:val="18"/>
                      <w:szCs w:val="18"/>
                    </w:rPr>
                  </w:pPr>
                </w:p>
              </w:tc>
              <w:tc>
                <w:tcPr>
                  <w:tcW w:w="555" w:type="dxa"/>
                  <w:vAlign w:val="center"/>
                </w:tcPr>
                <w:p>
                  <w:pPr>
                    <w:jc w:val="center"/>
                    <w:rPr>
                      <w:bCs/>
                      <w:color w:val="auto"/>
                      <w:sz w:val="18"/>
                      <w:szCs w:val="18"/>
                    </w:rPr>
                  </w:pPr>
                  <w:r>
                    <w:rPr>
                      <w:bCs/>
                      <w:color w:val="auto"/>
                      <w:sz w:val="18"/>
                      <w:szCs w:val="18"/>
                    </w:rPr>
                    <w:t>资源开发效率</w:t>
                  </w:r>
                </w:p>
              </w:tc>
              <w:tc>
                <w:tcPr>
                  <w:tcW w:w="2505" w:type="dxa"/>
                  <w:vAlign w:val="center"/>
                </w:tcPr>
                <w:p>
                  <w:pPr>
                    <w:widowControl/>
                    <w:kinsoku w:val="0"/>
                    <w:autoSpaceDE w:val="0"/>
                    <w:autoSpaceDN w:val="0"/>
                    <w:adjustRightInd w:val="0"/>
                    <w:snapToGrid w:val="0"/>
                    <w:spacing w:line="228" w:lineRule="auto"/>
                    <w:textAlignment w:val="baseline"/>
                    <w:rPr>
                      <w:b/>
                      <w:bCs/>
                      <w:color w:val="auto"/>
                      <w:sz w:val="18"/>
                      <w:szCs w:val="18"/>
                    </w:rPr>
                  </w:pPr>
                  <w:r>
                    <w:rPr>
                      <w:b/>
                      <w:bCs/>
                      <w:color w:val="auto"/>
                      <w:spacing w:val="11"/>
                      <w:sz w:val="18"/>
                      <w:szCs w:val="18"/>
                    </w:rPr>
                    <w:t>1</w:t>
                  </w:r>
                  <w:r>
                    <w:rPr>
                      <w:rFonts w:hint="eastAsia"/>
                      <w:b/>
                      <w:bCs/>
                      <w:color w:val="auto"/>
                      <w:spacing w:val="11"/>
                      <w:sz w:val="18"/>
                      <w:szCs w:val="18"/>
                    </w:rPr>
                    <w:t>）</w:t>
                  </w:r>
                  <w:r>
                    <w:rPr>
                      <w:b/>
                      <w:bCs/>
                      <w:color w:val="auto"/>
                      <w:spacing w:val="8"/>
                      <w:sz w:val="18"/>
                      <w:szCs w:val="18"/>
                    </w:rPr>
                    <w:t>水资源利用总量要求</w:t>
                  </w:r>
                </w:p>
                <w:p>
                  <w:pPr>
                    <w:widowControl/>
                    <w:kinsoku w:val="0"/>
                    <w:autoSpaceDE w:val="0"/>
                    <w:autoSpaceDN w:val="0"/>
                    <w:adjustRightInd w:val="0"/>
                    <w:snapToGrid w:val="0"/>
                    <w:spacing w:line="251" w:lineRule="auto"/>
                    <w:ind w:firstLine="18"/>
                    <w:textAlignment w:val="baseline"/>
                    <w:rPr>
                      <w:color w:val="auto"/>
                      <w:sz w:val="18"/>
                      <w:szCs w:val="18"/>
                    </w:rPr>
                  </w:pPr>
                  <w:r>
                    <w:rPr>
                      <w:color w:val="auto"/>
                      <w:spacing w:val="2"/>
                      <w:sz w:val="18"/>
                      <w:szCs w:val="18"/>
                    </w:rPr>
                    <w:t>－</w:t>
                  </w:r>
                  <w:r>
                    <w:rPr>
                      <w:rFonts w:hint="eastAsia"/>
                      <w:color w:val="auto"/>
                      <w:spacing w:val="2"/>
                      <w:sz w:val="18"/>
                      <w:szCs w:val="18"/>
                    </w:rPr>
                    <w:t>到2025年，农田灌溉水有效利用系数达到0.57以上</w:t>
                  </w:r>
                  <w:r>
                    <w:rPr>
                      <w:color w:val="auto"/>
                      <w:position w:val="1"/>
                      <w:sz w:val="18"/>
                      <w:szCs w:val="18"/>
                    </w:rPr>
                    <w:t>。</w:t>
                  </w:r>
                </w:p>
                <w:p>
                  <w:pPr>
                    <w:widowControl/>
                    <w:kinsoku w:val="0"/>
                    <w:autoSpaceDE w:val="0"/>
                    <w:autoSpaceDN w:val="0"/>
                    <w:adjustRightInd w:val="0"/>
                    <w:snapToGrid w:val="0"/>
                    <w:spacing w:line="228" w:lineRule="auto"/>
                    <w:textAlignment w:val="baseline"/>
                    <w:rPr>
                      <w:color w:val="auto"/>
                      <w:sz w:val="18"/>
                      <w:szCs w:val="18"/>
                    </w:rPr>
                  </w:pPr>
                  <w:r>
                    <w:rPr>
                      <w:b/>
                      <w:bCs/>
                      <w:color w:val="auto"/>
                      <w:spacing w:val="13"/>
                      <w:sz w:val="18"/>
                      <w:szCs w:val="18"/>
                    </w:rPr>
                    <w:t>2</w:t>
                  </w:r>
                  <w:r>
                    <w:rPr>
                      <w:rFonts w:hint="eastAsia"/>
                      <w:b/>
                      <w:bCs/>
                      <w:color w:val="auto"/>
                      <w:spacing w:val="13"/>
                      <w:sz w:val="18"/>
                      <w:szCs w:val="18"/>
                    </w:rPr>
                    <w:t>）</w:t>
                  </w:r>
                  <w:r>
                    <w:rPr>
                      <w:b/>
                      <w:bCs/>
                      <w:color w:val="auto"/>
                      <w:spacing w:val="8"/>
                      <w:sz w:val="18"/>
                      <w:szCs w:val="18"/>
                    </w:rPr>
                    <w:t>地下水开采要求</w:t>
                  </w:r>
                </w:p>
                <w:p>
                  <w:pPr>
                    <w:widowControl/>
                    <w:kinsoku w:val="0"/>
                    <w:autoSpaceDE w:val="0"/>
                    <w:autoSpaceDN w:val="0"/>
                    <w:adjustRightInd w:val="0"/>
                    <w:snapToGrid w:val="0"/>
                    <w:spacing w:line="228" w:lineRule="auto"/>
                    <w:textAlignment w:val="baseline"/>
                    <w:rPr>
                      <w:color w:val="auto"/>
                      <w:sz w:val="18"/>
                      <w:szCs w:val="18"/>
                    </w:rPr>
                  </w:pPr>
                  <w:r>
                    <w:rPr>
                      <w:color w:val="auto"/>
                      <w:spacing w:val="9"/>
                      <w:sz w:val="18"/>
                      <w:szCs w:val="18"/>
                    </w:rPr>
                    <w:t>以</w:t>
                  </w:r>
                  <w:r>
                    <w:rPr>
                      <w:color w:val="auto"/>
                      <w:spacing w:val="6"/>
                      <w:sz w:val="18"/>
                      <w:szCs w:val="18"/>
                    </w:rPr>
                    <w:t>省市下发指标为准</w:t>
                  </w:r>
                  <w:r>
                    <w:rPr>
                      <w:rFonts w:hint="eastAsia"/>
                      <w:color w:val="auto"/>
                      <w:spacing w:val="6"/>
                      <w:sz w:val="18"/>
                      <w:szCs w:val="18"/>
                    </w:rPr>
                    <w:t>。</w:t>
                  </w:r>
                </w:p>
                <w:p>
                  <w:pPr>
                    <w:widowControl/>
                    <w:kinsoku w:val="0"/>
                    <w:autoSpaceDE w:val="0"/>
                    <w:autoSpaceDN w:val="0"/>
                    <w:adjustRightInd w:val="0"/>
                    <w:snapToGrid w:val="0"/>
                    <w:spacing w:line="228" w:lineRule="auto"/>
                    <w:textAlignment w:val="baseline"/>
                    <w:rPr>
                      <w:color w:val="auto"/>
                      <w:sz w:val="18"/>
                      <w:szCs w:val="18"/>
                    </w:rPr>
                  </w:pPr>
                  <w:r>
                    <w:rPr>
                      <w:b/>
                      <w:bCs/>
                      <w:color w:val="auto"/>
                      <w:spacing w:val="12"/>
                      <w:sz w:val="18"/>
                      <w:szCs w:val="18"/>
                    </w:rPr>
                    <w:t>3</w:t>
                  </w:r>
                  <w:r>
                    <w:rPr>
                      <w:rFonts w:hint="eastAsia"/>
                      <w:b/>
                      <w:bCs/>
                      <w:color w:val="auto"/>
                      <w:spacing w:val="12"/>
                      <w:sz w:val="18"/>
                      <w:szCs w:val="18"/>
                    </w:rPr>
                    <w:t>）</w:t>
                  </w:r>
                  <w:r>
                    <w:rPr>
                      <w:b/>
                      <w:bCs/>
                      <w:color w:val="auto"/>
                      <w:spacing w:val="9"/>
                      <w:sz w:val="18"/>
                      <w:szCs w:val="18"/>
                    </w:rPr>
                    <w:t>能源利用总量及效率要求</w:t>
                  </w:r>
                </w:p>
                <w:p>
                  <w:pPr>
                    <w:widowControl/>
                    <w:kinsoku w:val="0"/>
                    <w:autoSpaceDE w:val="0"/>
                    <w:autoSpaceDN w:val="0"/>
                    <w:adjustRightInd w:val="0"/>
                    <w:snapToGrid w:val="0"/>
                    <w:spacing w:line="228" w:lineRule="auto"/>
                    <w:textAlignment w:val="baseline"/>
                    <w:rPr>
                      <w:color w:val="auto"/>
                      <w:spacing w:val="10"/>
                      <w:sz w:val="18"/>
                      <w:szCs w:val="18"/>
                    </w:rPr>
                  </w:pPr>
                  <w:r>
                    <w:rPr>
                      <w:rFonts w:hint="eastAsia"/>
                      <w:color w:val="auto"/>
                      <w:spacing w:val="10"/>
                      <w:sz w:val="18"/>
                      <w:szCs w:val="18"/>
                    </w:rPr>
                    <w:t>-推进清洁能源的推广使用，全面推进散煤清洁化整治；禁止新建每小时10蒸吨以下的燃煤锅炉及其他燃煤设施。</w:t>
                  </w:r>
                </w:p>
                <w:p>
                  <w:pPr>
                    <w:widowControl/>
                    <w:kinsoku w:val="0"/>
                    <w:autoSpaceDE w:val="0"/>
                    <w:autoSpaceDN w:val="0"/>
                    <w:adjustRightInd w:val="0"/>
                    <w:snapToGrid w:val="0"/>
                    <w:spacing w:line="228" w:lineRule="auto"/>
                    <w:textAlignment w:val="baseline"/>
                    <w:rPr>
                      <w:color w:val="auto"/>
                      <w:spacing w:val="10"/>
                      <w:sz w:val="18"/>
                      <w:szCs w:val="18"/>
                    </w:rPr>
                  </w:pPr>
                  <w:r>
                    <w:rPr>
                      <w:rFonts w:hint="eastAsia"/>
                      <w:color w:val="auto"/>
                      <w:spacing w:val="10"/>
                      <w:sz w:val="18"/>
                      <w:szCs w:val="18"/>
                    </w:rPr>
                    <w:t>-禁止焚烧秸秆和垃圾，到2025年底，秸秆综合利用率达到86%以上。</w:t>
                  </w:r>
                </w:p>
                <w:p>
                  <w:pPr>
                    <w:widowControl/>
                    <w:kinsoku w:val="0"/>
                    <w:autoSpaceDE w:val="0"/>
                    <w:autoSpaceDN w:val="0"/>
                    <w:adjustRightInd w:val="0"/>
                    <w:snapToGrid w:val="0"/>
                    <w:spacing w:line="228" w:lineRule="auto"/>
                    <w:textAlignment w:val="baseline"/>
                    <w:rPr>
                      <w:color w:val="auto"/>
                      <w:sz w:val="18"/>
                      <w:szCs w:val="18"/>
                    </w:rPr>
                  </w:pPr>
                  <w:r>
                    <w:rPr>
                      <w:b/>
                      <w:bCs/>
                      <w:color w:val="auto"/>
                      <w:spacing w:val="8"/>
                      <w:sz w:val="18"/>
                      <w:szCs w:val="18"/>
                    </w:rPr>
                    <w:t>4</w:t>
                  </w:r>
                  <w:r>
                    <w:rPr>
                      <w:rFonts w:hint="eastAsia"/>
                      <w:b/>
                      <w:bCs/>
                      <w:color w:val="auto"/>
                      <w:spacing w:val="8"/>
                      <w:sz w:val="18"/>
                      <w:szCs w:val="18"/>
                    </w:rPr>
                    <w:t>）</w:t>
                  </w:r>
                  <w:r>
                    <w:rPr>
                      <w:b/>
                      <w:bCs/>
                      <w:color w:val="auto"/>
                      <w:spacing w:val="8"/>
                      <w:sz w:val="18"/>
                      <w:szCs w:val="18"/>
                    </w:rPr>
                    <w:t>禁燃区要</w:t>
                  </w:r>
                  <w:r>
                    <w:rPr>
                      <w:b/>
                      <w:bCs/>
                      <w:color w:val="auto"/>
                      <w:spacing w:val="6"/>
                      <w:sz w:val="18"/>
                      <w:szCs w:val="18"/>
                    </w:rPr>
                    <w:t>求</w:t>
                  </w:r>
                </w:p>
                <w:p>
                  <w:pPr>
                    <w:widowControl/>
                    <w:kinsoku w:val="0"/>
                    <w:autoSpaceDE w:val="0"/>
                    <w:autoSpaceDN w:val="0"/>
                    <w:adjustRightInd w:val="0"/>
                    <w:snapToGrid w:val="0"/>
                    <w:spacing w:line="239" w:lineRule="auto"/>
                    <w:ind w:firstLine="11"/>
                    <w:textAlignment w:val="baseline"/>
                    <w:rPr>
                      <w:color w:val="auto"/>
                      <w:spacing w:val="16"/>
                      <w:sz w:val="18"/>
                      <w:szCs w:val="18"/>
                    </w:rPr>
                  </w:pPr>
                  <w:r>
                    <w:rPr>
                      <w:rFonts w:hint="eastAsia"/>
                      <w:color w:val="auto"/>
                      <w:spacing w:val="16"/>
                      <w:sz w:val="18"/>
                      <w:szCs w:val="18"/>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widowControl/>
                    <w:kinsoku w:val="0"/>
                    <w:autoSpaceDE w:val="0"/>
                    <w:autoSpaceDN w:val="0"/>
                    <w:adjustRightInd w:val="0"/>
                    <w:snapToGrid w:val="0"/>
                    <w:spacing w:line="239" w:lineRule="auto"/>
                    <w:ind w:firstLine="11"/>
                    <w:textAlignment w:val="baseline"/>
                    <w:rPr>
                      <w:color w:val="auto"/>
                      <w:spacing w:val="16"/>
                      <w:sz w:val="18"/>
                      <w:szCs w:val="18"/>
                    </w:rPr>
                  </w:pPr>
                  <w:r>
                    <w:rPr>
                      <w:rFonts w:hint="eastAsia"/>
                      <w:color w:val="auto"/>
                      <w:spacing w:val="16"/>
                      <w:sz w:val="18"/>
                      <w:szCs w:val="18"/>
                    </w:rPr>
                    <w:t>-禁燃区内禁止销售、燃用高污染燃料；禁止新建、改建、扩建燃用高污染燃料的设施和设备。</w:t>
                  </w:r>
                </w:p>
                <w:p>
                  <w:pPr>
                    <w:widowControl/>
                    <w:kinsoku w:val="0"/>
                    <w:autoSpaceDE w:val="0"/>
                    <w:autoSpaceDN w:val="0"/>
                    <w:adjustRightInd w:val="0"/>
                    <w:snapToGrid w:val="0"/>
                    <w:spacing w:line="245" w:lineRule="auto"/>
                    <w:ind w:firstLine="17"/>
                    <w:textAlignment w:val="baseline"/>
                    <w:rPr>
                      <w:color w:val="auto"/>
                      <w:sz w:val="18"/>
                      <w:szCs w:val="18"/>
                    </w:rPr>
                  </w:pPr>
                  <w:r>
                    <w:rPr>
                      <w:rFonts w:hint="eastAsia"/>
                      <w:color w:val="auto"/>
                      <w:spacing w:val="16"/>
                      <w:sz w:val="18"/>
                      <w:szCs w:val="18"/>
                    </w:rPr>
                    <w:t>-禁燃区内已建成的高污染燃料燃用设施由辖区人民政府制定限期改造计划，改用天然气、页岩气、液化石油气、电或其他清洁能源。</w:t>
                  </w:r>
                </w:p>
                <w:p>
                  <w:pPr>
                    <w:widowControl/>
                    <w:kinsoku w:val="0"/>
                    <w:autoSpaceDE w:val="0"/>
                    <w:autoSpaceDN w:val="0"/>
                    <w:adjustRightInd w:val="0"/>
                    <w:snapToGrid w:val="0"/>
                    <w:spacing w:line="228" w:lineRule="auto"/>
                    <w:textAlignment w:val="baseline"/>
                    <w:rPr>
                      <w:color w:val="auto"/>
                      <w:sz w:val="18"/>
                      <w:szCs w:val="18"/>
                    </w:rPr>
                  </w:pPr>
                  <w:r>
                    <w:rPr>
                      <w:b/>
                      <w:bCs/>
                      <w:color w:val="auto"/>
                      <w:spacing w:val="9"/>
                      <w:sz w:val="18"/>
                      <w:szCs w:val="18"/>
                    </w:rPr>
                    <w:t>5</w:t>
                  </w:r>
                  <w:r>
                    <w:rPr>
                      <w:rFonts w:hint="eastAsia"/>
                      <w:b/>
                      <w:bCs/>
                      <w:color w:val="auto"/>
                      <w:spacing w:val="9"/>
                      <w:sz w:val="18"/>
                      <w:szCs w:val="18"/>
                    </w:rPr>
                    <w:t>）</w:t>
                  </w:r>
                  <w:r>
                    <w:rPr>
                      <w:b/>
                      <w:bCs/>
                      <w:color w:val="auto"/>
                      <w:spacing w:val="9"/>
                      <w:sz w:val="18"/>
                      <w:szCs w:val="18"/>
                    </w:rPr>
                    <w:t>其他资源利用效率要</w:t>
                  </w:r>
                  <w:r>
                    <w:rPr>
                      <w:b/>
                      <w:bCs/>
                      <w:color w:val="auto"/>
                      <w:spacing w:val="6"/>
                      <w:sz w:val="18"/>
                      <w:szCs w:val="18"/>
                    </w:rPr>
                    <w:t>求</w:t>
                  </w:r>
                </w:p>
                <w:p>
                  <w:pPr>
                    <w:textAlignment w:val="bottom"/>
                    <w:rPr>
                      <w:bCs/>
                      <w:color w:val="auto"/>
                      <w:sz w:val="18"/>
                      <w:szCs w:val="18"/>
                    </w:rPr>
                  </w:pPr>
                  <w:r>
                    <w:rPr>
                      <w:color w:val="auto"/>
                      <w:spacing w:val="2"/>
                      <w:sz w:val="18"/>
                      <w:szCs w:val="18"/>
                    </w:rPr>
                    <w:t>暂</w:t>
                  </w:r>
                  <w:r>
                    <w:rPr>
                      <w:color w:val="auto"/>
                      <w:spacing w:val="1"/>
                      <w:sz w:val="18"/>
                      <w:szCs w:val="18"/>
                    </w:rPr>
                    <w:t>无</w:t>
                  </w:r>
                  <w:r>
                    <w:rPr>
                      <w:rFonts w:hint="eastAsia"/>
                      <w:color w:val="auto"/>
                      <w:spacing w:val="1"/>
                      <w:sz w:val="18"/>
                      <w:szCs w:val="18"/>
                    </w:rPr>
                    <w:t>。</w:t>
                  </w:r>
                </w:p>
              </w:tc>
              <w:tc>
                <w:tcPr>
                  <w:tcW w:w="1305" w:type="dxa"/>
                  <w:vAlign w:val="center"/>
                </w:tcPr>
                <w:p>
                  <w:pPr>
                    <w:pStyle w:val="5"/>
                    <w:widowControl w:val="0"/>
                    <w:kinsoku w:val="0"/>
                    <w:overflowPunct w:val="0"/>
                    <w:spacing w:before="0" w:after="0" w:line="240" w:lineRule="auto"/>
                    <w:ind w:right="0"/>
                    <w:rPr>
                      <w:bCs/>
                      <w:color w:val="auto"/>
                    </w:rPr>
                  </w:pPr>
                  <w:r>
                    <w:rPr>
                      <w:color w:val="auto"/>
                    </w:rPr>
                    <w:t>本项目</w:t>
                  </w:r>
                  <w:r>
                    <w:rPr>
                      <w:rFonts w:hint="eastAsia"/>
                      <w:color w:val="auto"/>
                    </w:rPr>
                    <w:t>资源开发利用效率满足达州市城镇一般管控单元总体要求。</w:t>
                  </w:r>
                </w:p>
              </w:tc>
              <w:tc>
                <w:tcPr>
                  <w:tcW w:w="608" w:type="dxa"/>
                  <w:vAlign w:val="center"/>
                </w:tcPr>
                <w:p>
                  <w:pPr>
                    <w:jc w:val="center"/>
                    <w:rPr>
                      <w:bCs/>
                      <w:color w:val="auto"/>
                      <w:sz w:val="18"/>
                      <w:szCs w:val="18"/>
                    </w:rPr>
                  </w:pPr>
                  <w:r>
                    <w:rPr>
                      <w:bCs/>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pPr>
                    <w:jc w:val="center"/>
                    <w:rPr>
                      <w:bCs/>
                      <w:color w:val="auto"/>
                      <w:sz w:val="18"/>
                      <w:szCs w:val="18"/>
                    </w:rPr>
                  </w:pPr>
                </w:p>
              </w:tc>
              <w:tc>
                <w:tcPr>
                  <w:tcW w:w="720" w:type="dxa"/>
                  <w:vMerge w:val="continue"/>
                  <w:vAlign w:val="center"/>
                </w:tcPr>
                <w:p>
                  <w:pPr>
                    <w:jc w:val="center"/>
                    <w:rPr>
                      <w:bCs/>
                      <w:color w:val="auto"/>
                      <w:sz w:val="18"/>
                      <w:szCs w:val="18"/>
                    </w:rPr>
                  </w:pPr>
                </w:p>
              </w:tc>
              <w:tc>
                <w:tcPr>
                  <w:tcW w:w="705" w:type="dxa"/>
                  <w:vMerge w:val="restart"/>
                  <w:vAlign w:val="center"/>
                </w:tcPr>
                <w:p>
                  <w:pPr>
                    <w:jc w:val="center"/>
                    <w:rPr>
                      <w:bCs/>
                      <w:color w:val="auto"/>
                      <w:sz w:val="18"/>
                      <w:szCs w:val="18"/>
                    </w:rPr>
                  </w:pPr>
                  <w:r>
                    <w:rPr>
                      <w:bCs/>
                      <w:color w:val="auto"/>
                      <w:sz w:val="18"/>
                      <w:szCs w:val="18"/>
                    </w:rPr>
                    <w:t>单元级清单管控要求</w:t>
                  </w:r>
                </w:p>
              </w:tc>
              <w:tc>
                <w:tcPr>
                  <w:tcW w:w="555" w:type="dxa"/>
                  <w:vAlign w:val="center"/>
                </w:tcPr>
                <w:p>
                  <w:pPr>
                    <w:jc w:val="center"/>
                    <w:rPr>
                      <w:b/>
                      <w:bCs/>
                      <w:color w:val="auto"/>
                      <w:sz w:val="18"/>
                      <w:szCs w:val="18"/>
                    </w:rPr>
                  </w:pPr>
                  <w:r>
                    <w:rPr>
                      <w:bCs/>
                      <w:color w:val="auto"/>
                      <w:sz w:val="18"/>
                      <w:szCs w:val="18"/>
                    </w:rPr>
                    <w:t>空间布局约束</w:t>
                  </w:r>
                </w:p>
              </w:tc>
              <w:tc>
                <w:tcPr>
                  <w:tcW w:w="2505" w:type="dxa"/>
                  <w:vAlign w:val="center"/>
                </w:tcPr>
                <w:p>
                  <w:pPr>
                    <w:rPr>
                      <w:b/>
                      <w:color w:val="auto"/>
                      <w:sz w:val="18"/>
                      <w:szCs w:val="18"/>
                    </w:rPr>
                  </w:pPr>
                  <w:r>
                    <w:rPr>
                      <w:rFonts w:hint="eastAsia"/>
                      <w:b/>
                      <w:color w:val="auto"/>
                      <w:sz w:val="18"/>
                      <w:szCs w:val="18"/>
                    </w:rPr>
                    <w:t>1）</w:t>
                  </w:r>
                  <w:r>
                    <w:rPr>
                      <w:b/>
                      <w:color w:val="auto"/>
                      <w:sz w:val="18"/>
                      <w:szCs w:val="18"/>
                    </w:rPr>
                    <w:t>禁止开发建设活动的要求：</w:t>
                  </w:r>
                </w:p>
                <w:p>
                  <w:pPr>
                    <w:rPr>
                      <w:bCs/>
                      <w:color w:val="auto"/>
                      <w:sz w:val="18"/>
                      <w:szCs w:val="18"/>
                    </w:rPr>
                  </w:pPr>
                  <w:r>
                    <w:rPr>
                      <w:rFonts w:hint="eastAsia"/>
                      <w:bCs/>
                      <w:color w:val="auto"/>
                      <w:sz w:val="18"/>
                      <w:szCs w:val="18"/>
                    </w:rPr>
                    <w:t>同达州市一般管控单元总体准入要求</w:t>
                  </w:r>
                  <w:r>
                    <w:rPr>
                      <w:bCs/>
                      <w:color w:val="auto"/>
                      <w:sz w:val="18"/>
                      <w:szCs w:val="18"/>
                    </w:rPr>
                    <w:t>。</w:t>
                  </w:r>
                </w:p>
                <w:p>
                  <w:pPr>
                    <w:rPr>
                      <w:b/>
                      <w:color w:val="auto"/>
                      <w:sz w:val="18"/>
                      <w:szCs w:val="18"/>
                    </w:rPr>
                  </w:pPr>
                  <w:r>
                    <w:rPr>
                      <w:rFonts w:hint="eastAsia"/>
                      <w:b/>
                      <w:color w:val="auto"/>
                      <w:sz w:val="18"/>
                      <w:szCs w:val="18"/>
                    </w:rPr>
                    <w:t>2）</w:t>
                  </w:r>
                  <w:r>
                    <w:rPr>
                      <w:b/>
                      <w:color w:val="auto"/>
                      <w:sz w:val="18"/>
                      <w:szCs w:val="18"/>
                    </w:rPr>
                    <w:t>限制开发建设活动的要求：</w:t>
                  </w:r>
                </w:p>
                <w:p>
                  <w:pPr>
                    <w:rPr>
                      <w:bCs/>
                      <w:color w:val="auto"/>
                      <w:sz w:val="18"/>
                      <w:szCs w:val="18"/>
                    </w:rPr>
                  </w:pPr>
                  <w:r>
                    <w:rPr>
                      <w:rFonts w:hint="eastAsia"/>
                      <w:bCs/>
                      <w:color w:val="auto"/>
                      <w:sz w:val="18"/>
                      <w:szCs w:val="18"/>
                    </w:rPr>
                    <w:t>对四川省主体功能区划中的农产品主产区，应限制进行大规模高强度工业化城镇化开发，严格控制有色金属冶炼、石油加工、化工、焦化、电镀、制革等产能，原则上不增加产能</w:t>
                  </w:r>
                </w:p>
                <w:p>
                  <w:pPr>
                    <w:rPr>
                      <w:b/>
                      <w:color w:val="auto"/>
                      <w:sz w:val="18"/>
                      <w:szCs w:val="18"/>
                    </w:rPr>
                  </w:pPr>
                  <w:r>
                    <w:rPr>
                      <w:rFonts w:hint="eastAsia"/>
                      <w:bCs/>
                      <w:color w:val="auto"/>
                      <w:sz w:val="18"/>
                      <w:szCs w:val="18"/>
                    </w:rPr>
                    <w:t>其他同达州市一般管控单元总体准入要求。</w:t>
                  </w:r>
                </w:p>
                <w:p>
                  <w:pPr>
                    <w:rPr>
                      <w:b/>
                      <w:bCs/>
                      <w:color w:val="auto"/>
                      <w:sz w:val="18"/>
                      <w:szCs w:val="18"/>
                    </w:rPr>
                  </w:pPr>
                  <w:r>
                    <w:rPr>
                      <w:rFonts w:hint="eastAsia"/>
                      <w:b/>
                      <w:bCs/>
                      <w:color w:val="auto"/>
                      <w:sz w:val="18"/>
                      <w:szCs w:val="18"/>
                    </w:rPr>
                    <w:t>3）</w:t>
                  </w:r>
                  <w:r>
                    <w:rPr>
                      <w:b/>
                      <w:bCs/>
                      <w:color w:val="auto"/>
                      <w:sz w:val="18"/>
                      <w:szCs w:val="18"/>
                    </w:rPr>
                    <w:t>不符合空间布局要求活动的退出要求：</w:t>
                  </w:r>
                </w:p>
                <w:p>
                  <w:pPr>
                    <w:widowControl/>
                    <w:spacing w:line="228" w:lineRule="auto"/>
                    <w:rPr>
                      <w:bCs/>
                      <w:color w:val="auto"/>
                      <w:sz w:val="18"/>
                      <w:szCs w:val="18"/>
                    </w:rPr>
                  </w:pPr>
                  <w:r>
                    <w:rPr>
                      <w:rFonts w:hint="eastAsia"/>
                      <w:bCs/>
                      <w:color w:val="auto"/>
                      <w:sz w:val="18"/>
                      <w:szCs w:val="18"/>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widowControl/>
                    <w:spacing w:line="228" w:lineRule="auto"/>
                    <w:rPr>
                      <w:bCs/>
                      <w:color w:val="auto"/>
                      <w:sz w:val="18"/>
                      <w:szCs w:val="18"/>
                    </w:rPr>
                  </w:pPr>
                  <w:r>
                    <w:rPr>
                      <w:rFonts w:hint="eastAsia"/>
                      <w:bCs/>
                      <w:color w:val="auto"/>
                      <w:sz w:val="18"/>
                      <w:szCs w:val="18"/>
                    </w:rPr>
                    <w:t>-其他同达州市一般管控单元总体准入要求</w:t>
                  </w:r>
                </w:p>
              </w:tc>
              <w:tc>
                <w:tcPr>
                  <w:tcW w:w="1305" w:type="dxa"/>
                  <w:vAlign w:val="center"/>
                </w:tcPr>
                <w:p>
                  <w:pPr>
                    <w:rPr>
                      <w:bCs/>
                      <w:color w:val="auto"/>
                      <w:sz w:val="18"/>
                      <w:szCs w:val="18"/>
                    </w:rPr>
                  </w:pPr>
                  <w:r>
                    <w:rPr>
                      <w:rFonts w:hint="eastAsia"/>
                      <w:color w:val="auto"/>
                      <w:sz w:val="18"/>
                      <w:szCs w:val="18"/>
                    </w:rPr>
                    <w:t>项目不属于禁止、限制开发建设项目。项目符合达州市城镇一般管控单元总体要求。</w:t>
                  </w:r>
                </w:p>
              </w:tc>
              <w:tc>
                <w:tcPr>
                  <w:tcW w:w="608" w:type="dxa"/>
                  <w:vAlign w:val="center"/>
                </w:tcPr>
                <w:p>
                  <w:pPr>
                    <w:jc w:val="center"/>
                    <w:rPr>
                      <w:bCs/>
                      <w:color w:val="auto"/>
                      <w:sz w:val="18"/>
                      <w:szCs w:val="18"/>
                    </w:rPr>
                  </w:pPr>
                  <w:r>
                    <w:rPr>
                      <w:bCs/>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pPr>
                    <w:jc w:val="center"/>
                    <w:rPr>
                      <w:bCs/>
                      <w:color w:val="auto"/>
                      <w:sz w:val="18"/>
                      <w:szCs w:val="18"/>
                    </w:rPr>
                  </w:pPr>
                </w:p>
              </w:tc>
              <w:tc>
                <w:tcPr>
                  <w:tcW w:w="720" w:type="dxa"/>
                  <w:vMerge w:val="continue"/>
                  <w:vAlign w:val="center"/>
                </w:tcPr>
                <w:p>
                  <w:pPr>
                    <w:jc w:val="center"/>
                    <w:rPr>
                      <w:bCs/>
                      <w:color w:val="auto"/>
                      <w:sz w:val="18"/>
                      <w:szCs w:val="18"/>
                    </w:rPr>
                  </w:pPr>
                </w:p>
              </w:tc>
              <w:tc>
                <w:tcPr>
                  <w:tcW w:w="705" w:type="dxa"/>
                  <w:vMerge w:val="continue"/>
                  <w:vAlign w:val="center"/>
                </w:tcPr>
                <w:p>
                  <w:pPr>
                    <w:jc w:val="center"/>
                    <w:rPr>
                      <w:bCs/>
                      <w:color w:val="auto"/>
                      <w:sz w:val="18"/>
                      <w:szCs w:val="18"/>
                    </w:rPr>
                  </w:pPr>
                </w:p>
              </w:tc>
              <w:tc>
                <w:tcPr>
                  <w:tcW w:w="555" w:type="dxa"/>
                  <w:vAlign w:val="center"/>
                </w:tcPr>
                <w:p>
                  <w:pPr>
                    <w:jc w:val="center"/>
                    <w:rPr>
                      <w:b/>
                      <w:bCs/>
                      <w:color w:val="auto"/>
                      <w:sz w:val="18"/>
                      <w:szCs w:val="18"/>
                    </w:rPr>
                  </w:pPr>
                  <w:r>
                    <w:rPr>
                      <w:bCs/>
                      <w:color w:val="auto"/>
                      <w:sz w:val="18"/>
                      <w:szCs w:val="18"/>
                    </w:rPr>
                    <w:t>污染物排放管控</w:t>
                  </w:r>
                </w:p>
              </w:tc>
              <w:tc>
                <w:tcPr>
                  <w:tcW w:w="2505" w:type="dxa"/>
                  <w:vAlign w:val="center"/>
                </w:tcPr>
                <w:p>
                  <w:pPr>
                    <w:spacing w:line="276" w:lineRule="auto"/>
                    <w:rPr>
                      <w:b/>
                      <w:color w:val="auto"/>
                      <w:sz w:val="18"/>
                      <w:szCs w:val="18"/>
                    </w:rPr>
                  </w:pPr>
                  <w:r>
                    <w:rPr>
                      <w:rFonts w:hint="eastAsia"/>
                      <w:b/>
                      <w:color w:val="auto"/>
                      <w:sz w:val="18"/>
                      <w:szCs w:val="18"/>
                    </w:rPr>
                    <w:t>1）</w:t>
                  </w:r>
                  <w:r>
                    <w:rPr>
                      <w:b/>
                      <w:color w:val="auto"/>
                      <w:sz w:val="18"/>
                      <w:szCs w:val="18"/>
                    </w:rPr>
                    <w:t>现有源提标升级改造：</w:t>
                  </w:r>
                </w:p>
                <w:p>
                  <w:pPr>
                    <w:spacing w:line="276" w:lineRule="auto"/>
                    <w:rPr>
                      <w:bCs/>
                      <w:color w:val="auto"/>
                      <w:sz w:val="18"/>
                      <w:szCs w:val="18"/>
                    </w:rPr>
                  </w:pPr>
                  <w:r>
                    <w:rPr>
                      <w:rFonts w:hint="eastAsia"/>
                      <w:bCs/>
                      <w:color w:val="auto"/>
                      <w:sz w:val="18"/>
                      <w:szCs w:val="18"/>
                    </w:rPr>
                    <w:t>同达州市一般管控单元总体准入要求</w:t>
                  </w:r>
                  <w:r>
                    <w:rPr>
                      <w:bCs/>
                      <w:color w:val="auto"/>
                      <w:sz w:val="18"/>
                      <w:szCs w:val="18"/>
                    </w:rPr>
                    <w:t>。</w:t>
                  </w:r>
                </w:p>
                <w:p>
                  <w:pPr>
                    <w:rPr>
                      <w:b/>
                      <w:color w:val="auto"/>
                      <w:sz w:val="18"/>
                      <w:szCs w:val="18"/>
                    </w:rPr>
                  </w:pPr>
                  <w:r>
                    <w:rPr>
                      <w:rFonts w:hint="eastAsia"/>
                      <w:b/>
                      <w:color w:val="auto"/>
                      <w:sz w:val="18"/>
                      <w:szCs w:val="18"/>
                    </w:rPr>
                    <w:t>2）新增源等量或倍量替代及新增源排放标准限值</w:t>
                  </w:r>
                  <w:r>
                    <w:rPr>
                      <w:b/>
                      <w:color w:val="auto"/>
                      <w:sz w:val="18"/>
                      <w:szCs w:val="18"/>
                    </w:rPr>
                    <w:t>：</w:t>
                  </w:r>
                </w:p>
                <w:p>
                  <w:pPr>
                    <w:rPr>
                      <w:bCs/>
                      <w:color w:val="auto"/>
                      <w:sz w:val="18"/>
                      <w:szCs w:val="18"/>
                    </w:rPr>
                  </w:pPr>
                  <w:r>
                    <w:rPr>
                      <w:rFonts w:hint="eastAsia"/>
                      <w:bCs/>
                      <w:color w:val="auto"/>
                      <w:sz w:val="18"/>
                      <w:szCs w:val="18"/>
                    </w:rPr>
                    <w:t>同达州市一般管控单元总体准入要求</w:t>
                  </w:r>
                </w:p>
                <w:p>
                  <w:pPr>
                    <w:spacing w:line="276" w:lineRule="auto"/>
                    <w:rPr>
                      <w:b/>
                      <w:color w:val="auto"/>
                      <w:sz w:val="18"/>
                      <w:szCs w:val="18"/>
                    </w:rPr>
                  </w:pPr>
                  <w:r>
                    <w:rPr>
                      <w:rFonts w:hint="eastAsia"/>
                      <w:b/>
                      <w:color w:val="auto"/>
                      <w:sz w:val="18"/>
                      <w:szCs w:val="18"/>
                    </w:rPr>
                    <w:t>3）污染物排放绩效水平准入要求</w:t>
                  </w:r>
                  <w:r>
                    <w:rPr>
                      <w:b/>
                      <w:color w:val="auto"/>
                      <w:sz w:val="18"/>
                      <w:szCs w:val="18"/>
                    </w:rPr>
                    <w:t>：</w:t>
                  </w:r>
                </w:p>
                <w:p>
                  <w:pPr>
                    <w:spacing w:line="276" w:lineRule="auto"/>
                    <w:rPr>
                      <w:bCs/>
                      <w:color w:val="auto"/>
                      <w:sz w:val="18"/>
                      <w:szCs w:val="18"/>
                    </w:rPr>
                  </w:pPr>
                  <w:r>
                    <w:rPr>
                      <w:rFonts w:hint="eastAsia"/>
                      <w:bCs/>
                      <w:color w:val="auto"/>
                      <w:sz w:val="18"/>
                      <w:szCs w:val="18"/>
                    </w:rPr>
                    <w:t>-大气环境布局敏感和弱扩散重点管控区内，现有大气污染重点企业，限期进行深度治理或关停并转。</w:t>
                  </w:r>
                </w:p>
                <w:p>
                  <w:pPr>
                    <w:spacing w:line="276" w:lineRule="auto"/>
                    <w:rPr>
                      <w:bCs/>
                      <w:color w:val="auto"/>
                      <w:sz w:val="18"/>
                      <w:szCs w:val="18"/>
                    </w:rPr>
                  </w:pPr>
                  <w:r>
                    <w:rPr>
                      <w:rFonts w:hint="eastAsia"/>
                      <w:bCs/>
                      <w:color w:val="auto"/>
                      <w:sz w:val="18"/>
                      <w:szCs w:val="18"/>
                    </w:rPr>
                    <w:t>-其它同达州市一般管控单元总体准入要求</w:t>
                  </w:r>
                </w:p>
              </w:tc>
              <w:tc>
                <w:tcPr>
                  <w:tcW w:w="1305" w:type="dxa"/>
                  <w:vAlign w:val="center"/>
                </w:tcPr>
                <w:p>
                  <w:pPr>
                    <w:widowControl/>
                    <w:rPr>
                      <w:bCs/>
                      <w:color w:val="auto"/>
                      <w:sz w:val="18"/>
                      <w:szCs w:val="18"/>
                    </w:rPr>
                  </w:pPr>
                  <w:r>
                    <w:rPr>
                      <w:rFonts w:hint="eastAsia"/>
                      <w:color w:val="auto"/>
                      <w:sz w:val="18"/>
                      <w:szCs w:val="18"/>
                    </w:rPr>
                    <w:t>项目生活污水收集后做农肥使用，不外排；生活垃圾分类收集后自行外运至场镇垃圾收集点。</w:t>
                  </w:r>
                </w:p>
              </w:tc>
              <w:tc>
                <w:tcPr>
                  <w:tcW w:w="608" w:type="dxa"/>
                  <w:vAlign w:val="center"/>
                </w:tcPr>
                <w:p>
                  <w:pPr>
                    <w:jc w:val="center"/>
                    <w:rPr>
                      <w:bCs/>
                      <w:color w:val="auto"/>
                      <w:sz w:val="18"/>
                      <w:szCs w:val="18"/>
                    </w:rPr>
                  </w:pPr>
                  <w:r>
                    <w:rPr>
                      <w:bCs/>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pPr>
                    <w:jc w:val="center"/>
                    <w:rPr>
                      <w:bCs/>
                      <w:color w:val="auto"/>
                      <w:sz w:val="18"/>
                      <w:szCs w:val="18"/>
                    </w:rPr>
                  </w:pPr>
                </w:p>
              </w:tc>
              <w:tc>
                <w:tcPr>
                  <w:tcW w:w="720" w:type="dxa"/>
                  <w:vMerge w:val="continue"/>
                  <w:vAlign w:val="center"/>
                </w:tcPr>
                <w:p>
                  <w:pPr>
                    <w:jc w:val="center"/>
                    <w:rPr>
                      <w:bCs/>
                      <w:color w:val="auto"/>
                      <w:sz w:val="18"/>
                      <w:szCs w:val="18"/>
                    </w:rPr>
                  </w:pPr>
                </w:p>
              </w:tc>
              <w:tc>
                <w:tcPr>
                  <w:tcW w:w="705" w:type="dxa"/>
                  <w:vMerge w:val="continue"/>
                  <w:vAlign w:val="center"/>
                </w:tcPr>
                <w:p>
                  <w:pPr>
                    <w:jc w:val="center"/>
                    <w:rPr>
                      <w:bCs/>
                      <w:color w:val="auto"/>
                      <w:sz w:val="18"/>
                      <w:szCs w:val="18"/>
                    </w:rPr>
                  </w:pPr>
                </w:p>
              </w:tc>
              <w:tc>
                <w:tcPr>
                  <w:tcW w:w="555" w:type="dxa"/>
                  <w:vAlign w:val="center"/>
                </w:tcPr>
                <w:p>
                  <w:pPr>
                    <w:jc w:val="center"/>
                    <w:rPr>
                      <w:b/>
                      <w:bCs/>
                      <w:color w:val="auto"/>
                      <w:sz w:val="18"/>
                      <w:szCs w:val="18"/>
                    </w:rPr>
                  </w:pPr>
                  <w:r>
                    <w:rPr>
                      <w:bCs/>
                      <w:color w:val="auto"/>
                      <w:sz w:val="18"/>
                      <w:szCs w:val="18"/>
                    </w:rPr>
                    <w:t>环境风险防控</w:t>
                  </w:r>
                </w:p>
              </w:tc>
              <w:tc>
                <w:tcPr>
                  <w:tcW w:w="2505" w:type="dxa"/>
                  <w:vAlign w:val="center"/>
                </w:tcPr>
                <w:p>
                  <w:pPr>
                    <w:spacing w:line="276" w:lineRule="auto"/>
                    <w:rPr>
                      <w:b/>
                      <w:color w:val="auto"/>
                      <w:sz w:val="18"/>
                      <w:szCs w:val="18"/>
                    </w:rPr>
                  </w:pPr>
                  <w:r>
                    <w:rPr>
                      <w:rFonts w:hint="eastAsia"/>
                      <w:b/>
                      <w:color w:val="auto"/>
                      <w:sz w:val="18"/>
                      <w:szCs w:val="18"/>
                    </w:rPr>
                    <w:t>1）严格管控类农用地管控要求</w:t>
                  </w:r>
                </w:p>
                <w:p>
                  <w:pPr>
                    <w:spacing w:line="276" w:lineRule="auto"/>
                    <w:rPr>
                      <w:color w:val="auto"/>
                      <w:sz w:val="18"/>
                      <w:szCs w:val="18"/>
                    </w:rPr>
                  </w:pPr>
                  <w:r>
                    <w:rPr>
                      <w:rFonts w:hint="eastAsia"/>
                      <w:color w:val="auto"/>
                      <w:sz w:val="18"/>
                      <w:szCs w:val="18"/>
                    </w:rPr>
                    <w:t>同达州市一般管控单元总体准入要求</w:t>
                  </w:r>
                </w:p>
                <w:p>
                  <w:pPr>
                    <w:spacing w:line="276" w:lineRule="auto"/>
                    <w:rPr>
                      <w:b/>
                      <w:color w:val="auto"/>
                      <w:sz w:val="18"/>
                      <w:szCs w:val="18"/>
                    </w:rPr>
                  </w:pPr>
                  <w:r>
                    <w:rPr>
                      <w:rFonts w:hint="eastAsia"/>
                      <w:b/>
                      <w:color w:val="auto"/>
                      <w:sz w:val="18"/>
                      <w:szCs w:val="18"/>
                    </w:rPr>
                    <w:t>2）安全利用类农用地管控要求</w:t>
                  </w:r>
                </w:p>
                <w:p>
                  <w:pPr>
                    <w:spacing w:line="276" w:lineRule="auto"/>
                    <w:rPr>
                      <w:color w:val="auto"/>
                      <w:sz w:val="18"/>
                      <w:szCs w:val="18"/>
                    </w:rPr>
                  </w:pPr>
                  <w:r>
                    <w:rPr>
                      <w:rFonts w:hint="eastAsia"/>
                      <w:color w:val="auto"/>
                      <w:sz w:val="18"/>
                      <w:szCs w:val="18"/>
                    </w:rPr>
                    <w:t>同达州市一般管控单元总体准入要求。</w:t>
                  </w:r>
                </w:p>
                <w:p>
                  <w:pPr>
                    <w:spacing w:line="276" w:lineRule="auto"/>
                    <w:rPr>
                      <w:b/>
                      <w:color w:val="auto"/>
                      <w:sz w:val="18"/>
                      <w:szCs w:val="18"/>
                    </w:rPr>
                  </w:pPr>
                  <w:r>
                    <w:rPr>
                      <w:rFonts w:hint="eastAsia"/>
                      <w:b/>
                      <w:color w:val="auto"/>
                      <w:sz w:val="18"/>
                      <w:szCs w:val="18"/>
                    </w:rPr>
                    <w:t>3）污染地块管控要求</w:t>
                  </w:r>
                </w:p>
                <w:p>
                  <w:pPr>
                    <w:spacing w:line="276" w:lineRule="auto"/>
                    <w:rPr>
                      <w:color w:val="auto"/>
                      <w:sz w:val="18"/>
                      <w:szCs w:val="18"/>
                    </w:rPr>
                  </w:pPr>
                  <w:r>
                    <w:rPr>
                      <w:rFonts w:hint="eastAsia"/>
                      <w:color w:val="auto"/>
                      <w:sz w:val="18"/>
                      <w:szCs w:val="18"/>
                    </w:rPr>
                    <w:t>同达州市一般管控单元总体准入要求。</w:t>
                  </w:r>
                </w:p>
                <w:p>
                  <w:pPr>
                    <w:spacing w:line="276" w:lineRule="auto"/>
                    <w:rPr>
                      <w:b/>
                      <w:color w:val="auto"/>
                      <w:sz w:val="18"/>
                      <w:szCs w:val="18"/>
                    </w:rPr>
                  </w:pPr>
                  <w:r>
                    <w:rPr>
                      <w:rFonts w:hint="eastAsia"/>
                      <w:b/>
                      <w:color w:val="auto"/>
                      <w:sz w:val="18"/>
                      <w:szCs w:val="18"/>
                    </w:rPr>
                    <w:t>4</w:t>
                  </w:r>
                  <w:r>
                    <w:rPr>
                      <w:b/>
                      <w:color w:val="auto"/>
                      <w:sz w:val="18"/>
                      <w:szCs w:val="18"/>
                    </w:rPr>
                    <w:t>)</w:t>
                  </w:r>
                  <w:r>
                    <w:rPr>
                      <w:rFonts w:hint="eastAsia"/>
                      <w:b/>
                      <w:color w:val="auto"/>
                      <w:sz w:val="18"/>
                      <w:szCs w:val="18"/>
                    </w:rPr>
                    <w:t>企业环境风险防控要求</w:t>
                  </w:r>
                </w:p>
                <w:p>
                  <w:pPr>
                    <w:rPr>
                      <w:bCs/>
                      <w:color w:val="auto"/>
                      <w:sz w:val="18"/>
                      <w:szCs w:val="18"/>
                    </w:rPr>
                  </w:pPr>
                  <w:r>
                    <w:rPr>
                      <w:rFonts w:hint="eastAsia"/>
                      <w:color w:val="auto"/>
                      <w:sz w:val="18"/>
                      <w:szCs w:val="18"/>
                    </w:rPr>
                    <w:t>同达州市一般管控单元总体准入要求</w:t>
                  </w:r>
                  <w:r>
                    <w:rPr>
                      <w:rFonts w:hint="eastAsia"/>
                      <w:bCs/>
                      <w:color w:val="auto"/>
                      <w:sz w:val="18"/>
                      <w:szCs w:val="18"/>
                    </w:rPr>
                    <w:t>。</w:t>
                  </w:r>
                </w:p>
              </w:tc>
              <w:tc>
                <w:tcPr>
                  <w:tcW w:w="1305" w:type="dxa"/>
                  <w:vAlign w:val="center"/>
                </w:tcPr>
                <w:p>
                  <w:pPr>
                    <w:rPr>
                      <w:bCs/>
                      <w:color w:val="auto"/>
                      <w:sz w:val="18"/>
                      <w:szCs w:val="18"/>
                    </w:rPr>
                  </w:pPr>
                  <w:r>
                    <w:rPr>
                      <w:bCs/>
                      <w:color w:val="auto"/>
                      <w:sz w:val="18"/>
                      <w:szCs w:val="18"/>
                    </w:rPr>
                    <w:t>项目</w:t>
                  </w:r>
                  <w:r>
                    <w:rPr>
                      <w:rFonts w:hint="eastAsia"/>
                      <w:bCs/>
                      <w:color w:val="auto"/>
                      <w:sz w:val="18"/>
                      <w:szCs w:val="18"/>
                    </w:rPr>
                    <w:t>不涉及</w:t>
                  </w:r>
                  <w:r>
                    <w:rPr>
                      <w:bCs/>
                      <w:color w:val="auto"/>
                      <w:sz w:val="18"/>
                      <w:szCs w:val="18"/>
                    </w:rPr>
                    <w:t>危险性仓库</w:t>
                  </w:r>
                  <w:r>
                    <w:rPr>
                      <w:rFonts w:hint="eastAsia"/>
                      <w:bCs/>
                      <w:color w:val="auto"/>
                      <w:sz w:val="18"/>
                      <w:szCs w:val="18"/>
                    </w:rPr>
                    <w:t>，</w:t>
                  </w:r>
                  <w:r>
                    <w:rPr>
                      <w:rFonts w:hint="eastAsia"/>
                      <w:color w:val="auto"/>
                      <w:sz w:val="18"/>
                      <w:szCs w:val="18"/>
                    </w:rPr>
                    <w:t>项目符合普适性管控要求。</w:t>
                  </w:r>
                </w:p>
              </w:tc>
              <w:tc>
                <w:tcPr>
                  <w:tcW w:w="608" w:type="dxa"/>
                  <w:vAlign w:val="center"/>
                </w:tcPr>
                <w:p>
                  <w:pPr>
                    <w:jc w:val="center"/>
                    <w:rPr>
                      <w:bCs/>
                      <w:color w:val="auto"/>
                      <w:sz w:val="18"/>
                      <w:szCs w:val="18"/>
                    </w:rPr>
                  </w:pPr>
                  <w:r>
                    <w:rPr>
                      <w:bCs/>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jc w:val="center"/>
                    <w:rPr>
                      <w:bCs/>
                      <w:color w:val="auto"/>
                      <w:sz w:val="18"/>
                      <w:szCs w:val="18"/>
                    </w:rPr>
                  </w:pPr>
                </w:p>
              </w:tc>
              <w:tc>
                <w:tcPr>
                  <w:tcW w:w="720" w:type="dxa"/>
                  <w:vMerge w:val="continue"/>
                  <w:vAlign w:val="center"/>
                </w:tcPr>
                <w:p>
                  <w:pPr>
                    <w:jc w:val="center"/>
                    <w:rPr>
                      <w:bCs/>
                      <w:color w:val="auto"/>
                      <w:sz w:val="18"/>
                      <w:szCs w:val="18"/>
                    </w:rPr>
                  </w:pPr>
                </w:p>
              </w:tc>
              <w:tc>
                <w:tcPr>
                  <w:tcW w:w="705" w:type="dxa"/>
                  <w:vMerge w:val="continue"/>
                  <w:vAlign w:val="center"/>
                </w:tcPr>
                <w:p>
                  <w:pPr>
                    <w:jc w:val="center"/>
                    <w:rPr>
                      <w:bCs/>
                      <w:color w:val="auto"/>
                      <w:sz w:val="18"/>
                      <w:szCs w:val="18"/>
                    </w:rPr>
                  </w:pPr>
                </w:p>
              </w:tc>
              <w:tc>
                <w:tcPr>
                  <w:tcW w:w="555" w:type="dxa"/>
                  <w:vAlign w:val="center"/>
                </w:tcPr>
                <w:p>
                  <w:pPr>
                    <w:jc w:val="center"/>
                    <w:rPr>
                      <w:bCs/>
                      <w:color w:val="auto"/>
                      <w:sz w:val="18"/>
                      <w:szCs w:val="18"/>
                    </w:rPr>
                  </w:pPr>
                  <w:r>
                    <w:rPr>
                      <w:bCs/>
                      <w:color w:val="auto"/>
                      <w:sz w:val="18"/>
                      <w:szCs w:val="18"/>
                    </w:rPr>
                    <w:t>资源开发效率</w:t>
                  </w:r>
                </w:p>
              </w:tc>
              <w:tc>
                <w:tcPr>
                  <w:tcW w:w="2505" w:type="dxa"/>
                  <w:vAlign w:val="center"/>
                </w:tcPr>
                <w:p>
                  <w:pPr>
                    <w:rPr>
                      <w:bCs/>
                      <w:color w:val="auto"/>
                      <w:sz w:val="18"/>
                      <w:szCs w:val="18"/>
                    </w:rPr>
                  </w:pPr>
                  <w:r>
                    <w:rPr>
                      <w:rFonts w:hint="eastAsia"/>
                      <w:bCs/>
                      <w:color w:val="auto"/>
                      <w:sz w:val="18"/>
                      <w:szCs w:val="18"/>
                    </w:rPr>
                    <w:t>同达州市一般管控单元总体准入要求</w:t>
                  </w:r>
                </w:p>
              </w:tc>
              <w:tc>
                <w:tcPr>
                  <w:tcW w:w="1305" w:type="dxa"/>
                  <w:vAlign w:val="center"/>
                </w:tcPr>
                <w:p>
                  <w:pPr>
                    <w:pStyle w:val="5"/>
                    <w:widowControl w:val="0"/>
                    <w:kinsoku w:val="0"/>
                    <w:overflowPunct w:val="0"/>
                    <w:spacing w:before="0" w:after="0" w:line="240" w:lineRule="auto"/>
                    <w:rPr>
                      <w:bCs/>
                      <w:color w:val="auto"/>
                    </w:rPr>
                  </w:pPr>
                  <w:r>
                    <w:rPr>
                      <w:rFonts w:hint="eastAsia"/>
                      <w:color w:val="auto"/>
                    </w:rPr>
                    <w:t>项目符合普适性管控要求。</w:t>
                  </w:r>
                </w:p>
              </w:tc>
              <w:tc>
                <w:tcPr>
                  <w:tcW w:w="608" w:type="dxa"/>
                  <w:vAlign w:val="center"/>
                </w:tcPr>
                <w:p>
                  <w:pPr>
                    <w:jc w:val="center"/>
                    <w:rPr>
                      <w:bCs/>
                      <w:color w:val="auto"/>
                      <w:sz w:val="18"/>
                      <w:szCs w:val="18"/>
                    </w:rPr>
                  </w:pPr>
                  <w:r>
                    <w:rPr>
                      <w:bCs/>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restart"/>
                  <w:vAlign w:val="center"/>
                </w:tcPr>
                <w:p>
                  <w:pPr>
                    <w:jc w:val="center"/>
                    <w:rPr>
                      <w:bCs/>
                      <w:color w:val="auto"/>
                      <w:sz w:val="18"/>
                      <w:szCs w:val="18"/>
                    </w:rPr>
                  </w:pPr>
                  <w:r>
                    <w:rPr>
                      <w:color w:val="auto"/>
                      <w:sz w:val="18"/>
                      <w:szCs w:val="18"/>
                    </w:rPr>
                    <w:t>YS5117223210002</w:t>
                  </w:r>
                </w:p>
              </w:tc>
              <w:tc>
                <w:tcPr>
                  <w:tcW w:w="720" w:type="dxa"/>
                  <w:vMerge w:val="restart"/>
                  <w:vAlign w:val="center"/>
                </w:tcPr>
                <w:p>
                  <w:pPr>
                    <w:jc w:val="center"/>
                    <w:rPr>
                      <w:bCs/>
                      <w:color w:val="auto"/>
                      <w:sz w:val="18"/>
                      <w:szCs w:val="18"/>
                    </w:rPr>
                  </w:pPr>
                  <w:r>
                    <w:rPr>
                      <w:rFonts w:hint="eastAsia"/>
                      <w:color w:val="auto"/>
                      <w:spacing w:val="8"/>
                      <w:sz w:val="18"/>
                      <w:szCs w:val="18"/>
                    </w:rPr>
                    <w:t>州河-宣汉县-张鼓坪-控制单元</w:t>
                  </w:r>
                </w:p>
              </w:tc>
              <w:tc>
                <w:tcPr>
                  <w:tcW w:w="705" w:type="dxa"/>
                  <w:vMerge w:val="restart"/>
                  <w:vAlign w:val="center"/>
                </w:tcPr>
                <w:p>
                  <w:pPr>
                    <w:jc w:val="center"/>
                    <w:rPr>
                      <w:bCs/>
                      <w:color w:val="auto"/>
                      <w:sz w:val="18"/>
                      <w:szCs w:val="18"/>
                    </w:rPr>
                  </w:pPr>
                  <w:r>
                    <w:rPr>
                      <w:bCs/>
                      <w:color w:val="auto"/>
                      <w:sz w:val="18"/>
                      <w:szCs w:val="18"/>
                    </w:rPr>
                    <w:t>单元级清单管控要求</w:t>
                  </w:r>
                </w:p>
              </w:tc>
              <w:tc>
                <w:tcPr>
                  <w:tcW w:w="555" w:type="dxa"/>
                  <w:vAlign w:val="center"/>
                </w:tcPr>
                <w:p>
                  <w:pPr>
                    <w:jc w:val="center"/>
                    <w:rPr>
                      <w:bCs/>
                      <w:color w:val="auto"/>
                      <w:sz w:val="18"/>
                      <w:szCs w:val="18"/>
                    </w:rPr>
                  </w:pPr>
                  <w:r>
                    <w:rPr>
                      <w:rFonts w:hint="eastAsia"/>
                      <w:color w:val="auto"/>
                      <w:sz w:val="18"/>
                      <w:szCs w:val="18"/>
                    </w:rPr>
                    <w:t>空间布局约束</w:t>
                  </w:r>
                </w:p>
              </w:tc>
              <w:tc>
                <w:tcPr>
                  <w:tcW w:w="2505" w:type="dxa"/>
                  <w:vAlign w:val="center"/>
                </w:tcPr>
                <w:p>
                  <w:pPr>
                    <w:pStyle w:val="48"/>
                    <w:widowControl/>
                    <w:ind w:firstLine="0" w:firstLineChars="0"/>
                    <w:jc w:val="left"/>
                    <w:rPr>
                      <w:rFonts w:eastAsia="宋体"/>
                      <w:color w:val="auto"/>
                      <w:sz w:val="18"/>
                      <w:szCs w:val="18"/>
                    </w:rPr>
                  </w:pPr>
                  <w:r>
                    <w:rPr>
                      <w:rFonts w:hint="eastAsia" w:eastAsia="宋体"/>
                      <w:color w:val="auto"/>
                      <w:sz w:val="18"/>
                      <w:szCs w:val="18"/>
                    </w:rPr>
                    <w:t>禁止开发建设活动的要求</w:t>
                  </w:r>
                </w:p>
                <w:p>
                  <w:pPr>
                    <w:pStyle w:val="48"/>
                    <w:widowControl/>
                    <w:spacing w:line="240" w:lineRule="auto"/>
                    <w:ind w:firstLine="0" w:firstLineChars="0"/>
                    <w:jc w:val="left"/>
                    <w:rPr>
                      <w:rFonts w:eastAsia="宋体"/>
                      <w:color w:val="auto"/>
                      <w:sz w:val="18"/>
                      <w:szCs w:val="18"/>
                    </w:rPr>
                  </w:pPr>
                  <w:r>
                    <w:rPr>
                      <w:rFonts w:hint="eastAsia" w:eastAsia="宋体"/>
                      <w:color w:val="auto"/>
                      <w:sz w:val="18"/>
                      <w:szCs w:val="18"/>
                    </w:rPr>
                    <w:t>不再新建、改扩建开采规模在50万吨/年以下的磷矿，不再新建露天磷矿</w:t>
                  </w:r>
                </w:p>
              </w:tc>
              <w:tc>
                <w:tcPr>
                  <w:tcW w:w="1305" w:type="dxa"/>
                  <w:vAlign w:val="center"/>
                </w:tcPr>
                <w:p>
                  <w:pPr>
                    <w:pStyle w:val="5"/>
                    <w:widowControl w:val="0"/>
                    <w:kinsoku w:val="0"/>
                    <w:overflowPunct w:val="0"/>
                    <w:spacing w:before="0" w:after="0" w:line="240" w:lineRule="auto"/>
                    <w:rPr>
                      <w:color w:val="auto"/>
                    </w:rPr>
                  </w:pPr>
                  <w:r>
                    <w:rPr>
                      <w:rFonts w:hint="eastAsia"/>
                      <w:bCs/>
                      <w:color w:val="auto"/>
                    </w:rPr>
                    <w:t>不属于禁止、限制开发建设项目，属于允许建设项目，符合空间布局要求</w:t>
                  </w:r>
                  <w:r>
                    <w:rPr>
                      <w:bCs/>
                      <w:color w:val="auto"/>
                    </w:rPr>
                    <w:t>。</w:t>
                  </w:r>
                </w:p>
              </w:tc>
              <w:tc>
                <w:tcPr>
                  <w:tcW w:w="608" w:type="dxa"/>
                  <w:vAlign w:val="center"/>
                </w:tcPr>
                <w:p>
                  <w:pPr>
                    <w:jc w:val="center"/>
                    <w:rPr>
                      <w:bCs/>
                      <w:color w:val="auto"/>
                      <w:sz w:val="18"/>
                      <w:szCs w:val="18"/>
                    </w:rPr>
                  </w:pPr>
                  <w:r>
                    <w:rPr>
                      <w:rFonts w:hint="eastAsia"/>
                      <w:bCs/>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jc w:val="center"/>
                    <w:rPr>
                      <w:bCs/>
                      <w:color w:val="auto"/>
                      <w:sz w:val="18"/>
                      <w:szCs w:val="18"/>
                    </w:rPr>
                  </w:pPr>
                </w:p>
              </w:tc>
              <w:tc>
                <w:tcPr>
                  <w:tcW w:w="720" w:type="dxa"/>
                  <w:vMerge w:val="continue"/>
                  <w:vAlign w:val="center"/>
                </w:tcPr>
                <w:p>
                  <w:pPr>
                    <w:jc w:val="center"/>
                    <w:rPr>
                      <w:bCs/>
                      <w:color w:val="auto"/>
                      <w:sz w:val="18"/>
                      <w:szCs w:val="18"/>
                    </w:rPr>
                  </w:pPr>
                </w:p>
              </w:tc>
              <w:tc>
                <w:tcPr>
                  <w:tcW w:w="705" w:type="dxa"/>
                  <w:vMerge w:val="continue"/>
                  <w:vAlign w:val="center"/>
                </w:tcPr>
                <w:p>
                  <w:pPr>
                    <w:jc w:val="center"/>
                    <w:rPr>
                      <w:bCs/>
                      <w:color w:val="auto"/>
                      <w:sz w:val="18"/>
                      <w:szCs w:val="18"/>
                    </w:rPr>
                  </w:pPr>
                </w:p>
              </w:tc>
              <w:tc>
                <w:tcPr>
                  <w:tcW w:w="555" w:type="dxa"/>
                  <w:vAlign w:val="center"/>
                </w:tcPr>
                <w:p>
                  <w:pPr>
                    <w:jc w:val="center"/>
                    <w:rPr>
                      <w:bCs/>
                      <w:color w:val="auto"/>
                      <w:sz w:val="18"/>
                      <w:szCs w:val="18"/>
                    </w:rPr>
                  </w:pPr>
                  <w:r>
                    <w:rPr>
                      <w:rFonts w:hint="eastAsia"/>
                      <w:color w:val="auto"/>
                      <w:sz w:val="18"/>
                      <w:szCs w:val="18"/>
                    </w:rPr>
                    <w:t>污染物排放管控</w:t>
                  </w:r>
                </w:p>
              </w:tc>
              <w:tc>
                <w:tcPr>
                  <w:tcW w:w="2505" w:type="dxa"/>
                  <w:vAlign w:val="center"/>
                </w:tcPr>
                <w:p>
                  <w:pPr>
                    <w:rPr>
                      <w:bCs/>
                      <w:color w:val="auto"/>
                      <w:sz w:val="18"/>
                      <w:szCs w:val="18"/>
                    </w:rPr>
                  </w:pPr>
                  <w:r>
                    <w:rPr>
                      <w:rFonts w:hint="eastAsia"/>
                      <w:bCs/>
                      <w:color w:val="auto"/>
                      <w:sz w:val="18"/>
                      <w:szCs w:val="18"/>
                    </w:rPr>
                    <w:t>城镇污水污染控制措施要求</w:t>
                  </w:r>
                </w:p>
                <w:p>
                  <w:pPr>
                    <w:rPr>
                      <w:bCs/>
                      <w:color w:val="auto"/>
                      <w:sz w:val="18"/>
                      <w:szCs w:val="18"/>
                    </w:rPr>
                  </w:pPr>
                  <w:r>
                    <w:rPr>
                      <w:rFonts w:hint="eastAsia"/>
                      <w:bCs/>
                      <w:color w:val="auto"/>
                      <w:sz w:val="18"/>
                      <w:szCs w:val="18"/>
                    </w:rPr>
                    <w:t>1、持续推进环保基础设施补短板，完善污水收集处理系统。2、保障乡镇污水收集处理设施顺畅运行。3、推进污水直排口排查与整治，落实“一口一策”整改措施。</w:t>
                  </w:r>
                </w:p>
                <w:p>
                  <w:pPr>
                    <w:rPr>
                      <w:bCs/>
                      <w:color w:val="auto"/>
                      <w:sz w:val="18"/>
                      <w:szCs w:val="18"/>
                    </w:rPr>
                  </w:pPr>
                  <w:r>
                    <w:rPr>
                      <w:rFonts w:hint="eastAsia"/>
                      <w:bCs/>
                      <w:color w:val="auto"/>
                      <w:sz w:val="18"/>
                      <w:szCs w:val="18"/>
                    </w:rPr>
                    <w:t>工业废水污染控制措施要求</w:t>
                  </w:r>
                </w:p>
                <w:p>
                  <w:pPr>
                    <w:rPr>
                      <w:bCs/>
                      <w:color w:val="auto"/>
                      <w:sz w:val="18"/>
                      <w:szCs w:val="18"/>
                    </w:rPr>
                  </w:pPr>
                  <w:r>
                    <w:rPr>
                      <w:rFonts w:hint="eastAsia"/>
                      <w:bCs/>
                      <w:color w:val="auto"/>
                      <w:sz w:val="18"/>
                      <w:szCs w:val="18"/>
                    </w:rPr>
                    <w:t>1、落实主要污染物排放总量指标控制要求，加强入河排污口登记、审批和监督管理。2、强化流域内工业点源、规模化畜禽养殖场运行监管，避免偷排、漏排。</w:t>
                  </w:r>
                </w:p>
                <w:p>
                  <w:pPr>
                    <w:rPr>
                      <w:bCs/>
                      <w:color w:val="auto"/>
                      <w:sz w:val="18"/>
                      <w:szCs w:val="18"/>
                    </w:rPr>
                  </w:pPr>
                  <w:r>
                    <w:rPr>
                      <w:rFonts w:hint="eastAsia"/>
                      <w:bCs/>
                      <w:color w:val="auto"/>
                      <w:sz w:val="18"/>
                      <w:szCs w:val="18"/>
                    </w:rPr>
                    <w:t>农业面源水污染控制措施要求</w:t>
                  </w:r>
                </w:p>
                <w:p>
                  <w:pPr>
                    <w:rPr>
                      <w:bCs/>
                      <w:color w:val="auto"/>
                      <w:sz w:val="18"/>
                      <w:szCs w:val="18"/>
                    </w:rPr>
                  </w:pPr>
                  <w:r>
                    <w:rPr>
                      <w:rFonts w:hint="eastAsia"/>
                      <w:bCs/>
                      <w:color w:val="auto"/>
                      <w:sz w:val="18"/>
                      <w:szCs w:val="18"/>
                    </w:rPr>
                    <w:t>1、推进农村污染治理，稳步农村污水处理设施建设，适当预留发展空间，宜集中则集中，宜分散则分散。大力推进农村生活垃圾就地分类减量 和资源化利用，因地制宜选择农村生活垃圾治理模式。严格做好“农家乐”、种植采摘园等范围内的生活及农产品产生污水及垃圾治理。2、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3、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4、推进化肥、农药使用量“零增长”，逐步推进农田径流拦截及治理。</w:t>
                  </w:r>
                </w:p>
              </w:tc>
              <w:tc>
                <w:tcPr>
                  <w:tcW w:w="1305" w:type="dxa"/>
                  <w:vAlign w:val="center"/>
                </w:tcPr>
                <w:p>
                  <w:pPr>
                    <w:pStyle w:val="5"/>
                    <w:widowControl w:val="0"/>
                    <w:kinsoku w:val="0"/>
                    <w:overflowPunct w:val="0"/>
                    <w:spacing w:before="0" w:after="0" w:line="240" w:lineRule="auto"/>
                    <w:rPr>
                      <w:color w:val="auto"/>
                    </w:rPr>
                  </w:pPr>
                  <w:r>
                    <w:rPr>
                      <w:rFonts w:hint="eastAsia"/>
                      <w:color w:val="auto"/>
                    </w:rPr>
                    <w:t>项目区域环境空气质量执行《环境空气质量标准》（GB3095-2012）二级标准。项目生活污水收集后做农肥使用，不外排；生活垃圾分类收集后自行外运至场镇垃圾收集点。</w:t>
                  </w:r>
                </w:p>
              </w:tc>
              <w:tc>
                <w:tcPr>
                  <w:tcW w:w="608" w:type="dxa"/>
                  <w:vAlign w:val="center"/>
                </w:tcPr>
                <w:p>
                  <w:pPr>
                    <w:jc w:val="center"/>
                    <w:rPr>
                      <w:bCs/>
                      <w:color w:val="auto"/>
                      <w:sz w:val="18"/>
                      <w:szCs w:val="18"/>
                    </w:rPr>
                  </w:pPr>
                  <w:r>
                    <w:rPr>
                      <w:rFonts w:hint="eastAsia"/>
                      <w:bCs/>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jc w:val="center"/>
                    <w:rPr>
                      <w:bCs/>
                      <w:color w:val="auto"/>
                      <w:sz w:val="18"/>
                      <w:szCs w:val="18"/>
                    </w:rPr>
                  </w:pPr>
                </w:p>
              </w:tc>
              <w:tc>
                <w:tcPr>
                  <w:tcW w:w="720" w:type="dxa"/>
                  <w:vMerge w:val="continue"/>
                  <w:vAlign w:val="center"/>
                </w:tcPr>
                <w:p>
                  <w:pPr>
                    <w:jc w:val="center"/>
                    <w:rPr>
                      <w:bCs/>
                      <w:color w:val="auto"/>
                      <w:sz w:val="18"/>
                      <w:szCs w:val="18"/>
                    </w:rPr>
                  </w:pPr>
                </w:p>
              </w:tc>
              <w:tc>
                <w:tcPr>
                  <w:tcW w:w="705" w:type="dxa"/>
                  <w:vMerge w:val="continue"/>
                  <w:vAlign w:val="center"/>
                </w:tcPr>
                <w:p>
                  <w:pPr>
                    <w:jc w:val="center"/>
                    <w:rPr>
                      <w:bCs/>
                      <w:color w:val="auto"/>
                      <w:sz w:val="18"/>
                      <w:szCs w:val="18"/>
                    </w:rPr>
                  </w:pPr>
                </w:p>
              </w:tc>
              <w:tc>
                <w:tcPr>
                  <w:tcW w:w="555" w:type="dxa"/>
                  <w:vAlign w:val="center"/>
                </w:tcPr>
                <w:p>
                  <w:pPr>
                    <w:jc w:val="center"/>
                    <w:rPr>
                      <w:bCs/>
                      <w:color w:val="auto"/>
                      <w:sz w:val="18"/>
                      <w:szCs w:val="18"/>
                    </w:rPr>
                  </w:pPr>
                  <w:r>
                    <w:rPr>
                      <w:rFonts w:hint="eastAsia"/>
                      <w:color w:val="auto"/>
                      <w:sz w:val="18"/>
                      <w:szCs w:val="18"/>
                    </w:rPr>
                    <w:t>环境风险防控</w:t>
                  </w:r>
                </w:p>
              </w:tc>
              <w:tc>
                <w:tcPr>
                  <w:tcW w:w="2505" w:type="dxa"/>
                  <w:vAlign w:val="center"/>
                </w:tcPr>
                <w:p>
                  <w:pPr>
                    <w:rPr>
                      <w:bCs/>
                      <w:color w:val="auto"/>
                      <w:sz w:val="18"/>
                      <w:szCs w:val="18"/>
                    </w:rPr>
                  </w:pPr>
                  <w:r>
                    <w:rPr>
                      <w:rFonts w:hint="eastAsia"/>
                      <w:bCs/>
                      <w:color w:val="auto"/>
                      <w:sz w:val="18"/>
                      <w:szCs w:val="18"/>
                    </w:rPr>
                    <w:t>进一步完善工业企业和矿山环境风险防范和管理体系建设，开展企业风险隐患排查与风险评估，增强企业的环境风险意识，守住环境安全底线。落实“一河一策一图”风险管理和应急响应方案，提升风险应急管理水平</w:t>
                  </w:r>
                </w:p>
              </w:tc>
              <w:tc>
                <w:tcPr>
                  <w:tcW w:w="1305" w:type="dxa"/>
                  <w:vAlign w:val="center"/>
                </w:tcPr>
                <w:p>
                  <w:pPr>
                    <w:pStyle w:val="5"/>
                    <w:widowControl w:val="0"/>
                    <w:kinsoku w:val="0"/>
                    <w:overflowPunct w:val="0"/>
                    <w:spacing w:before="0" w:after="0" w:line="240" w:lineRule="auto"/>
                    <w:rPr>
                      <w:color w:val="auto"/>
                    </w:rPr>
                  </w:pPr>
                  <w:r>
                    <w:rPr>
                      <w:rFonts w:hint="eastAsia"/>
                      <w:color w:val="auto"/>
                    </w:rPr>
                    <w:t>环评要求建设单位加强环境风险防范，严格按照要求建设应急设施。</w:t>
                  </w:r>
                </w:p>
              </w:tc>
              <w:tc>
                <w:tcPr>
                  <w:tcW w:w="608" w:type="dxa"/>
                  <w:vAlign w:val="center"/>
                </w:tcPr>
                <w:p>
                  <w:pPr>
                    <w:jc w:val="center"/>
                    <w:rPr>
                      <w:bCs/>
                      <w:color w:val="auto"/>
                      <w:sz w:val="18"/>
                      <w:szCs w:val="18"/>
                    </w:rPr>
                  </w:pPr>
                  <w:r>
                    <w:rPr>
                      <w:rFonts w:hint="eastAsia"/>
                      <w:bCs/>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jc w:val="center"/>
                    <w:rPr>
                      <w:bCs/>
                      <w:color w:val="auto"/>
                      <w:sz w:val="18"/>
                      <w:szCs w:val="18"/>
                    </w:rPr>
                  </w:pPr>
                </w:p>
              </w:tc>
              <w:tc>
                <w:tcPr>
                  <w:tcW w:w="720" w:type="dxa"/>
                  <w:vMerge w:val="continue"/>
                  <w:vAlign w:val="center"/>
                </w:tcPr>
                <w:p>
                  <w:pPr>
                    <w:jc w:val="center"/>
                    <w:rPr>
                      <w:bCs/>
                      <w:color w:val="auto"/>
                      <w:sz w:val="18"/>
                      <w:szCs w:val="18"/>
                    </w:rPr>
                  </w:pPr>
                </w:p>
              </w:tc>
              <w:tc>
                <w:tcPr>
                  <w:tcW w:w="705" w:type="dxa"/>
                  <w:vMerge w:val="continue"/>
                  <w:vAlign w:val="center"/>
                </w:tcPr>
                <w:p>
                  <w:pPr>
                    <w:jc w:val="center"/>
                    <w:rPr>
                      <w:bCs/>
                      <w:color w:val="auto"/>
                      <w:sz w:val="18"/>
                      <w:szCs w:val="18"/>
                    </w:rPr>
                  </w:pPr>
                </w:p>
              </w:tc>
              <w:tc>
                <w:tcPr>
                  <w:tcW w:w="555" w:type="dxa"/>
                  <w:vAlign w:val="center"/>
                </w:tcPr>
                <w:p>
                  <w:pPr>
                    <w:jc w:val="center"/>
                    <w:rPr>
                      <w:bCs/>
                      <w:color w:val="auto"/>
                      <w:sz w:val="18"/>
                      <w:szCs w:val="18"/>
                    </w:rPr>
                  </w:pPr>
                  <w:r>
                    <w:rPr>
                      <w:rFonts w:hint="eastAsia"/>
                      <w:color w:val="auto"/>
                      <w:sz w:val="18"/>
                      <w:szCs w:val="18"/>
                    </w:rPr>
                    <w:t>资源开发效率要求</w:t>
                  </w:r>
                </w:p>
              </w:tc>
              <w:tc>
                <w:tcPr>
                  <w:tcW w:w="2505" w:type="dxa"/>
                  <w:vAlign w:val="center"/>
                </w:tcPr>
                <w:p>
                  <w:pPr>
                    <w:rPr>
                      <w:bCs/>
                      <w:color w:val="auto"/>
                      <w:sz w:val="18"/>
                      <w:szCs w:val="18"/>
                    </w:rPr>
                  </w:pPr>
                  <w:r>
                    <w:rPr>
                      <w:rFonts w:hint="eastAsia"/>
                      <w:bCs/>
                      <w:color w:val="auto"/>
                      <w:sz w:val="18"/>
                      <w:szCs w:val="18"/>
                    </w:rPr>
                    <w:t>强化种植业节水；推进农村污水分质资源化利用。</w:t>
                  </w:r>
                </w:p>
              </w:tc>
              <w:tc>
                <w:tcPr>
                  <w:tcW w:w="1305" w:type="dxa"/>
                  <w:vAlign w:val="center"/>
                </w:tcPr>
                <w:p>
                  <w:pPr>
                    <w:pStyle w:val="5"/>
                    <w:widowControl w:val="0"/>
                    <w:kinsoku w:val="0"/>
                    <w:overflowPunct w:val="0"/>
                    <w:spacing w:before="0" w:after="0" w:line="240" w:lineRule="auto"/>
                    <w:rPr>
                      <w:color w:val="auto"/>
                    </w:rPr>
                  </w:pPr>
                  <w:r>
                    <w:rPr>
                      <w:rFonts w:hint="eastAsia"/>
                      <w:color w:val="auto"/>
                    </w:rPr>
                    <w:t>/</w:t>
                  </w:r>
                </w:p>
              </w:tc>
              <w:tc>
                <w:tcPr>
                  <w:tcW w:w="608" w:type="dxa"/>
                  <w:vAlign w:val="center"/>
                </w:tcPr>
                <w:p>
                  <w:pPr>
                    <w:jc w:val="center"/>
                    <w:rPr>
                      <w:bCs/>
                      <w:color w:val="auto"/>
                      <w:sz w:val="18"/>
                      <w:szCs w:val="18"/>
                    </w:rPr>
                  </w:pPr>
                  <w:r>
                    <w:rPr>
                      <w:rFonts w:hint="eastAsia"/>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restart"/>
                  <w:vAlign w:val="center"/>
                </w:tcPr>
                <w:p>
                  <w:pPr>
                    <w:jc w:val="center"/>
                    <w:rPr>
                      <w:bCs/>
                      <w:color w:val="auto"/>
                      <w:sz w:val="18"/>
                      <w:szCs w:val="18"/>
                    </w:rPr>
                  </w:pPr>
                  <w:r>
                    <w:rPr>
                      <w:color w:val="auto"/>
                      <w:sz w:val="18"/>
                      <w:szCs w:val="18"/>
                    </w:rPr>
                    <w:t>YS5117223310001</w:t>
                  </w:r>
                </w:p>
              </w:tc>
              <w:tc>
                <w:tcPr>
                  <w:tcW w:w="720" w:type="dxa"/>
                  <w:vMerge w:val="restart"/>
                  <w:vAlign w:val="center"/>
                </w:tcPr>
                <w:p>
                  <w:pPr>
                    <w:jc w:val="center"/>
                    <w:rPr>
                      <w:bCs/>
                      <w:color w:val="auto"/>
                      <w:sz w:val="18"/>
                      <w:szCs w:val="18"/>
                    </w:rPr>
                  </w:pPr>
                  <w:r>
                    <w:rPr>
                      <w:rFonts w:hint="eastAsia"/>
                      <w:color w:val="auto"/>
                      <w:spacing w:val="9"/>
                      <w:sz w:val="18"/>
                      <w:szCs w:val="18"/>
                    </w:rPr>
                    <w:t>宣汉县大气环境一般管控区</w:t>
                  </w:r>
                </w:p>
              </w:tc>
              <w:tc>
                <w:tcPr>
                  <w:tcW w:w="705" w:type="dxa"/>
                  <w:vMerge w:val="restart"/>
                  <w:vAlign w:val="center"/>
                </w:tcPr>
                <w:p>
                  <w:pPr>
                    <w:jc w:val="center"/>
                    <w:rPr>
                      <w:bCs/>
                      <w:color w:val="auto"/>
                      <w:sz w:val="18"/>
                      <w:szCs w:val="18"/>
                    </w:rPr>
                  </w:pPr>
                  <w:r>
                    <w:rPr>
                      <w:bCs/>
                      <w:color w:val="auto"/>
                      <w:sz w:val="18"/>
                      <w:szCs w:val="18"/>
                    </w:rPr>
                    <w:t>单元级清单管控要求</w:t>
                  </w:r>
                </w:p>
              </w:tc>
              <w:tc>
                <w:tcPr>
                  <w:tcW w:w="555" w:type="dxa"/>
                  <w:vAlign w:val="center"/>
                </w:tcPr>
                <w:p>
                  <w:pPr>
                    <w:jc w:val="center"/>
                    <w:rPr>
                      <w:bCs/>
                      <w:color w:val="auto"/>
                      <w:sz w:val="18"/>
                      <w:szCs w:val="18"/>
                    </w:rPr>
                  </w:pPr>
                  <w:r>
                    <w:rPr>
                      <w:rFonts w:hint="eastAsia"/>
                      <w:color w:val="auto"/>
                      <w:sz w:val="18"/>
                      <w:szCs w:val="18"/>
                    </w:rPr>
                    <w:t>空间布局约束</w:t>
                  </w:r>
                </w:p>
              </w:tc>
              <w:tc>
                <w:tcPr>
                  <w:tcW w:w="2505" w:type="dxa"/>
                  <w:vAlign w:val="center"/>
                </w:tcPr>
                <w:p>
                  <w:pPr>
                    <w:rPr>
                      <w:bCs/>
                      <w:color w:val="auto"/>
                      <w:sz w:val="18"/>
                      <w:szCs w:val="18"/>
                    </w:rPr>
                  </w:pPr>
                  <w:r>
                    <w:rPr>
                      <w:color w:val="auto"/>
                      <w:sz w:val="18"/>
                      <w:szCs w:val="18"/>
                    </w:rPr>
                    <w:t>/</w:t>
                  </w:r>
                </w:p>
              </w:tc>
              <w:tc>
                <w:tcPr>
                  <w:tcW w:w="1305" w:type="dxa"/>
                  <w:vAlign w:val="center"/>
                </w:tcPr>
                <w:p>
                  <w:pPr>
                    <w:pStyle w:val="5"/>
                    <w:widowControl w:val="0"/>
                    <w:kinsoku w:val="0"/>
                    <w:overflowPunct w:val="0"/>
                    <w:spacing w:before="0" w:after="0" w:line="240" w:lineRule="auto"/>
                    <w:rPr>
                      <w:color w:val="auto"/>
                    </w:rPr>
                  </w:pPr>
                  <w:r>
                    <w:rPr>
                      <w:rFonts w:hint="eastAsia"/>
                      <w:bCs/>
                      <w:color w:val="auto"/>
                    </w:rPr>
                    <w:t>/</w:t>
                  </w:r>
                </w:p>
              </w:tc>
              <w:tc>
                <w:tcPr>
                  <w:tcW w:w="608" w:type="dxa"/>
                  <w:vAlign w:val="center"/>
                </w:tcPr>
                <w:p>
                  <w:pPr>
                    <w:jc w:val="center"/>
                    <w:rPr>
                      <w:bCs/>
                      <w:color w:val="auto"/>
                      <w:sz w:val="18"/>
                      <w:szCs w:val="18"/>
                    </w:rPr>
                  </w:pPr>
                  <w:r>
                    <w:rPr>
                      <w:rFonts w:hint="eastAsia"/>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jc w:val="center"/>
                    <w:rPr>
                      <w:bCs/>
                      <w:color w:val="auto"/>
                      <w:sz w:val="18"/>
                      <w:szCs w:val="18"/>
                    </w:rPr>
                  </w:pPr>
                </w:p>
              </w:tc>
              <w:tc>
                <w:tcPr>
                  <w:tcW w:w="720" w:type="dxa"/>
                  <w:vMerge w:val="continue"/>
                  <w:vAlign w:val="center"/>
                </w:tcPr>
                <w:p>
                  <w:pPr>
                    <w:jc w:val="center"/>
                    <w:rPr>
                      <w:bCs/>
                      <w:color w:val="auto"/>
                      <w:sz w:val="18"/>
                      <w:szCs w:val="18"/>
                    </w:rPr>
                  </w:pPr>
                </w:p>
              </w:tc>
              <w:tc>
                <w:tcPr>
                  <w:tcW w:w="705" w:type="dxa"/>
                  <w:vMerge w:val="continue"/>
                  <w:vAlign w:val="center"/>
                </w:tcPr>
                <w:p>
                  <w:pPr>
                    <w:jc w:val="center"/>
                    <w:rPr>
                      <w:bCs/>
                      <w:color w:val="auto"/>
                      <w:sz w:val="18"/>
                      <w:szCs w:val="18"/>
                    </w:rPr>
                  </w:pPr>
                </w:p>
              </w:tc>
              <w:tc>
                <w:tcPr>
                  <w:tcW w:w="555" w:type="dxa"/>
                  <w:vAlign w:val="center"/>
                </w:tcPr>
                <w:p>
                  <w:pPr>
                    <w:jc w:val="center"/>
                    <w:rPr>
                      <w:bCs/>
                      <w:color w:val="auto"/>
                      <w:sz w:val="18"/>
                      <w:szCs w:val="18"/>
                    </w:rPr>
                  </w:pPr>
                  <w:r>
                    <w:rPr>
                      <w:rFonts w:hint="eastAsia"/>
                      <w:color w:val="auto"/>
                      <w:sz w:val="18"/>
                      <w:szCs w:val="18"/>
                    </w:rPr>
                    <w:t>污染物排放管控</w:t>
                  </w:r>
                </w:p>
              </w:tc>
              <w:tc>
                <w:tcPr>
                  <w:tcW w:w="2505" w:type="dxa"/>
                  <w:vAlign w:val="center"/>
                </w:tcPr>
                <w:p>
                  <w:pPr>
                    <w:pStyle w:val="48"/>
                    <w:widowControl/>
                    <w:spacing w:line="240" w:lineRule="auto"/>
                    <w:ind w:firstLine="0" w:firstLineChars="0"/>
                    <w:jc w:val="left"/>
                    <w:rPr>
                      <w:rFonts w:eastAsia="宋体"/>
                      <w:color w:val="auto"/>
                      <w:sz w:val="18"/>
                      <w:szCs w:val="18"/>
                    </w:rPr>
                  </w:pPr>
                  <w:r>
                    <w:rPr>
                      <w:rFonts w:hint="eastAsia" w:eastAsia="宋体"/>
                      <w:color w:val="auto"/>
                      <w:sz w:val="18"/>
                      <w:szCs w:val="18"/>
                    </w:rPr>
                    <w:t>大气环境质量执行标准</w:t>
                  </w:r>
                </w:p>
                <w:p>
                  <w:pPr>
                    <w:pStyle w:val="48"/>
                    <w:widowControl/>
                    <w:spacing w:line="240" w:lineRule="auto"/>
                    <w:ind w:firstLine="0" w:firstLineChars="0"/>
                    <w:jc w:val="left"/>
                    <w:rPr>
                      <w:bCs/>
                      <w:color w:val="auto"/>
                      <w:sz w:val="18"/>
                      <w:szCs w:val="18"/>
                    </w:rPr>
                  </w:pPr>
                  <w:r>
                    <w:rPr>
                      <w:rFonts w:hint="eastAsia" w:eastAsia="宋体"/>
                      <w:color w:val="auto"/>
                      <w:sz w:val="18"/>
                      <w:szCs w:val="18"/>
                    </w:rPr>
                    <w:t>《环境空气质量标准》（GB3095-2012）：二级</w:t>
                  </w:r>
                </w:p>
              </w:tc>
              <w:tc>
                <w:tcPr>
                  <w:tcW w:w="1305" w:type="dxa"/>
                  <w:vAlign w:val="center"/>
                </w:tcPr>
                <w:p>
                  <w:pPr>
                    <w:pStyle w:val="5"/>
                    <w:widowControl w:val="0"/>
                    <w:kinsoku w:val="0"/>
                    <w:overflowPunct w:val="0"/>
                    <w:spacing w:before="0" w:after="0" w:line="240" w:lineRule="auto"/>
                    <w:rPr>
                      <w:color w:val="auto"/>
                    </w:rPr>
                  </w:pPr>
                  <w:r>
                    <w:rPr>
                      <w:rFonts w:hint="eastAsia"/>
                      <w:color w:val="auto"/>
                    </w:rPr>
                    <w:t>项目区域环境空气质量执行《环境空气质量标准》（GB3095-2012）二级标准。</w:t>
                  </w:r>
                </w:p>
              </w:tc>
              <w:tc>
                <w:tcPr>
                  <w:tcW w:w="608" w:type="dxa"/>
                  <w:vAlign w:val="center"/>
                </w:tcPr>
                <w:p>
                  <w:pPr>
                    <w:jc w:val="center"/>
                    <w:rPr>
                      <w:bCs/>
                      <w:color w:val="auto"/>
                      <w:sz w:val="18"/>
                      <w:szCs w:val="18"/>
                    </w:rPr>
                  </w:pPr>
                  <w:r>
                    <w:rPr>
                      <w:rFonts w:hint="eastAsia"/>
                      <w:bCs/>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jc w:val="center"/>
                    <w:rPr>
                      <w:bCs/>
                      <w:color w:val="auto"/>
                      <w:sz w:val="18"/>
                      <w:szCs w:val="18"/>
                    </w:rPr>
                  </w:pPr>
                </w:p>
              </w:tc>
              <w:tc>
                <w:tcPr>
                  <w:tcW w:w="720" w:type="dxa"/>
                  <w:vMerge w:val="continue"/>
                  <w:vAlign w:val="center"/>
                </w:tcPr>
                <w:p>
                  <w:pPr>
                    <w:jc w:val="center"/>
                    <w:rPr>
                      <w:bCs/>
                      <w:color w:val="auto"/>
                      <w:sz w:val="18"/>
                      <w:szCs w:val="18"/>
                    </w:rPr>
                  </w:pPr>
                </w:p>
              </w:tc>
              <w:tc>
                <w:tcPr>
                  <w:tcW w:w="705" w:type="dxa"/>
                  <w:vMerge w:val="continue"/>
                  <w:vAlign w:val="center"/>
                </w:tcPr>
                <w:p>
                  <w:pPr>
                    <w:jc w:val="center"/>
                    <w:rPr>
                      <w:bCs/>
                      <w:color w:val="auto"/>
                      <w:sz w:val="18"/>
                      <w:szCs w:val="18"/>
                    </w:rPr>
                  </w:pPr>
                </w:p>
              </w:tc>
              <w:tc>
                <w:tcPr>
                  <w:tcW w:w="555" w:type="dxa"/>
                  <w:vAlign w:val="center"/>
                </w:tcPr>
                <w:p>
                  <w:pPr>
                    <w:jc w:val="center"/>
                    <w:rPr>
                      <w:bCs/>
                      <w:color w:val="auto"/>
                      <w:sz w:val="18"/>
                      <w:szCs w:val="18"/>
                    </w:rPr>
                  </w:pPr>
                  <w:r>
                    <w:rPr>
                      <w:rFonts w:hint="eastAsia"/>
                      <w:color w:val="auto"/>
                      <w:sz w:val="18"/>
                      <w:szCs w:val="18"/>
                    </w:rPr>
                    <w:t>环境风险防控</w:t>
                  </w:r>
                </w:p>
              </w:tc>
              <w:tc>
                <w:tcPr>
                  <w:tcW w:w="2505" w:type="dxa"/>
                  <w:vAlign w:val="center"/>
                </w:tcPr>
                <w:p>
                  <w:pPr>
                    <w:rPr>
                      <w:bCs/>
                      <w:color w:val="auto"/>
                      <w:sz w:val="18"/>
                      <w:szCs w:val="18"/>
                    </w:rPr>
                  </w:pPr>
                  <w:r>
                    <w:rPr>
                      <w:rFonts w:hint="eastAsia"/>
                      <w:bCs/>
                      <w:color w:val="auto"/>
                      <w:sz w:val="18"/>
                      <w:szCs w:val="18"/>
                    </w:rPr>
                    <w:t>/</w:t>
                  </w:r>
                </w:p>
              </w:tc>
              <w:tc>
                <w:tcPr>
                  <w:tcW w:w="1305" w:type="dxa"/>
                  <w:vAlign w:val="center"/>
                </w:tcPr>
                <w:p>
                  <w:pPr>
                    <w:pStyle w:val="5"/>
                    <w:widowControl w:val="0"/>
                    <w:kinsoku w:val="0"/>
                    <w:overflowPunct w:val="0"/>
                    <w:spacing w:before="0" w:after="0" w:line="240" w:lineRule="auto"/>
                    <w:rPr>
                      <w:color w:val="auto"/>
                    </w:rPr>
                  </w:pPr>
                  <w:r>
                    <w:rPr>
                      <w:rFonts w:hint="eastAsia"/>
                      <w:color w:val="auto"/>
                    </w:rPr>
                    <w:t>/</w:t>
                  </w:r>
                </w:p>
              </w:tc>
              <w:tc>
                <w:tcPr>
                  <w:tcW w:w="608" w:type="dxa"/>
                  <w:vAlign w:val="center"/>
                </w:tcPr>
                <w:p>
                  <w:pPr>
                    <w:jc w:val="center"/>
                    <w:rPr>
                      <w:bCs/>
                      <w:color w:val="auto"/>
                      <w:sz w:val="18"/>
                      <w:szCs w:val="18"/>
                    </w:rPr>
                  </w:pPr>
                  <w:r>
                    <w:rPr>
                      <w:rFonts w:hint="eastAsia"/>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Merge w:val="continue"/>
                  <w:vAlign w:val="center"/>
                </w:tcPr>
                <w:p>
                  <w:pPr>
                    <w:jc w:val="center"/>
                    <w:rPr>
                      <w:bCs/>
                      <w:color w:val="auto"/>
                      <w:sz w:val="18"/>
                      <w:szCs w:val="18"/>
                    </w:rPr>
                  </w:pPr>
                </w:p>
              </w:tc>
              <w:tc>
                <w:tcPr>
                  <w:tcW w:w="720" w:type="dxa"/>
                  <w:vMerge w:val="continue"/>
                  <w:vAlign w:val="center"/>
                </w:tcPr>
                <w:p>
                  <w:pPr>
                    <w:jc w:val="center"/>
                    <w:rPr>
                      <w:bCs/>
                      <w:color w:val="auto"/>
                      <w:sz w:val="18"/>
                      <w:szCs w:val="18"/>
                    </w:rPr>
                  </w:pPr>
                </w:p>
              </w:tc>
              <w:tc>
                <w:tcPr>
                  <w:tcW w:w="705" w:type="dxa"/>
                  <w:vMerge w:val="continue"/>
                  <w:vAlign w:val="center"/>
                </w:tcPr>
                <w:p>
                  <w:pPr>
                    <w:jc w:val="center"/>
                    <w:rPr>
                      <w:bCs/>
                      <w:color w:val="auto"/>
                      <w:sz w:val="18"/>
                      <w:szCs w:val="18"/>
                    </w:rPr>
                  </w:pPr>
                </w:p>
              </w:tc>
              <w:tc>
                <w:tcPr>
                  <w:tcW w:w="555" w:type="dxa"/>
                  <w:vAlign w:val="center"/>
                </w:tcPr>
                <w:p>
                  <w:pPr>
                    <w:jc w:val="center"/>
                    <w:rPr>
                      <w:bCs/>
                      <w:color w:val="auto"/>
                      <w:sz w:val="18"/>
                      <w:szCs w:val="18"/>
                    </w:rPr>
                  </w:pPr>
                  <w:r>
                    <w:rPr>
                      <w:rFonts w:hint="eastAsia"/>
                      <w:color w:val="auto"/>
                      <w:sz w:val="18"/>
                      <w:szCs w:val="18"/>
                    </w:rPr>
                    <w:t>资源开发效率要求</w:t>
                  </w:r>
                </w:p>
              </w:tc>
              <w:tc>
                <w:tcPr>
                  <w:tcW w:w="2505" w:type="dxa"/>
                  <w:vAlign w:val="center"/>
                </w:tcPr>
                <w:p>
                  <w:pPr>
                    <w:rPr>
                      <w:bCs/>
                      <w:color w:val="auto"/>
                      <w:sz w:val="18"/>
                      <w:szCs w:val="18"/>
                    </w:rPr>
                  </w:pPr>
                  <w:r>
                    <w:rPr>
                      <w:rFonts w:hint="eastAsia"/>
                      <w:bCs/>
                      <w:color w:val="auto"/>
                      <w:sz w:val="18"/>
                      <w:szCs w:val="18"/>
                    </w:rPr>
                    <w:t>/</w:t>
                  </w:r>
                </w:p>
              </w:tc>
              <w:tc>
                <w:tcPr>
                  <w:tcW w:w="1305" w:type="dxa"/>
                  <w:vAlign w:val="center"/>
                </w:tcPr>
                <w:p>
                  <w:pPr>
                    <w:pStyle w:val="5"/>
                    <w:widowControl w:val="0"/>
                    <w:kinsoku w:val="0"/>
                    <w:overflowPunct w:val="0"/>
                    <w:spacing w:before="0" w:after="0" w:line="240" w:lineRule="auto"/>
                    <w:rPr>
                      <w:color w:val="auto"/>
                    </w:rPr>
                  </w:pPr>
                  <w:r>
                    <w:rPr>
                      <w:rFonts w:hint="eastAsia"/>
                      <w:color w:val="auto"/>
                    </w:rPr>
                    <w:t>/</w:t>
                  </w:r>
                </w:p>
              </w:tc>
              <w:tc>
                <w:tcPr>
                  <w:tcW w:w="608" w:type="dxa"/>
                  <w:vAlign w:val="center"/>
                </w:tcPr>
                <w:p>
                  <w:pPr>
                    <w:jc w:val="center"/>
                    <w:rPr>
                      <w:bCs/>
                      <w:color w:val="auto"/>
                      <w:sz w:val="18"/>
                      <w:szCs w:val="18"/>
                    </w:rPr>
                  </w:pPr>
                  <w:r>
                    <w:rPr>
                      <w:rFonts w:hint="eastAsia"/>
                      <w:bCs/>
                      <w:color w:val="auto"/>
                      <w:sz w:val="18"/>
                      <w:szCs w:val="18"/>
                    </w:rPr>
                    <w:t>/</w:t>
                  </w:r>
                </w:p>
              </w:tc>
            </w:tr>
          </w:tbl>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综上，本项目符合“三线一单”相关要求。</w:t>
            </w:r>
          </w:p>
          <w:p>
            <w:pPr>
              <w:autoSpaceDE w:val="0"/>
              <w:autoSpaceDN w:val="0"/>
              <w:adjustRightInd w:val="0"/>
              <w:snapToGrid w:val="0"/>
              <w:spacing w:line="360" w:lineRule="auto"/>
              <w:rPr>
                <w:rFonts w:hAnsi="宋体"/>
                <w:b/>
                <w:color w:val="auto"/>
              </w:rPr>
            </w:pPr>
            <w:r>
              <w:rPr>
                <w:rFonts w:hAnsi="宋体"/>
                <w:b/>
                <w:color w:val="auto"/>
              </w:rPr>
              <w:t>3</w:t>
            </w:r>
            <w:r>
              <w:rPr>
                <w:rFonts w:hint="eastAsia" w:hAnsi="宋体"/>
                <w:b/>
                <w:color w:val="auto"/>
              </w:rPr>
              <w:t>、与相关法律法规符合性分析</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（1）与《</w:t>
            </w:r>
            <w:r>
              <w:rPr>
                <w:rFonts w:hint="eastAsia" w:ascii="宋体" w:hAnsi="宋体" w:cs="宋体"/>
                <w:color w:val="auto"/>
                <w:kern w:val="0"/>
                <w:szCs w:val="21"/>
                <w:lang w:eastAsia="zh-CN"/>
              </w:rPr>
              <w:t>中华人民共和国大气污染防治法</w:t>
            </w:r>
            <w:r>
              <w:rPr>
                <w:rFonts w:hint="eastAsia" w:ascii="宋体" w:hAnsi="宋体" w:cs="宋体"/>
                <w:color w:val="auto"/>
                <w:kern w:val="0"/>
                <w:szCs w:val="21"/>
              </w:rPr>
              <w:t>》符合性分析</w:t>
            </w:r>
          </w:p>
          <w:p>
            <w:pPr>
              <w:autoSpaceDE w:val="0"/>
              <w:autoSpaceDN w:val="0"/>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w:t>
            </w:r>
            <w:r>
              <w:rPr>
                <w:rFonts w:ascii="宋体" w:hAnsi="宋体" w:cs="宋体"/>
                <w:b/>
                <w:color w:val="auto"/>
                <w:kern w:val="0"/>
                <w:sz w:val="18"/>
                <w:szCs w:val="18"/>
              </w:rPr>
              <w:t>1-6</w:t>
            </w:r>
            <w:r>
              <w:rPr>
                <w:rFonts w:hint="eastAsia" w:ascii="宋体" w:hAnsi="宋体" w:cs="宋体"/>
                <w:b/>
                <w:color w:val="auto"/>
                <w:kern w:val="0"/>
                <w:sz w:val="18"/>
                <w:szCs w:val="18"/>
              </w:rPr>
              <w:t xml:space="preserve">  项目与《</w:t>
            </w:r>
            <w:r>
              <w:rPr>
                <w:rFonts w:hint="eastAsia" w:ascii="宋体" w:hAnsi="宋体" w:cs="宋体"/>
                <w:b/>
                <w:color w:val="auto"/>
                <w:kern w:val="0"/>
                <w:sz w:val="18"/>
                <w:szCs w:val="18"/>
                <w:lang w:eastAsia="zh-CN"/>
              </w:rPr>
              <w:t>中华人民共和国大气污染防治法</w:t>
            </w:r>
            <w:r>
              <w:rPr>
                <w:rFonts w:hint="eastAsia" w:ascii="宋体" w:hAnsi="宋体" w:cs="宋体"/>
                <w:b/>
                <w:color w:val="auto"/>
                <w:kern w:val="0"/>
                <w:sz w:val="18"/>
                <w:szCs w:val="18"/>
              </w:rPr>
              <w:t>》的符合性分析</w:t>
            </w:r>
          </w:p>
          <w:tbl>
            <w:tblPr>
              <w:tblStyle w:val="14"/>
              <w:tblW w:w="5000" w:type="pct"/>
              <w:jc w:val="center"/>
              <w:tblBorders>
                <w:top w:val="single" w:color="auto" w:sz="4" w:space="0"/>
                <w:left w:val="none" w:color="auto" w:sz="0" w:space="0"/>
                <w:bottom w:val="single" w:color="000000" w:sz="4" w:space="0"/>
                <w:right w:val="none" w:color="auto" w:sz="0" w:space="0"/>
                <w:insideH w:val="single" w:color="000000" w:sz="4" w:space="0"/>
                <w:insideV w:val="single" w:color="auto" w:sz="4" w:space="0"/>
              </w:tblBorders>
              <w:tblLayout w:type="fixed"/>
              <w:tblCellMar>
                <w:top w:w="0" w:type="dxa"/>
                <w:left w:w="11" w:type="dxa"/>
                <w:bottom w:w="0" w:type="dxa"/>
                <w:right w:w="11" w:type="dxa"/>
              </w:tblCellMar>
            </w:tblPr>
            <w:tblGrid>
              <w:gridCol w:w="504"/>
              <w:gridCol w:w="4494"/>
              <w:gridCol w:w="1926"/>
              <w:gridCol w:w="693"/>
            </w:tblGrid>
            <w:tr>
              <w:tblPrEx>
                <w:tblBorders>
                  <w:top w:val="single" w:color="auto" w:sz="4" w:space="0"/>
                  <w:left w:val="none" w:color="auto" w:sz="0" w:space="0"/>
                  <w:bottom w:val="single" w:color="000000" w:sz="4" w:space="0"/>
                  <w:right w:val="none" w:color="auto" w:sz="0" w:space="0"/>
                  <w:insideH w:val="single" w:color="000000" w:sz="4" w:space="0"/>
                  <w:insideV w:val="single" w:color="auto" w:sz="4" w:space="0"/>
                </w:tblBorders>
                <w:tblCellMar>
                  <w:top w:w="0" w:type="dxa"/>
                  <w:left w:w="11" w:type="dxa"/>
                  <w:bottom w:w="0" w:type="dxa"/>
                  <w:right w:w="11" w:type="dxa"/>
                </w:tblCellMar>
              </w:tblPrEx>
              <w:trPr>
                <w:trHeight w:val="128" w:hRule="atLeast"/>
                <w:tblHeader/>
                <w:jc w:val="center"/>
              </w:trPr>
              <w:tc>
                <w:tcPr>
                  <w:tcW w:w="331" w:type="pct"/>
                  <w:vAlign w:val="center"/>
                </w:tcPr>
                <w:p>
                  <w:pPr>
                    <w:autoSpaceDE w:val="0"/>
                    <w:autoSpaceDN w:val="0"/>
                    <w:adjustRightInd w:val="0"/>
                    <w:snapToGrid w:val="0"/>
                    <w:spacing w:line="240" w:lineRule="exact"/>
                    <w:ind w:left="31" w:leftChars="15" w:right="31" w:rightChars="15"/>
                    <w:jc w:val="center"/>
                    <w:rPr>
                      <w:b/>
                      <w:bCs/>
                      <w:color w:val="auto"/>
                      <w:kern w:val="0"/>
                      <w:sz w:val="18"/>
                      <w:szCs w:val="18"/>
                    </w:rPr>
                  </w:pPr>
                  <w:r>
                    <w:rPr>
                      <w:b/>
                      <w:bCs/>
                      <w:color w:val="auto"/>
                      <w:kern w:val="0"/>
                      <w:sz w:val="18"/>
                      <w:szCs w:val="18"/>
                    </w:rPr>
                    <w:t>序号</w:t>
                  </w:r>
                </w:p>
              </w:tc>
              <w:tc>
                <w:tcPr>
                  <w:tcW w:w="2950" w:type="pct"/>
                  <w:vAlign w:val="center"/>
                </w:tcPr>
                <w:p>
                  <w:pPr>
                    <w:autoSpaceDE w:val="0"/>
                    <w:autoSpaceDN w:val="0"/>
                    <w:adjustRightInd w:val="0"/>
                    <w:snapToGrid w:val="0"/>
                    <w:spacing w:line="240" w:lineRule="exact"/>
                    <w:ind w:left="31" w:leftChars="15" w:right="31" w:rightChars="15"/>
                    <w:jc w:val="center"/>
                    <w:rPr>
                      <w:b/>
                      <w:bCs/>
                      <w:color w:val="auto"/>
                      <w:kern w:val="0"/>
                      <w:sz w:val="18"/>
                      <w:szCs w:val="18"/>
                    </w:rPr>
                  </w:pPr>
                  <w:r>
                    <w:rPr>
                      <w:b/>
                      <w:bCs/>
                      <w:color w:val="auto"/>
                      <w:kern w:val="0"/>
                      <w:sz w:val="18"/>
                      <w:szCs w:val="18"/>
                    </w:rPr>
                    <w:t>原文内容</w:t>
                  </w:r>
                </w:p>
              </w:tc>
              <w:tc>
                <w:tcPr>
                  <w:tcW w:w="1264" w:type="pct"/>
                  <w:vAlign w:val="center"/>
                </w:tcPr>
                <w:p>
                  <w:pPr>
                    <w:autoSpaceDE w:val="0"/>
                    <w:autoSpaceDN w:val="0"/>
                    <w:adjustRightInd w:val="0"/>
                    <w:snapToGrid w:val="0"/>
                    <w:spacing w:line="240" w:lineRule="exact"/>
                    <w:ind w:left="31" w:leftChars="15" w:right="31" w:rightChars="15"/>
                    <w:jc w:val="center"/>
                    <w:rPr>
                      <w:b/>
                      <w:bCs/>
                      <w:color w:val="auto"/>
                      <w:kern w:val="0"/>
                      <w:sz w:val="18"/>
                      <w:szCs w:val="18"/>
                    </w:rPr>
                  </w:pPr>
                  <w:r>
                    <w:rPr>
                      <w:b/>
                      <w:bCs/>
                      <w:color w:val="auto"/>
                      <w:kern w:val="0"/>
                      <w:sz w:val="18"/>
                      <w:szCs w:val="18"/>
                    </w:rPr>
                    <w:t>本项目情况</w:t>
                  </w:r>
                </w:p>
              </w:tc>
              <w:tc>
                <w:tcPr>
                  <w:tcW w:w="455" w:type="pct"/>
                  <w:vAlign w:val="center"/>
                </w:tcPr>
                <w:p>
                  <w:pPr>
                    <w:autoSpaceDE w:val="0"/>
                    <w:autoSpaceDN w:val="0"/>
                    <w:adjustRightInd w:val="0"/>
                    <w:snapToGrid w:val="0"/>
                    <w:spacing w:line="240" w:lineRule="exact"/>
                    <w:ind w:left="31" w:leftChars="15" w:right="31" w:rightChars="15"/>
                    <w:jc w:val="center"/>
                    <w:rPr>
                      <w:b/>
                      <w:bCs/>
                      <w:color w:val="auto"/>
                      <w:kern w:val="0"/>
                      <w:sz w:val="18"/>
                      <w:szCs w:val="18"/>
                    </w:rPr>
                  </w:pPr>
                  <w:r>
                    <w:rPr>
                      <w:b/>
                      <w:bCs/>
                      <w:color w:val="auto"/>
                      <w:kern w:val="0"/>
                      <w:sz w:val="18"/>
                      <w:szCs w:val="18"/>
                    </w:rPr>
                    <w:t>符合性</w:t>
                  </w:r>
                </w:p>
              </w:tc>
            </w:tr>
            <w:tr>
              <w:tblPrEx>
                <w:tblBorders>
                  <w:top w:val="single" w:color="auto" w:sz="4" w:space="0"/>
                  <w:left w:val="none" w:color="auto" w:sz="0" w:space="0"/>
                  <w:bottom w:val="single" w:color="000000" w:sz="4" w:space="0"/>
                  <w:right w:val="none" w:color="auto" w:sz="0" w:space="0"/>
                  <w:insideH w:val="single" w:color="000000" w:sz="4" w:space="0"/>
                  <w:insideV w:val="single" w:color="auto" w:sz="4" w:space="0"/>
                </w:tblBorders>
                <w:tblCellMar>
                  <w:top w:w="0" w:type="dxa"/>
                  <w:left w:w="11" w:type="dxa"/>
                  <w:bottom w:w="0" w:type="dxa"/>
                  <w:right w:w="11" w:type="dxa"/>
                </w:tblCellMar>
              </w:tblPrEx>
              <w:trPr>
                <w:trHeight w:val="940" w:hRule="atLeast"/>
                <w:tblHeader/>
                <w:jc w:val="center"/>
              </w:trPr>
              <w:tc>
                <w:tcPr>
                  <w:tcW w:w="331" w:type="pct"/>
                  <w:vAlign w:val="center"/>
                </w:tcPr>
                <w:p>
                  <w:pPr>
                    <w:adjustRightInd w:val="0"/>
                    <w:snapToGrid w:val="0"/>
                    <w:spacing w:line="280" w:lineRule="exact"/>
                    <w:jc w:val="center"/>
                    <w:rPr>
                      <w:b/>
                      <w:bCs/>
                      <w:color w:val="auto"/>
                      <w:sz w:val="18"/>
                      <w:szCs w:val="18"/>
                    </w:rPr>
                  </w:pPr>
                  <w:r>
                    <w:rPr>
                      <w:b/>
                      <w:bCs/>
                      <w:color w:val="auto"/>
                      <w:sz w:val="18"/>
                      <w:szCs w:val="18"/>
                    </w:rPr>
                    <w:t>1</w:t>
                  </w:r>
                </w:p>
              </w:tc>
              <w:tc>
                <w:tcPr>
                  <w:tcW w:w="2950" w:type="pct"/>
                  <w:vAlign w:val="center"/>
                </w:tcPr>
                <w:p>
                  <w:pPr>
                    <w:adjustRightInd w:val="0"/>
                    <w:snapToGrid w:val="0"/>
                    <w:spacing w:line="280" w:lineRule="exact"/>
                    <w:jc w:val="left"/>
                    <w:rPr>
                      <w:bCs/>
                      <w:color w:val="auto"/>
                      <w:sz w:val="18"/>
                      <w:szCs w:val="18"/>
                    </w:rPr>
                  </w:pPr>
                  <w:r>
                    <w:rPr>
                      <w:bCs/>
                      <w:color w:val="auto"/>
                      <w:sz w:val="18"/>
                      <w:szCs w:val="18"/>
                    </w:rPr>
                    <w:t>第十八条　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1264" w:type="pct"/>
                  <w:vAlign w:val="center"/>
                </w:tcPr>
                <w:p>
                  <w:pPr>
                    <w:adjustRightInd w:val="0"/>
                    <w:snapToGrid w:val="0"/>
                    <w:spacing w:line="280" w:lineRule="exact"/>
                    <w:jc w:val="left"/>
                    <w:rPr>
                      <w:bCs/>
                      <w:color w:val="auto"/>
                      <w:sz w:val="18"/>
                      <w:szCs w:val="18"/>
                    </w:rPr>
                  </w:pPr>
                  <w:r>
                    <w:rPr>
                      <w:bCs/>
                      <w:color w:val="auto"/>
                      <w:sz w:val="18"/>
                      <w:szCs w:val="18"/>
                    </w:rPr>
                    <w:t>项目按要求办理环境影响评价；严格执行大气污染物排放标准，遵守重点大气污染物排放总量控制要求。</w:t>
                  </w:r>
                </w:p>
              </w:tc>
              <w:tc>
                <w:tcPr>
                  <w:tcW w:w="455" w:type="pct"/>
                  <w:vAlign w:val="center"/>
                </w:tcPr>
                <w:p>
                  <w:pPr>
                    <w:adjustRightInd w:val="0"/>
                    <w:snapToGrid w:val="0"/>
                    <w:spacing w:line="280" w:lineRule="exact"/>
                    <w:jc w:val="center"/>
                    <w:rPr>
                      <w:bCs/>
                      <w:color w:val="auto"/>
                      <w:sz w:val="18"/>
                      <w:szCs w:val="18"/>
                    </w:rPr>
                  </w:pPr>
                  <w:r>
                    <w:rPr>
                      <w:bCs/>
                      <w:color w:val="auto"/>
                      <w:sz w:val="18"/>
                      <w:szCs w:val="18"/>
                    </w:rPr>
                    <w:t>符合</w:t>
                  </w:r>
                </w:p>
              </w:tc>
            </w:tr>
            <w:tr>
              <w:tblPrEx>
                <w:tblBorders>
                  <w:top w:val="single" w:color="auto" w:sz="4" w:space="0"/>
                  <w:left w:val="none" w:color="auto" w:sz="0" w:space="0"/>
                  <w:bottom w:val="single" w:color="000000" w:sz="4" w:space="0"/>
                  <w:right w:val="none" w:color="auto" w:sz="0" w:space="0"/>
                  <w:insideH w:val="single" w:color="000000" w:sz="4" w:space="0"/>
                  <w:insideV w:val="single" w:color="auto" w:sz="4" w:space="0"/>
                </w:tblBorders>
                <w:tblCellMar>
                  <w:top w:w="0" w:type="dxa"/>
                  <w:left w:w="11" w:type="dxa"/>
                  <w:bottom w:w="0" w:type="dxa"/>
                  <w:right w:w="11" w:type="dxa"/>
                </w:tblCellMar>
              </w:tblPrEx>
              <w:trPr>
                <w:trHeight w:val="242" w:hRule="atLeast"/>
                <w:tblHeader/>
                <w:jc w:val="center"/>
              </w:trPr>
              <w:tc>
                <w:tcPr>
                  <w:tcW w:w="331" w:type="pct"/>
                  <w:vAlign w:val="center"/>
                </w:tcPr>
                <w:p>
                  <w:pPr>
                    <w:adjustRightInd w:val="0"/>
                    <w:snapToGrid w:val="0"/>
                    <w:spacing w:line="280" w:lineRule="exact"/>
                    <w:jc w:val="center"/>
                    <w:rPr>
                      <w:b/>
                      <w:bCs/>
                      <w:color w:val="auto"/>
                      <w:sz w:val="18"/>
                      <w:szCs w:val="18"/>
                    </w:rPr>
                  </w:pPr>
                  <w:r>
                    <w:rPr>
                      <w:b/>
                      <w:bCs/>
                      <w:color w:val="auto"/>
                      <w:sz w:val="18"/>
                      <w:szCs w:val="18"/>
                    </w:rPr>
                    <w:t>2</w:t>
                  </w:r>
                </w:p>
              </w:tc>
              <w:tc>
                <w:tcPr>
                  <w:tcW w:w="2950" w:type="pct"/>
                  <w:vAlign w:val="center"/>
                </w:tcPr>
                <w:p>
                  <w:pPr>
                    <w:adjustRightInd w:val="0"/>
                    <w:snapToGrid w:val="0"/>
                    <w:spacing w:line="280" w:lineRule="exact"/>
                    <w:jc w:val="left"/>
                    <w:rPr>
                      <w:bCs/>
                      <w:color w:val="auto"/>
                      <w:sz w:val="18"/>
                      <w:szCs w:val="18"/>
                    </w:rPr>
                  </w:pPr>
                  <w:r>
                    <w:rPr>
                      <w:bCs/>
                      <w:color w:val="auto"/>
                      <w:sz w:val="18"/>
                      <w:szCs w:val="18"/>
                    </w:rPr>
                    <w:t>第四十八条　钢铁、建材、有色金属、石油、化工、制药、矿产开采等企业，应当加强精细化管理，采取集中收集处理等措施，严格控制粉尘和气态污染物的排放。</w:t>
                  </w:r>
                </w:p>
              </w:tc>
              <w:tc>
                <w:tcPr>
                  <w:tcW w:w="1264" w:type="pct"/>
                  <w:vAlign w:val="center"/>
                </w:tcPr>
                <w:p>
                  <w:pPr>
                    <w:adjustRightInd w:val="0"/>
                    <w:snapToGrid w:val="0"/>
                    <w:spacing w:line="280" w:lineRule="exact"/>
                    <w:jc w:val="left"/>
                    <w:rPr>
                      <w:bCs/>
                      <w:color w:val="auto"/>
                      <w:sz w:val="18"/>
                      <w:szCs w:val="18"/>
                    </w:rPr>
                  </w:pPr>
                  <w:r>
                    <w:rPr>
                      <w:bCs/>
                      <w:color w:val="auto"/>
                      <w:sz w:val="18"/>
                      <w:szCs w:val="18"/>
                    </w:rPr>
                    <w:t>项目属于建筑用石开采加工项目，生产过程中将采取喷雾洒水、湿法作业、车间封闭等措施防尘。</w:t>
                  </w:r>
                </w:p>
              </w:tc>
              <w:tc>
                <w:tcPr>
                  <w:tcW w:w="455" w:type="pct"/>
                  <w:vAlign w:val="center"/>
                </w:tcPr>
                <w:p>
                  <w:pPr>
                    <w:adjustRightInd w:val="0"/>
                    <w:snapToGrid w:val="0"/>
                    <w:spacing w:line="280" w:lineRule="exact"/>
                    <w:jc w:val="center"/>
                    <w:rPr>
                      <w:bCs/>
                      <w:color w:val="auto"/>
                      <w:sz w:val="18"/>
                      <w:szCs w:val="18"/>
                    </w:rPr>
                  </w:pPr>
                  <w:r>
                    <w:rPr>
                      <w:bCs/>
                      <w:color w:val="auto"/>
                      <w:sz w:val="18"/>
                      <w:szCs w:val="18"/>
                    </w:rPr>
                    <w:t>符合</w:t>
                  </w:r>
                </w:p>
              </w:tc>
            </w:tr>
            <w:tr>
              <w:tblPrEx>
                <w:tblBorders>
                  <w:top w:val="single" w:color="auto" w:sz="4" w:space="0"/>
                  <w:left w:val="none" w:color="auto" w:sz="0" w:space="0"/>
                  <w:bottom w:val="single" w:color="000000" w:sz="4" w:space="0"/>
                  <w:right w:val="none" w:color="auto" w:sz="0" w:space="0"/>
                  <w:insideH w:val="single" w:color="000000" w:sz="4" w:space="0"/>
                  <w:insideV w:val="single" w:color="auto" w:sz="4" w:space="0"/>
                </w:tblBorders>
                <w:tblCellMar>
                  <w:top w:w="0" w:type="dxa"/>
                  <w:left w:w="11" w:type="dxa"/>
                  <w:bottom w:w="0" w:type="dxa"/>
                  <w:right w:w="11" w:type="dxa"/>
                </w:tblCellMar>
              </w:tblPrEx>
              <w:trPr>
                <w:trHeight w:val="242" w:hRule="atLeast"/>
                <w:tblHeader/>
                <w:jc w:val="center"/>
              </w:trPr>
              <w:tc>
                <w:tcPr>
                  <w:tcW w:w="331" w:type="pct"/>
                  <w:vAlign w:val="center"/>
                </w:tcPr>
                <w:p>
                  <w:pPr>
                    <w:adjustRightInd w:val="0"/>
                    <w:snapToGrid w:val="0"/>
                    <w:spacing w:line="280" w:lineRule="exact"/>
                    <w:jc w:val="center"/>
                    <w:rPr>
                      <w:b/>
                      <w:bCs/>
                      <w:color w:val="auto"/>
                      <w:sz w:val="18"/>
                      <w:szCs w:val="18"/>
                    </w:rPr>
                  </w:pPr>
                  <w:r>
                    <w:rPr>
                      <w:b/>
                      <w:bCs/>
                      <w:color w:val="auto"/>
                      <w:sz w:val="18"/>
                      <w:szCs w:val="18"/>
                    </w:rPr>
                    <w:t>3</w:t>
                  </w:r>
                </w:p>
              </w:tc>
              <w:tc>
                <w:tcPr>
                  <w:tcW w:w="2950" w:type="pct"/>
                  <w:vAlign w:val="center"/>
                </w:tcPr>
                <w:p>
                  <w:pPr>
                    <w:adjustRightInd w:val="0"/>
                    <w:snapToGrid w:val="0"/>
                    <w:spacing w:line="280" w:lineRule="exact"/>
                    <w:jc w:val="left"/>
                    <w:rPr>
                      <w:bCs/>
                      <w:color w:val="auto"/>
                      <w:sz w:val="18"/>
                      <w:szCs w:val="18"/>
                    </w:rPr>
                  </w:pPr>
                  <w:r>
                    <w:rPr>
                      <w:bCs/>
                      <w:color w:val="auto"/>
                      <w:sz w:val="18"/>
                      <w:szCs w:val="18"/>
                    </w:rPr>
                    <w:t>第七十条　运输煤炭、垃圾、渣土、砂石、土方、灰浆等散装、流体物料的车辆应当采取密闭或者其他措施防止物料遗撒造成扬尘污染，并按照规定路线行驶。</w:t>
                  </w:r>
                </w:p>
                <w:p>
                  <w:pPr>
                    <w:adjustRightInd w:val="0"/>
                    <w:snapToGrid w:val="0"/>
                    <w:spacing w:line="280" w:lineRule="exact"/>
                    <w:jc w:val="left"/>
                    <w:rPr>
                      <w:bCs/>
                      <w:color w:val="auto"/>
                      <w:sz w:val="18"/>
                      <w:szCs w:val="18"/>
                    </w:rPr>
                  </w:pPr>
                  <w:r>
                    <w:rPr>
                      <w:bCs/>
                      <w:color w:val="auto"/>
                      <w:sz w:val="18"/>
                      <w:szCs w:val="18"/>
                    </w:rPr>
                    <w:t>　　装卸物料应当采取密闭或者喷淋等方式防治扬尘污染。</w:t>
                  </w:r>
                </w:p>
              </w:tc>
              <w:tc>
                <w:tcPr>
                  <w:tcW w:w="1264" w:type="pct"/>
                  <w:vAlign w:val="center"/>
                </w:tcPr>
                <w:p>
                  <w:pPr>
                    <w:adjustRightInd w:val="0"/>
                    <w:snapToGrid w:val="0"/>
                    <w:spacing w:line="280" w:lineRule="exact"/>
                    <w:jc w:val="left"/>
                    <w:rPr>
                      <w:bCs/>
                      <w:color w:val="auto"/>
                      <w:sz w:val="18"/>
                      <w:szCs w:val="18"/>
                    </w:rPr>
                  </w:pPr>
                  <w:r>
                    <w:rPr>
                      <w:bCs/>
                      <w:color w:val="auto"/>
                      <w:sz w:val="18"/>
                      <w:szCs w:val="18"/>
                    </w:rPr>
                    <w:t>项目运输车辆将采取覆盖措施，装卸环节配套喷雾洒水或雾炮机降尘。</w:t>
                  </w:r>
                </w:p>
              </w:tc>
              <w:tc>
                <w:tcPr>
                  <w:tcW w:w="455" w:type="pct"/>
                  <w:vAlign w:val="center"/>
                </w:tcPr>
                <w:p>
                  <w:pPr>
                    <w:adjustRightInd w:val="0"/>
                    <w:snapToGrid w:val="0"/>
                    <w:spacing w:line="280" w:lineRule="exact"/>
                    <w:jc w:val="center"/>
                    <w:rPr>
                      <w:bCs/>
                      <w:color w:val="auto"/>
                      <w:sz w:val="18"/>
                      <w:szCs w:val="18"/>
                    </w:rPr>
                  </w:pPr>
                  <w:r>
                    <w:rPr>
                      <w:bCs/>
                      <w:color w:val="auto"/>
                      <w:sz w:val="18"/>
                      <w:szCs w:val="18"/>
                    </w:rPr>
                    <w:t>符合</w:t>
                  </w:r>
                </w:p>
              </w:tc>
            </w:tr>
            <w:tr>
              <w:tblPrEx>
                <w:tblBorders>
                  <w:top w:val="single" w:color="auto" w:sz="4" w:space="0"/>
                  <w:left w:val="none" w:color="auto" w:sz="0" w:space="0"/>
                  <w:bottom w:val="single" w:color="000000" w:sz="4" w:space="0"/>
                  <w:right w:val="none" w:color="auto" w:sz="0" w:space="0"/>
                  <w:insideH w:val="single" w:color="000000" w:sz="4" w:space="0"/>
                  <w:insideV w:val="single" w:color="auto" w:sz="4" w:space="0"/>
                </w:tblBorders>
                <w:tblCellMar>
                  <w:top w:w="0" w:type="dxa"/>
                  <w:left w:w="11" w:type="dxa"/>
                  <w:bottom w:w="0" w:type="dxa"/>
                  <w:right w:w="11" w:type="dxa"/>
                </w:tblCellMar>
              </w:tblPrEx>
              <w:trPr>
                <w:trHeight w:val="250" w:hRule="atLeast"/>
                <w:tblHeader/>
                <w:jc w:val="center"/>
              </w:trPr>
              <w:tc>
                <w:tcPr>
                  <w:tcW w:w="331" w:type="pct"/>
                  <w:vAlign w:val="center"/>
                </w:tcPr>
                <w:p>
                  <w:pPr>
                    <w:adjustRightInd w:val="0"/>
                    <w:snapToGrid w:val="0"/>
                    <w:spacing w:line="280" w:lineRule="exact"/>
                    <w:jc w:val="center"/>
                    <w:rPr>
                      <w:b/>
                      <w:bCs/>
                      <w:color w:val="auto"/>
                      <w:sz w:val="18"/>
                      <w:szCs w:val="18"/>
                    </w:rPr>
                  </w:pPr>
                  <w:r>
                    <w:rPr>
                      <w:b/>
                      <w:bCs/>
                      <w:color w:val="auto"/>
                      <w:sz w:val="18"/>
                      <w:szCs w:val="18"/>
                    </w:rPr>
                    <w:t>4</w:t>
                  </w:r>
                </w:p>
              </w:tc>
              <w:tc>
                <w:tcPr>
                  <w:tcW w:w="2950" w:type="pct"/>
                  <w:vAlign w:val="center"/>
                </w:tcPr>
                <w:p>
                  <w:pPr>
                    <w:adjustRightInd w:val="0"/>
                    <w:snapToGrid w:val="0"/>
                    <w:spacing w:line="280" w:lineRule="exact"/>
                    <w:jc w:val="left"/>
                    <w:rPr>
                      <w:bCs/>
                      <w:color w:val="auto"/>
                      <w:sz w:val="18"/>
                      <w:szCs w:val="18"/>
                    </w:rPr>
                  </w:pPr>
                  <w:r>
                    <w:rPr>
                      <w:bCs/>
                      <w:color w:val="auto"/>
                      <w:sz w:val="18"/>
                      <w:szCs w:val="18"/>
                    </w:rPr>
                    <w:t>第七十二条　贮存煤炭、煤矸石、煤渣、煤灰、水泥、石灰、石膏、砂土等易产生扬尘的物料应当密闭；不能密闭的，应当设置不低于堆放物高度的严密围挡，并采取有效覆盖措施防治扬尘污染。码头、矿山、填埋场和消纳场应当实施分区作业，并采取有效措施防治扬尘污染。</w:t>
                  </w:r>
                </w:p>
              </w:tc>
              <w:tc>
                <w:tcPr>
                  <w:tcW w:w="1264" w:type="pct"/>
                  <w:vAlign w:val="center"/>
                </w:tcPr>
                <w:p>
                  <w:pPr>
                    <w:adjustRightInd w:val="0"/>
                    <w:snapToGrid w:val="0"/>
                    <w:spacing w:line="280" w:lineRule="exact"/>
                    <w:jc w:val="left"/>
                    <w:rPr>
                      <w:bCs/>
                      <w:color w:val="auto"/>
                      <w:sz w:val="18"/>
                      <w:szCs w:val="18"/>
                    </w:rPr>
                  </w:pPr>
                  <w:r>
                    <w:rPr>
                      <w:bCs/>
                      <w:color w:val="auto"/>
                      <w:sz w:val="18"/>
                      <w:szCs w:val="18"/>
                    </w:rPr>
                    <w:t>项目堆场将采取封闭措施，并安装喷雾洒水装置防尘。</w:t>
                  </w:r>
                </w:p>
              </w:tc>
              <w:tc>
                <w:tcPr>
                  <w:tcW w:w="455" w:type="pct"/>
                  <w:vAlign w:val="center"/>
                </w:tcPr>
                <w:p>
                  <w:pPr>
                    <w:adjustRightInd w:val="0"/>
                    <w:snapToGrid w:val="0"/>
                    <w:spacing w:line="280" w:lineRule="exact"/>
                    <w:jc w:val="center"/>
                    <w:rPr>
                      <w:bCs/>
                      <w:color w:val="auto"/>
                      <w:sz w:val="18"/>
                      <w:szCs w:val="18"/>
                    </w:rPr>
                  </w:pPr>
                  <w:r>
                    <w:rPr>
                      <w:bCs/>
                      <w:color w:val="auto"/>
                      <w:sz w:val="18"/>
                      <w:szCs w:val="18"/>
                    </w:rPr>
                    <w:t>符合</w:t>
                  </w:r>
                </w:p>
              </w:tc>
            </w:tr>
          </w:tbl>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综上，本项目的建设与《</w:t>
            </w:r>
            <w:r>
              <w:rPr>
                <w:rFonts w:hint="eastAsia" w:ascii="宋体" w:hAnsi="宋体" w:cs="宋体"/>
                <w:color w:val="auto"/>
                <w:kern w:val="0"/>
                <w:szCs w:val="21"/>
                <w:lang w:eastAsia="zh-CN"/>
              </w:rPr>
              <w:t>中华人民共和国大气污染防治法</w:t>
            </w:r>
            <w:r>
              <w:rPr>
                <w:rFonts w:hint="eastAsia" w:ascii="宋体" w:hAnsi="宋体" w:cs="宋体"/>
                <w:color w:val="auto"/>
                <w:kern w:val="0"/>
                <w:szCs w:val="21"/>
              </w:rPr>
              <w:t>》相关内容相符。</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（2）与《四川省打赢蓝天保卫战等九个实施方案的通知（川府发〔2019〕4号）》的符合性分析</w:t>
            </w:r>
          </w:p>
          <w:p>
            <w:pPr>
              <w:autoSpaceDE w:val="0"/>
              <w:autoSpaceDN w:val="0"/>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w:t>
            </w:r>
            <w:r>
              <w:rPr>
                <w:rFonts w:ascii="宋体" w:hAnsi="宋体" w:cs="宋体"/>
                <w:b/>
                <w:color w:val="auto"/>
                <w:kern w:val="0"/>
                <w:sz w:val="18"/>
                <w:szCs w:val="18"/>
              </w:rPr>
              <w:t>1-7</w:t>
            </w:r>
            <w:r>
              <w:rPr>
                <w:rFonts w:hint="eastAsia" w:ascii="宋体" w:hAnsi="宋体" w:cs="宋体"/>
                <w:b/>
                <w:color w:val="auto"/>
                <w:kern w:val="0"/>
                <w:sz w:val="18"/>
                <w:szCs w:val="18"/>
              </w:rPr>
              <w:t xml:space="preserve">  与《四川省打赢蓝天保卫战等九个实施方案的通知》的符合性分析</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21"/>
              <w:gridCol w:w="3050"/>
              <w:gridCol w:w="2322"/>
              <w:gridCol w:w="6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tblHeader/>
                <w:jc w:val="center"/>
              </w:trPr>
              <w:tc>
                <w:tcPr>
                  <w:tcW w:w="1029" w:type="pct"/>
                  <w:gridSpan w:val="2"/>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b/>
                      <w:bCs/>
                      <w:color w:val="auto"/>
                      <w:kern w:val="0"/>
                      <w:sz w:val="18"/>
                      <w:szCs w:val="18"/>
                    </w:rPr>
                  </w:pPr>
                  <w:r>
                    <w:rPr>
                      <w:b/>
                      <w:bCs/>
                      <w:color w:val="auto"/>
                      <w:kern w:val="0"/>
                      <w:sz w:val="18"/>
                      <w:szCs w:val="18"/>
                    </w:rPr>
                    <w:t>条例名称</w:t>
                  </w:r>
                </w:p>
              </w:tc>
              <w:tc>
                <w:tcPr>
                  <w:tcW w:w="2002"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b/>
                      <w:bCs/>
                      <w:color w:val="auto"/>
                      <w:kern w:val="0"/>
                      <w:sz w:val="18"/>
                      <w:szCs w:val="18"/>
                    </w:rPr>
                  </w:pPr>
                  <w:r>
                    <w:rPr>
                      <w:b/>
                      <w:bCs/>
                      <w:color w:val="auto"/>
                      <w:kern w:val="0"/>
                      <w:sz w:val="18"/>
                      <w:szCs w:val="18"/>
                    </w:rPr>
                    <w:t>相关要求</w:t>
                  </w:r>
                </w:p>
              </w:tc>
              <w:tc>
                <w:tcPr>
                  <w:tcW w:w="1524"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b/>
                      <w:bCs/>
                      <w:color w:val="auto"/>
                      <w:kern w:val="0"/>
                      <w:sz w:val="18"/>
                      <w:szCs w:val="18"/>
                    </w:rPr>
                  </w:pPr>
                  <w:r>
                    <w:rPr>
                      <w:b/>
                      <w:bCs/>
                      <w:color w:val="auto"/>
                      <w:kern w:val="0"/>
                      <w:sz w:val="18"/>
                      <w:szCs w:val="18"/>
                    </w:rPr>
                    <w:t>项目情况</w:t>
                  </w:r>
                </w:p>
              </w:tc>
              <w:tc>
                <w:tcPr>
                  <w:tcW w:w="445"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b/>
                      <w:bCs/>
                      <w:color w:val="auto"/>
                      <w:kern w:val="0"/>
                      <w:sz w:val="18"/>
                      <w:szCs w:val="18"/>
                    </w:rPr>
                  </w:pPr>
                  <w:r>
                    <w:rPr>
                      <w:b/>
                      <w:bCs/>
                      <w:color w:val="auto"/>
                      <w:kern w:val="0"/>
                      <w:sz w:val="18"/>
                      <w:szCs w:val="18"/>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556" w:type="pct"/>
                  <w:vMerge w:val="restar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r>
                    <w:rPr>
                      <w:color w:val="auto"/>
                      <w:kern w:val="0"/>
                      <w:sz w:val="18"/>
                      <w:szCs w:val="18"/>
                    </w:rPr>
                    <w:t>四川省打赢蓝天保卫战等九个实施方案的通知（川府发〔2019〕4号）</w:t>
                  </w:r>
                </w:p>
              </w:tc>
              <w:tc>
                <w:tcPr>
                  <w:tcW w:w="473" w:type="pct"/>
                  <w:vMerge w:val="restar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r>
                    <w:rPr>
                      <w:color w:val="auto"/>
                      <w:kern w:val="0"/>
                      <w:sz w:val="18"/>
                      <w:szCs w:val="18"/>
                    </w:rPr>
                    <w:t>四川省打赢蓝天保卫战实施方案</w:t>
                  </w:r>
                </w:p>
              </w:tc>
              <w:tc>
                <w:tcPr>
                  <w:tcW w:w="2002"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rPr>
                      <w:color w:val="auto"/>
                      <w:kern w:val="0"/>
                      <w:sz w:val="18"/>
                      <w:szCs w:val="18"/>
                    </w:rPr>
                  </w:pPr>
                  <w:r>
                    <w:rPr>
                      <w:color w:val="auto"/>
                      <w:kern w:val="0"/>
                      <w:sz w:val="18"/>
                      <w:szCs w:val="18"/>
                    </w:rPr>
                    <w:t>重点区域执行大气污染物特别排放限值，严禁新增钢铁、电力、水泥、玻璃、砖瓦、陶瓷、焦化、电解铝、有色等重点行业大气污染物排放。</w:t>
                  </w:r>
                </w:p>
              </w:tc>
              <w:tc>
                <w:tcPr>
                  <w:tcW w:w="1524"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rPr>
                      <w:color w:val="auto"/>
                      <w:kern w:val="0"/>
                      <w:sz w:val="18"/>
                      <w:szCs w:val="18"/>
                    </w:rPr>
                  </w:pPr>
                  <w:r>
                    <w:rPr>
                      <w:color w:val="auto"/>
                      <w:kern w:val="0"/>
                      <w:sz w:val="18"/>
                      <w:szCs w:val="18"/>
                    </w:rPr>
                    <w:t>本项目为灰岩矿开采项目，位于</w:t>
                  </w:r>
                  <w:r>
                    <w:rPr>
                      <w:rFonts w:hint="eastAsia"/>
                      <w:color w:val="auto"/>
                      <w:kern w:val="0"/>
                      <w:sz w:val="18"/>
                      <w:szCs w:val="18"/>
                    </w:rPr>
                    <w:t>宣汉县漆树土家族乡乘龙村</w:t>
                  </w:r>
                  <w:r>
                    <w:rPr>
                      <w:color w:val="auto"/>
                      <w:kern w:val="0"/>
                      <w:sz w:val="18"/>
                      <w:szCs w:val="18"/>
                    </w:rPr>
                    <w:t>，不属于重点区域。也不属于重点大气污染物排放行业。项目将严格执行大气污染物排放限值要求。</w:t>
                  </w:r>
                </w:p>
              </w:tc>
              <w:tc>
                <w:tcPr>
                  <w:tcW w:w="445"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r>
                    <w:rPr>
                      <w:color w:val="auto"/>
                      <w:kern w:val="0"/>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556" w:type="pct"/>
                  <w:vMerge w:val="continue"/>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p>
              </w:tc>
              <w:tc>
                <w:tcPr>
                  <w:tcW w:w="473" w:type="pct"/>
                  <w:vMerge w:val="continue"/>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p>
              </w:tc>
              <w:tc>
                <w:tcPr>
                  <w:tcW w:w="2002"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rPr>
                      <w:color w:val="auto"/>
                      <w:kern w:val="0"/>
                      <w:sz w:val="18"/>
                      <w:szCs w:val="18"/>
                    </w:rPr>
                  </w:pPr>
                  <w:r>
                    <w:rPr>
                      <w:color w:val="auto"/>
                      <w:kern w:val="0"/>
                      <w:sz w:val="18"/>
                      <w:szCs w:val="18"/>
                    </w:rPr>
                    <w:t>工业企业堆场实施规范化全封闭管理。易产生扬尘的物料堆场采用封闭式库仓，不具备封闭式库仓改造条件的，应设置不低于料堆高度的严密围挡，并采取覆盖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建设工业企业堆场数据库，并组织安装工业堆场视频监控设施，实现工业企业堆场扬尘动态管理。加强砂石厂扬尘管控。</w:t>
                  </w:r>
                </w:p>
              </w:tc>
              <w:tc>
                <w:tcPr>
                  <w:tcW w:w="1524"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rPr>
                      <w:color w:val="auto"/>
                      <w:kern w:val="0"/>
                      <w:sz w:val="18"/>
                      <w:szCs w:val="18"/>
                    </w:rPr>
                  </w:pPr>
                  <w:r>
                    <w:rPr>
                      <w:color w:val="auto"/>
                      <w:kern w:val="0"/>
                      <w:sz w:val="18"/>
                      <w:szCs w:val="18"/>
                    </w:rPr>
                    <w:t>本项目矿石加工车间全封闭，原料堆场顶部及四周均封闭，并在堆场和生产车间设置雾化喷嘴喷水控尘。对输送皮带采取封闭输送。同时，对厂区地面进行硬化，在场内道路一侧布设喷雾装置，在进出口设置车辆冲洗平台，进出车辆使用篷布遮盖，并指派专人定期对厂区道路进行洒水、冲洗和清扫。</w:t>
                  </w:r>
                </w:p>
              </w:tc>
              <w:tc>
                <w:tcPr>
                  <w:tcW w:w="445"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r>
                    <w:rPr>
                      <w:color w:val="auto"/>
                      <w:kern w:val="0"/>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556" w:type="pct"/>
                  <w:vMerge w:val="continue"/>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p>
              </w:tc>
              <w:tc>
                <w:tcPr>
                  <w:tcW w:w="473" w:type="pct"/>
                  <w:vMerge w:val="continue"/>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p>
              </w:tc>
              <w:tc>
                <w:tcPr>
                  <w:tcW w:w="2002"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rPr>
                      <w:color w:val="auto"/>
                      <w:kern w:val="0"/>
                      <w:sz w:val="18"/>
                      <w:szCs w:val="18"/>
                    </w:rPr>
                  </w:pPr>
                  <w:r>
                    <w:rPr>
                      <w:color w:val="auto"/>
                      <w:kern w:val="0"/>
                      <w:sz w:val="18"/>
                      <w:szCs w:val="18"/>
                    </w:rPr>
                    <w:t>推进露天矿山综合整治。全面完成露天矿山摸底排查。对违反资源环境法律法规、规划，污染环境、破坏生态、乱采滥挖的露天矿山，依法予以关闭；对污染治理不规范的露天矿山，依法责令停产整治，整治完成并经相关部门组织验收合格后方可恢复生产，对拒不停产或擅自恢复生产的依法强制关闭；对责任主体灭失的露天矿山，加强修复绿化、减尘抑尘。</w:t>
                  </w:r>
                </w:p>
              </w:tc>
              <w:tc>
                <w:tcPr>
                  <w:tcW w:w="1524"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rPr>
                      <w:color w:val="auto"/>
                      <w:kern w:val="0"/>
                      <w:sz w:val="18"/>
                      <w:szCs w:val="18"/>
                    </w:rPr>
                  </w:pPr>
                  <w:r>
                    <w:rPr>
                      <w:color w:val="auto"/>
                      <w:kern w:val="0"/>
                      <w:sz w:val="18"/>
                      <w:szCs w:val="18"/>
                    </w:rPr>
                    <w:t>项目矿山为露天开采，取得了《采矿许可证》，为合法矿山，开采过程中将严格按照相关技术规范、要求进行开采，采取相应的粉（扬）尘防治措施。</w:t>
                  </w:r>
                </w:p>
              </w:tc>
              <w:tc>
                <w:tcPr>
                  <w:tcW w:w="445"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56" w:type="pct"/>
                  <w:vMerge w:val="continue"/>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p>
              </w:tc>
              <w:tc>
                <w:tcPr>
                  <w:tcW w:w="473" w:type="pct"/>
                  <w:vMerge w:val="restar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r>
                    <w:rPr>
                      <w:color w:val="auto"/>
                      <w:kern w:val="0"/>
                      <w:sz w:val="18"/>
                      <w:szCs w:val="18"/>
                    </w:rPr>
                    <w:t>四川省打赢碧水保卫战实施方案</w:t>
                  </w:r>
                </w:p>
              </w:tc>
              <w:tc>
                <w:tcPr>
                  <w:tcW w:w="2002"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r>
                    <w:rPr>
                      <w:color w:val="auto"/>
                      <w:kern w:val="0"/>
                      <w:sz w:val="18"/>
                      <w:szCs w:val="18"/>
                    </w:rPr>
                    <w:t>减少工业废水排放量</w:t>
                  </w:r>
                </w:p>
              </w:tc>
              <w:tc>
                <w:tcPr>
                  <w:tcW w:w="1524"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rPr>
                      <w:color w:val="auto"/>
                      <w:kern w:val="0"/>
                      <w:sz w:val="18"/>
                      <w:szCs w:val="18"/>
                    </w:rPr>
                  </w:pPr>
                  <w:r>
                    <w:rPr>
                      <w:color w:val="auto"/>
                      <w:kern w:val="0"/>
                      <w:sz w:val="18"/>
                      <w:szCs w:val="18"/>
                    </w:rPr>
                    <w:t>本项目矿区雨水收集沉淀后综合利用；加工区生产废水经沉淀处理后，全部回用不外排。</w:t>
                  </w:r>
                </w:p>
              </w:tc>
              <w:tc>
                <w:tcPr>
                  <w:tcW w:w="445"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r>
                    <w:rPr>
                      <w:color w:val="auto"/>
                      <w:kern w:val="0"/>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556" w:type="pct"/>
                  <w:vMerge w:val="continue"/>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p>
              </w:tc>
              <w:tc>
                <w:tcPr>
                  <w:tcW w:w="473" w:type="pct"/>
                  <w:vMerge w:val="continue"/>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p>
              </w:tc>
              <w:tc>
                <w:tcPr>
                  <w:tcW w:w="2002"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rPr>
                      <w:color w:val="auto"/>
                      <w:kern w:val="0"/>
                      <w:sz w:val="18"/>
                      <w:szCs w:val="18"/>
                    </w:rPr>
                  </w:pPr>
                  <w:r>
                    <w:rPr>
                      <w:color w:val="auto"/>
                      <w:kern w:val="0"/>
                      <w:sz w:val="18"/>
                      <w:szCs w:val="18"/>
                    </w:rPr>
                    <w:t>加强水资源节约。在岷江、沱江、嘉陵江等流域，实行重点扶持，落实国家节水行动，推动节水型社会建设。</w:t>
                  </w:r>
                </w:p>
                <w:p>
                  <w:pPr>
                    <w:autoSpaceDE w:val="0"/>
                    <w:autoSpaceDN w:val="0"/>
                    <w:adjustRightInd w:val="0"/>
                    <w:snapToGrid w:val="0"/>
                    <w:spacing w:line="240" w:lineRule="exact"/>
                    <w:ind w:left="31" w:leftChars="15" w:right="31" w:rightChars="15"/>
                    <w:jc w:val="center"/>
                    <w:rPr>
                      <w:color w:val="auto"/>
                      <w:kern w:val="0"/>
                      <w:sz w:val="18"/>
                      <w:szCs w:val="18"/>
                    </w:rPr>
                  </w:pPr>
                  <w:r>
                    <w:rPr>
                      <w:color w:val="auto"/>
                      <w:kern w:val="0"/>
                      <w:sz w:val="18"/>
                      <w:szCs w:val="18"/>
                    </w:rPr>
                    <w:t>抓好工业节水，提高水重复利用率。</w:t>
                  </w:r>
                </w:p>
              </w:tc>
              <w:tc>
                <w:tcPr>
                  <w:tcW w:w="1524"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rPr>
                      <w:color w:val="auto"/>
                      <w:kern w:val="0"/>
                      <w:sz w:val="18"/>
                      <w:szCs w:val="18"/>
                    </w:rPr>
                  </w:pPr>
                  <w:r>
                    <w:rPr>
                      <w:color w:val="auto"/>
                      <w:kern w:val="0"/>
                      <w:sz w:val="18"/>
                      <w:szCs w:val="18"/>
                    </w:rPr>
                    <w:t>本项目生产废水经沉淀处理后，全部回用不外排。</w:t>
                  </w:r>
                </w:p>
              </w:tc>
              <w:tc>
                <w:tcPr>
                  <w:tcW w:w="445" w:type="pct"/>
                  <w:tcMar>
                    <w:top w:w="0" w:type="dxa"/>
                    <w:left w:w="0" w:type="dxa"/>
                    <w:bottom w:w="0" w:type="dxa"/>
                    <w:right w:w="0" w:type="dxa"/>
                  </w:tcMar>
                  <w:vAlign w:val="center"/>
                </w:tcPr>
                <w:p>
                  <w:pPr>
                    <w:autoSpaceDE w:val="0"/>
                    <w:autoSpaceDN w:val="0"/>
                    <w:adjustRightInd w:val="0"/>
                    <w:snapToGrid w:val="0"/>
                    <w:spacing w:line="240" w:lineRule="exact"/>
                    <w:ind w:left="31" w:leftChars="15" w:right="31" w:rightChars="15"/>
                    <w:jc w:val="center"/>
                    <w:rPr>
                      <w:color w:val="auto"/>
                      <w:kern w:val="0"/>
                      <w:sz w:val="18"/>
                      <w:szCs w:val="18"/>
                    </w:rPr>
                  </w:pPr>
                  <w:r>
                    <w:rPr>
                      <w:color w:val="auto"/>
                      <w:kern w:val="0"/>
                      <w:sz w:val="18"/>
                      <w:szCs w:val="18"/>
                    </w:rPr>
                    <w:t>符合</w:t>
                  </w:r>
                </w:p>
              </w:tc>
            </w:tr>
          </w:tbl>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综上，本项目建设内容与《四川省打赢蓝天保卫战等九个实施方案的通知（川府发〔2019〕4号）》相关内容相符。</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（3）与《四川省、重庆市长江经济带发展负面清单实施细则（试行2022年版）》（川长江办〔2022〕17号）符合性分析</w:t>
            </w:r>
          </w:p>
          <w:p>
            <w:pPr>
              <w:autoSpaceDE w:val="0"/>
              <w:autoSpaceDN w:val="0"/>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w:t>
            </w:r>
            <w:r>
              <w:rPr>
                <w:rFonts w:ascii="宋体" w:hAnsi="宋体" w:cs="宋体"/>
                <w:b/>
                <w:color w:val="auto"/>
                <w:kern w:val="0"/>
                <w:sz w:val="18"/>
                <w:szCs w:val="18"/>
              </w:rPr>
              <w:t>1-7</w:t>
            </w:r>
            <w:r>
              <w:rPr>
                <w:rFonts w:hint="eastAsia" w:ascii="宋体" w:hAnsi="宋体" w:cs="宋体"/>
                <w:b/>
                <w:color w:val="auto"/>
                <w:kern w:val="0"/>
                <w:sz w:val="18"/>
                <w:szCs w:val="18"/>
              </w:rPr>
              <w:t xml:space="preserve">  项目与川长江办〔2022〕17号符合性分析</w:t>
            </w:r>
          </w:p>
          <w:tbl>
            <w:tblPr>
              <w:tblStyle w:val="1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97"/>
              <w:gridCol w:w="1730"/>
              <w:gridCol w:w="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3416" w:type="pct"/>
                  <w:tcBorders>
                    <w:left w:val="nil"/>
                    <w:right w:val="single" w:color="auto" w:sz="4" w:space="0"/>
                  </w:tcBorders>
                  <w:vAlign w:val="center"/>
                </w:tcPr>
                <w:p>
                  <w:pPr>
                    <w:autoSpaceDE w:val="0"/>
                    <w:autoSpaceDN w:val="0"/>
                    <w:adjustRightInd w:val="0"/>
                    <w:ind w:left="-84" w:leftChars="-40" w:right="-84" w:rightChars="-40"/>
                    <w:jc w:val="center"/>
                    <w:rPr>
                      <w:b/>
                      <w:color w:val="auto"/>
                      <w:kern w:val="0"/>
                      <w:sz w:val="18"/>
                      <w:szCs w:val="18"/>
                    </w:rPr>
                  </w:pPr>
                  <w:r>
                    <w:rPr>
                      <w:b/>
                      <w:color w:val="auto"/>
                      <w:kern w:val="0"/>
                      <w:sz w:val="18"/>
                      <w:szCs w:val="18"/>
                    </w:rPr>
                    <w:t>文件要求</w:t>
                  </w:r>
                </w:p>
              </w:tc>
              <w:tc>
                <w:tcPr>
                  <w:tcW w:w="1137" w:type="pct"/>
                  <w:tcBorders>
                    <w:left w:val="single" w:color="auto" w:sz="4" w:space="0"/>
                    <w:right w:val="single" w:color="auto" w:sz="4" w:space="0"/>
                  </w:tcBorders>
                  <w:vAlign w:val="center"/>
                </w:tcPr>
                <w:p>
                  <w:pPr>
                    <w:autoSpaceDE w:val="0"/>
                    <w:autoSpaceDN w:val="0"/>
                    <w:adjustRightInd w:val="0"/>
                    <w:ind w:left="-84" w:leftChars="-40" w:right="-84" w:rightChars="-40"/>
                    <w:jc w:val="center"/>
                    <w:rPr>
                      <w:b/>
                      <w:color w:val="auto"/>
                      <w:kern w:val="0"/>
                      <w:sz w:val="18"/>
                      <w:szCs w:val="18"/>
                    </w:rPr>
                  </w:pPr>
                  <w:r>
                    <w:rPr>
                      <w:b/>
                      <w:color w:val="auto"/>
                      <w:kern w:val="0"/>
                      <w:sz w:val="18"/>
                      <w:szCs w:val="18"/>
                    </w:rPr>
                    <w:t>项目情况</w:t>
                  </w:r>
                </w:p>
              </w:tc>
              <w:tc>
                <w:tcPr>
                  <w:tcW w:w="447" w:type="pct"/>
                  <w:tcBorders>
                    <w:left w:val="single" w:color="auto" w:sz="4" w:space="0"/>
                    <w:right w:val="nil"/>
                  </w:tcBorders>
                  <w:vAlign w:val="center"/>
                </w:tcPr>
                <w:p>
                  <w:pPr>
                    <w:autoSpaceDE w:val="0"/>
                    <w:autoSpaceDN w:val="0"/>
                    <w:adjustRightInd w:val="0"/>
                    <w:ind w:left="-84" w:leftChars="-40" w:right="-84" w:rightChars="-40"/>
                    <w:jc w:val="center"/>
                    <w:rPr>
                      <w:b/>
                      <w:color w:val="auto"/>
                      <w:kern w:val="0"/>
                      <w:sz w:val="18"/>
                      <w:szCs w:val="18"/>
                    </w:rPr>
                  </w:pPr>
                  <w:r>
                    <w:rPr>
                      <w:b/>
                      <w:color w:val="auto"/>
                      <w:kern w:val="0"/>
                      <w:sz w:val="18"/>
                      <w:szCs w:val="18"/>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16" w:type="pct"/>
                  <w:tcBorders>
                    <w:left w:val="nil"/>
                  </w:tcBorders>
                  <w:vAlign w:val="center"/>
                </w:tcPr>
                <w:p>
                  <w:pPr>
                    <w:autoSpaceDE w:val="0"/>
                    <w:autoSpaceDN w:val="0"/>
                    <w:adjustRightInd w:val="0"/>
                    <w:ind w:left="-84" w:leftChars="-40" w:right="-84" w:rightChars="-40"/>
                    <w:jc w:val="left"/>
                    <w:rPr>
                      <w:color w:val="auto"/>
                      <w:kern w:val="0"/>
                      <w:sz w:val="18"/>
                      <w:szCs w:val="18"/>
                    </w:rPr>
                  </w:pPr>
                  <w:r>
                    <w:rPr>
                      <w:color w:val="auto"/>
                      <w:kern w:val="0"/>
                      <w:sz w:val="18"/>
                      <w:szCs w:val="18"/>
                    </w:rPr>
                    <w:t>第七条 禁止在自然保护区核心区、缓冲区的岸线和河段范围内投资建设旅游和生产经营项目。自然保护区的内部未分区的依照核心区和缓冲区的规定管控。</w:t>
                  </w:r>
                </w:p>
              </w:tc>
              <w:tc>
                <w:tcPr>
                  <w:tcW w:w="1137" w:type="pct"/>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不涉及自然保护区</w:t>
                  </w:r>
                </w:p>
              </w:tc>
              <w:tc>
                <w:tcPr>
                  <w:tcW w:w="447" w:type="pct"/>
                  <w:tcBorders>
                    <w:right w:val="nil"/>
                  </w:tcBorders>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16" w:type="pct"/>
                  <w:tcBorders>
                    <w:left w:val="nil"/>
                  </w:tcBorders>
                  <w:vAlign w:val="center"/>
                </w:tcPr>
                <w:p>
                  <w:pPr>
                    <w:autoSpaceDE w:val="0"/>
                    <w:autoSpaceDN w:val="0"/>
                    <w:adjustRightInd w:val="0"/>
                    <w:ind w:left="-84" w:leftChars="-40" w:right="-84" w:rightChars="-40"/>
                    <w:jc w:val="left"/>
                    <w:rPr>
                      <w:color w:val="auto"/>
                      <w:kern w:val="0"/>
                      <w:sz w:val="18"/>
                      <w:szCs w:val="18"/>
                    </w:rPr>
                  </w:pPr>
                  <w:r>
                    <w:rPr>
                      <w:color w:val="auto"/>
                      <w:kern w:val="0"/>
                      <w:sz w:val="18"/>
                      <w:szCs w:val="18"/>
                    </w:rPr>
                    <w:t>第八条 禁止违反风景名胜区规划，在风景名胜区内设立各类开发区。禁止在风景名胜区核心景区的岸线和河段范围内建设宾馆、招待所、培训中心、疗养院以及与风景名胜资源保护无关的项目。</w:t>
                  </w:r>
                </w:p>
              </w:tc>
              <w:tc>
                <w:tcPr>
                  <w:tcW w:w="1137" w:type="pct"/>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不涉及风景名胜区</w:t>
                  </w:r>
                </w:p>
              </w:tc>
              <w:tc>
                <w:tcPr>
                  <w:tcW w:w="447" w:type="pct"/>
                  <w:tcBorders>
                    <w:right w:val="nil"/>
                  </w:tcBorders>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16" w:type="pct"/>
                  <w:tcBorders>
                    <w:left w:val="nil"/>
                  </w:tcBorders>
                  <w:vAlign w:val="center"/>
                </w:tcPr>
                <w:p>
                  <w:pPr>
                    <w:autoSpaceDE w:val="0"/>
                    <w:autoSpaceDN w:val="0"/>
                    <w:adjustRightInd w:val="0"/>
                    <w:ind w:left="-84" w:leftChars="-40" w:right="-84" w:rightChars="-40"/>
                    <w:jc w:val="left"/>
                    <w:rPr>
                      <w:color w:val="auto"/>
                      <w:kern w:val="0"/>
                      <w:sz w:val="18"/>
                      <w:szCs w:val="18"/>
                    </w:rPr>
                  </w:pPr>
                  <w:r>
                    <w:rPr>
                      <w:color w:val="auto"/>
                      <w:kern w:val="0"/>
                      <w:sz w:val="18"/>
                      <w:szCs w:val="18"/>
                    </w:rPr>
                    <w:t>第九条 禁止在饮用水水源准保护区的岸线和河段范围内新建、扩建对水体污染严重的建设项目，禁止改建增加排污量的建设项目。</w:t>
                  </w:r>
                </w:p>
              </w:tc>
              <w:tc>
                <w:tcPr>
                  <w:tcW w:w="1137" w:type="pct"/>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不涉及饮用水水源准保护区</w:t>
                  </w:r>
                </w:p>
              </w:tc>
              <w:tc>
                <w:tcPr>
                  <w:tcW w:w="447" w:type="pct"/>
                  <w:tcBorders>
                    <w:right w:val="nil"/>
                  </w:tcBorders>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16" w:type="pct"/>
                  <w:tcBorders>
                    <w:left w:val="nil"/>
                  </w:tcBorders>
                  <w:vAlign w:val="center"/>
                </w:tcPr>
                <w:p>
                  <w:pPr>
                    <w:autoSpaceDE w:val="0"/>
                    <w:autoSpaceDN w:val="0"/>
                    <w:adjustRightInd w:val="0"/>
                    <w:ind w:left="-84" w:leftChars="-40" w:right="-84" w:rightChars="-40"/>
                    <w:jc w:val="left"/>
                    <w:rPr>
                      <w:color w:val="auto"/>
                      <w:kern w:val="0"/>
                      <w:sz w:val="18"/>
                      <w:szCs w:val="18"/>
                    </w:rPr>
                  </w:pPr>
                  <w:r>
                    <w:rPr>
                      <w:color w:val="auto"/>
                      <w:kern w:val="0"/>
                      <w:sz w:val="18"/>
                      <w:szCs w:val="18"/>
                    </w:rPr>
                    <w:t>第十条 饮用水水源二级保护区的岸线和河段范围内，除遵守准保护区规定外，禁止新建、改建、扩建排放污染物的投资建设项目；禁止从事对水体有污染的水产养殖等活动。</w:t>
                  </w:r>
                </w:p>
              </w:tc>
              <w:tc>
                <w:tcPr>
                  <w:tcW w:w="1137" w:type="pct"/>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不涉及饮用水水源二级保护区</w:t>
                  </w:r>
                </w:p>
              </w:tc>
              <w:tc>
                <w:tcPr>
                  <w:tcW w:w="447" w:type="pct"/>
                  <w:tcBorders>
                    <w:right w:val="nil"/>
                  </w:tcBorders>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16" w:type="pct"/>
                  <w:tcBorders>
                    <w:left w:val="nil"/>
                  </w:tcBorders>
                  <w:vAlign w:val="center"/>
                </w:tcPr>
                <w:p>
                  <w:pPr>
                    <w:autoSpaceDE w:val="0"/>
                    <w:autoSpaceDN w:val="0"/>
                    <w:adjustRightInd w:val="0"/>
                    <w:ind w:left="-84" w:leftChars="-40" w:right="-84" w:rightChars="-40"/>
                    <w:jc w:val="left"/>
                    <w:rPr>
                      <w:color w:val="auto"/>
                      <w:kern w:val="0"/>
                      <w:sz w:val="18"/>
                      <w:szCs w:val="18"/>
                    </w:rPr>
                  </w:pPr>
                  <w:r>
                    <w:rPr>
                      <w:color w:val="auto"/>
                      <w:kern w:val="0"/>
                      <w:sz w:val="18"/>
                      <w:szCs w:val="18"/>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137" w:type="pct"/>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不涉及饮用水水源一级保护区</w:t>
                  </w:r>
                </w:p>
              </w:tc>
              <w:tc>
                <w:tcPr>
                  <w:tcW w:w="447" w:type="pct"/>
                  <w:tcBorders>
                    <w:right w:val="nil"/>
                  </w:tcBorders>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16" w:type="pct"/>
                  <w:tcBorders>
                    <w:left w:val="nil"/>
                  </w:tcBorders>
                  <w:vAlign w:val="center"/>
                </w:tcPr>
                <w:p>
                  <w:pPr>
                    <w:autoSpaceDE w:val="0"/>
                    <w:autoSpaceDN w:val="0"/>
                    <w:adjustRightInd w:val="0"/>
                    <w:ind w:left="-84" w:leftChars="-40" w:right="-84" w:rightChars="-40"/>
                    <w:jc w:val="left"/>
                    <w:rPr>
                      <w:color w:val="auto"/>
                      <w:kern w:val="0"/>
                      <w:sz w:val="18"/>
                      <w:szCs w:val="18"/>
                    </w:rPr>
                  </w:pPr>
                  <w:r>
                    <w:rPr>
                      <w:color w:val="auto"/>
                      <w:kern w:val="0"/>
                      <w:sz w:val="18"/>
                      <w:szCs w:val="18"/>
                    </w:rPr>
                    <w:t>第十二条 禁止在水产种质资源保护区岸线和河段范围内新建围湖造田、围湖造地或挖沙采石等投资建设项目。</w:t>
                  </w:r>
                </w:p>
              </w:tc>
              <w:tc>
                <w:tcPr>
                  <w:tcW w:w="1137" w:type="pct"/>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不涉及水产种质资源保护区</w:t>
                  </w:r>
                </w:p>
              </w:tc>
              <w:tc>
                <w:tcPr>
                  <w:tcW w:w="447" w:type="pct"/>
                  <w:tcBorders>
                    <w:right w:val="nil"/>
                  </w:tcBorders>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16" w:type="pct"/>
                  <w:tcBorders>
                    <w:left w:val="nil"/>
                  </w:tcBorders>
                  <w:vAlign w:val="center"/>
                </w:tcPr>
                <w:p>
                  <w:pPr>
                    <w:autoSpaceDE w:val="0"/>
                    <w:autoSpaceDN w:val="0"/>
                    <w:adjustRightInd w:val="0"/>
                    <w:ind w:left="-84" w:leftChars="-40" w:right="-84" w:rightChars="-40"/>
                    <w:jc w:val="left"/>
                    <w:rPr>
                      <w:color w:val="auto"/>
                      <w:kern w:val="0"/>
                      <w:sz w:val="18"/>
                      <w:szCs w:val="18"/>
                    </w:rPr>
                  </w:pPr>
                  <w:r>
                    <w:rPr>
                      <w:color w:val="auto"/>
                      <w:kern w:val="0"/>
                      <w:sz w:val="18"/>
                      <w:szCs w:val="18"/>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137" w:type="pct"/>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不涉及国家湿地公园</w:t>
                  </w:r>
                </w:p>
              </w:tc>
              <w:tc>
                <w:tcPr>
                  <w:tcW w:w="447" w:type="pct"/>
                  <w:tcBorders>
                    <w:right w:val="nil"/>
                  </w:tcBorders>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16" w:type="pct"/>
                  <w:tcBorders>
                    <w:left w:val="nil"/>
                  </w:tcBorders>
                  <w:vAlign w:val="center"/>
                </w:tcPr>
                <w:p>
                  <w:pPr>
                    <w:autoSpaceDE w:val="0"/>
                    <w:autoSpaceDN w:val="0"/>
                    <w:adjustRightInd w:val="0"/>
                    <w:ind w:left="-84" w:leftChars="-40" w:right="-84" w:rightChars="-40"/>
                    <w:jc w:val="left"/>
                    <w:rPr>
                      <w:color w:val="auto"/>
                      <w:kern w:val="0"/>
                      <w:sz w:val="18"/>
                      <w:szCs w:val="18"/>
                    </w:rPr>
                  </w:pPr>
                  <w:r>
                    <w:rPr>
                      <w:color w:val="auto"/>
                      <w:kern w:val="0"/>
                      <w:sz w:val="18"/>
                      <w:szCs w:val="18"/>
                    </w:rPr>
                    <w:t>第十六条 禁止在长江流域江河、湖泊新设、改设或者扩大排污口，经有管辖权的生态环境主管部门或者长江流域生态环境监督管理机构同意的除外。</w:t>
                  </w:r>
                </w:p>
              </w:tc>
              <w:tc>
                <w:tcPr>
                  <w:tcW w:w="1137" w:type="pct"/>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项目将按要求向主管部门办理排污口设置手续</w:t>
                  </w:r>
                </w:p>
              </w:tc>
              <w:tc>
                <w:tcPr>
                  <w:tcW w:w="447" w:type="pct"/>
                  <w:tcBorders>
                    <w:right w:val="nil"/>
                  </w:tcBorders>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16" w:type="pct"/>
                  <w:tcBorders>
                    <w:left w:val="nil"/>
                  </w:tcBorders>
                  <w:vAlign w:val="center"/>
                </w:tcPr>
                <w:p>
                  <w:pPr>
                    <w:autoSpaceDE w:val="0"/>
                    <w:autoSpaceDN w:val="0"/>
                    <w:adjustRightInd w:val="0"/>
                    <w:ind w:left="-84" w:leftChars="-40" w:right="-84" w:rightChars="-40"/>
                    <w:jc w:val="left"/>
                    <w:rPr>
                      <w:color w:val="auto"/>
                      <w:kern w:val="0"/>
                      <w:sz w:val="18"/>
                      <w:szCs w:val="18"/>
                    </w:rPr>
                  </w:pPr>
                  <w:r>
                    <w:rPr>
                      <w:color w:val="auto"/>
                      <w:kern w:val="0"/>
                      <w:sz w:val="18"/>
                      <w:szCs w:val="18"/>
                    </w:rPr>
                    <w:t>第十八条 禁止在长江干支流、重要湖泊岸线一公里范围内新建、扩建化工园区和化工项目</w:t>
                  </w:r>
                </w:p>
              </w:tc>
              <w:tc>
                <w:tcPr>
                  <w:tcW w:w="1137" w:type="pct"/>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项目位于长江干支流、重要湖泊岸线一公里以外，且不属于化工项目</w:t>
                  </w:r>
                </w:p>
              </w:tc>
              <w:tc>
                <w:tcPr>
                  <w:tcW w:w="447" w:type="pct"/>
                  <w:tcBorders>
                    <w:right w:val="nil"/>
                  </w:tcBorders>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16" w:type="pct"/>
                  <w:tcBorders>
                    <w:left w:val="nil"/>
                  </w:tcBorders>
                  <w:vAlign w:val="center"/>
                </w:tcPr>
                <w:p>
                  <w:pPr>
                    <w:autoSpaceDE w:val="0"/>
                    <w:autoSpaceDN w:val="0"/>
                    <w:adjustRightInd w:val="0"/>
                    <w:ind w:left="-84" w:leftChars="-40" w:right="-84" w:rightChars="-40"/>
                    <w:jc w:val="left"/>
                    <w:rPr>
                      <w:color w:val="auto"/>
                      <w:kern w:val="0"/>
                      <w:sz w:val="18"/>
                      <w:szCs w:val="18"/>
                    </w:rPr>
                  </w:pPr>
                  <w:r>
                    <w:rPr>
                      <w:color w:val="auto"/>
                      <w:kern w:val="0"/>
                      <w:sz w:val="18"/>
                      <w:szCs w:val="18"/>
                    </w:rPr>
                    <w:t>第十九条 禁止在长江干流岸线三公里范围内和重要支流岸线一公里范围内新建、改建、扩建尾矿库、冶炼渣库、磷石膏库，以提升安全、生态环境保护水平为目的的改建除外</w:t>
                  </w:r>
                </w:p>
              </w:tc>
              <w:tc>
                <w:tcPr>
                  <w:tcW w:w="1137" w:type="pct"/>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项目不在长江干流岸线三公里范围内和重要支流岸线一公里范围内；且项目不设置永久尾矿库</w:t>
                  </w:r>
                </w:p>
              </w:tc>
              <w:tc>
                <w:tcPr>
                  <w:tcW w:w="447" w:type="pct"/>
                  <w:tcBorders>
                    <w:right w:val="nil"/>
                  </w:tcBorders>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16" w:type="pct"/>
                  <w:tcBorders>
                    <w:left w:val="nil"/>
                  </w:tcBorders>
                  <w:vAlign w:val="center"/>
                </w:tcPr>
                <w:p>
                  <w:pPr>
                    <w:autoSpaceDE w:val="0"/>
                    <w:autoSpaceDN w:val="0"/>
                    <w:adjustRightInd w:val="0"/>
                    <w:ind w:left="-84" w:leftChars="-40" w:right="-84" w:rightChars="-40"/>
                    <w:jc w:val="left"/>
                    <w:rPr>
                      <w:color w:val="auto"/>
                      <w:kern w:val="0"/>
                      <w:sz w:val="18"/>
                      <w:szCs w:val="18"/>
                    </w:rPr>
                  </w:pPr>
                  <w:r>
                    <w:rPr>
                      <w:color w:val="auto"/>
                      <w:kern w:val="0"/>
                      <w:sz w:val="18"/>
                      <w:szCs w:val="18"/>
                    </w:rPr>
                    <w:t>第二十条 禁止在生态保护红线区域、永久基本农田集中区域和其他需要特别保护的区域内选址建设尾矿库、冶炼渣库、磷石膏库。</w:t>
                  </w:r>
                </w:p>
              </w:tc>
              <w:tc>
                <w:tcPr>
                  <w:tcW w:w="1137" w:type="pct"/>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项目不涉及生态保护红线区域、永久基本农田集中区域和其他需要特别保护的区域；且项目不设置永久尾矿库</w:t>
                  </w:r>
                </w:p>
              </w:tc>
              <w:tc>
                <w:tcPr>
                  <w:tcW w:w="447" w:type="pct"/>
                  <w:tcBorders>
                    <w:right w:val="nil"/>
                  </w:tcBorders>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16" w:type="pct"/>
                  <w:tcBorders>
                    <w:left w:val="nil"/>
                  </w:tcBorders>
                  <w:vAlign w:val="center"/>
                </w:tcPr>
                <w:p>
                  <w:pPr>
                    <w:autoSpaceDE w:val="0"/>
                    <w:autoSpaceDN w:val="0"/>
                    <w:adjustRightInd w:val="0"/>
                    <w:ind w:left="-84" w:leftChars="-40" w:right="-84" w:rightChars="-40"/>
                    <w:jc w:val="left"/>
                    <w:rPr>
                      <w:color w:val="auto"/>
                      <w:kern w:val="0"/>
                      <w:sz w:val="18"/>
                      <w:szCs w:val="18"/>
                    </w:rPr>
                  </w:pPr>
                  <w:r>
                    <w:rPr>
                      <w:color w:val="auto"/>
                      <w:kern w:val="0"/>
                      <w:sz w:val="18"/>
                      <w:szCs w:val="18"/>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137" w:type="pct"/>
                  <w:vAlign w:val="center"/>
                </w:tcPr>
                <w:p>
                  <w:pPr>
                    <w:autoSpaceDE w:val="0"/>
                    <w:autoSpaceDN w:val="0"/>
                    <w:adjustRightInd w:val="0"/>
                    <w:ind w:left="-84" w:leftChars="-40" w:right="-84" w:rightChars="-40"/>
                    <w:jc w:val="center"/>
                    <w:rPr>
                      <w:color w:val="auto"/>
                      <w:kern w:val="0"/>
                      <w:sz w:val="18"/>
                      <w:szCs w:val="18"/>
                    </w:rPr>
                  </w:pPr>
                  <w:r>
                    <w:rPr>
                      <w:rFonts w:hint="eastAsia"/>
                      <w:color w:val="auto"/>
                      <w:kern w:val="0"/>
                      <w:sz w:val="18"/>
                      <w:szCs w:val="18"/>
                    </w:rPr>
                    <w:t>根据</w:t>
                  </w:r>
                  <w:r>
                    <w:rPr>
                      <w:color w:val="auto"/>
                      <w:kern w:val="0"/>
                      <w:sz w:val="18"/>
                      <w:szCs w:val="18"/>
                    </w:rPr>
                    <w:t>《产业结构调整指导目录（2019年本）》</w:t>
                  </w:r>
                  <w:r>
                    <w:rPr>
                      <w:rFonts w:hint="eastAsia"/>
                      <w:color w:val="auto"/>
                      <w:kern w:val="0"/>
                      <w:sz w:val="18"/>
                      <w:szCs w:val="18"/>
                    </w:rPr>
                    <w:t>，本项目视为允许类</w:t>
                  </w:r>
                </w:p>
              </w:tc>
              <w:tc>
                <w:tcPr>
                  <w:tcW w:w="447" w:type="pct"/>
                  <w:tcBorders>
                    <w:right w:val="nil"/>
                  </w:tcBorders>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16" w:type="pct"/>
                  <w:tcBorders>
                    <w:left w:val="nil"/>
                  </w:tcBorders>
                  <w:vAlign w:val="center"/>
                </w:tcPr>
                <w:p>
                  <w:pPr>
                    <w:autoSpaceDE w:val="0"/>
                    <w:autoSpaceDN w:val="0"/>
                    <w:adjustRightInd w:val="0"/>
                    <w:ind w:left="-84" w:leftChars="-40" w:right="-84" w:rightChars="-40"/>
                    <w:jc w:val="left"/>
                    <w:rPr>
                      <w:color w:val="auto"/>
                      <w:kern w:val="0"/>
                      <w:sz w:val="18"/>
                      <w:szCs w:val="18"/>
                    </w:rPr>
                  </w:pPr>
                  <w:r>
                    <w:rPr>
                      <w:color w:val="auto"/>
                      <w:kern w:val="0"/>
                      <w:sz w:val="18"/>
                      <w:szCs w:val="18"/>
                    </w:rPr>
                    <w:t>第二十四条 禁止新建、扩建不符合国家产能置换要求的严重过剩产能行业的项目。对于不符合国家</w:t>
                  </w:r>
                  <w:r>
                    <w:rPr>
                      <w:rFonts w:hint="eastAsia"/>
                      <w:color w:val="auto"/>
                      <w:kern w:val="0"/>
                      <w:sz w:val="18"/>
                      <w:szCs w:val="18"/>
                      <w:lang w:eastAsia="zh-CN"/>
                    </w:rPr>
                    <w:t>产</w:t>
                  </w:r>
                  <w:r>
                    <w:rPr>
                      <w:color w:val="auto"/>
                      <w:kern w:val="0"/>
                      <w:sz w:val="18"/>
                      <w:szCs w:val="18"/>
                    </w:rPr>
                    <w:t>能置换要求的严重过剩产能行业；不得以其他任何名义、任何方式备案新增产能项目。</w:t>
                  </w:r>
                </w:p>
              </w:tc>
              <w:tc>
                <w:tcPr>
                  <w:tcW w:w="1137" w:type="pct"/>
                  <w:vAlign w:val="center"/>
                </w:tcPr>
                <w:p>
                  <w:pPr>
                    <w:autoSpaceDE w:val="0"/>
                    <w:autoSpaceDN w:val="0"/>
                    <w:adjustRightInd w:val="0"/>
                    <w:ind w:left="-84" w:leftChars="-40" w:right="-84" w:rightChars="-40"/>
                    <w:rPr>
                      <w:color w:val="auto"/>
                      <w:kern w:val="0"/>
                      <w:sz w:val="18"/>
                      <w:szCs w:val="18"/>
                    </w:rPr>
                  </w:pPr>
                  <w:r>
                    <w:rPr>
                      <w:color w:val="auto"/>
                      <w:kern w:val="0"/>
                      <w:sz w:val="18"/>
                      <w:szCs w:val="18"/>
                    </w:rPr>
                    <w:t>项目不属于严重过剩产能行业，且已取得《采矿许可证》</w:t>
                  </w:r>
                </w:p>
              </w:tc>
              <w:tc>
                <w:tcPr>
                  <w:tcW w:w="447" w:type="pct"/>
                  <w:tcBorders>
                    <w:right w:val="nil"/>
                  </w:tcBorders>
                  <w:vAlign w:val="center"/>
                </w:tcPr>
                <w:p>
                  <w:pPr>
                    <w:autoSpaceDE w:val="0"/>
                    <w:autoSpaceDN w:val="0"/>
                    <w:adjustRightInd w:val="0"/>
                    <w:ind w:left="-84" w:leftChars="-40" w:right="-84" w:rightChars="-40"/>
                    <w:jc w:val="center"/>
                    <w:rPr>
                      <w:color w:val="auto"/>
                      <w:kern w:val="0"/>
                      <w:sz w:val="18"/>
                      <w:szCs w:val="18"/>
                    </w:rPr>
                  </w:pPr>
                  <w:r>
                    <w:rPr>
                      <w:color w:val="auto"/>
                      <w:kern w:val="0"/>
                      <w:sz w:val="18"/>
                      <w:szCs w:val="18"/>
                    </w:rPr>
                    <w:t>符合</w:t>
                  </w:r>
                </w:p>
              </w:tc>
            </w:tr>
          </w:tbl>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综上，本项目的建设与《四川省、重庆市长江经济带发展负面清单实施细则（试行2022年版）》（川长江办〔2022〕17号）相关内容相符。</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（4）与《中华人民共和国长江保护法》符合性分析</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自2021年3月1日起施行的《中华人民共和国长江保护法》，是为了加强长江流域生态环境保护和修复，促进资源合理高效利用，保障生态安全，实现人与自然和谐共生、中华民族永续发展制定的法律。项目与《中华人民共和国长江保护法》的符合性分析见下表。</w:t>
            </w:r>
          </w:p>
          <w:p>
            <w:pPr>
              <w:autoSpaceDE w:val="0"/>
              <w:autoSpaceDN w:val="0"/>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w:t>
            </w:r>
            <w:r>
              <w:rPr>
                <w:rFonts w:ascii="宋体" w:hAnsi="宋体" w:cs="宋体"/>
                <w:b/>
                <w:color w:val="auto"/>
                <w:kern w:val="0"/>
                <w:sz w:val="18"/>
                <w:szCs w:val="18"/>
              </w:rPr>
              <w:t>1-8</w:t>
            </w:r>
            <w:r>
              <w:rPr>
                <w:rFonts w:hint="eastAsia" w:ascii="宋体" w:hAnsi="宋体" w:cs="宋体"/>
                <w:b/>
                <w:color w:val="auto"/>
                <w:kern w:val="0"/>
                <w:sz w:val="18"/>
                <w:szCs w:val="18"/>
              </w:rPr>
              <w:t xml:space="preserve">  项目与《中华人民共和国长江保护法》的符合性分析</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1"/>
              <w:gridCol w:w="4448"/>
              <w:gridCol w:w="1987"/>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blHeader/>
                <w:jc w:val="center"/>
              </w:trPr>
              <w:tc>
                <w:tcPr>
                  <w:tcW w:w="330" w:type="pct"/>
                  <w:tcBorders>
                    <w:left w:val="nil"/>
                    <w:bottom w:val="single" w:color="000000" w:sz="4" w:space="0"/>
                  </w:tcBorders>
                  <w:tcMar>
                    <w:top w:w="0" w:type="dxa"/>
                    <w:left w:w="57" w:type="dxa"/>
                    <w:bottom w:w="0" w:type="dxa"/>
                    <w:right w:w="57" w:type="dxa"/>
                  </w:tcMar>
                  <w:vAlign w:val="center"/>
                </w:tcPr>
                <w:p>
                  <w:pPr>
                    <w:adjustRightInd w:val="0"/>
                    <w:snapToGrid w:val="0"/>
                    <w:ind w:left="-71" w:leftChars="-34" w:right="-71" w:rightChars="-34"/>
                    <w:jc w:val="center"/>
                    <w:rPr>
                      <w:b/>
                      <w:bCs/>
                      <w:color w:val="auto"/>
                      <w:sz w:val="18"/>
                      <w:szCs w:val="18"/>
                    </w:rPr>
                  </w:pPr>
                  <w:r>
                    <w:rPr>
                      <w:b/>
                      <w:bCs/>
                      <w:color w:val="auto"/>
                      <w:sz w:val="18"/>
                      <w:szCs w:val="18"/>
                    </w:rPr>
                    <w:t>序号</w:t>
                  </w:r>
                </w:p>
              </w:tc>
              <w:tc>
                <w:tcPr>
                  <w:tcW w:w="2923" w:type="pct"/>
                  <w:tcBorders>
                    <w:bottom w:val="single" w:color="000000" w:sz="4" w:space="0"/>
                  </w:tcBorders>
                  <w:tcMar>
                    <w:top w:w="0" w:type="dxa"/>
                    <w:left w:w="57" w:type="dxa"/>
                    <w:bottom w:w="0" w:type="dxa"/>
                    <w:right w:w="57" w:type="dxa"/>
                  </w:tcMar>
                  <w:vAlign w:val="center"/>
                </w:tcPr>
                <w:p>
                  <w:pPr>
                    <w:adjustRightInd w:val="0"/>
                    <w:snapToGrid w:val="0"/>
                    <w:ind w:left="-71" w:leftChars="-34" w:right="-71" w:rightChars="-34"/>
                    <w:jc w:val="center"/>
                    <w:rPr>
                      <w:b/>
                      <w:bCs/>
                      <w:color w:val="auto"/>
                      <w:sz w:val="18"/>
                      <w:szCs w:val="18"/>
                    </w:rPr>
                  </w:pPr>
                  <w:r>
                    <w:rPr>
                      <w:b/>
                      <w:bCs/>
                      <w:color w:val="auto"/>
                      <w:sz w:val="18"/>
                      <w:szCs w:val="18"/>
                    </w:rPr>
                    <w:t>原文内容</w:t>
                  </w:r>
                </w:p>
              </w:tc>
              <w:tc>
                <w:tcPr>
                  <w:tcW w:w="1306" w:type="pct"/>
                  <w:tcBorders>
                    <w:bottom w:val="single" w:color="000000" w:sz="4" w:space="0"/>
                  </w:tcBorders>
                  <w:tcMar>
                    <w:top w:w="0" w:type="dxa"/>
                    <w:left w:w="57" w:type="dxa"/>
                    <w:bottom w:w="0" w:type="dxa"/>
                    <w:right w:w="57" w:type="dxa"/>
                  </w:tcMar>
                  <w:vAlign w:val="center"/>
                </w:tcPr>
                <w:p>
                  <w:pPr>
                    <w:adjustRightInd w:val="0"/>
                    <w:snapToGrid w:val="0"/>
                    <w:ind w:left="-71" w:leftChars="-34" w:right="-71" w:rightChars="-34"/>
                    <w:jc w:val="center"/>
                    <w:rPr>
                      <w:b/>
                      <w:bCs/>
                      <w:color w:val="auto"/>
                      <w:sz w:val="18"/>
                      <w:szCs w:val="18"/>
                    </w:rPr>
                  </w:pPr>
                  <w:r>
                    <w:rPr>
                      <w:b/>
                      <w:bCs/>
                      <w:color w:val="auto"/>
                      <w:sz w:val="18"/>
                      <w:szCs w:val="18"/>
                    </w:rPr>
                    <w:t>本项目情况</w:t>
                  </w:r>
                </w:p>
              </w:tc>
              <w:tc>
                <w:tcPr>
                  <w:tcW w:w="441" w:type="pct"/>
                  <w:tcBorders>
                    <w:bottom w:val="single" w:color="000000" w:sz="4" w:space="0"/>
                    <w:right w:val="nil"/>
                  </w:tcBorders>
                  <w:tcMar>
                    <w:top w:w="0" w:type="dxa"/>
                    <w:left w:w="57" w:type="dxa"/>
                    <w:bottom w:w="0" w:type="dxa"/>
                    <w:right w:w="57" w:type="dxa"/>
                  </w:tcMar>
                  <w:vAlign w:val="center"/>
                </w:tcPr>
                <w:p>
                  <w:pPr>
                    <w:adjustRightInd w:val="0"/>
                    <w:snapToGrid w:val="0"/>
                    <w:ind w:left="-71" w:leftChars="-34" w:right="-71" w:rightChars="-34"/>
                    <w:jc w:val="center"/>
                    <w:rPr>
                      <w:b/>
                      <w:bCs/>
                      <w:color w:val="auto"/>
                      <w:sz w:val="18"/>
                      <w:szCs w:val="18"/>
                    </w:rPr>
                  </w:pPr>
                  <w:r>
                    <w:rPr>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330" w:type="pct"/>
                  <w:tcBorders>
                    <w:top w:val="single" w:color="000000" w:sz="4" w:space="0"/>
                    <w:left w:val="nil"/>
                  </w:tcBorders>
                  <w:tcMar>
                    <w:top w:w="0" w:type="dxa"/>
                    <w:left w:w="57" w:type="dxa"/>
                    <w:bottom w:w="0" w:type="dxa"/>
                    <w:right w:w="57" w:type="dxa"/>
                  </w:tcMar>
                  <w:vAlign w:val="center"/>
                </w:tcPr>
                <w:p>
                  <w:pPr>
                    <w:adjustRightInd w:val="0"/>
                    <w:snapToGrid w:val="0"/>
                    <w:jc w:val="center"/>
                    <w:rPr>
                      <w:b/>
                      <w:bCs/>
                      <w:color w:val="auto"/>
                      <w:sz w:val="18"/>
                      <w:szCs w:val="18"/>
                    </w:rPr>
                  </w:pPr>
                  <w:r>
                    <w:rPr>
                      <w:b/>
                      <w:bCs/>
                      <w:color w:val="auto"/>
                      <w:sz w:val="18"/>
                      <w:szCs w:val="18"/>
                    </w:rPr>
                    <w:t>1</w:t>
                  </w:r>
                </w:p>
              </w:tc>
              <w:tc>
                <w:tcPr>
                  <w:tcW w:w="2923" w:type="pct"/>
                  <w:tcBorders>
                    <w:top w:val="single" w:color="000000" w:sz="4" w:space="0"/>
                  </w:tcBorders>
                  <w:tcMar>
                    <w:top w:w="0" w:type="dxa"/>
                    <w:left w:w="57" w:type="dxa"/>
                    <w:bottom w:w="0" w:type="dxa"/>
                    <w:right w:w="57" w:type="dxa"/>
                  </w:tcMar>
                  <w:vAlign w:val="center"/>
                </w:tcPr>
                <w:p>
                  <w:pPr>
                    <w:adjustRightInd w:val="0"/>
                    <w:snapToGrid w:val="0"/>
                    <w:jc w:val="left"/>
                    <w:rPr>
                      <w:bCs/>
                      <w:color w:val="auto"/>
                      <w:sz w:val="18"/>
                      <w:szCs w:val="18"/>
                    </w:rPr>
                  </w:pPr>
                  <w:r>
                    <w:rPr>
                      <w:bCs/>
                      <w:color w:val="auto"/>
                      <w:sz w:val="18"/>
                      <w:szCs w:val="18"/>
                    </w:rPr>
                    <w:t>第二十一条 长江流域水质超标的水功能区，应当实施更严格的污染物排放总量削减要求。企业事业单位应当按照要求，采取污染物排放总量控制措施。</w:t>
                  </w:r>
                </w:p>
              </w:tc>
              <w:tc>
                <w:tcPr>
                  <w:tcW w:w="1306" w:type="pct"/>
                  <w:tcBorders>
                    <w:top w:val="single" w:color="000000" w:sz="4" w:space="0"/>
                  </w:tcBorders>
                  <w:tcMar>
                    <w:top w:w="0" w:type="dxa"/>
                    <w:left w:w="57" w:type="dxa"/>
                    <w:bottom w:w="0" w:type="dxa"/>
                    <w:right w:w="57" w:type="dxa"/>
                  </w:tcMar>
                  <w:vAlign w:val="center"/>
                </w:tcPr>
                <w:p>
                  <w:pPr>
                    <w:adjustRightInd w:val="0"/>
                    <w:snapToGrid w:val="0"/>
                    <w:jc w:val="left"/>
                    <w:rPr>
                      <w:bCs/>
                      <w:color w:val="auto"/>
                      <w:sz w:val="18"/>
                      <w:szCs w:val="18"/>
                    </w:rPr>
                  </w:pPr>
                  <w:r>
                    <w:rPr>
                      <w:bCs/>
                      <w:color w:val="auto"/>
                      <w:sz w:val="18"/>
                      <w:szCs w:val="18"/>
                    </w:rPr>
                    <w:t>项目所在区域水环境质量满足相应功能区要求，且本项目废水能够循环回用</w:t>
                  </w:r>
                  <w:r>
                    <w:rPr>
                      <w:rFonts w:hint="eastAsia"/>
                      <w:bCs/>
                      <w:color w:val="auto"/>
                      <w:sz w:val="18"/>
                      <w:szCs w:val="18"/>
                    </w:rPr>
                    <w:t>，</w:t>
                  </w:r>
                  <w:r>
                    <w:rPr>
                      <w:bCs/>
                      <w:color w:val="auto"/>
                      <w:sz w:val="18"/>
                      <w:szCs w:val="18"/>
                    </w:rPr>
                    <w:t>不外排。</w:t>
                  </w:r>
                </w:p>
              </w:tc>
              <w:tc>
                <w:tcPr>
                  <w:tcW w:w="441" w:type="pct"/>
                  <w:tcBorders>
                    <w:top w:val="single" w:color="000000" w:sz="4" w:space="0"/>
                    <w:right w:val="nil"/>
                  </w:tcBorders>
                  <w:tcMar>
                    <w:top w:w="0" w:type="dxa"/>
                    <w:left w:w="57" w:type="dxa"/>
                    <w:bottom w:w="0" w:type="dxa"/>
                    <w:right w:w="57" w:type="dxa"/>
                  </w:tcMar>
                  <w:vAlign w:val="center"/>
                </w:tcPr>
                <w:p>
                  <w:pPr>
                    <w:adjustRightInd w:val="0"/>
                    <w:snapToGrid w:val="0"/>
                    <w:jc w:val="center"/>
                    <w:rPr>
                      <w:bCs/>
                      <w:color w:val="auto"/>
                      <w:sz w:val="18"/>
                      <w:szCs w:val="18"/>
                    </w:rPr>
                  </w:pPr>
                  <w:r>
                    <w:rPr>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330" w:type="pct"/>
                  <w:tcBorders>
                    <w:left w:val="nil"/>
                  </w:tcBorders>
                  <w:tcMar>
                    <w:top w:w="0" w:type="dxa"/>
                    <w:left w:w="57" w:type="dxa"/>
                    <w:bottom w:w="0" w:type="dxa"/>
                    <w:right w:w="57" w:type="dxa"/>
                  </w:tcMar>
                  <w:vAlign w:val="center"/>
                </w:tcPr>
                <w:p>
                  <w:pPr>
                    <w:adjustRightInd w:val="0"/>
                    <w:snapToGrid w:val="0"/>
                    <w:jc w:val="center"/>
                    <w:rPr>
                      <w:color w:val="auto"/>
                      <w:sz w:val="18"/>
                      <w:szCs w:val="18"/>
                    </w:rPr>
                  </w:pPr>
                  <w:r>
                    <w:rPr>
                      <w:color w:val="auto"/>
                      <w:sz w:val="18"/>
                      <w:szCs w:val="18"/>
                    </w:rPr>
                    <w:t>2</w:t>
                  </w:r>
                </w:p>
              </w:tc>
              <w:tc>
                <w:tcPr>
                  <w:tcW w:w="2923" w:type="pct"/>
                  <w:tcMar>
                    <w:top w:w="0" w:type="dxa"/>
                    <w:left w:w="57" w:type="dxa"/>
                    <w:bottom w:w="0" w:type="dxa"/>
                    <w:right w:w="57" w:type="dxa"/>
                  </w:tcMar>
                  <w:vAlign w:val="center"/>
                </w:tcPr>
                <w:p>
                  <w:pPr>
                    <w:adjustRightInd w:val="0"/>
                    <w:snapToGrid w:val="0"/>
                    <w:jc w:val="left"/>
                    <w:rPr>
                      <w:bCs/>
                      <w:color w:val="auto"/>
                      <w:sz w:val="18"/>
                      <w:szCs w:val="18"/>
                    </w:rPr>
                  </w:pPr>
                  <w:r>
                    <w:rPr>
                      <w:bCs/>
                      <w:color w:val="auto"/>
                      <w:sz w:val="18"/>
                      <w:szCs w:val="18"/>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1306" w:type="pct"/>
                  <w:tcMar>
                    <w:top w:w="0" w:type="dxa"/>
                    <w:left w:w="57" w:type="dxa"/>
                    <w:bottom w:w="0" w:type="dxa"/>
                    <w:right w:w="57" w:type="dxa"/>
                  </w:tcMar>
                  <w:vAlign w:val="center"/>
                </w:tcPr>
                <w:p>
                  <w:pPr>
                    <w:adjustRightInd w:val="0"/>
                    <w:snapToGrid w:val="0"/>
                    <w:jc w:val="left"/>
                    <w:rPr>
                      <w:bCs/>
                      <w:color w:val="auto"/>
                      <w:sz w:val="18"/>
                      <w:szCs w:val="18"/>
                    </w:rPr>
                  </w:pPr>
                  <w:r>
                    <w:rPr>
                      <w:bCs/>
                      <w:color w:val="auto"/>
                      <w:sz w:val="18"/>
                      <w:szCs w:val="18"/>
                    </w:rPr>
                    <w:t>项目所在地不属于长江流域重点生态功能区，对生态系统不会造成严重影响，也不属于重污染项目。</w:t>
                  </w:r>
                </w:p>
              </w:tc>
              <w:tc>
                <w:tcPr>
                  <w:tcW w:w="441" w:type="pct"/>
                  <w:tcBorders>
                    <w:right w:val="nil"/>
                  </w:tcBorders>
                  <w:tcMar>
                    <w:top w:w="0" w:type="dxa"/>
                    <w:left w:w="57" w:type="dxa"/>
                    <w:bottom w:w="0" w:type="dxa"/>
                    <w:right w:w="57" w:type="dxa"/>
                  </w:tcMar>
                  <w:vAlign w:val="center"/>
                </w:tcPr>
                <w:p>
                  <w:pPr>
                    <w:adjustRightInd w:val="0"/>
                    <w:snapToGrid w:val="0"/>
                    <w:jc w:val="center"/>
                    <w:rPr>
                      <w:color w:val="auto"/>
                      <w:sz w:val="18"/>
                      <w:szCs w:val="18"/>
                    </w:rPr>
                  </w:pPr>
                  <w:r>
                    <w:rPr>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330" w:type="pct"/>
                  <w:tcBorders>
                    <w:left w:val="nil"/>
                  </w:tcBorders>
                  <w:tcMar>
                    <w:top w:w="0" w:type="dxa"/>
                    <w:left w:w="57" w:type="dxa"/>
                    <w:bottom w:w="0" w:type="dxa"/>
                    <w:right w:w="57" w:type="dxa"/>
                  </w:tcMar>
                  <w:vAlign w:val="center"/>
                </w:tcPr>
                <w:p>
                  <w:pPr>
                    <w:adjustRightInd w:val="0"/>
                    <w:snapToGrid w:val="0"/>
                    <w:jc w:val="center"/>
                    <w:rPr>
                      <w:color w:val="auto"/>
                      <w:sz w:val="18"/>
                      <w:szCs w:val="18"/>
                    </w:rPr>
                  </w:pPr>
                  <w:r>
                    <w:rPr>
                      <w:color w:val="auto"/>
                      <w:sz w:val="18"/>
                      <w:szCs w:val="18"/>
                    </w:rPr>
                    <w:t>3</w:t>
                  </w:r>
                </w:p>
              </w:tc>
              <w:tc>
                <w:tcPr>
                  <w:tcW w:w="2923" w:type="pct"/>
                  <w:tcMar>
                    <w:top w:w="0" w:type="dxa"/>
                    <w:left w:w="57" w:type="dxa"/>
                    <w:bottom w:w="0" w:type="dxa"/>
                    <w:right w:w="57" w:type="dxa"/>
                  </w:tcMar>
                  <w:vAlign w:val="center"/>
                </w:tcPr>
                <w:p>
                  <w:pPr>
                    <w:adjustRightInd w:val="0"/>
                    <w:snapToGrid w:val="0"/>
                    <w:jc w:val="left"/>
                    <w:rPr>
                      <w:bCs/>
                      <w:color w:val="auto"/>
                      <w:spacing w:val="-2"/>
                      <w:sz w:val="18"/>
                      <w:szCs w:val="18"/>
                    </w:rPr>
                  </w:pPr>
                  <w:r>
                    <w:rPr>
                      <w:bCs/>
                      <w:color w:val="auto"/>
                      <w:spacing w:val="-2"/>
                      <w:sz w:val="18"/>
                      <w:szCs w:val="18"/>
                    </w:rPr>
                    <w:t>第二十六条 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306" w:type="pct"/>
                  <w:tcMar>
                    <w:top w:w="0" w:type="dxa"/>
                    <w:left w:w="57" w:type="dxa"/>
                    <w:bottom w:w="0" w:type="dxa"/>
                    <w:right w:w="57" w:type="dxa"/>
                  </w:tcMar>
                  <w:vAlign w:val="center"/>
                </w:tcPr>
                <w:p>
                  <w:pPr>
                    <w:adjustRightInd w:val="0"/>
                    <w:snapToGrid w:val="0"/>
                    <w:jc w:val="left"/>
                    <w:rPr>
                      <w:bCs/>
                      <w:color w:val="auto"/>
                      <w:sz w:val="18"/>
                      <w:szCs w:val="18"/>
                    </w:rPr>
                  </w:pPr>
                  <w:r>
                    <w:rPr>
                      <w:bCs/>
                      <w:color w:val="auto"/>
                      <w:sz w:val="18"/>
                      <w:szCs w:val="18"/>
                    </w:rPr>
                    <w:t>本项目不属于化工项目或尾矿库项目，占地区域也不在长江干流岸线三公里范围内和重要支流岸线一公里范围内。</w:t>
                  </w:r>
                </w:p>
              </w:tc>
              <w:tc>
                <w:tcPr>
                  <w:tcW w:w="441" w:type="pct"/>
                  <w:tcBorders>
                    <w:right w:val="nil"/>
                  </w:tcBorders>
                  <w:tcMar>
                    <w:top w:w="0" w:type="dxa"/>
                    <w:left w:w="57" w:type="dxa"/>
                    <w:bottom w:w="0" w:type="dxa"/>
                    <w:right w:w="57" w:type="dxa"/>
                  </w:tcMar>
                  <w:vAlign w:val="center"/>
                </w:tcPr>
                <w:p>
                  <w:pPr>
                    <w:adjustRightInd w:val="0"/>
                    <w:snapToGrid w:val="0"/>
                    <w:jc w:val="center"/>
                    <w:rPr>
                      <w:color w:val="auto"/>
                      <w:sz w:val="18"/>
                      <w:szCs w:val="18"/>
                    </w:rPr>
                  </w:pPr>
                  <w:r>
                    <w:rPr>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330" w:type="pct"/>
                  <w:tcBorders>
                    <w:left w:val="nil"/>
                  </w:tcBorders>
                  <w:tcMar>
                    <w:top w:w="0" w:type="dxa"/>
                    <w:left w:w="57" w:type="dxa"/>
                    <w:bottom w:w="0" w:type="dxa"/>
                    <w:right w:w="57" w:type="dxa"/>
                  </w:tcMar>
                  <w:vAlign w:val="center"/>
                </w:tcPr>
                <w:p>
                  <w:pPr>
                    <w:adjustRightInd w:val="0"/>
                    <w:snapToGrid w:val="0"/>
                    <w:jc w:val="center"/>
                    <w:rPr>
                      <w:color w:val="auto"/>
                      <w:sz w:val="18"/>
                      <w:szCs w:val="18"/>
                    </w:rPr>
                  </w:pPr>
                  <w:r>
                    <w:rPr>
                      <w:color w:val="auto"/>
                      <w:sz w:val="18"/>
                      <w:szCs w:val="18"/>
                    </w:rPr>
                    <w:t>4</w:t>
                  </w:r>
                </w:p>
              </w:tc>
              <w:tc>
                <w:tcPr>
                  <w:tcW w:w="2923" w:type="pct"/>
                  <w:tcMar>
                    <w:top w:w="0" w:type="dxa"/>
                    <w:left w:w="57" w:type="dxa"/>
                    <w:bottom w:w="0" w:type="dxa"/>
                    <w:right w:w="57" w:type="dxa"/>
                  </w:tcMar>
                  <w:vAlign w:val="center"/>
                </w:tcPr>
                <w:p>
                  <w:pPr>
                    <w:adjustRightInd w:val="0"/>
                    <w:snapToGrid w:val="0"/>
                    <w:jc w:val="left"/>
                    <w:rPr>
                      <w:bCs/>
                      <w:color w:val="auto"/>
                      <w:spacing w:val="-2"/>
                      <w:sz w:val="18"/>
                      <w:szCs w:val="18"/>
                    </w:rPr>
                  </w:pPr>
                  <w:r>
                    <w:rPr>
                      <w:bCs/>
                      <w:color w:val="auto"/>
                      <w:spacing w:val="-2"/>
                      <w:sz w:val="18"/>
                      <w:szCs w:val="18"/>
                    </w:rPr>
                    <w:t>第三十八条 加强对高耗水行业、重点用水单位的用水定额管理，严格控制高耗水项目建设。</w:t>
                  </w:r>
                </w:p>
              </w:tc>
              <w:tc>
                <w:tcPr>
                  <w:tcW w:w="1306" w:type="pct"/>
                  <w:tcMar>
                    <w:top w:w="0" w:type="dxa"/>
                    <w:left w:w="57" w:type="dxa"/>
                    <w:bottom w:w="0" w:type="dxa"/>
                    <w:right w:w="57" w:type="dxa"/>
                  </w:tcMar>
                  <w:vAlign w:val="center"/>
                </w:tcPr>
                <w:p>
                  <w:pPr>
                    <w:adjustRightInd w:val="0"/>
                    <w:snapToGrid w:val="0"/>
                    <w:rPr>
                      <w:bCs/>
                      <w:color w:val="auto"/>
                      <w:sz w:val="18"/>
                      <w:szCs w:val="18"/>
                    </w:rPr>
                  </w:pPr>
                  <w:r>
                    <w:rPr>
                      <w:bCs/>
                      <w:color w:val="auto"/>
                      <w:sz w:val="18"/>
                      <w:szCs w:val="18"/>
                    </w:rPr>
                    <w:t>本项目不属于高耗水项目。</w:t>
                  </w:r>
                </w:p>
              </w:tc>
              <w:tc>
                <w:tcPr>
                  <w:tcW w:w="441" w:type="pct"/>
                  <w:tcBorders>
                    <w:right w:val="nil"/>
                  </w:tcBorders>
                  <w:tcMar>
                    <w:top w:w="0" w:type="dxa"/>
                    <w:left w:w="57" w:type="dxa"/>
                    <w:bottom w:w="0" w:type="dxa"/>
                    <w:right w:w="57" w:type="dxa"/>
                  </w:tcMar>
                  <w:vAlign w:val="center"/>
                </w:tcPr>
                <w:p>
                  <w:pPr>
                    <w:adjustRightInd w:val="0"/>
                    <w:snapToGrid w:val="0"/>
                    <w:jc w:val="center"/>
                    <w:rPr>
                      <w:color w:val="auto"/>
                      <w:sz w:val="18"/>
                      <w:szCs w:val="18"/>
                    </w:rPr>
                  </w:pPr>
                  <w:r>
                    <w:rPr>
                      <w:color w:val="auto"/>
                      <w:sz w:val="18"/>
                      <w:szCs w:val="18"/>
                    </w:rPr>
                    <w:t>符合</w:t>
                  </w:r>
                </w:p>
              </w:tc>
            </w:tr>
          </w:tbl>
          <w:p>
            <w:pPr>
              <w:autoSpaceDE w:val="0"/>
              <w:autoSpaceDN w:val="0"/>
              <w:adjustRightInd w:val="0"/>
              <w:snapToGrid w:val="0"/>
              <w:spacing w:line="360" w:lineRule="auto"/>
              <w:rPr>
                <w:rFonts w:ascii="宋体" w:hAnsi="宋体" w:cs="宋体"/>
                <w:b/>
                <w:color w:val="auto"/>
                <w:kern w:val="0"/>
                <w:szCs w:val="21"/>
              </w:rPr>
            </w:pPr>
            <w:r>
              <w:rPr>
                <w:rFonts w:hint="eastAsia" w:ascii="宋体" w:hAnsi="宋体" w:cs="宋体"/>
                <w:b/>
                <w:color w:val="auto"/>
                <w:kern w:val="0"/>
                <w:szCs w:val="21"/>
              </w:rPr>
              <w:t>4、与相关政策、规范符合性分析</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（1）《矿山生态环境保护与污染防治技术政策》符合性分析</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根据《矿山生态环境保护与污染防治技术政策》（环发〔2005〕109号）的相关规定，本项目与该技术政策的符合性分析见下表。</w:t>
            </w:r>
          </w:p>
          <w:p>
            <w:pPr>
              <w:autoSpaceDE w:val="0"/>
              <w:autoSpaceDN w:val="0"/>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w:t>
            </w:r>
            <w:r>
              <w:rPr>
                <w:rFonts w:ascii="宋体" w:hAnsi="宋体" w:cs="宋体"/>
                <w:b/>
                <w:color w:val="auto"/>
                <w:kern w:val="0"/>
                <w:sz w:val="18"/>
                <w:szCs w:val="18"/>
              </w:rPr>
              <w:t>1-9</w:t>
            </w:r>
            <w:r>
              <w:rPr>
                <w:rFonts w:hint="eastAsia" w:ascii="宋体" w:hAnsi="宋体" w:cs="宋体"/>
                <w:b/>
                <w:color w:val="auto"/>
                <w:kern w:val="0"/>
                <w:sz w:val="18"/>
                <w:szCs w:val="18"/>
              </w:rPr>
              <w:t xml:space="preserve">  与《矿山生态环境保护与污染防治技术政策》的符合性分析</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
              <w:gridCol w:w="4037"/>
              <w:gridCol w:w="2558"/>
              <w:gridCol w:w="6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271" w:type="pct"/>
                  <w:vAlign w:val="center"/>
                </w:tcPr>
                <w:p>
                  <w:pPr>
                    <w:autoSpaceDE w:val="0"/>
                    <w:autoSpaceDN w:val="0"/>
                    <w:ind w:left="-71" w:leftChars="-34" w:right="-71" w:rightChars="-34"/>
                    <w:jc w:val="center"/>
                    <w:rPr>
                      <w:b/>
                      <w:bCs/>
                      <w:color w:val="auto"/>
                      <w:sz w:val="18"/>
                      <w:szCs w:val="18"/>
                    </w:rPr>
                  </w:pPr>
                  <w:bookmarkStart w:id="5" w:name="_Toc20657"/>
                  <w:r>
                    <w:rPr>
                      <w:b/>
                      <w:bCs/>
                      <w:color w:val="auto"/>
                      <w:sz w:val="18"/>
                      <w:szCs w:val="18"/>
                    </w:rPr>
                    <w:t>序号</w:t>
                  </w:r>
                  <w:bookmarkEnd w:id="5"/>
                </w:p>
              </w:tc>
              <w:tc>
                <w:tcPr>
                  <w:tcW w:w="2650" w:type="pct"/>
                  <w:vAlign w:val="center"/>
                </w:tcPr>
                <w:p>
                  <w:pPr>
                    <w:autoSpaceDE w:val="0"/>
                    <w:autoSpaceDN w:val="0"/>
                    <w:ind w:left="-71" w:leftChars="-34" w:right="-71" w:rightChars="-34"/>
                    <w:jc w:val="center"/>
                    <w:rPr>
                      <w:b/>
                      <w:bCs/>
                      <w:color w:val="auto"/>
                      <w:sz w:val="18"/>
                      <w:szCs w:val="18"/>
                    </w:rPr>
                  </w:pPr>
                  <w:bookmarkStart w:id="6" w:name="_Toc375"/>
                  <w:r>
                    <w:rPr>
                      <w:b/>
                      <w:bCs/>
                      <w:color w:val="auto"/>
                      <w:sz w:val="18"/>
                      <w:szCs w:val="18"/>
                    </w:rPr>
                    <w:t>相关规定</w:t>
                  </w:r>
                  <w:bookmarkEnd w:id="6"/>
                </w:p>
              </w:tc>
              <w:tc>
                <w:tcPr>
                  <w:tcW w:w="1679" w:type="pct"/>
                  <w:vAlign w:val="center"/>
                </w:tcPr>
                <w:p>
                  <w:pPr>
                    <w:autoSpaceDE w:val="0"/>
                    <w:autoSpaceDN w:val="0"/>
                    <w:ind w:left="-71" w:leftChars="-34" w:right="-71" w:rightChars="-34"/>
                    <w:jc w:val="center"/>
                    <w:rPr>
                      <w:b/>
                      <w:bCs/>
                      <w:color w:val="auto"/>
                      <w:sz w:val="18"/>
                      <w:szCs w:val="18"/>
                    </w:rPr>
                  </w:pPr>
                  <w:bookmarkStart w:id="7" w:name="_Toc29204"/>
                  <w:r>
                    <w:rPr>
                      <w:b/>
                      <w:bCs/>
                      <w:color w:val="auto"/>
                      <w:sz w:val="18"/>
                      <w:szCs w:val="18"/>
                    </w:rPr>
                    <w:t>本工程</w:t>
                  </w:r>
                  <w:bookmarkEnd w:id="7"/>
                  <w:r>
                    <w:rPr>
                      <w:b/>
                      <w:bCs/>
                      <w:color w:val="auto"/>
                      <w:sz w:val="18"/>
                      <w:szCs w:val="18"/>
                    </w:rPr>
                    <w:t>情况</w:t>
                  </w:r>
                </w:p>
              </w:tc>
              <w:tc>
                <w:tcPr>
                  <w:tcW w:w="400" w:type="pct"/>
                  <w:vAlign w:val="center"/>
                </w:tcPr>
                <w:p>
                  <w:pPr>
                    <w:autoSpaceDE w:val="0"/>
                    <w:autoSpaceDN w:val="0"/>
                    <w:ind w:left="-71" w:leftChars="-34" w:right="-71" w:rightChars="-34"/>
                    <w:jc w:val="center"/>
                    <w:rPr>
                      <w:b/>
                      <w:bCs/>
                      <w:color w:val="auto"/>
                      <w:sz w:val="18"/>
                      <w:szCs w:val="18"/>
                    </w:rPr>
                  </w:pPr>
                  <w:bookmarkStart w:id="8" w:name="_Toc31069"/>
                  <w:r>
                    <w:rPr>
                      <w:b/>
                      <w:bCs/>
                      <w:color w:val="auto"/>
                      <w:sz w:val="18"/>
                      <w:szCs w:val="18"/>
                    </w:rPr>
                    <w:t>符合性</w:t>
                  </w:r>
                  <w:bookmarkEnd w:id="8"/>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71" w:type="pct"/>
                  <w:vAlign w:val="center"/>
                </w:tcPr>
                <w:p>
                  <w:pPr>
                    <w:autoSpaceDE w:val="0"/>
                    <w:autoSpaceDN w:val="0"/>
                    <w:ind w:left="-71" w:leftChars="-34" w:right="-71" w:rightChars="-34"/>
                    <w:jc w:val="center"/>
                    <w:rPr>
                      <w:color w:val="auto"/>
                      <w:sz w:val="18"/>
                      <w:szCs w:val="18"/>
                    </w:rPr>
                  </w:pPr>
                  <w:bookmarkStart w:id="9" w:name="_Toc4093"/>
                  <w:r>
                    <w:rPr>
                      <w:color w:val="auto"/>
                      <w:sz w:val="18"/>
                      <w:szCs w:val="18"/>
                    </w:rPr>
                    <w:t>1</w:t>
                  </w:r>
                  <w:bookmarkEnd w:id="9"/>
                </w:p>
              </w:tc>
              <w:tc>
                <w:tcPr>
                  <w:tcW w:w="2650" w:type="pct"/>
                  <w:vAlign w:val="center"/>
                </w:tcPr>
                <w:p>
                  <w:pPr>
                    <w:ind w:left="-71" w:leftChars="-34" w:right="-71" w:rightChars="-34"/>
                    <w:rPr>
                      <w:color w:val="auto"/>
                      <w:sz w:val="18"/>
                      <w:szCs w:val="18"/>
                    </w:rPr>
                  </w:pPr>
                  <w:bookmarkStart w:id="10" w:name="_Toc5202"/>
                  <w:r>
                    <w:rPr>
                      <w:color w:val="auto"/>
                      <w:sz w:val="18"/>
                      <w:szCs w:val="18"/>
                    </w:rPr>
                    <w:t>二、矿产资源开发规划与设计</w:t>
                  </w:r>
                  <w:bookmarkEnd w:id="10"/>
                </w:p>
                <w:p>
                  <w:pPr>
                    <w:ind w:left="-71" w:leftChars="-34" w:right="-71" w:rightChars="-34"/>
                    <w:rPr>
                      <w:color w:val="auto"/>
                      <w:sz w:val="18"/>
                      <w:szCs w:val="18"/>
                    </w:rPr>
                  </w:pPr>
                  <w:bookmarkStart w:id="11" w:name="_Toc23185"/>
                  <w:r>
                    <w:rPr>
                      <w:color w:val="auto"/>
                      <w:sz w:val="18"/>
                      <w:szCs w:val="18"/>
                    </w:rPr>
                    <w:t>（</w:t>
                  </w:r>
                  <w:bookmarkEnd w:id="11"/>
                  <w:r>
                    <w:rPr>
                      <w:color w:val="auto"/>
                      <w:sz w:val="18"/>
                      <w:szCs w:val="18"/>
                    </w:rPr>
                    <w:t>一）禁止的矿产资源开发活动</w:t>
                  </w:r>
                </w:p>
                <w:p>
                  <w:pPr>
                    <w:autoSpaceDE w:val="0"/>
                    <w:ind w:left="-71" w:leftChars="-34" w:right="-71" w:rightChars="-34"/>
                    <w:rPr>
                      <w:color w:val="auto"/>
                      <w:sz w:val="18"/>
                      <w:szCs w:val="18"/>
                    </w:rPr>
                  </w:pPr>
                  <w:bookmarkStart w:id="12" w:name="_Toc22391"/>
                  <w:r>
                    <w:rPr>
                      <w:color w:val="auto"/>
                      <w:sz w:val="18"/>
                      <w:szCs w:val="18"/>
                    </w:rPr>
                    <w:t>1、</w:t>
                  </w:r>
                  <w:bookmarkEnd w:id="12"/>
                  <w:r>
                    <w:rPr>
                      <w:color w:val="auto"/>
                      <w:sz w:val="18"/>
                      <w:szCs w:val="18"/>
                    </w:rPr>
                    <w:t>禁止在依法划定的自然保护区（核心区、缓冲区）、风景名胜区、森林公园、饮用水水源保护区、重要湖泊周边、文物古迹所在地、地址遗迹保护区、基本农田保护区等采矿。</w:t>
                  </w:r>
                  <w:bookmarkStart w:id="13" w:name="_Toc9006"/>
                  <w:r>
                    <w:rPr>
                      <w:color w:val="auto"/>
                      <w:sz w:val="18"/>
                      <w:szCs w:val="18"/>
                    </w:rPr>
                    <w:t>2、</w:t>
                  </w:r>
                  <w:bookmarkEnd w:id="13"/>
                  <w:r>
                    <w:rPr>
                      <w:color w:val="auto"/>
                      <w:sz w:val="18"/>
                      <w:szCs w:val="18"/>
                    </w:rPr>
                    <w:t>禁止在铁路、国道、省道两侧的直观可视范围内进行露天开采。</w:t>
                  </w:r>
                  <w:bookmarkStart w:id="14" w:name="_Toc20976"/>
                  <w:r>
                    <w:rPr>
                      <w:color w:val="auto"/>
                      <w:sz w:val="18"/>
                      <w:szCs w:val="18"/>
                    </w:rPr>
                    <w:t>3、</w:t>
                  </w:r>
                  <w:bookmarkEnd w:id="14"/>
                  <w:r>
                    <w:rPr>
                      <w:color w:val="auto"/>
                      <w:sz w:val="18"/>
                      <w:szCs w:val="18"/>
                    </w:rPr>
                    <w:t>禁止在地质灾害危险区开采矿产资源。</w:t>
                  </w:r>
                  <w:bookmarkStart w:id="15" w:name="_Toc26826"/>
                  <w:r>
                    <w:rPr>
                      <w:color w:val="auto"/>
                      <w:sz w:val="18"/>
                      <w:szCs w:val="18"/>
                    </w:rPr>
                    <w:t>4、禁止土法开采、选冶金矿和土法冶炼汞、砷、铅、锌、焦、硫等矿产资源开发</w:t>
                  </w:r>
                  <w:r>
                    <w:rPr>
                      <w:color w:val="auto"/>
                      <w:spacing w:val="-2"/>
                      <w:sz w:val="18"/>
                      <w:szCs w:val="18"/>
                    </w:rPr>
                    <w:t>活动。</w:t>
                  </w:r>
                  <w:bookmarkEnd w:id="15"/>
                  <w:bookmarkStart w:id="16" w:name="_Toc10801"/>
                  <w:r>
                    <w:rPr>
                      <w:color w:val="auto"/>
                      <w:spacing w:val="-2"/>
                      <w:sz w:val="18"/>
                      <w:szCs w:val="18"/>
                    </w:rPr>
                    <w:t>5、</w:t>
                  </w:r>
                  <w:bookmarkEnd w:id="16"/>
                  <w:r>
                    <w:rPr>
                      <w:color w:val="auto"/>
                      <w:spacing w:val="-2"/>
                      <w:sz w:val="18"/>
                      <w:szCs w:val="18"/>
                    </w:rPr>
                    <w:t>禁止新建对生态环境产生不可恢复利用的、产生破坏性影响的矿产资源开发项目。</w:t>
                  </w:r>
                </w:p>
              </w:tc>
              <w:tc>
                <w:tcPr>
                  <w:tcW w:w="1679" w:type="pct"/>
                  <w:vAlign w:val="center"/>
                </w:tcPr>
                <w:p>
                  <w:pPr>
                    <w:autoSpaceDE w:val="0"/>
                    <w:ind w:left="-71" w:leftChars="-34" w:right="-71" w:rightChars="-34"/>
                    <w:rPr>
                      <w:color w:val="auto"/>
                      <w:sz w:val="18"/>
                      <w:szCs w:val="18"/>
                    </w:rPr>
                  </w:pPr>
                  <w:bookmarkStart w:id="17" w:name="_Toc23249"/>
                  <w:r>
                    <w:rPr>
                      <w:color w:val="auto"/>
                      <w:sz w:val="18"/>
                      <w:szCs w:val="18"/>
                    </w:rPr>
                    <w:t>本项目</w:t>
                  </w:r>
                  <w:bookmarkEnd w:id="17"/>
                  <w:r>
                    <w:rPr>
                      <w:color w:val="auto"/>
                      <w:sz w:val="18"/>
                      <w:szCs w:val="18"/>
                    </w:rPr>
                    <w:t>位于万</w:t>
                  </w:r>
                  <w:r>
                    <w:rPr>
                      <w:rFonts w:hint="eastAsia"/>
                      <w:color w:val="auto"/>
                      <w:sz w:val="18"/>
                      <w:szCs w:val="18"/>
                    </w:rPr>
                    <w:t>达州市宣汉县漆树土家族乡乘龙村</w:t>
                  </w:r>
                  <w:r>
                    <w:rPr>
                      <w:color w:val="auto"/>
                      <w:sz w:val="18"/>
                      <w:szCs w:val="18"/>
                    </w:rPr>
                    <w:t>，不涉及自然保护区、风景名胜区、森林公园、饮用水水源保护区、重要湖泊周边、文物古迹所在地、地址遗迹保护区、基本农田保护区等；矿山</w:t>
                  </w:r>
                  <w:r>
                    <w:rPr>
                      <w:rFonts w:hint="eastAsia"/>
                      <w:color w:val="auto"/>
                      <w:sz w:val="18"/>
                      <w:szCs w:val="18"/>
                    </w:rPr>
                    <w:t>设有</w:t>
                  </w:r>
                  <w:r>
                    <w:rPr>
                      <w:color w:val="auto"/>
                      <w:sz w:val="18"/>
                      <w:szCs w:val="18"/>
                    </w:rPr>
                    <w:t>矿区</w:t>
                  </w:r>
                  <w:r>
                    <w:rPr>
                      <w:rFonts w:hint="eastAsia"/>
                      <w:color w:val="auto"/>
                      <w:sz w:val="18"/>
                      <w:szCs w:val="18"/>
                    </w:rPr>
                    <w:t>道路</w:t>
                  </w:r>
                  <w:r>
                    <w:rPr>
                      <w:color w:val="auto"/>
                      <w:sz w:val="18"/>
                      <w:szCs w:val="18"/>
                    </w:rPr>
                    <w:t>，连接当地乡村道路，不在铁路、国道、省道两侧的直观可视范围内；所在地不属于地质灾害危险区；项目为建筑石料用灰岩矿露天开采，采用机械化开采，开采工艺成熟；闭矿期拟对开采破坏的土地采用种植植物复垦措施</w:t>
                  </w:r>
                </w:p>
              </w:tc>
              <w:tc>
                <w:tcPr>
                  <w:tcW w:w="400" w:type="pct"/>
                  <w:vAlign w:val="center"/>
                </w:tcPr>
                <w:p>
                  <w:pPr>
                    <w:autoSpaceDE w:val="0"/>
                    <w:ind w:left="-71" w:leftChars="-34" w:right="-71" w:rightChars="-34"/>
                    <w:jc w:val="center"/>
                    <w:rPr>
                      <w:color w:val="auto"/>
                      <w:sz w:val="18"/>
                      <w:szCs w:val="18"/>
                    </w:rPr>
                  </w:pPr>
                  <w:bookmarkStart w:id="18" w:name="_Toc27125"/>
                  <w:r>
                    <w:rPr>
                      <w:color w:val="auto"/>
                      <w:sz w:val="18"/>
                      <w:szCs w:val="18"/>
                    </w:rPr>
                    <w:t>符合</w:t>
                  </w:r>
                  <w:bookmarkEnd w:id="18"/>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71" w:type="pct"/>
                  <w:vAlign w:val="center"/>
                </w:tcPr>
                <w:p>
                  <w:pPr>
                    <w:autoSpaceDE w:val="0"/>
                    <w:autoSpaceDN w:val="0"/>
                    <w:ind w:left="-71" w:leftChars="-34" w:right="-71" w:rightChars="-34"/>
                    <w:jc w:val="center"/>
                    <w:rPr>
                      <w:color w:val="auto"/>
                      <w:sz w:val="18"/>
                      <w:szCs w:val="18"/>
                    </w:rPr>
                  </w:pPr>
                  <w:bookmarkStart w:id="19" w:name="_Toc3967"/>
                  <w:bookmarkEnd w:id="19"/>
                  <w:r>
                    <w:rPr>
                      <w:color w:val="auto"/>
                      <w:sz w:val="18"/>
                      <w:szCs w:val="18"/>
                    </w:rPr>
                    <w:t>2</w:t>
                  </w:r>
                </w:p>
              </w:tc>
              <w:tc>
                <w:tcPr>
                  <w:tcW w:w="2650" w:type="pct"/>
                  <w:vAlign w:val="center"/>
                </w:tcPr>
                <w:p>
                  <w:pPr>
                    <w:autoSpaceDE w:val="0"/>
                    <w:ind w:left="-71" w:leftChars="-34" w:right="-71" w:rightChars="-34"/>
                    <w:rPr>
                      <w:color w:val="auto"/>
                      <w:sz w:val="18"/>
                      <w:szCs w:val="18"/>
                    </w:rPr>
                  </w:pPr>
                  <w:bookmarkStart w:id="20" w:name="_Toc17393"/>
                  <w:r>
                    <w:rPr>
                      <w:color w:val="auto"/>
                      <w:sz w:val="18"/>
                      <w:szCs w:val="18"/>
                    </w:rPr>
                    <w:t>三、矿山基建</w:t>
                  </w:r>
                  <w:bookmarkEnd w:id="20"/>
                </w:p>
                <w:p>
                  <w:pPr>
                    <w:autoSpaceDE w:val="0"/>
                    <w:ind w:left="-71" w:leftChars="-34" w:right="-71" w:rightChars="-34"/>
                    <w:rPr>
                      <w:color w:val="auto"/>
                      <w:sz w:val="18"/>
                      <w:szCs w:val="18"/>
                    </w:rPr>
                  </w:pPr>
                  <w:r>
                    <w:rPr>
                      <w:color w:val="auto"/>
                      <w:sz w:val="18"/>
                      <w:szCs w:val="18"/>
                    </w:rPr>
                    <w:t>1、对矿山勘探性钻孔应采取封闭等措施进行处理，以确保生产安全。</w:t>
                  </w:r>
                  <w:bookmarkStart w:id="21" w:name="_Toc13208"/>
                  <w:r>
                    <w:rPr>
                      <w:color w:val="auto"/>
                      <w:sz w:val="18"/>
                      <w:szCs w:val="18"/>
                    </w:rPr>
                    <w:t>对矿山基建可能影响的具有保护价值的动、植物资源，应优先采取就地、就近保护措施。</w:t>
                  </w:r>
                  <w:bookmarkEnd w:id="21"/>
                  <w:bookmarkStart w:id="22" w:name="_Toc9241"/>
                  <w:r>
                    <w:rPr>
                      <w:color w:val="auto"/>
                      <w:sz w:val="18"/>
                      <w:szCs w:val="18"/>
                    </w:rPr>
                    <w:t>对矿山基建产生的表土、底土和岩石等应分类堆放、分类管理和充分利用。对表土、底土和适于植物生长的地层物质均应进行保护性堆存和利用，可优先用作废弃地复垦时的土壤重构用土。</w:t>
                  </w:r>
                  <w:bookmarkEnd w:id="22"/>
                  <w:bookmarkStart w:id="23" w:name="_Toc30924"/>
                  <w:r>
                    <w:rPr>
                      <w:color w:val="auto"/>
                      <w:sz w:val="18"/>
                      <w:szCs w:val="18"/>
                    </w:rPr>
                    <w:t>4、矿山基建应尽量少占用农田和耕地，矿山基建临时性占地应及时恢复</w:t>
                  </w:r>
                  <w:bookmarkEnd w:id="23"/>
                  <w:r>
                    <w:rPr>
                      <w:color w:val="auto"/>
                      <w:sz w:val="18"/>
                      <w:szCs w:val="18"/>
                    </w:rPr>
                    <w:t>。</w:t>
                  </w:r>
                </w:p>
              </w:tc>
              <w:tc>
                <w:tcPr>
                  <w:tcW w:w="1679" w:type="pct"/>
                  <w:vAlign w:val="center"/>
                </w:tcPr>
                <w:p>
                  <w:pPr>
                    <w:widowControl/>
                    <w:ind w:left="-71" w:leftChars="-34" w:right="-71" w:rightChars="-34"/>
                    <w:rPr>
                      <w:color w:val="auto"/>
                      <w:sz w:val="18"/>
                      <w:szCs w:val="18"/>
                    </w:rPr>
                  </w:pPr>
                  <w:r>
                    <w:rPr>
                      <w:color w:val="auto"/>
                      <w:sz w:val="18"/>
                      <w:szCs w:val="18"/>
                    </w:rPr>
                    <w:t>本项目矿区范围内无具有保护价值的动、植物；开采初期表土在表土临时堆场堆存后，全部用于生态恢复覆土，并对矿区及时进行生态恢复措施，如种植适宜植物，使破坏的植被和地貌形态基本得到恢复和重建。</w:t>
                  </w:r>
                </w:p>
              </w:tc>
              <w:tc>
                <w:tcPr>
                  <w:tcW w:w="400" w:type="pct"/>
                  <w:vAlign w:val="center"/>
                </w:tcPr>
                <w:p>
                  <w:pPr>
                    <w:autoSpaceDE w:val="0"/>
                    <w:autoSpaceDN w:val="0"/>
                    <w:ind w:left="-71" w:leftChars="-34" w:right="-71" w:rightChars="-34"/>
                    <w:jc w:val="center"/>
                    <w:rPr>
                      <w:color w:val="auto"/>
                      <w:sz w:val="18"/>
                      <w:szCs w:val="18"/>
                    </w:rPr>
                  </w:pPr>
                  <w:r>
                    <w:rPr>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271" w:type="pct"/>
                  <w:vAlign w:val="center"/>
                </w:tcPr>
                <w:p>
                  <w:pPr>
                    <w:autoSpaceDE w:val="0"/>
                    <w:autoSpaceDN w:val="0"/>
                    <w:ind w:left="-71" w:leftChars="-34" w:right="-71" w:rightChars="-34"/>
                    <w:jc w:val="center"/>
                    <w:rPr>
                      <w:color w:val="auto"/>
                      <w:sz w:val="18"/>
                      <w:szCs w:val="18"/>
                    </w:rPr>
                  </w:pPr>
                  <w:bookmarkStart w:id="24" w:name="_Toc13051"/>
                  <w:r>
                    <w:rPr>
                      <w:color w:val="auto"/>
                      <w:sz w:val="18"/>
                      <w:szCs w:val="18"/>
                    </w:rPr>
                    <w:t>3</w:t>
                  </w:r>
                  <w:bookmarkEnd w:id="24"/>
                </w:p>
              </w:tc>
              <w:tc>
                <w:tcPr>
                  <w:tcW w:w="2650" w:type="pct"/>
                  <w:vAlign w:val="center"/>
                </w:tcPr>
                <w:p>
                  <w:pPr>
                    <w:ind w:left="-71" w:leftChars="-34" w:right="-71" w:rightChars="-34"/>
                    <w:rPr>
                      <w:color w:val="auto"/>
                      <w:sz w:val="18"/>
                      <w:szCs w:val="18"/>
                    </w:rPr>
                  </w:pPr>
                  <w:bookmarkStart w:id="25" w:name="_Toc2327"/>
                  <w:r>
                    <w:rPr>
                      <w:color w:val="auto"/>
                      <w:sz w:val="18"/>
                      <w:szCs w:val="18"/>
                    </w:rPr>
                    <w:t>四、采矿</w:t>
                  </w:r>
                  <w:bookmarkEnd w:id="25"/>
                </w:p>
                <w:p>
                  <w:pPr>
                    <w:ind w:left="-71" w:leftChars="-34" w:right="-71" w:rightChars="-34"/>
                    <w:rPr>
                      <w:color w:val="auto"/>
                      <w:sz w:val="18"/>
                      <w:szCs w:val="18"/>
                    </w:rPr>
                  </w:pPr>
                  <w:bookmarkStart w:id="26" w:name="_Toc29014"/>
                  <w:r>
                    <w:rPr>
                      <w:color w:val="auto"/>
                      <w:sz w:val="18"/>
                      <w:szCs w:val="18"/>
                    </w:rPr>
                    <w:t>（一）鼓励采用的采矿技术</w:t>
                  </w:r>
                  <w:bookmarkEnd w:id="26"/>
                </w:p>
                <w:p>
                  <w:pPr>
                    <w:autoSpaceDE w:val="0"/>
                    <w:autoSpaceDN w:val="0"/>
                    <w:ind w:left="-71" w:leftChars="-34" w:right="-71" w:rightChars="-34"/>
                    <w:rPr>
                      <w:color w:val="auto"/>
                      <w:sz w:val="18"/>
                      <w:szCs w:val="18"/>
                    </w:rPr>
                  </w:pPr>
                  <w:bookmarkStart w:id="27" w:name="_Toc2458"/>
                  <w:r>
                    <w:rPr>
                      <w:color w:val="auto"/>
                      <w:sz w:val="18"/>
                      <w:szCs w:val="18"/>
                    </w:rPr>
                    <w:t>1、对于露天开采的矿山，宜推广剥离—排土—造地—复耕一体化技术。</w:t>
                  </w:r>
                  <w:bookmarkEnd w:id="27"/>
                </w:p>
                <w:p>
                  <w:pPr>
                    <w:autoSpaceDE w:val="0"/>
                    <w:autoSpaceDN w:val="0"/>
                    <w:ind w:left="-71" w:leftChars="-34" w:right="-71" w:rightChars="-34"/>
                    <w:rPr>
                      <w:color w:val="auto"/>
                      <w:sz w:val="18"/>
                      <w:szCs w:val="18"/>
                    </w:rPr>
                  </w:pPr>
                  <w:r>
                    <w:rPr>
                      <w:color w:val="auto"/>
                      <w:sz w:val="18"/>
                      <w:szCs w:val="18"/>
                    </w:rPr>
                    <w:t>（二）矿坑水的综合利用和废水、废气的处理。2、宜采取修筑排水沟、引流渠，预先截堵水，防渗漏处理等措施，防止或减少各种水源进入露天采场和地下井巷。3、宜采用安装除尘装置，湿式作业，个体防护等措施，</w:t>
                  </w:r>
                  <w:r>
                    <w:rPr>
                      <w:rFonts w:hint="eastAsia"/>
                      <w:color w:val="auto"/>
                      <w:sz w:val="18"/>
                      <w:szCs w:val="18"/>
                    </w:rPr>
                    <w:t>防止</w:t>
                  </w:r>
                  <w:r>
                    <w:rPr>
                      <w:color w:val="auto"/>
                      <w:sz w:val="18"/>
                      <w:szCs w:val="18"/>
                    </w:rPr>
                    <w:t>凿岩、铲装、运输等采矿作业中的粉尘污染。</w:t>
                  </w:r>
                </w:p>
                <w:p>
                  <w:pPr>
                    <w:autoSpaceDE w:val="0"/>
                    <w:autoSpaceDN w:val="0"/>
                    <w:ind w:left="-71" w:leftChars="-34" w:right="-71" w:rightChars="-34"/>
                    <w:rPr>
                      <w:color w:val="auto"/>
                      <w:sz w:val="18"/>
                      <w:szCs w:val="18"/>
                    </w:rPr>
                  </w:pPr>
                  <w:r>
                    <w:rPr>
                      <w:color w:val="auto"/>
                      <w:sz w:val="18"/>
                      <w:szCs w:val="18"/>
                    </w:rPr>
                    <w:t>（三）固体废物贮存和综合利用</w:t>
                  </w:r>
                </w:p>
                <w:p>
                  <w:pPr>
                    <w:autoSpaceDE w:val="0"/>
                    <w:autoSpaceDN w:val="0"/>
                    <w:ind w:left="-71" w:leftChars="-34" w:right="-71" w:rightChars="-34"/>
                    <w:rPr>
                      <w:color w:val="auto"/>
                      <w:sz w:val="18"/>
                      <w:szCs w:val="18"/>
                    </w:rPr>
                  </w:pPr>
                  <w:r>
                    <w:rPr>
                      <w:color w:val="auto"/>
                      <w:sz w:val="18"/>
                      <w:szCs w:val="18"/>
                    </w:rPr>
                    <w:t>1、对采矿活动所产生的固体废物，应使用专用场所堆放，并采取有效措施防止二次环境污染及诱发次生地质灾害。应根据采矿固体废物的性质、贮存场所的工程地质情况，采用完善的防渗、集排水措施，防止淋溶水污染地表水和地下水。</w:t>
                  </w:r>
                </w:p>
              </w:tc>
              <w:tc>
                <w:tcPr>
                  <w:tcW w:w="1679" w:type="pct"/>
                  <w:vAlign w:val="center"/>
                </w:tcPr>
                <w:p>
                  <w:pPr>
                    <w:autoSpaceDE w:val="0"/>
                    <w:autoSpaceDN w:val="0"/>
                    <w:ind w:left="-71" w:leftChars="-34" w:right="-71" w:rightChars="-34"/>
                    <w:rPr>
                      <w:color w:val="auto"/>
                      <w:sz w:val="18"/>
                      <w:szCs w:val="18"/>
                    </w:rPr>
                  </w:pPr>
                  <w:bookmarkStart w:id="28" w:name="_Toc6745"/>
                  <w:r>
                    <w:rPr>
                      <w:color w:val="auto"/>
                      <w:sz w:val="18"/>
                      <w:szCs w:val="18"/>
                    </w:rPr>
                    <w:t>本项目为露天开采，开采过程</w:t>
                  </w:r>
                  <w:bookmarkEnd w:id="28"/>
                  <w:r>
                    <w:rPr>
                      <w:color w:val="auto"/>
                      <w:sz w:val="18"/>
                      <w:szCs w:val="18"/>
                    </w:rPr>
                    <w:t>的表土在临时堆场堆存后，全部用于生态恢复。项目的尾矿一起运至加工区综合利用。建设单位在开采过程中对表土临时堆场配套建设挡墙和排水沟，对表土临时堆场采取临时绿化防护、洒水保湿等防护措施。</w:t>
                  </w:r>
                </w:p>
              </w:tc>
              <w:tc>
                <w:tcPr>
                  <w:tcW w:w="400" w:type="pct"/>
                  <w:vAlign w:val="center"/>
                </w:tcPr>
                <w:p>
                  <w:pPr>
                    <w:autoSpaceDE w:val="0"/>
                    <w:autoSpaceDN w:val="0"/>
                    <w:ind w:left="-71" w:leftChars="-34" w:right="-71" w:rightChars="-34"/>
                    <w:jc w:val="center"/>
                    <w:rPr>
                      <w:color w:val="auto"/>
                      <w:sz w:val="18"/>
                      <w:szCs w:val="18"/>
                    </w:rPr>
                  </w:pPr>
                  <w:bookmarkStart w:id="29" w:name="_Toc19719"/>
                  <w:r>
                    <w:rPr>
                      <w:color w:val="auto"/>
                      <w:sz w:val="18"/>
                      <w:szCs w:val="18"/>
                    </w:rPr>
                    <w:t>符合</w:t>
                  </w:r>
                  <w:bookmarkEnd w:id="29"/>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271" w:type="pct"/>
                  <w:vAlign w:val="center"/>
                </w:tcPr>
                <w:p>
                  <w:pPr>
                    <w:autoSpaceDE w:val="0"/>
                    <w:autoSpaceDN w:val="0"/>
                    <w:ind w:left="-71" w:leftChars="-34" w:right="-71" w:rightChars="-34"/>
                    <w:jc w:val="center"/>
                    <w:rPr>
                      <w:color w:val="auto"/>
                      <w:sz w:val="18"/>
                      <w:szCs w:val="18"/>
                    </w:rPr>
                  </w:pPr>
                  <w:bookmarkStart w:id="30" w:name="_Toc3554"/>
                  <w:r>
                    <w:rPr>
                      <w:color w:val="auto"/>
                      <w:sz w:val="18"/>
                      <w:szCs w:val="18"/>
                    </w:rPr>
                    <w:t>4</w:t>
                  </w:r>
                  <w:bookmarkEnd w:id="30"/>
                </w:p>
              </w:tc>
              <w:tc>
                <w:tcPr>
                  <w:tcW w:w="2650" w:type="pct"/>
                  <w:vAlign w:val="center"/>
                </w:tcPr>
                <w:p>
                  <w:pPr>
                    <w:autoSpaceDE w:val="0"/>
                    <w:autoSpaceDN w:val="0"/>
                    <w:ind w:left="-71" w:leftChars="-34" w:right="-71" w:rightChars="-34"/>
                    <w:rPr>
                      <w:color w:val="auto"/>
                      <w:sz w:val="18"/>
                      <w:szCs w:val="18"/>
                    </w:rPr>
                  </w:pPr>
                  <w:bookmarkStart w:id="31" w:name="_Toc27495"/>
                  <w:r>
                    <w:rPr>
                      <w:color w:val="auto"/>
                      <w:sz w:val="18"/>
                      <w:szCs w:val="18"/>
                    </w:rPr>
                    <w:t>废弃地复垦</w:t>
                  </w:r>
                  <w:bookmarkEnd w:id="31"/>
                  <w:r>
                    <w:rPr>
                      <w:color w:val="auto"/>
                      <w:sz w:val="18"/>
                      <w:szCs w:val="18"/>
                    </w:rPr>
                    <w:t>：</w:t>
                  </w:r>
                </w:p>
                <w:p>
                  <w:pPr>
                    <w:autoSpaceDE w:val="0"/>
                    <w:autoSpaceDN w:val="0"/>
                    <w:ind w:left="-71" w:leftChars="-34" w:right="-71" w:rightChars="-34"/>
                    <w:rPr>
                      <w:color w:val="auto"/>
                      <w:sz w:val="18"/>
                      <w:szCs w:val="18"/>
                    </w:rPr>
                  </w:pPr>
                  <w:r>
                    <w:rPr>
                      <w:color w:val="auto"/>
                      <w:sz w:val="18"/>
                      <w:szCs w:val="18"/>
                    </w:rPr>
                    <w:t>1、矿山开采企业应将废弃地复垦纳入矿山日常生产与管理，提倡采用采(选)矿一排土(尾)一造地一复垦一体化技术。2、矿山废弃地复垦应做可垦性试验，采取最合理的方式进行废弃地复垦。3、矿山生产过程中应采取种植植物和覆盖等复垦措施，对露天坑、废石场、尾矿</w:t>
                  </w:r>
                  <w:r>
                    <w:rPr>
                      <w:color w:val="auto"/>
                      <w:spacing w:val="-2"/>
                      <w:sz w:val="18"/>
                      <w:szCs w:val="18"/>
                    </w:rPr>
                    <w:t>库、研石山等永久性坡面进行稳定化处理，防止水土流失和滑坡。废石场、尾矿库、研石山等固废堆场服务期满后，应及时封场和复垦，防止水土流失及风蚀扬尘等。</w:t>
                  </w:r>
                </w:p>
              </w:tc>
              <w:tc>
                <w:tcPr>
                  <w:tcW w:w="1679" w:type="pct"/>
                  <w:vAlign w:val="center"/>
                </w:tcPr>
                <w:p>
                  <w:pPr>
                    <w:autoSpaceDE w:val="0"/>
                    <w:autoSpaceDN w:val="0"/>
                    <w:ind w:left="-71" w:leftChars="-34" w:right="-71" w:rightChars="-34"/>
                    <w:rPr>
                      <w:color w:val="auto"/>
                      <w:sz w:val="18"/>
                      <w:szCs w:val="18"/>
                    </w:rPr>
                  </w:pPr>
                  <w:bookmarkStart w:id="32" w:name="_Toc1146"/>
                  <w:r>
                    <w:rPr>
                      <w:color w:val="auto"/>
                      <w:sz w:val="18"/>
                      <w:szCs w:val="18"/>
                    </w:rPr>
                    <w:t>本项目为露天开采，开采过程</w:t>
                  </w:r>
                  <w:bookmarkEnd w:id="32"/>
                  <w:r>
                    <w:rPr>
                      <w:color w:val="auto"/>
                      <w:sz w:val="18"/>
                      <w:szCs w:val="18"/>
                    </w:rPr>
                    <w:t>表土经临时堆场堆存后，全部用于生态恢复覆土，并对矿区及时进行生态恢复措施。建设单位在开采过程中对表土临时堆场配套建设挡墙和排水沟。</w:t>
                  </w:r>
                </w:p>
              </w:tc>
              <w:tc>
                <w:tcPr>
                  <w:tcW w:w="400" w:type="pct"/>
                  <w:vAlign w:val="center"/>
                </w:tcPr>
                <w:p>
                  <w:pPr>
                    <w:autoSpaceDE w:val="0"/>
                    <w:autoSpaceDN w:val="0"/>
                    <w:ind w:left="-71" w:leftChars="-34" w:right="-71" w:rightChars="-34"/>
                    <w:jc w:val="center"/>
                    <w:rPr>
                      <w:color w:val="auto"/>
                      <w:sz w:val="18"/>
                      <w:szCs w:val="18"/>
                    </w:rPr>
                  </w:pPr>
                  <w:bookmarkStart w:id="33" w:name="_Toc11950"/>
                  <w:r>
                    <w:rPr>
                      <w:color w:val="auto"/>
                      <w:sz w:val="18"/>
                      <w:szCs w:val="18"/>
                    </w:rPr>
                    <w:t>符合</w:t>
                  </w:r>
                  <w:bookmarkEnd w:id="33"/>
                </w:p>
              </w:tc>
            </w:tr>
          </w:tbl>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（2）与《砂石行业绿色矿山建设规范》的符合性分析</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根据《砂石行业绿色矿山建设规范》（DZ/T 0316-2018）的相关规定，本项目与该规范的符合性分析见下表。</w:t>
            </w:r>
          </w:p>
          <w:p>
            <w:pPr>
              <w:autoSpaceDE w:val="0"/>
              <w:autoSpaceDN w:val="0"/>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w:t>
            </w:r>
            <w:r>
              <w:rPr>
                <w:rFonts w:ascii="宋体" w:hAnsi="宋体" w:cs="宋体"/>
                <w:b/>
                <w:color w:val="auto"/>
                <w:kern w:val="0"/>
                <w:sz w:val="18"/>
                <w:szCs w:val="18"/>
              </w:rPr>
              <w:t>1-10</w:t>
            </w:r>
            <w:r>
              <w:rPr>
                <w:rFonts w:hint="eastAsia" w:ascii="宋体" w:hAnsi="宋体" w:cs="宋体"/>
                <w:b/>
                <w:color w:val="auto"/>
                <w:kern w:val="0"/>
                <w:sz w:val="18"/>
                <w:szCs w:val="18"/>
              </w:rPr>
              <w:t xml:space="preserve">  与《砂石行业绿色矿山建设规范》的符合性分析</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6"/>
              <w:gridCol w:w="3851"/>
              <w:gridCol w:w="2608"/>
              <w:gridCol w:w="6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Align w:val="center"/>
                </w:tcPr>
                <w:p>
                  <w:pPr>
                    <w:autoSpaceDE w:val="0"/>
                    <w:autoSpaceDN w:val="0"/>
                    <w:ind w:left="-53" w:leftChars="-25" w:right="-53" w:rightChars="-25"/>
                    <w:jc w:val="center"/>
                    <w:rPr>
                      <w:b/>
                      <w:bCs/>
                      <w:color w:val="auto"/>
                      <w:sz w:val="18"/>
                      <w:szCs w:val="18"/>
                    </w:rPr>
                  </w:pPr>
                  <w:r>
                    <w:rPr>
                      <w:b/>
                      <w:bCs/>
                      <w:color w:val="auto"/>
                      <w:sz w:val="18"/>
                      <w:szCs w:val="18"/>
                    </w:rPr>
                    <w:t>序号</w:t>
                  </w:r>
                </w:p>
              </w:tc>
              <w:tc>
                <w:tcPr>
                  <w:tcW w:w="2528" w:type="pct"/>
                  <w:vAlign w:val="center"/>
                </w:tcPr>
                <w:p>
                  <w:pPr>
                    <w:autoSpaceDE w:val="0"/>
                    <w:autoSpaceDN w:val="0"/>
                    <w:ind w:left="-53" w:leftChars="-25" w:right="-53" w:rightChars="-25"/>
                    <w:jc w:val="center"/>
                    <w:rPr>
                      <w:b/>
                      <w:bCs/>
                      <w:color w:val="auto"/>
                      <w:sz w:val="18"/>
                      <w:szCs w:val="18"/>
                    </w:rPr>
                  </w:pPr>
                  <w:r>
                    <w:rPr>
                      <w:b/>
                      <w:bCs/>
                      <w:color w:val="auto"/>
                      <w:sz w:val="18"/>
                      <w:szCs w:val="18"/>
                    </w:rPr>
                    <w:t>相关规定</w:t>
                  </w:r>
                </w:p>
              </w:tc>
              <w:tc>
                <w:tcPr>
                  <w:tcW w:w="1712" w:type="pct"/>
                  <w:vAlign w:val="center"/>
                </w:tcPr>
                <w:p>
                  <w:pPr>
                    <w:autoSpaceDE w:val="0"/>
                    <w:autoSpaceDN w:val="0"/>
                    <w:ind w:left="-53" w:leftChars="-25" w:right="-53" w:rightChars="-25"/>
                    <w:jc w:val="center"/>
                    <w:rPr>
                      <w:b/>
                      <w:bCs/>
                      <w:color w:val="auto"/>
                      <w:sz w:val="18"/>
                      <w:szCs w:val="18"/>
                    </w:rPr>
                  </w:pPr>
                  <w:r>
                    <w:rPr>
                      <w:b/>
                      <w:bCs/>
                      <w:color w:val="auto"/>
                      <w:sz w:val="18"/>
                      <w:szCs w:val="18"/>
                    </w:rPr>
                    <w:t>本工程情况</w:t>
                  </w:r>
                </w:p>
              </w:tc>
              <w:tc>
                <w:tcPr>
                  <w:tcW w:w="441" w:type="pct"/>
                  <w:vAlign w:val="center"/>
                </w:tcPr>
                <w:p>
                  <w:pPr>
                    <w:autoSpaceDE w:val="0"/>
                    <w:autoSpaceDN w:val="0"/>
                    <w:ind w:left="-53" w:leftChars="-25" w:right="-53" w:rightChars="-25"/>
                    <w:jc w:val="center"/>
                    <w:rPr>
                      <w:b/>
                      <w:bCs/>
                      <w:color w:val="auto"/>
                      <w:sz w:val="18"/>
                      <w:szCs w:val="18"/>
                    </w:rPr>
                  </w:pPr>
                  <w:r>
                    <w:rPr>
                      <w:b/>
                      <w:bCs/>
                      <w:color w:val="auto"/>
                      <w:sz w:val="18"/>
                      <w:szCs w:val="18"/>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Align w:val="center"/>
                </w:tcPr>
                <w:p>
                  <w:pPr>
                    <w:autoSpaceDE w:val="0"/>
                    <w:autoSpaceDN w:val="0"/>
                    <w:ind w:left="-53" w:leftChars="-25" w:right="-53" w:rightChars="-25"/>
                    <w:jc w:val="center"/>
                    <w:rPr>
                      <w:color w:val="auto"/>
                      <w:sz w:val="18"/>
                      <w:szCs w:val="18"/>
                    </w:rPr>
                  </w:pPr>
                  <w:r>
                    <w:rPr>
                      <w:color w:val="auto"/>
                      <w:sz w:val="18"/>
                      <w:szCs w:val="18"/>
                    </w:rPr>
                    <w:t>1</w:t>
                  </w:r>
                </w:p>
              </w:tc>
              <w:tc>
                <w:tcPr>
                  <w:tcW w:w="2528" w:type="pct"/>
                  <w:vAlign w:val="center"/>
                </w:tcPr>
                <w:p>
                  <w:pPr>
                    <w:autoSpaceDE w:val="0"/>
                    <w:ind w:left="-53" w:leftChars="-25" w:right="-53" w:rightChars="-25"/>
                    <w:rPr>
                      <w:color w:val="auto"/>
                      <w:sz w:val="18"/>
                      <w:szCs w:val="18"/>
                    </w:rPr>
                  </w:pPr>
                  <w:r>
                    <w:rPr>
                      <w:color w:val="auto"/>
                      <w:sz w:val="18"/>
                      <w:szCs w:val="18"/>
                    </w:rPr>
                    <w:t>5.2.3 矿山生产过程中应采取喷雾、喷洒水或生物纳膜、加装除尘设备等措施处置粉尘。应对输送系统、生产线、料库等采取有效措施进行抑尘；做好车辆保洁，车辆驶离矿区必须冲洗，严禁运料遗撒和带泥上路，保持矿区及周边环境卫生。</w:t>
                  </w:r>
                </w:p>
              </w:tc>
              <w:tc>
                <w:tcPr>
                  <w:tcW w:w="1712" w:type="pct"/>
                  <w:vAlign w:val="center"/>
                </w:tcPr>
                <w:p>
                  <w:pPr>
                    <w:autoSpaceDE w:val="0"/>
                    <w:ind w:left="-53" w:leftChars="-25" w:right="-53" w:rightChars="-25"/>
                    <w:rPr>
                      <w:color w:val="auto"/>
                      <w:sz w:val="18"/>
                      <w:szCs w:val="18"/>
                    </w:rPr>
                  </w:pPr>
                  <w:r>
                    <w:rPr>
                      <w:color w:val="auto"/>
                      <w:sz w:val="18"/>
                      <w:szCs w:val="18"/>
                    </w:rPr>
                    <w:t>本项目拟在矿区开采平台设雾炮机降尘，在矿石运输道路沿线设置雾炮机降尘；同时在运矿道路进出口设置车辆冲洗设施，加强运输车辆的冲洗，避免带泥上路</w:t>
                  </w:r>
                </w:p>
              </w:tc>
              <w:tc>
                <w:tcPr>
                  <w:tcW w:w="441" w:type="pct"/>
                  <w:vAlign w:val="center"/>
                </w:tcPr>
                <w:p>
                  <w:pPr>
                    <w:autoSpaceDE w:val="0"/>
                    <w:ind w:left="-53" w:leftChars="-25" w:right="-53" w:rightChars="-25"/>
                    <w:jc w:val="center"/>
                    <w:rPr>
                      <w:color w:val="auto"/>
                      <w:sz w:val="18"/>
                      <w:szCs w:val="18"/>
                    </w:rPr>
                  </w:pPr>
                  <w:r>
                    <w:rPr>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Align w:val="center"/>
                </w:tcPr>
                <w:p>
                  <w:pPr>
                    <w:autoSpaceDE w:val="0"/>
                    <w:autoSpaceDN w:val="0"/>
                    <w:ind w:left="-53" w:leftChars="-25" w:right="-53" w:rightChars="-25"/>
                    <w:jc w:val="center"/>
                    <w:rPr>
                      <w:color w:val="auto"/>
                      <w:sz w:val="18"/>
                      <w:szCs w:val="18"/>
                    </w:rPr>
                  </w:pPr>
                  <w:r>
                    <w:rPr>
                      <w:color w:val="auto"/>
                      <w:sz w:val="18"/>
                      <w:szCs w:val="18"/>
                    </w:rPr>
                    <w:t>2</w:t>
                  </w:r>
                </w:p>
              </w:tc>
              <w:tc>
                <w:tcPr>
                  <w:tcW w:w="2528" w:type="pct"/>
                  <w:vAlign w:val="center"/>
                </w:tcPr>
                <w:p>
                  <w:pPr>
                    <w:autoSpaceDE w:val="0"/>
                    <w:ind w:left="-53" w:leftChars="-25" w:right="-53" w:rightChars="-25"/>
                    <w:rPr>
                      <w:color w:val="auto"/>
                      <w:sz w:val="18"/>
                      <w:szCs w:val="18"/>
                    </w:rPr>
                  </w:pPr>
                  <w:r>
                    <w:rPr>
                      <w:color w:val="auto"/>
                      <w:sz w:val="18"/>
                      <w:szCs w:val="18"/>
                    </w:rPr>
                    <w:t>5.3 矿区绿化应与周边自然环境和景观相协调，绿化植物搭配合理，矿区绿化覆盖率应达到100%。应对排土场进行治理、复垦及绿化，在矿区专用道路两侧因地制宜地设置隔离绿化带。</w:t>
                  </w:r>
                </w:p>
              </w:tc>
              <w:tc>
                <w:tcPr>
                  <w:tcW w:w="1712" w:type="pct"/>
                  <w:vAlign w:val="center"/>
                </w:tcPr>
                <w:p>
                  <w:pPr>
                    <w:autoSpaceDE w:val="0"/>
                    <w:ind w:left="-53" w:leftChars="-25" w:right="-53" w:rightChars="-25"/>
                    <w:rPr>
                      <w:color w:val="auto"/>
                      <w:sz w:val="18"/>
                      <w:szCs w:val="18"/>
                    </w:rPr>
                  </w:pPr>
                  <w:r>
                    <w:rPr>
                      <w:color w:val="auto"/>
                      <w:sz w:val="18"/>
                      <w:szCs w:val="18"/>
                    </w:rPr>
                    <w:t>矿山将采取“边开采、边恢复”的生态恢复方针，种植当地较常见的植被种类，对排土场、专用道路等进行绿化恢复，实现绿化覆盖率100%</w:t>
                  </w:r>
                </w:p>
              </w:tc>
              <w:tc>
                <w:tcPr>
                  <w:tcW w:w="441" w:type="pct"/>
                  <w:vAlign w:val="center"/>
                </w:tcPr>
                <w:p>
                  <w:pPr>
                    <w:autoSpaceDE w:val="0"/>
                    <w:ind w:left="-53" w:leftChars="-25" w:right="-53" w:rightChars="-25"/>
                    <w:jc w:val="center"/>
                    <w:rPr>
                      <w:color w:val="auto"/>
                      <w:sz w:val="18"/>
                      <w:szCs w:val="18"/>
                    </w:rPr>
                  </w:pPr>
                  <w:r>
                    <w:rPr>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Align w:val="center"/>
                </w:tcPr>
                <w:p>
                  <w:pPr>
                    <w:autoSpaceDE w:val="0"/>
                    <w:autoSpaceDN w:val="0"/>
                    <w:ind w:left="-53" w:leftChars="-25" w:right="-53" w:rightChars="-25"/>
                    <w:jc w:val="center"/>
                    <w:rPr>
                      <w:color w:val="auto"/>
                      <w:sz w:val="18"/>
                      <w:szCs w:val="18"/>
                    </w:rPr>
                  </w:pPr>
                  <w:r>
                    <w:rPr>
                      <w:color w:val="auto"/>
                      <w:sz w:val="18"/>
                      <w:szCs w:val="18"/>
                    </w:rPr>
                    <w:t>3</w:t>
                  </w:r>
                </w:p>
              </w:tc>
              <w:tc>
                <w:tcPr>
                  <w:tcW w:w="2528" w:type="pct"/>
                  <w:vAlign w:val="center"/>
                </w:tcPr>
                <w:p>
                  <w:pPr>
                    <w:autoSpaceDE w:val="0"/>
                    <w:ind w:left="-53" w:leftChars="-25" w:right="-53" w:rightChars="-25"/>
                    <w:rPr>
                      <w:color w:val="auto"/>
                      <w:sz w:val="18"/>
                      <w:szCs w:val="18"/>
                    </w:rPr>
                  </w:pPr>
                  <w:r>
                    <w:rPr>
                      <w:color w:val="auto"/>
                      <w:sz w:val="18"/>
                      <w:szCs w:val="18"/>
                    </w:rPr>
                    <w:t>6.1.3 应贯彻“边开采、边恢复”的原则，及时治理恢复矿山地质环境，复垦矿山占用土地和损毁土地。治理率和复垦率应达到矿山地质环境保护与土地复垦方案的要求。</w:t>
                  </w:r>
                </w:p>
              </w:tc>
              <w:tc>
                <w:tcPr>
                  <w:tcW w:w="1712" w:type="pct"/>
                  <w:vAlign w:val="center"/>
                </w:tcPr>
                <w:p>
                  <w:pPr>
                    <w:autoSpaceDE w:val="0"/>
                    <w:ind w:left="-53" w:leftChars="-25" w:right="-53" w:rightChars="-25"/>
                    <w:rPr>
                      <w:color w:val="auto"/>
                      <w:sz w:val="18"/>
                      <w:szCs w:val="18"/>
                    </w:rPr>
                  </w:pPr>
                  <w:r>
                    <w:rPr>
                      <w:color w:val="auto"/>
                      <w:sz w:val="18"/>
                      <w:szCs w:val="18"/>
                    </w:rPr>
                    <w:t>建设单位将按照矿山地质保护和土地复垦方案的具体要求，及时治理恢复矿山地质环境，复垦矿山占用土地和损毁土地</w:t>
                  </w:r>
                </w:p>
              </w:tc>
              <w:tc>
                <w:tcPr>
                  <w:tcW w:w="441" w:type="pct"/>
                  <w:vAlign w:val="center"/>
                </w:tcPr>
                <w:p>
                  <w:pPr>
                    <w:autoSpaceDE w:val="0"/>
                    <w:ind w:left="-53" w:leftChars="-25" w:right="-53" w:rightChars="-25"/>
                    <w:jc w:val="center"/>
                    <w:rPr>
                      <w:color w:val="auto"/>
                      <w:sz w:val="18"/>
                      <w:szCs w:val="18"/>
                    </w:rPr>
                  </w:pPr>
                  <w:r>
                    <w:rPr>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Align w:val="center"/>
                </w:tcPr>
                <w:p>
                  <w:pPr>
                    <w:autoSpaceDE w:val="0"/>
                    <w:autoSpaceDN w:val="0"/>
                    <w:ind w:left="-53" w:leftChars="-25" w:right="-53" w:rightChars="-25"/>
                    <w:jc w:val="center"/>
                    <w:rPr>
                      <w:color w:val="auto"/>
                      <w:sz w:val="18"/>
                      <w:szCs w:val="18"/>
                    </w:rPr>
                  </w:pPr>
                  <w:r>
                    <w:rPr>
                      <w:color w:val="auto"/>
                      <w:sz w:val="18"/>
                      <w:szCs w:val="18"/>
                    </w:rPr>
                    <w:t>4</w:t>
                  </w:r>
                </w:p>
              </w:tc>
              <w:tc>
                <w:tcPr>
                  <w:tcW w:w="2528" w:type="pct"/>
                  <w:vAlign w:val="center"/>
                </w:tcPr>
                <w:p>
                  <w:pPr>
                    <w:autoSpaceDE w:val="0"/>
                    <w:ind w:left="-53" w:leftChars="-25" w:right="-53" w:rightChars="-25"/>
                    <w:rPr>
                      <w:color w:val="auto"/>
                      <w:sz w:val="18"/>
                      <w:szCs w:val="18"/>
                    </w:rPr>
                  </w:pPr>
                  <w:r>
                    <w:rPr>
                      <w:color w:val="auto"/>
                      <w:sz w:val="18"/>
                      <w:szCs w:val="18"/>
                    </w:rPr>
                    <w:t>6.5 露天采场、矿区专用道路、矿山工业场地、排土场等生态环境保护与恢复治理，应符合相关规定。恢复治理后的各类场地应与周边自然环境和景观相协调；恢复土地基本功能，因地制宜实现土地可持续利用；区域整体生态功能得到保护和恢复。</w:t>
                  </w:r>
                </w:p>
              </w:tc>
              <w:tc>
                <w:tcPr>
                  <w:tcW w:w="1712" w:type="pct"/>
                  <w:vAlign w:val="center"/>
                </w:tcPr>
                <w:p>
                  <w:pPr>
                    <w:autoSpaceDE w:val="0"/>
                    <w:ind w:left="-53" w:leftChars="-25" w:right="-53" w:rightChars="-25"/>
                    <w:rPr>
                      <w:color w:val="auto"/>
                      <w:sz w:val="18"/>
                      <w:szCs w:val="18"/>
                    </w:rPr>
                  </w:pPr>
                  <w:r>
                    <w:rPr>
                      <w:color w:val="auto"/>
                      <w:sz w:val="18"/>
                      <w:szCs w:val="18"/>
                    </w:rPr>
                    <w:t>建设单位将按照相关的要求，对露天采场、矿区专用道路等区域采取生态环境保护与恢复治理。</w:t>
                  </w:r>
                </w:p>
              </w:tc>
              <w:tc>
                <w:tcPr>
                  <w:tcW w:w="441" w:type="pct"/>
                  <w:vAlign w:val="center"/>
                </w:tcPr>
                <w:p>
                  <w:pPr>
                    <w:autoSpaceDE w:val="0"/>
                    <w:ind w:left="-53" w:leftChars="-25" w:right="-53" w:rightChars="-25"/>
                    <w:jc w:val="center"/>
                    <w:rPr>
                      <w:color w:val="auto"/>
                      <w:sz w:val="18"/>
                      <w:szCs w:val="18"/>
                    </w:rPr>
                  </w:pPr>
                  <w:r>
                    <w:rPr>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Align w:val="center"/>
                </w:tcPr>
                <w:p>
                  <w:pPr>
                    <w:autoSpaceDE w:val="0"/>
                    <w:autoSpaceDN w:val="0"/>
                    <w:ind w:left="-53" w:leftChars="-25" w:right="-53" w:rightChars="-25"/>
                    <w:jc w:val="center"/>
                    <w:rPr>
                      <w:color w:val="auto"/>
                      <w:sz w:val="18"/>
                      <w:szCs w:val="18"/>
                    </w:rPr>
                  </w:pPr>
                  <w:r>
                    <w:rPr>
                      <w:color w:val="auto"/>
                      <w:sz w:val="18"/>
                      <w:szCs w:val="18"/>
                    </w:rPr>
                    <w:t>5</w:t>
                  </w:r>
                </w:p>
              </w:tc>
              <w:tc>
                <w:tcPr>
                  <w:tcW w:w="2528" w:type="pct"/>
                  <w:vAlign w:val="center"/>
                </w:tcPr>
                <w:p>
                  <w:pPr>
                    <w:autoSpaceDE w:val="0"/>
                    <w:ind w:left="-53" w:leftChars="-25" w:right="-53" w:rightChars="-25"/>
                    <w:rPr>
                      <w:color w:val="auto"/>
                      <w:sz w:val="18"/>
                      <w:szCs w:val="18"/>
                    </w:rPr>
                  </w:pPr>
                  <w:r>
                    <w:rPr>
                      <w:color w:val="auto"/>
                      <w:sz w:val="18"/>
                      <w:szCs w:val="18"/>
                    </w:rPr>
                    <w:t>7.4 排土场堆放的剥离表土或筛分后的渣土，宜用于环境治理、土地复垦和生态修复。</w:t>
                  </w:r>
                </w:p>
              </w:tc>
              <w:tc>
                <w:tcPr>
                  <w:tcW w:w="1712" w:type="pct"/>
                  <w:vAlign w:val="center"/>
                </w:tcPr>
                <w:p>
                  <w:pPr>
                    <w:autoSpaceDE w:val="0"/>
                    <w:ind w:left="-53" w:leftChars="-25" w:right="-53" w:rightChars="-25"/>
                    <w:rPr>
                      <w:color w:val="auto"/>
                      <w:sz w:val="18"/>
                      <w:szCs w:val="18"/>
                    </w:rPr>
                  </w:pPr>
                  <w:r>
                    <w:rPr>
                      <w:color w:val="auto"/>
                      <w:sz w:val="18"/>
                      <w:szCs w:val="18"/>
                    </w:rPr>
                    <w:t>本项目排土场的剥离表土将用于环境治理、土地复垦和生态修复。</w:t>
                  </w:r>
                </w:p>
              </w:tc>
              <w:tc>
                <w:tcPr>
                  <w:tcW w:w="441" w:type="pct"/>
                  <w:vAlign w:val="center"/>
                </w:tcPr>
                <w:p>
                  <w:pPr>
                    <w:autoSpaceDE w:val="0"/>
                    <w:ind w:left="-53" w:leftChars="-25" w:right="-53" w:rightChars="-25"/>
                    <w:jc w:val="center"/>
                    <w:rPr>
                      <w:color w:val="auto"/>
                      <w:sz w:val="18"/>
                      <w:szCs w:val="18"/>
                    </w:rPr>
                  </w:pPr>
                  <w:r>
                    <w:rPr>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Align w:val="center"/>
                </w:tcPr>
                <w:p>
                  <w:pPr>
                    <w:autoSpaceDE w:val="0"/>
                    <w:autoSpaceDN w:val="0"/>
                    <w:ind w:left="-53" w:leftChars="-25" w:right="-53" w:rightChars="-25"/>
                    <w:jc w:val="center"/>
                    <w:rPr>
                      <w:color w:val="auto"/>
                      <w:sz w:val="18"/>
                      <w:szCs w:val="18"/>
                    </w:rPr>
                  </w:pPr>
                  <w:r>
                    <w:rPr>
                      <w:color w:val="auto"/>
                      <w:sz w:val="18"/>
                      <w:szCs w:val="18"/>
                    </w:rPr>
                    <w:t>6</w:t>
                  </w:r>
                </w:p>
              </w:tc>
              <w:tc>
                <w:tcPr>
                  <w:tcW w:w="2528" w:type="pct"/>
                  <w:vAlign w:val="center"/>
                </w:tcPr>
                <w:p>
                  <w:pPr>
                    <w:autoSpaceDE w:val="0"/>
                    <w:ind w:left="-53" w:leftChars="-25" w:right="-53" w:rightChars="-25"/>
                    <w:rPr>
                      <w:color w:val="auto"/>
                      <w:sz w:val="18"/>
                      <w:szCs w:val="18"/>
                    </w:rPr>
                  </w:pPr>
                  <w:r>
                    <w:rPr>
                      <w:color w:val="auto"/>
                      <w:sz w:val="18"/>
                      <w:szCs w:val="18"/>
                    </w:rPr>
                    <w:t>7.5 应配备完善的生产废水处理系统，经过固液分离处理后的清水循环利用率应达到100%。</w:t>
                  </w:r>
                </w:p>
              </w:tc>
              <w:tc>
                <w:tcPr>
                  <w:tcW w:w="1712" w:type="pct"/>
                  <w:vAlign w:val="center"/>
                </w:tcPr>
                <w:p>
                  <w:pPr>
                    <w:autoSpaceDE w:val="0"/>
                    <w:ind w:left="-53" w:leftChars="-25" w:right="-53" w:rightChars="-25"/>
                    <w:rPr>
                      <w:color w:val="auto"/>
                      <w:sz w:val="18"/>
                      <w:szCs w:val="18"/>
                    </w:rPr>
                  </w:pPr>
                  <w:r>
                    <w:rPr>
                      <w:color w:val="auto"/>
                      <w:sz w:val="18"/>
                      <w:szCs w:val="18"/>
                    </w:rPr>
                    <w:t>本项目拟设置生产废水处理系统，废水处理后全部循环回用不外排，清水循环利用率可达到100%。</w:t>
                  </w:r>
                </w:p>
              </w:tc>
              <w:tc>
                <w:tcPr>
                  <w:tcW w:w="441" w:type="pct"/>
                  <w:vAlign w:val="center"/>
                </w:tcPr>
                <w:p>
                  <w:pPr>
                    <w:autoSpaceDE w:val="0"/>
                    <w:ind w:left="-53" w:leftChars="-25" w:right="-53" w:rightChars="-25"/>
                    <w:jc w:val="center"/>
                    <w:rPr>
                      <w:color w:val="auto"/>
                      <w:sz w:val="18"/>
                      <w:szCs w:val="18"/>
                    </w:rPr>
                  </w:pPr>
                  <w:r>
                    <w:rPr>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Align w:val="center"/>
                </w:tcPr>
                <w:p>
                  <w:pPr>
                    <w:autoSpaceDE w:val="0"/>
                    <w:autoSpaceDN w:val="0"/>
                    <w:ind w:left="-53" w:leftChars="-25" w:right="-53" w:rightChars="-25"/>
                    <w:jc w:val="center"/>
                    <w:rPr>
                      <w:color w:val="auto"/>
                      <w:sz w:val="18"/>
                      <w:szCs w:val="18"/>
                    </w:rPr>
                  </w:pPr>
                  <w:r>
                    <w:rPr>
                      <w:color w:val="auto"/>
                      <w:sz w:val="18"/>
                      <w:szCs w:val="18"/>
                    </w:rPr>
                    <w:t>7</w:t>
                  </w:r>
                </w:p>
              </w:tc>
              <w:tc>
                <w:tcPr>
                  <w:tcW w:w="2528" w:type="pct"/>
                  <w:vAlign w:val="center"/>
                </w:tcPr>
                <w:p>
                  <w:pPr>
                    <w:autoSpaceDE w:val="0"/>
                    <w:ind w:left="-53" w:leftChars="-25" w:right="-53" w:rightChars="-25"/>
                    <w:rPr>
                      <w:color w:val="auto"/>
                      <w:sz w:val="18"/>
                      <w:szCs w:val="18"/>
                    </w:rPr>
                  </w:pPr>
                  <w:r>
                    <w:rPr>
                      <w:color w:val="auto"/>
                      <w:sz w:val="18"/>
                      <w:szCs w:val="18"/>
                    </w:rPr>
                    <w:t>8.3.2 矿区应配置洒水车、高压喷雾车等设备。</w:t>
                  </w:r>
                </w:p>
              </w:tc>
              <w:tc>
                <w:tcPr>
                  <w:tcW w:w="1712" w:type="pct"/>
                  <w:vAlign w:val="center"/>
                </w:tcPr>
                <w:p>
                  <w:pPr>
                    <w:autoSpaceDE w:val="0"/>
                    <w:ind w:left="-53" w:leftChars="-25" w:right="-53" w:rightChars="-25"/>
                    <w:rPr>
                      <w:color w:val="auto"/>
                      <w:sz w:val="18"/>
                      <w:szCs w:val="18"/>
                    </w:rPr>
                  </w:pPr>
                  <w:r>
                    <w:rPr>
                      <w:color w:val="auto"/>
                      <w:sz w:val="18"/>
                      <w:szCs w:val="18"/>
                    </w:rPr>
                    <w:t>矿区拟配备雾炮机降尘</w:t>
                  </w:r>
                </w:p>
              </w:tc>
              <w:tc>
                <w:tcPr>
                  <w:tcW w:w="441" w:type="pct"/>
                  <w:vAlign w:val="center"/>
                </w:tcPr>
                <w:p>
                  <w:pPr>
                    <w:autoSpaceDE w:val="0"/>
                    <w:ind w:left="-53" w:leftChars="-25" w:right="-53" w:rightChars="-25"/>
                    <w:jc w:val="center"/>
                    <w:rPr>
                      <w:color w:val="auto"/>
                      <w:sz w:val="18"/>
                      <w:szCs w:val="18"/>
                    </w:rPr>
                  </w:pPr>
                  <w:r>
                    <w:rPr>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Align w:val="center"/>
                </w:tcPr>
                <w:p>
                  <w:pPr>
                    <w:autoSpaceDE w:val="0"/>
                    <w:autoSpaceDN w:val="0"/>
                    <w:ind w:left="-53" w:leftChars="-25" w:right="-53" w:rightChars="-25"/>
                    <w:jc w:val="center"/>
                    <w:rPr>
                      <w:color w:val="auto"/>
                      <w:sz w:val="18"/>
                      <w:szCs w:val="18"/>
                    </w:rPr>
                  </w:pPr>
                  <w:r>
                    <w:rPr>
                      <w:color w:val="auto"/>
                      <w:sz w:val="18"/>
                      <w:szCs w:val="18"/>
                    </w:rPr>
                    <w:t>8</w:t>
                  </w:r>
                </w:p>
              </w:tc>
              <w:tc>
                <w:tcPr>
                  <w:tcW w:w="2528" w:type="pct"/>
                  <w:vAlign w:val="center"/>
                </w:tcPr>
                <w:p>
                  <w:pPr>
                    <w:autoSpaceDE w:val="0"/>
                    <w:ind w:left="-53" w:leftChars="-25" w:right="-53" w:rightChars="-25"/>
                    <w:rPr>
                      <w:color w:val="auto"/>
                      <w:sz w:val="18"/>
                      <w:szCs w:val="18"/>
                    </w:rPr>
                  </w:pPr>
                  <w:r>
                    <w:rPr>
                      <w:color w:val="auto"/>
                      <w:sz w:val="18"/>
                      <w:szCs w:val="18"/>
                    </w:rPr>
                    <w:t>8.4矿区及厂区应建有雨水截(排)水沟和集水池，地表径流水经沉淀处理后达标排放。矿区及厂区的生产排水，雨水和生活污水，应实现雨污分流、清污分流。</w:t>
                  </w:r>
                </w:p>
              </w:tc>
              <w:tc>
                <w:tcPr>
                  <w:tcW w:w="1712" w:type="pct"/>
                  <w:vAlign w:val="center"/>
                </w:tcPr>
                <w:p>
                  <w:pPr>
                    <w:autoSpaceDE w:val="0"/>
                    <w:ind w:left="-53" w:leftChars="-25" w:right="-53" w:rightChars="-25"/>
                    <w:rPr>
                      <w:color w:val="auto"/>
                      <w:sz w:val="18"/>
                      <w:szCs w:val="18"/>
                    </w:rPr>
                  </w:pPr>
                  <w:r>
                    <w:rPr>
                      <w:color w:val="auto"/>
                      <w:sz w:val="18"/>
                      <w:szCs w:val="18"/>
                    </w:rPr>
                    <w:t>项目矿区拟建雨水截水沟和集水池，将雨水收集沉淀后达标排放；生产废水主要为开采切割废水，拟设废水处理系统及排水沟收集处理后，全部循环回用，能够做到雨污分流、清污分流。</w:t>
                  </w:r>
                </w:p>
              </w:tc>
              <w:tc>
                <w:tcPr>
                  <w:tcW w:w="441" w:type="pct"/>
                  <w:vAlign w:val="center"/>
                </w:tcPr>
                <w:p>
                  <w:pPr>
                    <w:autoSpaceDE w:val="0"/>
                    <w:ind w:left="-53" w:leftChars="-25" w:right="-53" w:rightChars="-25"/>
                    <w:jc w:val="center"/>
                    <w:rPr>
                      <w:color w:val="auto"/>
                      <w:sz w:val="18"/>
                      <w:szCs w:val="18"/>
                    </w:rPr>
                  </w:pPr>
                  <w:r>
                    <w:rPr>
                      <w:color w:val="auto"/>
                      <w:sz w:val="18"/>
                      <w:szCs w:val="18"/>
                    </w:rPr>
                    <w:t>符合</w:t>
                  </w:r>
                </w:p>
              </w:tc>
            </w:tr>
          </w:tbl>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（3）与《达州市集中式饮用水水源保护管理条例》符合性分析</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根据《达州市集中式饮用水水源保护管理条例》（达州市第四届人民代表大会常务委员会公告第20号）的相关要求，本项目与该条例的符合性分析见下表。</w:t>
            </w:r>
          </w:p>
          <w:p>
            <w:pPr>
              <w:autoSpaceDE w:val="0"/>
              <w:autoSpaceDN w:val="0"/>
              <w:adjustRightInd w:val="0"/>
              <w:snapToGrid w:val="0"/>
              <w:spacing w:line="360" w:lineRule="auto"/>
              <w:jc w:val="center"/>
              <w:rPr>
                <w:rFonts w:ascii="宋体" w:hAnsi="宋体" w:cs="宋体"/>
                <w:color w:val="auto"/>
                <w:kern w:val="0"/>
                <w:szCs w:val="21"/>
              </w:rPr>
            </w:pPr>
            <w:r>
              <w:rPr>
                <w:rFonts w:hint="eastAsia" w:ascii="宋体" w:hAnsi="宋体" w:cs="宋体"/>
                <w:b/>
                <w:color w:val="auto"/>
                <w:kern w:val="0"/>
                <w:sz w:val="18"/>
                <w:szCs w:val="18"/>
              </w:rPr>
              <w:t>表</w:t>
            </w:r>
            <w:r>
              <w:rPr>
                <w:rFonts w:ascii="宋体" w:hAnsi="宋体" w:cs="宋体"/>
                <w:b/>
                <w:color w:val="auto"/>
                <w:kern w:val="0"/>
                <w:sz w:val="18"/>
                <w:szCs w:val="18"/>
              </w:rPr>
              <w:t>1-11</w:t>
            </w:r>
            <w:r>
              <w:rPr>
                <w:rFonts w:hint="eastAsia" w:ascii="宋体" w:hAnsi="宋体" w:cs="宋体"/>
                <w:b/>
                <w:color w:val="auto"/>
                <w:kern w:val="0"/>
                <w:sz w:val="18"/>
                <w:szCs w:val="18"/>
              </w:rPr>
              <w:t xml:space="preserve">  与《达州市集中式饮用水水源保护管理条例》的符合性分析</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6"/>
              <w:gridCol w:w="4724"/>
              <w:gridCol w:w="1734"/>
              <w:gridCol w:w="6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319" w:type="pct"/>
                  <w:vAlign w:val="center"/>
                </w:tcPr>
                <w:p>
                  <w:pPr>
                    <w:autoSpaceDE w:val="0"/>
                    <w:autoSpaceDN w:val="0"/>
                    <w:spacing w:line="260" w:lineRule="exact"/>
                    <w:ind w:left="-53" w:leftChars="-25" w:right="-53" w:rightChars="-25"/>
                    <w:jc w:val="center"/>
                    <w:rPr>
                      <w:b/>
                      <w:bCs/>
                      <w:color w:val="auto"/>
                      <w:sz w:val="18"/>
                      <w:szCs w:val="18"/>
                    </w:rPr>
                  </w:pPr>
                  <w:r>
                    <w:rPr>
                      <w:b/>
                      <w:bCs/>
                      <w:color w:val="auto"/>
                      <w:sz w:val="18"/>
                      <w:szCs w:val="18"/>
                    </w:rPr>
                    <w:t>序号</w:t>
                  </w:r>
                </w:p>
              </w:tc>
              <w:tc>
                <w:tcPr>
                  <w:tcW w:w="3101" w:type="pct"/>
                  <w:vAlign w:val="center"/>
                </w:tcPr>
                <w:p>
                  <w:pPr>
                    <w:autoSpaceDE w:val="0"/>
                    <w:autoSpaceDN w:val="0"/>
                    <w:spacing w:line="260" w:lineRule="exact"/>
                    <w:ind w:left="-53" w:leftChars="-25" w:right="-53" w:rightChars="-25"/>
                    <w:jc w:val="center"/>
                    <w:rPr>
                      <w:b/>
                      <w:bCs/>
                      <w:color w:val="auto"/>
                      <w:sz w:val="18"/>
                      <w:szCs w:val="18"/>
                    </w:rPr>
                  </w:pPr>
                  <w:r>
                    <w:rPr>
                      <w:b/>
                      <w:bCs/>
                      <w:color w:val="auto"/>
                      <w:sz w:val="18"/>
                      <w:szCs w:val="18"/>
                    </w:rPr>
                    <w:t>相关规定</w:t>
                  </w:r>
                </w:p>
              </w:tc>
              <w:tc>
                <w:tcPr>
                  <w:tcW w:w="1138" w:type="pct"/>
                  <w:vAlign w:val="center"/>
                </w:tcPr>
                <w:p>
                  <w:pPr>
                    <w:autoSpaceDE w:val="0"/>
                    <w:autoSpaceDN w:val="0"/>
                    <w:spacing w:line="260" w:lineRule="exact"/>
                    <w:ind w:left="-53" w:leftChars="-25" w:right="-53" w:rightChars="-25"/>
                    <w:jc w:val="center"/>
                    <w:rPr>
                      <w:b/>
                      <w:bCs/>
                      <w:color w:val="auto"/>
                      <w:sz w:val="18"/>
                      <w:szCs w:val="18"/>
                    </w:rPr>
                  </w:pPr>
                  <w:r>
                    <w:rPr>
                      <w:b/>
                      <w:bCs/>
                      <w:color w:val="auto"/>
                      <w:sz w:val="18"/>
                      <w:szCs w:val="18"/>
                    </w:rPr>
                    <w:t>本工程情况</w:t>
                  </w:r>
                </w:p>
              </w:tc>
              <w:tc>
                <w:tcPr>
                  <w:tcW w:w="442" w:type="pct"/>
                  <w:vAlign w:val="center"/>
                </w:tcPr>
                <w:p>
                  <w:pPr>
                    <w:autoSpaceDE w:val="0"/>
                    <w:autoSpaceDN w:val="0"/>
                    <w:spacing w:line="260" w:lineRule="exact"/>
                    <w:ind w:left="-53" w:leftChars="-25" w:right="-53" w:rightChars="-25"/>
                    <w:jc w:val="center"/>
                    <w:rPr>
                      <w:b/>
                      <w:bCs/>
                      <w:color w:val="auto"/>
                      <w:sz w:val="18"/>
                      <w:szCs w:val="18"/>
                    </w:rPr>
                  </w:pPr>
                  <w:r>
                    <w:rPr>
                      <w:b/>
                      <w:bCs/>
                      <w:color w:val="auto"/>
                      <w:sz w:val="18"/>
                      <w:szCs w:val="18"/>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19" w:type="pct"/>
                  <w:vAlign w:val="center"/>
                </w:tcPr>
                <w:p>
                  <w:pPr>
                    <w:autoSpaceDE w:val="0"/>
                    <w:autoSpaceDN w:val="0"/>
                    <w:spacing w:line="260" w:lineRule="exact"/>
                    <w:ind w:left="-53" w:leftChars="-25" w:right="-53" w:rightChars="-25"/>
                    <w:jc w:val="center"/>
                    <w:rPr>
                      <w:color w:val="auto"/>
                      <w:sz w:val="18"/>
                      <w:szCs w:val="18"/>
                    </w:rPr>
                  </w:pPr>
                  <w:r>
                    <w:rPr>
                      <w:color w:val="auto"/>
                      <w:sz w:val="18"/>
                      <w:szCs w:val="18"/>
                    </w:rPr>
                    <w:t>1</w:t>
                  </w:r>
                </w:p>
              </w:tc>
              <w:tc>
                <w:tcPr>
                  <w:tcW w:w="3101" w:type="pct"/>
                  <w:vAlign w:val="center"/>
                </w:tcPr>
                <w:p>
                  <w:pPr>
                    <w:autoSpaceDE w:val="0"/>
                    <w:spacing w:line="260" w:lineRule="exact"/>
                    <w:ind w:left="-53" w:leftChars="-25" w:right="-53" w:rightChars="-25"/>
                    <w:rPr>
                      <w:color w:val="auto"/>
                      <w:sz w:val="18"/>
                      <w:szCs w:val="18"/>
                    </w:rPr>
                  </w:pPr>
                  <w:r>
                    <w:rPr>
                      <w:rFonts w:hint="eastAsia"/>
                      <w:color w:val="auto"/>
                      <w:sz w:val="18"/>
                      <w:szCs w:val="18"/>
                    </w:rPr>
                    <w:t>集中式饮用水水源保护区内，禁止设置排污口。</w:t>
                  </w:r>
                </w:p>
              </w:tc>
              <w:tc>
                <w:tcPr>
                  <w:tcW w:w="1138" w:type="pct"/>
                  <w:vAlign w:val="center"/>
                </w:tcPr>
                <w:p>
                  <w:pPr>
                    <w:autoSpaceDE w:val="0"/>
                    <w:spacing w:line="260" w:lineRule="exact"/>
                    <w:ind w:left="-53" w:leftChars="-25" w:right="-53" w:rightChars="-25"/>
                    <w:rPr>
                      <w:color w:val="auto"/>
                      <w:sz w:val="18"/>
                      <w:szCs w:val="18"/>
                    </w:rPr>
                  </w:pPr>
                  <w:r>
                    <w:rPr>
                      <w:rFonts w:hint="eastAsia"/>
                      <w:color w:val="auto"/>
                      <w:sz w:val="18"/>
                      <w:szCs w:val="18"/>
                    </w:rPr>
                    <w:t>本项目不所在地不涉及饮用水源保护区，设置生产废水处理系统，废水处理后全部循环回用不外排。</w:t>
                  </w:r>
                </w:p>
              </w:tc>
              <w:tc>
                <w:tcPr>
                  <w:tcW w:w="442" w:type="pct"/>
                  <w:vAlign w:val="center"/>
                </w:tcPr>
                <w:p>
                  <w:pPr>
                    <w:autoSpaceDE w:val="0"/>
                    <w:spacing w:line="260" w:lineRule="exact"/>
                    <w:ind w:left="-53" w:leftChars="-25" w:right="-53" w:rightChars="-25"/>
                    <w:jc w:val="center"/>
                    <w:rPr>
                      <w:color w:val="auto"/>
                      <w:sz w:val="18"/>
                      <w:szCs w:val="18"/>
                    </w:rPr>
                  </w:pPr>
                  <w:r>
                    <w:rPr>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19" w:type="pct"/>
                  <w:vAlign w:val="center"/>
                </w:tcPr>
                <w:p>
                  <w:pPr>
                    <w:autoSpaceDE w:val="0"/>
                    <w:autoSpaceDN w:val="0"/>
                    <w:spacing w:line="260" w:lineRule="exact"/>
                    <w:ind w:left="-53" w:leftChars="-25" w:right="-53" w:rightChars="-25"/>
                    <w:jc w:val="center"/>
                    <w:rPr>
                      <w:color w:val="auto"/>
                      <w:sz w:val="18"/>
                      <w:szCs w:val="18"/>
                    </w:rPr>
                  </w:pPr>
                  <w:r>
                    <w:rPr>
                      <w:rFonts w:hint="eastAsia"/>
                      <w:color w:val="auto"/>
                      <w:sz w:val="18"/>
                      <w:szCs w:val="18"/>
                    </w:rPr>
                    <w:t>2</w:t>
                  </w:r>
                </w:p>
              </w:tc>
              <w:tc>
                <w:tcPr>
                  <w:tcW w:w="3101" w:type="pct"/>
                  <w:vAlign w:val="center"/>
                </w:tcPr>
                <w:p>
                  <w:pPr>
                    <w:autoSpaceDE w:val="0"/>
                    <w:spacing w:line="260" w:lineRule="exact"/>
                    <w:ind w:left="-53" w:leftChars="-25" w:right="-53" w:rightChars="-25"/>
                    <w:rPr>
                      <w:color w:val="auto"/>
                      <w:sz w:val="18"/>
                      <w:szCs w:val="18"/>
                    </w:rPr>
                  </w:pPr>
                  <w:r>
                    <w:rPr>
                      <w:rFonts w:hint="eastAsia"/>
                      <w:color w:val="auto"/>
                      <w:sz w:val="18"/>
                      <w:szCs w:val="18"/>
                    </w:rPr>
                    <w:t>集中式地表水饮用水水源准保护区内，应当遵守下列规定：</w:t>
                  </w:r>
                </w:p>
                <w:p>
                  <w:pPr>
                    <w:autoSpaceDE w:val="0"/>
                    <w:spacing w:line="260" w:lineRule="exact"/>
                    <w:ind w:left="-53" w:leftChars="-25" w:right="-53" w:rightChars="-25"/>
                    <w:rPr>
                      <w:color w:val="auto"/>
                      <w:sz w:val="18"/>
                      <w:szCs w:val="18"/>
                    </w:rPr>
                  </w:pPr>
                  <w:r>
                    <w:rPr>
                      <w:rFonts w:hint="eastAsia"/>
                      <w:color w:val="auto"/>
                      <w:sz w:val="18"/>
                      <w:szCs w:val="18"/>
                    </w:rPr>
                    <w:t>（一）禁止新建、扩建造纸、制革、印染、染料、炼焦、炼砷、炼油、电镀、农药、化工、冶炼等对水体污染严重的建设项目；改建建设项目，不得增加排污量；</w:t>
                  </w:r>
                </w:p>
                <w:p>
                  <w:pPr>
                    <w:autoSpaceDE w:val="0"/>
                    <w:spacing w:line="260" w:lineRule="exact"/>
                    <w:ind w:left="-53" w:leftChars="-25" w:right="-53" w:rightChars="-25"/>
                    <w:rPr>
                      <w:color w:val="auto"/>
                      <w:sz w:val="18"/>
                      <w:szCs w:val="18"/>
                    </w:rPr>
                  </w:pPr>
                  <w:r>
                    <w:rPr>
                      <w:rFonts w:hint="eastAsia"/>
                      <w:color w:val="auto"/>
                      <w:sz w:val="18"/>
                      <w:szCs w:val="18"/>
                    </w:rPr>
                    <w:t>（二）禁止设置易溶性、有毒有害废弃物和危险废物的暂存和转运场所；禁止设置生活垃圾和工业固体废物的处置场所，生活垃圾转运站和工业固体废物暂存场所应当设置防护设施；</w:t>
                  </w:r>
                </w:p>
                <w:p>
                  <w:pPr>
                    <w:autoSpaceDE w:val="0"/>
                    <w:spacing w:line="260" w:lineRule="exact"/>
                    <w:ind w:left="-53" w:leftChars="-25" w:right="-53" w:rightChars="-25"/>
                    <w:rPr>
                      <w:color w:val="auto"/>
                      <w:sz w:val="18"/>
                      <w:szCs w:val="18"/>
                    </w:rPr>
                  </w:pPr>
                  <w:r>
                    <w:rPr>
                      <w:rFonts w:hint="eastAsia"/>
                      <w:color w:val="auto"/>
                      <w:sz w:val="18"/>
                      <w:szCs w:val="18"/>
                    </w:rPr>
                    <w:t>（三）禁止进行可能影响饮用水水源水质的天然气、石灰石、盐卤等矿产勘查、开采等活动；</w:t>
                  </w:r>
                </w:p>
                <w:p>
                  <w:pPr>
                    <w:autoSpaceDE w:val="0"/>
                    <w:spacing w:line="260" w:lineRule="exact"/>
                    <w:ind w:left="-53" w:leftChars="-25" w:right="-53" w:rightChars="-25"/>
                    <w:rPr>
                      <w:color w:val="auto"/>
                      <w:sz w:val="18"/>
                      <w:szCs w:val="18"/>
                    </w:rPr>
                  </w:pPr>
                  <w:r>
                    <w:rPr>
                      <w:rFonts w:hint="eastAsia"/>
                      <w:color w:val="auto"/>
                      <w:sz w:val="18"/>
                      <w:szCs w:val="18"/>
                    </w:rPr>
                    <w:t>（四）法律、法规禁止的其他行为。</w:t>
                  </w:r>
                </w:p>
              </w:tc>
              <w:tc>
                <w:tcPr>
                  <w:tcW w:w="1138" w:type="pct"/>
                  <w:vAlign w:val="center"/>
                </w:tcPr>
                <w:p>
                  <w:pPr>
                    <w:autoSpaceDE w:val="0"/>
                    <w:spacing w:line="260" w:lineRule="exact"/>
                    <w:ind w:left="-53" w:leftChars="-25" w:right="-53" w:rightChars="-25"/>
                    <w:rPr>
                      <w:color w:val="auto"/>
                      <w:sz w:val="18"/>
                      <w:szCs w:val="18"/>
                    </w:rPr>
                  </w:pPr>
                  <w:r>
                    <w:rPr>
                      <w:rFonts w:hint="eastAsia"/>
                      <w:color w:val="auto"/>
                      <w:sz w:val="18"/>
                      <w:szCs w:val="18"/>
                    </w:rPr>
                    <w:t>根据项目采矿区、加工区选址分析，项目选址不涉及饮用水源保护区，项目产生的废水全部回用不外排，固体废物能够得到合理处置。</w:t>
                  </w:r>
                </w:p>
              </w:tc>
              <w:tc>
                <w:tcPr>
                  <w:tcW w:w="442" w:type="pct"/>
                  <w:vAlign w:val="center"/>
                </w:tcPr>
                <w:p>
                  <w:pPr>
                    <w:autoSpaceDE w:val="0"/>
                    <w:spacing w:line="260" w:lineRule="exact"/>
                    <w:ind w:left="-53" w:leftChars="-25" w:right="-53" w:rightChars="-25"/>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19" w:type="pct"/>
                  <w:vAlign w:val="center"/>
                </w:tcPr>
                <w:p>
                  <w:pPr>
                    <w:autoSpaceDE w:val="0"/>
                    <w:autoSpaceDN w:val="0"/>
                    <w:spacing w:line="260" w:lineRule="exact"/>
                    <w:ind w:left="-53" w:leftChars="-25" w:right="-53" w:rightChars="-25"/>
                    <w:jc w:val="center"/>
                    <w:rPr>
                      <w:color w:val="auto"/>
                      <w:sz w:val="18"/>
                      <w:szCs w:val="18"/>
                    </w:rPr>
                  </w:pPr>
                  <w:r>
                    <w:rPr>
                      <w:rFonts w:hint="eastAsia"/>
                      <w:color w:val="auto"/>
                      <w:sz w:val="18"/>
                      <w:szCs w:val="18"/>
                    </w:rPr>
                    <w:t>3</w:t>
                  </w:r>
                </w:p>
              </w:tc>
              <w:tc>
                <w:tcPr>
                  <w:tcW w:w="3101" w:type="pct"/>
                  <w:vAlign w:val="center"/>
                </w:tcPr>
                <w:p>
                  <w:pPr>
                    <w:autoSpaceDE w:val="0"/>
                    <w:spacing w:line="260" w:lineRule="exact"/>
                    <w:ind w:left="-53" w:leftChars="-25" w:right="-53" w:rightChars="-25"/>
                    <w:rPr>
                      <w:color w:val="auto"/>
                      <w:sz w:val="18"/>
                      <w:szCs w:val="18"/>
                    </w:rPr>
                  </w:pPr>
                  <w:r>
                    <w:rPr>
                      <w:rFonts w:hint="eastAsia"/>
                      <w:color w:val="auto"/>
                      <w:sz w:val="18"/>
                      <w:szCs w:val="18"/>
                    </w:rPr>
                    <w:t>集中式地表水饮用水水源二级保护区内，应当遵守下列规定：</w:t>
                  </w:r>
                </w:p>
                <w:p>
                  <w:pPr>
                    <w:autoSpaceDE w:val="0"/>
                    <w:spacing w:line="260" w:lineRule="exact"/>
                    <w:ind w:left="-53" w:leftChars="-25" w:right="-53" w:rightChars="-25"/>
                    <w:rPr>
                      <w:color w:val="auto"/>
                      <w:sz w:val="18"/>
                      <w:szCs w:val="18"/>
                    </w:rPr>
                  </w:pPr>
                  <w:r>
                    <w:rPr>
                      <w:rFonts w:hint="eastAsia"/>
                      <w:color w:val="auto"/>
                      <w:sz w:val="18"/>
                      <w:szCs w:val="18"/>
                    </w:rPr>
                    <w:t>（一）禁止新建、改建、扩建排放污染物的建设项目（含排污口不在保护区的建设项目）；已建成的排放污染物的建设项目，由市、县级人民政府责令限期拆除或者关闭；饮用水水源二级保护区内已存在的乡镇（居民聚居点）可以建设生活污水集中处理设施，生活污水经集中处理后排到水源保护区外；</w:t>
                  </w:r>
                </w:p>
                <w:p>
                  <w:pPr>
                    <w:autoSpaceDE w:val="0"/>
                    <w:spacing w:line="260" w:lineRule="exact"/>
                    <w:ind w:left="-53" w:leftChars="-25" w:right="-53" w:rightChars="-25"/>
                    <w:rPr>
                      <w:color w:val="auto"/>
                      <w:sz w:val="18"/>
                      <w:szCs w:val="18"/>
                    </w:rPr>
                  </w:pPr>
                  <w:r>
                    <w:rPr>
                      <w:rFonts w:hint="eastAsia"/>
                      <w:color w:val="auto"/>
                      <w:sz w:val="18"/>
                      <w:szCs w:val="18"/>
                    </w:rPr>
                    <w:t>（二）禁止从事经营性取土和采石（砂）等活动；</w:t>
                  </w:r>
                </w:p>
                <w:p>
                  <w:pPr>
                    <w:autoSpaceDE w:val="0"/>
                    <w:spacing w:line="260" w:lineRule="exact"/>
                    <w:ind w:left="-53" w:leftChars="-25" w:right="-53" w:rightChars="-25"/>
                    <w:rPr>
                      <w:color w:val="auto"/>
                      <w:sz w:val="18"/>
                      <w:szCs w:val="18"/>
                    </w:rPr>
                  </w:pPr>
                  <w:r>
                    <w:rPr>
                      <w:rFonts w:hint="eastAsia"/>
                      <w:color w:val="auto"/>
                      <w:sz w:val="18"/>
                      <w:szCs w:val="18"/>
                    </w:rPr>
                    <w:t>（三）禁止设置畜禽养殖场、养殖小区；</w:t>
                  </w:r>
                </w:p>
                <w:p>
                  <w:pPr>
                    <w:autoSpaceDE w:val="0"/>
                    <w:spacing w:line="260" w:lineRule="exact"/>
                    <w:ind w:left="-53" w:leftChars="-25" w:right="-53" w:rightChars="-25"/>
                    <w:rPr>
                      <w:color w:val="auto"/>
                      <w:sz w:val="18"/>
                      <w:szCs w:val="18"/>
                    </w:rPr>
                  </w:pPr>
                  <w:r>
                    <w:rPr>
                      <w:rFonts w:hint="eastAsia"/>
                      <w:color w:val="auto"/>
                      <w:sz w:val="18"/>
                      <w:szCs w:val="18"/>
                    </w:rPr>
                    <w:t>（四）禁止从事网箱养殖、施肥养鱼、超标准养殖、投放暂存鱼、电鱼、炸鱼、毒鱼等污染饮用水水体的活动；</w:t>
                  </w:r>
                </w:p>
                <w:p>
                  <w:pPr>
                    <w:autoSpaceDE w:val="0"/>
                    <w:spacing w:line="260" w:lineRule="exact"/>
                    <w:ind w:left="-53" w:leftChars="-25" w:right="-53" w:rightChars="-25"/>
                    <w:rPr>
                      <w:color w:val="auto"/>
                      <w:sz w:val="18"/>
                      <w:szCs w:val="18"/>
                    </w:rPr>
                  </w:pPr>
                  <w:r>
                    <w:rPr>
                      <w:rFonts w:hint="eastAsia"/>
                      <w:color w:val="auto"/>
                      <w:sz w:val="18"/>
                      <w:szCs w:val="18"/>
                    </w:rPr>
                    <w:t>（五）禁止使用农药；禁止丢弃农药、农药包装物或者清洗施药器械；限制使用化肥；</w:t>
                  </w:r>
                </w:p>
                <w:p>
                  <w:pPr>
                    <w:autoSpaceDE w:val="0"/>
                    <w:spacing w:line="260" w:lineRule="exact"/>
                    <w:ind w:left="-53" w:leftChars="-25" w:right="-53" w:rightChars="-25"/>
                    <w:rPr>
                      <w:color w:val="auto"/>
                      <w:sz w:val="18"/>
                      <w:szCs w:val="18"/>
                    </w:rPr>
                  </w:pPr>
                  <w:r>
                    <w:rPr>
                      <w:rFonts w:hint="eastAsia"/>
                      <w:color w:val="auto"/>
                      <w:sz w:val="18"/>
                      <w:szCs w:val="18"/>
                    </w:rPr>
                    <w:t>（六）法律、法规和本条例第十九条禁止的其他行为。</w:t>
                  </w:r>
                </w:p>
              </w:tc>
              <w:tc>
                <w:tcPr>
                  <w:tcW w:w="1138" w:type="pct"/>
                  <w:vAlign w:val="center"/>
                </w:tcPr>
                <w:p>
                  <w:pPr>
                    <w:autoSpaceDE w:val="0"/>
                    <w:spacing w:line="260" w:lineRule="exact"/>
                    <w:ind w:left="-53" w:leftChars="-25" w:right="-53" w:rightChars="-25"/>
                    <w:rPr>
                      <w:color w:val="auto"/>
                      <w:sz w:val="18"/>
                      <w:szCs w:val="18"/>
                    </w:rPr>
                  </w:pPr>
                  <w:r>
                    <w:rPr>
                      <w:rFonts w:hint="eastAsia"/>
                      <w:color w:val="auto"/>
                      <w:sz w:val="18"/>
                      <w:szCs w:val="18"/>
                    </w:rPr>
                    <w:t>根据项目采矿区、加工区选址分析，项目选址不涉及饮用水源保护区，项目产生的废水全部回用不外排，固体废物能够得到合理处置。</w:t>
                  </w:r>
                </w:p>
              </w:tc>
              <w:tc>
                <w:tcPr>
                  <w:tcW w:w="442" w:type="pct"/>
                  <w:vAlign w:val="center"/>
                </w:tcPr>
                <w:p>
                  <w:pPr>
                    <w:autoSpaceDE w:val="0"/>
                    <w:spacing w:line="260" w:lineRule="exact"/>
                    <w:ind w:left="-53" w:leftChars="-25" w:right="-53" w:rightChars="-25"/>
                    <w:jc w:val="center"/>
                    <w:rPr>
                      <w:color w:val="auto"/>
                      <w:sz w:val="18"/>
                      <w:szCs w:val="18"/>
                    </w:rPr>
                  </w:pPr>
                  <w:r>
                    <w:rPr>
                      <w:rFonts w:hint="eastAsia"/>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19" w:type="pct"/>
                  <w:vAlign w:val="center"/>
                </w:tcPr>
                <w:p>
                  <w:pPr>
                    <w:autoSpaceDE w:val="0"/>
                    <w:autoSpaceDN w:val="0"/>
                    <w:spacing w:line="260" w:lineRule="exact"/>
                    <w:ind w:left="-53" w:leftChars="-25" w:right="-53" w:rightChars="-25"/>
                    <w:jc w:val="center"/>
                    <w:rPr>
                      <w:color w:val="auto"/>
                      <w:sz w:val="18"/>
                      <w:szCs w:val="18"/>
                    </w:rPr>
                  </w:pPr>
                  <w:r>
                    <w:rPr>
                      <w:rFonts w:hint="eastAsia"/>
                      <w:color w:val="auto"/>
                      <w:sz w:val="18"/>
                      <w:szCs w:val="18"/>
                    </w:rPr>
                    <w:t>4</w:t>
                  </w:r>
                </w:p>
              </w:tc>
              <w:tc>
                <w:tcPr>
                  <w:tcW w:w="3101" w:type="pct"/>
                  <w:vAlign w:val="center"/>
                </w:tcPr>
                <w:p>
                  <w:pPr>
                    <w:autoSpaceDE w:val="0"/>
                    <w:spacing w:line="260" w:lineRule="exact"/>
                    <w:ind w:left="-53" w:leftChars="-25" w:right="-53" w:rightChars="-25"/>
                    <w:rPr>
                      <w:color w:val="auto"/>
                      <w:sz w:val="18"/>
                      <w:szCs w:val="18"/>
                    </w:rPr>
                  </w:pPr>
                  <w:r>
                    <w:rPr>
                      <w:rFonts w:hint="eastAsia"/>
                      <w:color w:val="auto"/>
                      <w:sz w:val="18"/>
                      <w:szCs w:val="18"/>
                    </w:rPr>
                    <w:t>集中式地表水饮用水水源一级保护区内，应当遵守下列规定：</w:t>
                  </w:r>
                </w:p>
                <w:p>
                  <w:pPr>
                    <w:autoSpaceDE w:val="0"/>
                    <w:spacing w:line="260" w:lineRule="exact"/>
                    <w:ind w:left="-53" w:leftChars="-25" w:right="-53" w:rightChars="-25"/>
                    <w:rPr>
                      <w:color w:val="auto"/>
                      <w:sz w:val="18"/>
                      <w:szCs w:val="18"/>
                    </w:rPr>
                  </w:pPr>
                  <w:r>
                    <w:rPr>
                      <w:rFonts w:hint="eastAsia"/>
                      <w:color w:val="auto"/>
                      <w:sz w:val="18"/>
                      <w:szCs w:val="18"/>
                    </w:rPr>
                    <w:t>（一）禁止从事餐饮、旅游、游泳、垂钓或者其他可能污染水体的活动；</w:t>
                  </w:r>
                </w:p>
                <w:p>
                  <w:pPr>
                    <w:autoSpaceDE w:val="0"/>
                    <w:spacing w:line="260" w:lineRule="exact"/>
                    <w:ind w:left="-53" w:leftChars="-25" w:right="-53" w:rightChars="-25"/>
                    <w:rPr>
                      <w:color w:val="auto"/>
                      <w:sz w:val="18"/>
                      <w:szCs w:val="18"/>
                    </w:rPr>
                  </w:pPr>
                  <w:r>
                    <w:rPr>
                      <w:rFonts w:hint="eastAsia"/>
                      <w:color w:val="auto"/>
                      <w:sz w:val="18"/>
                      <w:szCs w:val="18"/>
                    </w:rPr>
                    <w:t>（二）法律、法规和本条例第十九条、第二十条禁止的行为。</w:t>
                  </w:r>
                </w:p>
              </w:tc>
              <w:tc>
                <w:tcPr>
                  <w:tcW w:w="1138" w:type="pct"/>
                  <w:vAlign w:val="center"/>
                </w:tcPr>
                <w:p>
                  <w:pPr>
                    <w:autoSpaceDE w:val="0"/>
                    <w:spacing w:line="260" w:lineRule="exact"/>
                    <w:ind w:left="-53" w:leftChars="-25" w:right="-53" w:rightChars="-25"/>
                    <w:rPr>
                      <w:color w:val="auto"/>
                      <w:sz w:val="18"/>
                      <w:szCs w:val="18"/>
                    </w:rPr>
                  </w:pPr>
                  <w:r>
                    <w:rPr>
                      <w:rFonts w:hint="eastAsia"/>
                      <w:color w:val="auto"/>
                      <w:sz w:val="18"/>
                      <w:szCs w:val="18"/>
                    </w:rPr>
                    <w:t>根据项目采矿区、加工区选址分析，项目选址不涉及饮用水源保护区，项目产生的废水全部回用不外排，固体废物能够得到合理处置。</w:t>
                  </w:r>
                </w:p>
              </w:tc>
              <w:tc>
                <w:tcPr>
                  <w:tcW w:w="442" w:type="pct"/>
                  <w:vAlign w:val="center"/>
                </w:tcPr>
                <w:p>
                  <w:pPr>
                    <w:autoSpaceDE w:val="0"/>
                    <w:spacing w:line="260" w:lineRule="exact"/>
                    <w:ind w:left="-53" w:leftChars="-25" w:right="-53" w:rightChars="-25"/>
                    <w:jc w:val="center"/>
                    <w:rPr>
                      <w:color w:val="auto"/>
                      <w:sz w:val="18"/>
                      <w:szCs w:val="18"/>
                    </w:rPr>
                  </w:pPr>
                  <w:r>
                    <w:rPr>
                      <w:rFonts w:hint="eastAsia"/>
                      <w:color w:val="auto"/>
                      <w:sz w:val="18"/>
                      <w:szCs w:val="18"/>
                    </w:rPr>
                    <w:t>符合</w:t>
                  </w:r>
                </w:p>
              </w:tc>
            </w:tr>
          </w:tbl>
          <w:p>
            <w:pPr>
              <w:autoSpaceDE w:val="0"/>
              <w:autoSpaceDN w:val="0"/>
              <w:adjustRightInd w:val="0"/>
              <w:snapToGrid w:val="0"/>
              <w:spacing w:line="360" w:lineRule="auto"/>
              <w:ind w:firstLine="420" w:firstLineChars="200"/>
              <w:rPr>
                <w:rFonts w:ascii="宋体" w:hAnsi="宋体" w:cs="宋体"/>
                <w:color w:val="auto"/>
                <w:kern w:val="0"/>
                <w:szCs w:val="21"/>
              </w:rPr>
            </w:pP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4</w:t>
            </w:r>
            <w:r>
              <w:rPr>
                <w:rFonts w:hint="eastAsia" w:ascii="宋体" w:hAnsi="宋体" w:cs="宋体"/>
                <w:color w:val="auto"/>
                <w:kern w:val="0"/>
                <w:szCs w:val="21"/>
              </w:rPr>
              <w:t>）与《关于进一步加强全市矿山砂石资源开发利用管理的通知》的符合性分析</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根据《关于进一步加强全市矿山砂石资源开发利用管理的通知》（达市府办规〔2022〕3号）的相关规定，本项目与该通知的符合性分析见下表。</w:t>
            </w:r>
          </w:p>
          <w:p>
            <w:pPr>
              <w:autoSpaceDE w:val="0"/>
              <w:autoSpaceDN w:val="0"/>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w:t>
            </w:r>
            <w:r>
              <w:rPr>
                <w:rFonts w:ascii="宋体" w:hAnsi="宋体" w:cs="宋体"/>
                <w:b/>
                <w:color w:val="auto"/>
                <w:kern w:val="0"/>
                <w:sz w:val="18"/>
                <w:szCs w:val="18"/>
              </w:rPr>
              <w:t>1-12</w:t>
            </w:r>
            <w:r>
              <w:rPr>
                <w:rFonts w:hint="eastAsia" w:ascii="宋体" w:hAnsi="宋体" w:cs="宋体"/>
                <w:b/>
                <w:color w:val="auto"/>
                <w:kern w:val="0"/>
                <w:sz w:val="18"/>
                <w:szCs w:val="18"/>
              </w:rPr>
              <w:t xml:space="preserve">  与“达市府办规〔2022〕3号”的符合性分析</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6"/>
              <w:gridCol w:w="4724"/>
              <w:gridCol w:w="1734"/>
              <w:gridCol w:w="6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319" w:type="pct"/>
                  <w:vAlign w:val="center"/>
                </w:tcPr>
                <w:p>
                  <w:pPr>
                    <w:autoSpaceDE w:val="0"/>
                    <w:autoSpaceDN w:val="0"/>
                    <w:spacing w:line="260" w:lineRule="exact"/>
                    <w:ind w:left="-53" w:leftChars="-25" w:right="-53" w:rightChars="-25"/>
                    <w:jc w:val="center"/>
                    <w:rPr>
                      <w:b/>
                      <w:bCs/>
                      <w:color w:val="auto"/>
                      <w:sz w:val="18"/>
                      <w:szCs w:val="18"/>
                    </w:rPr>
                  </w:pPr>
                  <w:r>
                    <w:rPr>
                      <w:b/>
                      <w:bCs/>
                      <w:color w:val="auto"/>
                      <w:sz w:val="18"/>
                      <w:szCs w:val="18"/>
                    </w:rPr>
                    <w:t>序号</w:t>
                  </w:r>
                </w:p>
              </w:tc>
              <w:tc>
                <w:tcPr>
                  <w:tcW w:w="3101" w:type="pct"/>
                  <w:vAlign w:val="center"/>
                </w:tcPr>
                <w:p>
                  <w:pPr>
                    <w:autoSpaceDE w:val="0"/>
                    <w:autoSpaceDN w:val="0"/>
                    <w:spacing w:line="260" w:lineRule="exact"/>
                    <w:ind w:left="-53" w:leftChars="-25" w:right="-53" w:rightChars="-25"/>
                    <w:jc w:val="center"/>
                    <w:rPr>
                      <w:b/>
                      <w:bCs/>
                      <w:color w:val="auto"/>
                      <w:sz w:val="18"/>
                      <w:szCs w:val="18"/>
                    </w:rPr>
                  </w:pPr>
                  <w:r>
                    <w:rPr>
                      <w:b/>
                      <w:bCs/>
                      <w:color w:val="auto"/>
                      <w:sz w:val="18"/>
                      <w:szCs w:val="18"/>
                    </w:rPr>
                    <w:t>相关规定</w:t>
                  </w:r>
                </w:p>
              </w:tc>
              <w:tc>
                <w:tcPr>
                  <w:tcW w:w="1138" w:type="pct"/>
                  <w:vAlign w:val="center"/>
                </w:tcPr>
                <w:p>
                  <w:pPr>
                    <w:autoSpaceDE w:val="0"/>
                    <w:autoSpaceDN w:val="0"/>
                    <w:spacing w:line="260" w:lineRule="exact"/>
                    <w:ind w:left="-53" w:leftChars="-25" w:right="-53" w:rightChars="-25"/>
                    <w:jc w:val="center"/>
                    <w:rPr>
                      <w:b/>
                      <w:bCs/>
                      <w:color w:val="auto"/>
                      <w:sz w:val="18"/>
                      <w:szCs w:val="18"/>
                    </w:rPr>
                  </w:pPr>
                  <w:r>
                    <w:rPr>
                      <w:b/>
                      <w:bCs/>
                      <w:color w:val="auto"/>
                      <w:sz w:val="18"/>
                      <w:szCs w:val="18"/>
                    </w:rPr>
                    <w:t>本工程情况</w:t>
                  </w:r>
                </w:p>
              </w:tc>
              <w:tc>
                <w:tcPr>
                  <w:tcW w:w="442" w:type="pct"/>
                  <w:vAlign w:val="center"/>
                </w:tcPr>
                <w:p>
                  <w:pPr>
                    <w:autoSpaceDE w:val="0"/>
                    <w:autoSpaceDN w:val="0"/>
                    <w:spacing w:line="260" w:lineRule="exact"/>
                    <w:ind w:left="-53" w:leftChars="-25" w:right="-53" w:rightChars="-25"/>
                    <w:jc w:val="center"/>
                    <w:rPr>
                      <w:b/>
                      <w:bCs/>
                      <w:color w:val="auto"/>
                      <w:sz w:val="18"/>
                      <w:szCs w:val="18"/>
                    </w:rPr>
                  </w:pPr>
                  <w:r>
                    <w:rPr>
                      <w:b/>
                      <w:bCs/>
                      <w:color w:val="auto"/>
                      <w:sz w:val="18"/>
                      <w:szCs w:val="18"/>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19" w:type="pct"/>
                  <w:vAlign w:val="center"/>
                </w:tcPr>
                <w:p>
                  <w:pPr>
                    <w:autoSpaceDE w:val="0"/>
                    <w:autoSpaceDN w:val="0"/>
                    <w:spacing w:line="260" w:lineRule="exact"/>
                    <w:ind w:left="-53" w:leftChars="-25" w:right="-53" w:rightChars="-25"/>
                    <w:jc w:val="center"/>
                    <w:rPr>
                      <w:color w:val="auto"/>
                      <w:sz w:val="18"/>
                      <w:szCs w:val="18"/>
                    </w:rPr>
                  </w:pPr>
                  <w:r>
                    <w:rPr>
                      <w:color w:val="auto"/>
                      <w:sz w:val="18"/>
                      <w:szCs w:val="18"/>
                    </w:rPr>
                    <w:t>1</w:t>
                  </w:r>
                </w:p>
              </w:tc>
              <w:tc>
                <w:tcPr>
                  <w:tcW w:w="3101" w:type="pct"/>
                  <w:vAlign w:val="center"/>
                </w:tcPr>
                <w:p>
                  <w:pPr>
                    <w:autoSpaceDE w:val="0"/>
                    <w:spacing w:line="260" w:lineRule="exact"/>
                    <w:ind w:left="-53" w:leftChars="-25" w:right="-53" w:rightChars="-25"/>
                    <w:rPr>
                      <w:color w:val="auto"/>
                      <w:sz w:val="18"/>
                      <w:szCs w:val="18"/>
                    </w:rPr>
                  </w:pPr>
                  <w:r>
                    <w:rPr>
                      <w:color w:val="auto"/>
                      <w:sz w:val="18"/>
                      <w:szCs w:val="18"/>
                    </w:rPr>
                    <w:t>(一)严格采矿权出让流程。县级人民政府负责本辖区砂石采矿权出让前期准备工作，组织发展改革、经信、自然资源、生态环境、交通运输、水务、农业农村、文体旅游、应急、林业等部门及乡镇人民政府进行实地踏勘、共同选址，编制《采矿权出让论证报告》《矿产资源储量核实报告》和《砂石采矿权招标拍卖挂牌出让方案》。属县级出让权限的采矿权，《采矿权出让论证报告》需经市自然资源规划主管部门审核，《砂石采矿权招标拍卖挂牌出让方案》由县级人民政府审批后，委托县级公共资源交易服务中心在公共资源交易平台公开出让。</w:t>
                  </w:r>
                </w:p>
              </w:tc>
              <w:tc>
                <w:tcPr>
                  <w:tcW w:w="1138" w:type="pct"/>
                  <w:vAlign w:val="center"/>
                </w:tcPr>
                <w:p>
                  <w:pPr>
                    <w:autoSpaceDE w:val="0"/>
                    <w:spacing w:line="260" w:lineRule="exact"/>
                    <w:ind w:left="-53" w:leftChars="-25" w:right="-53" w:rightChars="-25"/>
                    <w:rPr>
                      <w:color w:val="auto"/>
                      <w:sz w:val="18"/>
                      <w:szCs w:val="18"/>
                    </w:rPr>
                  </w:pPr>
                  <w:r>
                    <w:rPr>
                      <w:color w:val="auto"/>
                      <w:sz w:val="18"/>
                      <w:szCs w:val="18"/>
                    </w:rPr>
                    <w:t>本项目矿山为新设矿权。目前，建设单位已取得《采矿许可证》，矿权设立前征求了自然资源、生态环境等部门的意见。</w:t>
                  </w:r>
                </w:p>
              </w:tc>
              <w:tc>
                <w:tcPr>
                  <w:tcW w:w="442" w:type="pct"/>
                  <w:vAlign w:val="center"/>
                </w:tcPr>
                <w:p>
                  <w:pPr>
                    <w:autoSpaceDE w:val="0"/>
                    <w:spacing w:line="260" w:lineRule="exact"/>
                    <w:ind w:left="-53" w:leftChars="-25" w:right="-53" w:rightChars="-25"/>
                    <w:jc w:val="center"/>
                    <w:rPr>
                      <w:color w:val="auto"/>
                      <w:sz w:val="18"/>
                      <w:szCs w:val="18"/>
                    </w:rPr>
                  </w:pPr>
                  <w:r>
                    <w:rPr>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19" w:type="pct"/>
                  <w:vAlign w:val="center"/>
                </w:tcPr>
                <w:p>
                  <w:pPr>
                    <w:autoSpaceDE w:val="0"/>
                    <w:autoSpaceDN w:val="0"/>
                    <w:spacing w:line="260" w:lineRule="exact"/>
                    <w:ind w:left="-53" w:leftChars="-25" w:right="-53" w:rightChars="-25"/>
                    <w:jc w:val="center"/>
                    <w:rPr>
                      <w:color w:val="auto"/>
                      <w:sz w:val="18"/>
                      <w:szCs w:val="18"/>
                    </w:rPr>
                  </w:pPr>
                  <w:r>
                    <w:rPr>
                      <w:color w:val="auto"/>
                      <w:sz w:val="18"/>
                      <w:szCs w:val="18"/>
                    </w:rPr>
                    <w:t>2</w:t>
                  </w:r>
                </w:p>
              </w:tc>
              <w:tc>
                <w:tcPr>
                  <w:tcW w:w="3101" w:type="pct"/>
                  <w:vAlign w:val="center"/>
                </w:tcPr>
                <w:p>
                  <w:pPr>
                    <w:autoSpaceDE w:val="0"/>
                    <w:spacing w:line="260" w:lineRule="exact"/>
                    <w:ind w:left="-53" w:leftChars="-25" w:right="-53" w:rightChars="-25"/>
                    <w:rPr>
                      <w:color w:val="auto"/>
                      <w:sz w:val="18"/>
                      <w:szCs w:val="18"/>
                    </w:rPr>
                  </w:pPr>
                  <w:r>
                    <w:rPr>
                      <w:color w:val="auto"/>
                      <w:sz w:val="18"/>
                      <w:szCs w:val="18"/>
                    </w:rPr>
                    <w:t>（二）鼓励矿山企业对按照开发利用方案生产产生的废石、废碴、尾矿进行综合利用。采矿权人在批准的矿区范围、采矿许可证许可有效期内依法回收利用其尾矿资源和废石废碴的，不再另行办理采矿登记。</w:t>
                  </w:r>
                </w:p>
              </w:tc>
              <w:tc>
                <w:tcPr>
                  <w:tcW w:w="1138" w:type="pct"/>
                  <w:vAlign w:val="center"/>
                </w:tcPr>
                <w:p>
                  <w:pPr>
                    <w:autoSpaceDE w:val="0"/>
                    <w:spacing w:line="260" w:lineRule="exact"/>
                    <w:ind w:left="-53" w:leftChars="-25" w:right="-53" w:rightChars="-25"/>
                    <w:rPr>
                      <w:color w:val="auto"/>
                      <w:sz w:val="18"/>
                      <w:szCs w:val="18"/>
                    </w:rPr>
                  </w:pPr>
                  <w:r>
                    <w:rPr>
                      <w:color w:val="auto"/>
                      <w:sz w:val="18"/>
                      <w:szCs w:val="18"/>
                    </w:rPr>
                    <w:t>本项目拟将开采产生的废石、废渣、尾矿等作为砂石加工原料，进行综合利用。</w:t>
                  </w:r>
                </w:p>
              </w:tc>
              <w:tc>
                <w:tcPr>
                  <w:tcW w:w="442" w:type="pct"/>
                  <w:vAlign w:val="center"/>
                </w:tcPr>
                <w:p>
                  <w:pPr>
                    <w:autoSpaceDE w:val="0"/>
                    <w:spacing w:line="260" w:lineRule="exact"/>
                    <w:ind w:left="-53" w:leftChars="-25" w:right="-53" w:rightChars="-25"/>
                    <w:jc w:val="center"/>
                    <w:rPr>
                      <w:color w:val="auto"/>
                      <w:sz w:val="18"/>
                      <w:szCs w:val="18"/>
                    </w:rPr>
                  </w:pPr>
                  <w:r>
                    <w:rPr>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19" w:type="pct"/>
                  <w:vAlign w:val="center"/>
                </w:tcPr>
                <w:p>
                  <w:pPr>
                    <w:autoSpaceDE w:val="0"/>
                    <w:autoSpaceDN w:val="0"/>
                    <w:spacing w:line="260" w:lineRule="exact"/>
                    <w:ind w:left="-53" w:leftChars="-25" w:right="-53" w:rightChars="-25"/>
                    <w:jc w:val="center"/>
                    <w:rPr>
                      <w:color w:val="auto"/>
                      <w:sz w:val="18"/>
                      <w:szCs w:val="18"/>
                    </w:rPr>
                  </w:pPr>
                  <w:r>
                    <w:rPr>
                      <w:color w:val="auto"/>
                      <w:sz w:val="18"/>
                      <w:szCs w:val="18"/>
                    </w:rPr>
                    <w:t>3</w:t>
                  </w:r>
                </w:p>
              </w:tc>
              <w:tc>
                <w:tcPr>
                  <w:tcW w:w="3101" w:type="pct"/>
                  <w:vAlign w:val="center"/>
                </w:tcPr>
                <w:p>
                  <w:pPr>
                    <w:autoSpaceDE w:val="0"/>
                    <w:spacing w:line="260" w:lineRule="exact"/>
                    <w:ind w:left="-53" w:leftChars="-25" w:right="-53" w:rightChars="-25"/>
                    <w:rPr>
                      <w:color w:val="auto"/>
                      <w:sz w:val="18"/>
                      <w:szCs w:val="18"/>
                    </w:rPr>
                  </w:pPr>
                  <w:r>
                    <w:rPr>
                      <w:color w:val="auto"/>
                      <w:sz w:val="18"/>
                      <w:szCs w:val="18"/>
                    </w:rPr>
                    <w:t>矿业权人依照国家有关规定，严格履行矿山生态“边开采、边修复”义务，对其矿业活动导致生态系统受损区域开展地质环境保护与治理、土地复垦、相应监测与管护等生态修复活动。按要求签订三方监管协议，计提矿山地质环境治理恢复基金，根据矿山地质环境保护与土地复垦方案确定的经费预算、工程实施计划、进度安排等，统筹用于开展矿山地质环境治理恢复和土地复垦。坚持“谁开发、谁治理”“宜耕则耕、宜林则林、宜草则草、宜湿则湿”原则，综合考虑修复后的社会效益、经济效益和生态效益，加快推进矿山生态修复。</w:t>
                  </w:r>
                </w:p>
              </w:tc>
              <w:tc>
                <w:tcPr>
                  <w:tcW w:w="1138" w:type="pct"/>
                  <w:vAlign w:val="center"/>
                </w:tcPr>
                <w:p>
                  <w:pPr>
                    <w:autoSpaceDE w:val="0"/>
                    <w:spacing w:line="260" w:lineRule="exact"/>
                    <w:ind w:left="-53" w:leftChars="-25" w:right="-53" w:rightChars="-25"/>
                    <w:rPr>
                      <w:color w:val="auto"/>
                      <w:sz w:val="18"/>
                      <w:szCs w:val="18"/>
                    </w:rPr>
                  </w:pPr>
                  <w:r>
                    <w:rPr>
                      <w:color w:val="auto"/>
                      <w:sz w:val="18"/>
                      <w:szCs w:val="18"/>
                    </w:rPr>
                    <w:t>建设单位将按照矿山地质保护和土地复垦方案的具体要求，及时治理恢复矿山地质环境，复垦矿山占用土地和损毁土地</w:t>
                  </w:r>
                </w:p>
              </w:tc>
              <w:tc>
                <w:tcPr>
                  <w:tcW w:w="442" w:type="pct"/>
                  <w:vAlign w:val="center"/>
                </w:tcPr>
                <w:p>
                  <w:pPr>
                    <w:autoSpaceDE w:val="0"/>
                    <w:spacing w:line="260" w:lineRule="exact"/>
                    <w:ind w:left="-53" w:leftChars="-25" w:right="-53" w:rightChars="-25"/>
                    <w:jc w:val="center"/>
                    <w:rPr>
                      <w:color w:val="auto"/>
                      <w:sz w:val="18"/>
                      <w:szCs w:val="18"/>
                    </w:rPr>
                  </w:pPr>
                  <w:r>
                    <w:rPr>
                      <w:color w:val="auto"/>
                      <w:sz w:val="18"/>
                      <w:szCs w:val="18"/>
                    </w:rPr>
                    <w:t>符合</w:t>
                  </w:r>
                </w:p>
              </w:tc>
            </w:tr>
          </w:tbl>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5</w:t>
            </w:r>
            <w:r>
              <w:rPr>
                <w:rFonts w:hint="eastAsia" w:ascii="宋体" w:hAnsi="宋体" w:cs="宋体"/>
                <w:color w:val="auto"/>
                <w:kern w:val="0"/>
                <w:szCs w:val="21"/>
              </w:rPr>
              <w:t>）与《矿山地质环境保护规定（2019修订）》的符合性分析</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矿山地质环境保护规定》中强调：“矿山地质环境保护，坚持预防为主、防治结合，谁开发谁保护、谁破坏谁治理、谁投资谁受益的原则。采矿权人扩大开采规模、变更矿区范围或者开采方式的，应当重新编制矿山地质环境保护与土地复垦方案。采矿权人应当严格执行经批准的矿山地质环境保护与土地复垦方案。开采矿产资源造成矿山地质环境破坏的，由采矿权人负责治理恢复，治理恢复费用列入生产成本。矿山关闭前，采矿权人应当完成矿山地质环境保护与土地复垦义务。”</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建设单位已编制《矿山地质环境保护与土地复垦方案》并报主管部门审批，将严格按照审批后的方案实施，减轻矿山开采对生态环境的影响。</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（6）与《土壤污染防治行动计划》中相关要求的符合性分析</w:t>
            </w:r>
          </w:p>
          <w:p>
            <w:pPr>
              <w:autoSpaceDE w:val="0"/>
              <w:autoSpaceDN w:val="0"/>
              <w:adjustRightInd w:val="0"/>
              <w:snapToGrid w:val="0"/>
              <w:spacing w:line="360" w:lineRule="auto"/>
              <w:ind w:firstLine="420" w:firstLineChars="200"/>
              <w:rPr>
                <w:color w:val="auto"/>
              </w:rPr>
            </w:pPr>
            <w:r>
              <w:rPr>
                <w:rFonts w:hint="eastAsia"/>
                <w:color w:val="auto"/>
              </w:rPr>
              <w:t>本项目与各级政府下发的土壤污染相关文件规划符合性如下：</w:t>
            </w:r>
          </w:p>
          <w:p>
            <w:pPr>
              <w:autoSpaceDE w:val="0"/>
              <w:autoSpaceDN w:val="0"/>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表1-</w:t>
            </w:r>
            <w:r>
              <w:rPr>
                <w:rFonts w:ascii="宋体" w:hAnsi="宋体" w:cs="宋体"/>
                <w:b/>
                <w:color w:val="auto"/>
                <w:kern w:val="0"/>
                <w:sz w:val="18"/>
                <w:szCs w:val="18"/>
              </w:rPr>
              <w:t xml:space="preserve">13 </w:t>
            </w:r>
            <w:r>
              <w:rPr>
                <w:rFonts w:hint="eastAsia" w:ascii="宋体" w:hAnsi="宋体" w:cs="宋体"/>
                <w:b/>
                <w:color w:val="auto"/>
                <w:kern w:val="0"/>
                <w:sz w:val="18"/>
                <w:szCs w:val="18"/>
              </w:rPr>
              <w:t xml:space="preserve"> 项目与土壤污染防治污染符合性分析</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3770"/>
              <w:gridCol w:w="1561"/>
              <w:gridCol w:w="8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pStyle w:val="60"/>
                    <w:rPr>
                      <w:color w:val="auto"/>
                    </w:rPr>
                  </w:pPr>
                  <w:r>
                    <w:rPr>
                      <w:rFonts w:hint="eastAsia"/>
                      <w:color w:val="auto"/>
                    </w:rPr>
                    <w:t>土壤污染防治文件</w:t>
                  </w:r>
                </w:p>
              </w:tc>
              <w:tc>
                <w:tcPr>
                  <w:tcW w:w="2475" w:type="pct"/>
                  <w:vAlign w:val="center"/>
                </w:tcPr>
                <w:p>
                  <w:pPr>
                    <w:pStyle w:val="60"/>
                    <w:rPr>
                      <w:color w:val="auto"/>
                    </w:rPr>
                  </w:pPr>
                  <w:r>
                    <w:rPr>
                      <w:rFonts w:hint="eastAsia"/>
                      <w:color w:val="auto"/>
                    </w:rPr>
                    <w:t>要求</w:t>
                  </w:r>
                </w:p>
              </w:tc>
              <w:tc>
                <w:tcPr>
                  <w:tcW w:w="1025" w:type="pct"/>
                  <w:vAlign w:val="center"/>
                </w:tcPr>
                <w:p>
                  <w:pPr>
                    <w:pStyle w:val="60"/>
                    <w:rPr>
                      <w:color w:val="auto"/>
                    </w:rPr>
                  </w:pPr>
                  <w:r>
                    <w:rPr>
                      <w:rFonts w:hint="eastAsia"/>
                      <w:color w:val="auto"/>
                    </w:rPr>
                    <w:t>本项目</w:t>
                  </w:r>
                </w:p>
              </w:tc>
              <w:tc>
                <w:tcPr>
                  <w:tcW w:w="562" w:type="pct"/>
                  <w:vAlign w:val="center"/>
                </w:tcPr>
                <w:p>
                  <w:pPr>
                    <w:pStyle w:val="60"/>
                    <w:rPr>
                      <w:color w:val="auto"/>
                    </w:rPr>
                  </w:pPr>
                  <w:r>
                    <w:rPr>
                      <w:rFonts w:hint="eastAsia"/>
                      <w:color w:val="auto"/>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pStyle w:val="60"/>
                    <w:rPr>
                      <w:color w:val="auto"/>
                    </w:rPr>
                  </w:pPr>
                  <w:r>
                    <w:rPr>
                      <w:rFonts w:hint="eastAsia"/>
                      <w:color w:val="auto"/>
                    </w:rPr>
                    <w:t>《国务院关于印发土壤污染防治行动计划的通知》（国发〔2016〕31 号）</w:t>
                  </w:r>
                </w:p>
              </w:tc>
              <w:tc>
                <w:tcPr>
                  <w:tcW w:w="2475" w:type="pct"/>
                  <w:vAlign w:val="center"/>
                </w:tcPr>
                <w:p>
                  <w:pPr>
                    <w:pStyle w:val="60"/>
                    <w:jc w:val="left"/>
                    <w:rPr>
                      <w:color w:val="auto"/>
                    </w:rPr>
                  </w:pPr>
                  <w:r>
                    <w:rPr>
                      <w:rFonts w:hint="eastAsia"/>
                      <w:color w:val="auto"/>
                    </w:rPr>
                    <w:t>全面强化监管执法，明确监管重点：“重点监测土壤中镉、汞、砷、铅、铬等重金属和多环芳烃、石油烃等有机污染物。切实加大保护力度，防控企业污染”：严格控制在优先保护类耕地集中区域新建有色金属冶炼、石油加工、化工、焦化、电镀、制革等行业企业，现有相关行业企业要采用新技术、新工艺，加快提标升级改造步伐。</w:t>
                  </w:r>
                </w:p>
              </w:tc>
              <w:tc>
                <w:tcPr>
                  <w:tcW w:w="1025" w:type="pct"/>
                  <w:vAlign w:val="center"/>
                </w:tcPr>
                <w:p>
                  <w:pPr>
                    <w:pStyle w:val="60"/>
                    <w:jc w:val="left"/>
                    <w:rPr>
                      <w:color w:val="auto"/>
                    </w:rPr>
                  </w:pPr>
                  <w:r>
                    <w:rPr>
                      <w:rFonts w:hint="eastAsia"/>
                      <w:color w:val="auto"/>
                    </w:rPr>
                    <w:t>本项目不排放重金属，不属于土壤重点监控企业</w:t>
                  </w:r>
                </w:p>
              </w:tc>
              <w:tc>
                <w:tcPr>
                  <w:tcW w:w="562" w:type="pct"/>
                  <w:vAlign w:val="center"/>
                </w:tcPr>
                <w:p>
                  <w:pPr>
                    <w:pStyle w:val="60"/>
                    <w:rPr>
                      <w:color w:val="auto"/>
                    </w:rPr>
                  </w:pPr>
                  <w:r>
                    <w:rPr>
                      <w:rFonts w:hint="eastAsia"/>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pPr>
                    <w:pStyle w:val="60"/>
                    <w:rPr>
                      <w:color w:val="auto"/>
                    </w:rPr>
                  </w:pPr>
                  <w:r>
                    <w:rPr>
                      <w:rFonts w:hint="eastAsia"/>
                      <w:color w:val="auto"/>
                    </w:rPr>
                    <w:t>《土壤污染防治行动计划四川省工作方案的通知》（川府发﹝2016﹞63 号）</w:t>
                  </w:r>
                </w:p>
              </w:tc>
              <w:tc>
                <w:tcPr>
                  <w:tcW w:w="2475" w:type="pct"/>
                  <w:vAlign w:val="center"/>
                </w:tcPr>
                <w:p>
                  <w:pPr>
                    <w:pStyle w:val="60"/>
                    <w:jc w:val="left"/>
                    <w:rPr>
                      <w:color w:val="auto"/>
                    </w:rPr>
                  </w:pPr>
                  <w:r>
                    <w:rPr>
                      <w:rFonts w:hint="eastAsia"/>
                      <w:color w:val="auto"/>
                    </w:rPr>
                    <w:t>明确监管重点，重点监测镉、汞、砷、铅、铬、锰等重金属和多环芳烃、石油烃等有机污染物，重点监管有色金属矿采选、有色金属冶炼、化工、医药、铅酸蓄电池、石油加工、焦化、电镀、制革、汽车制造、危险废物处置、天然（页岩）气开采等重点行业，以及粮油蔬菜主产区、地级以上城市建成区等区域。继续淘汰涉重金属重点行业落后产能，执行重金属相关行业准入条件，禁止新建落后产能或产能严重过剩行业的建设项目。认真执行国家涉重金属重点行业清洁生产技术推行方案，鼓励企业采用先进的生产工艺技术。</w:t>
                  </w:r>
                </w:p>
              </w:tc>
              <w:tc>
                <w:tcPr>
                  <w:tcW w:w="1025" w:type="pct"/>
                  <w:vAlign w:val="center"/>
                </w:tcPr>
                <w:p>
                  <w:pPr>
                    <w:pStyle w:val="60"/>
                    <w:jc w:val="left"/>
                    <w:rPr>
                      <w:color w:val="auto"/>
                    </w:rPr>
                  </w:pPr>
                  <w:r>
                    <w:rPr>
                      <w:rFonts w:hint="eastAsia"/>
                      <w:color w:val="auto"/>
                    </w:rPr>
                    <w:t>本项目不涉及镉、汞、砷、铅、铬、锰等重金属和多环芳烃、石油烃等有机污染物有机废气排放，项目采取防渗措施，重大限度减少污染物排放；不属于土壤重点监控企业和实行淘汰的相关行业</w:t>
                  </w:r>
                </w:p>
              </w:tc>
              <w:tc>
                <w:tcPr>
                  <w:tcW w:w="562" w:type="pct"/>
                  <w:vAlign w:val="center"/>
                </w:tcPr>
                <w:p>
                  <w:pPr>
                    <w:pStyle w:val="60"/>
                    <w:rPr>
                      <w:color w:val="auto"/>
                    </w:rPr>
                  </w:pPr>
                  <w:r>
                    <w:rPr>
                      <w:rFonts w:hint="eastAsia"/>
                      <w:color w:val="auto"/>
                    </w:rPr>
                    <w:t>符合</w:t>
                  </w:r>
                </w:p>
              </w:tc>
            </w:tr>
          </w:tbl>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color w:val="auto"/>
              </w:rPr>
              <w:t>综上，本项目的建设与各级政府下发的土壤污染相关文件相符。</w:t>
            </w:r>
          </w:p>
          <w:p>
            <w:pPr>
              <w:autoSpaceDE w:val="0"/>
              <w:autoSpaceDN w:val="0"/>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7</w:t>
            </w:r>
            <w:r>
              <w:rPr>
                <w:rFonts w:hint="eastAsia" w:ascii="宋体" w:hAnsi="宋体" w:cs="宋体"/>
                <w:color w:val="auto"/>
                <w:kern w:val="0"/>
                <w:szCs w:val="21"/>
              </w:rPr>
              <w:t>）项目选址与</w:t>
            </w:r>
            <w:r>
              <w:rPr>
                <w:rFonts w:hint="eastAsia" w:ascii="宋体" w:hAnsi="宋体"/>
                <w:color w:val="auto"/>
                <w:szCs w:val="21"/>
              </w:rPr>
              <w:t>百里峡自然保护区符合性分析</w:t>
            </w:r>
          </w:p>
          <w:p>
            <w:pPr>
              <w:autoSpaceDE w:val="0"/>
              <w:autoSpaceDN w:val="0"/>
              <w:adjustRightInd w:val="0"/>
              <w:snapToGrid w:val="0"/>
              <w:spacing w:line="360" w:lineRule="auto"/>
              <w:ind w:firstLine="420" w:firstLineChars="200"/>
              <w:rPr>
                <w:color w:val="auto"/>
                <w:szCs w:val="21"/>
              </w:rPr>
            </w:pPr>
            <w:r>
              <w:rPr>
                <w:color w:val="auto"/>
                <w:szCs w:val="21"/>
              </w:rPr>
              <w:t>四川百里峡省级自然保护区</w:t>
            </w:r>
            <w:r>
              <w:rPr>
                <w:rFonts w:hint="eastAsia"/>
                <w:color w:val="auto"/>
                <w:szCs w:val="21"/>
              </w:rPr>
              <w:t>（巴山大峡谷）</w:t>
            </w:r>
            <w:r>
              <w:rPr>
                <w:color w:val="auto"/>
                <w:szCs w:val="21"/>
              </w:rPr>
              <w:t>位于四川省达州市宣汉县境内百里峡河段。西起土黄镇百家潭，东止龙泉乡鸡荒洞，地理坐标位于东经108°09′32″~108°29′09″、北纬30°34′15″~31°46′32″之间</w:t>
            </w:r>
            <w:r>
              <w:rPr>
                <w:rFonts w:hint="eastAsia"/>
                <w:color w:val="auto"/>
                <w:szCs w:val="21"/>
              </w:rPr>
              <w:t>。本项目矿区选址中心位于108°22′47.381″，31°33′14.142″，加工区位于108°23′3.440″， 31°33′ 32.904″，矿区道路起点位于108°23′8.773″， 31°33′57.255″，矿区道路终点位于E108°22′42.596″，N31°33′21.972″。根据项目选址分析，项目选址不在</w:t>
            </w:r>
            <w:r>
              <w:rPr>
                <w:color w:val="auto"/>
                <w:szCs w:val="21"/>
              </w:rPr>
              <w:t>四川百里峡省级自然保护区</w:t>
            </w:r>
            <w:r>
              <w:rPr>
                <w:rFonts w:hint="eastAsia"/>
                <w:color w:val="auto"/>
                <w:szCs w:val="21"/>
              </w:rPr>
              <w:t>范围内。</w:t>
            </w:r>
          </w:p>
          <w:p>
            <w:pPr>
              <w:autoSpaceDE w:val="0"/>
              <w:autoSpaceDN w:val="0"/>
              <w:adjustRightInd w:val="0"/>
              <w:snapToGrid w:val="0"/>
              <w:spacing w:line="360" w:lineRule="auto"/>
              <w:rPr>
                <w:b/>
                <w:color w:val="auto"/>
                <w:szCs w:val="21"/>
              </w:rPr>
            </w:pPr>
            <w:r>
              <w:rPr>
                <w:rFonts w:hint="eastAsia"/>
                <w:b/>
                <w:color w:val="auto"/>
                <w:szCs w:val="21"/>
              </w:rPr>
              <w:t>5、用地符合性分析</w:t>
            </w:r>
          </w:p>
          <w:p>
            <w:pPr>
              <w:autoSpaceDE w:val="0"/>
              <w:autoSpaceDN w:val="0"/>
              <w:adjustRightInd w:val="0"/>
              <w:snapToGrid w:val="0"/>
              <w:spacing w:line="360" w:lineRule="auto"/>
              <w:ind w:firstLine="420" w:firstLineChars="200"/>
              <w:rPr>
                <w:color w:val="auto"/>
                <w:szCs w:val="21"/>
              </w:rPr>
            </w:pPr>
            <w:r>
              <w:rPr>
                <w:rFonts w:hint="eastAsia"/>
                <w:color w:val="auto"/>
                <w:szCs w:val="21"/>
              </w:rPr>
              <w:t>本项目位于达州市宣汉县漆树土家族乡乘龙村 。项目已取得由宣汉县自然资源局出具的建设项目用地预审与选址意见书（用字第5</w:t>
            </w:r>
            <w:r>
              <w:rPr>
                <w:color w:val="auto"/>
                <w:szCs w:val="21"/>
              </w:rPr>
              <w:t>11722-2024-00007</w:t>
            </w:r>
            <w:r>
              <w:rPr>
                <w:rFonts w:hint="eastAsia"/>
                <w:color w:val="auto"/>
                <w:szCs w:val="21"/>
              </w:rPr>
              <w:t>号），经审核，项目符合国土空间用途管制要求。宣汉县自然资源局出具了本项目选址的情况说明，本项目选址不占用基本农田，不涉及国家公园。宣汉县林业发展保护中心出具本项目选址情况说明，项目选址不占用天然林、公益林、湿地；不涉及自然保护区、风景名胜区、森林公园、世界文化和自然遗产地。</w:t>
            </w:r>
          </w:p>
          <w:p>
            <w:pPr>
              <w:autoSpaceDE w:val="0"/>
              <w:autoSpaceDN w:val="0"/>
              <w:adjustRightInd w:val="0"/>
              <w:snapToGrid w:val="0"/>
              <w:spacing w:line="360" w:lineRule="auto"/>
              <w:ind w:firstLine="420" w:firstLineChars="200"/>
              <w:rPr>
                <w:color w:val="auto"/>
                <w:szCs w:val="21"/>
              </w:rPr>
            </w:pPr>
            <w:r>
              <w:rPr>
                <w:rFonts w:hint="eastAsia"/>
                <w:color w:val="auto"/>
                <w:szCs w:val="21"/>
              </w:rPr>
              <w:t>因此，项目建设符合当地用地规划。</w:t>
            </w:r>
          </w:p>
          <w:p>
            <w:pPr>
              <w:autoSpaceDE w:val="0"/>
              <w:autoSpaceDN w:val="0"/>
              <w:adjustRightInd w:val="0"/>
              <w:snapToGrid w:val="0"/>
              <w:spacing w:line="360" w:lineRule="auto"/>
              <w:ind w:firstLine="420" w:firstLineChars="200"/>
              <w:rPr>
                <w:color w:val="auto"/>
                <w:kern w:val="0"/>
                <w:szCs w:val="21"/>
              </w:rPr>
            </w:pPr>
          </w:p>
          <w:p>
            <w:pPr>
              <w:autoSpaceDE w:val="0"/>
              <w:autoSpaceDN w:val="0"/>
              <w:adjustRightInd w:val="0"/>
              <w:snapToGrid w:val="0"/>
              <w:spacing w:line="360" w:lineRule="auto"/>
              <w:ind w:firstLine="420" w:firstLineChars="200"/>
              <w:rPr>
                <w:rFonts w:ascii="宋体" w:hAnsi="宋体" w:cs="宋体"/>
                <w:color w:val="auto"/>
                <w:kern w:val="0"/>
                <w:szCs w:val="21"/>
              </w:rPr>
            </w:pPr>
          </w:p>
        </w:tc>
      </w:tr>
    </w:tbl>
    <w:p>
      <w:pPr>
        <w:spacing w:line="360" w:lineRule="auto"/>
        <w:outlineLvl w:val="0"/>
        <w:rPr>
          <w:rFonts w:eastAsia="黑体"/>
          <w:color w:val="auto"/>
          <w:sz w:val="30"/>
        </w:rPr>
        <w:sectPr>
          <w:footerReference r:id="rId5" w:type="default"/>
          <w:pgSz w:w="11906" w:h="16838"/>
          <w:pgMar w:top="1701" w:right="1531" w:bottom="1701" w:left="1531" w:header="851" w:footer="1077" w:gutter="0"/>
          <w:pgNumType w:start="1"/>
          <w:cols w:space="720" w:num="1"/>
          <w:docGrid w:linePitch="312" w:charSpace="0"/>
        </w:sectPr>
      </w:pPr>
    </w:p>
    <w:p>
      <w:pPr>
        <w:pStyle w:val="1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二、建设内容</w:t>
      </w:r>
    </w:p>
    <w:tbl>
      <w:tblPr>
        <w:tblStyle w:val="14"/>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83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710" w:type="dxa"/>
            <w:vAlign w:val="center"/>
          </w:tcPr>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地理位置</w:t>
            </w:r>
          </w:p>
        </w:tc>
        <w:tc>
          <w:tcPr>
            <w:tcW w:w="8380" w:type="dxa"/>
            <w:vAlign w:val="center"/>
          </w:tcPr>
          <w:p>
            <w:pPr>
              <w:adjustRightInd w:val="0"/>
              <w:snapToGrid w:val="0"/>
              <w:spacing w:line="360" w:lineRule="auto"/>
              <w:ind w:firstLine="420" w:firstLineChars="200"/>
              <w:jc w:val="center"/>
              <w:rPr>
                <w:rFonts w:ascii="宋体" w:hAnsi="宋体" w:cs="宋体"/>
                <w:color w:val="auto"/>
                <w:kern w:val="0"/>
                <w:szCs w:val="21"/>
              </w:rPr>
            </w:pPr>
            <w:r>
              <w:rPr>
                <w:rFonts w:hint="eastAsia" w:ascii="宋体" w:hAnsi="宋体" w:cs="宋体"/>
                <w:color w:val="auto"/>
                <w:kern w:val="0"/>
                <w:szCs w:val="21"/>
              </w:rPr>
              <w:t>本项目位于四川省达州市宣汉县漆树土家族乡乘龙村</w:t>
            </w:r>
          </w:p>
          <w:p>
            <w:pPr>
              <w:adjustRightInd w:val="0"/>
              <w:snapToGrid w:val="0"/>
              <w:spacing w:line="360" w:lineRule="auto"/>
              <w:ind w:firstLine="420" w:firstLineChars="200"/>
              <w:jc w:val="center"/>
              <w:rPr>
                <w:rFonts w:ascii="宋体" w:hAnsi="宋体" w:cs="宋体"/>
                <w:color w:val="auto"/>
                <w:kern w:val="0"/>
                <w:szCs w:val="21"/>
              </w:rPr>
            </w:pPr>
            <w:r>
              <w:rPr>
                <w:rFonts w:ascii="宋体" w:hAnsi="宋体" w:cs="宋体"/>
                <w:color w:val="auto"/>
                <w:kern w:val="0"/>
                <w:szCs w:val="21"/>
              </w:rPr>
              <w:t>矿区</w:t>
            </w:r>
            <w:r>
              <w:rPr>
                <w:rFonts w:hint="eastAsia" w:ascii="宋体" w:hAnsi="宋体" w:cs="宋体"/>
                <w:color w:val="auto"/>
                <w:kern w:val="0"/>
                <w:szCs w:val="21"/>
              </w:rPr>
              <w:t>中心经纬度</w:t>
            </w:r>
            <w:r>
              <w:rPr>
                <w:rFonts w:ascii="宋体" w:hAnsi="宋体" w:cs="宋体"/>
                <w:color w:val="auto"/>
                <w:kern w:val="0"/>
                <w:szCs w:val="21"/>
              </w:rPr>
              <w:t>： E108</w:t>
            </w:r>
            <w:r>
              <w:rPr>
                <w:rFonts w:hint="eastAsia" w:ascii="宋体" w:hAnsi="宋体" w:cs="宋体"/>
                <w:color w:val="auto"/>
                <w:kern w:val="0"/>
                <w:szCs w:val="21"/>
              </w:rPr>
              <w:t>°</w:t>
            </w:r>
            <w:r>
              <w:rPr>
                <w:rFonts w:ascii="宋体" w:hAnsi="宋体" w:cs="宋体"/>
                <w:color w:val="auto"/>
                <w:kern w:val="0"/>
                <w:szCs w:val="21"/>
              </w:rPr>
              <w:t>22</w:t>
            </w:r>
            <w:r>
              <w:rPr>
                <w:rFonts w:hint="eastAsia" w:ascii="宋体" w:hAnsi="宋体" w:cs="宋体"/>
                <w:color w:val="auto"/>
                <w:kern w:val="0"/>
                <w:szCs w:val="21"/>
              </w:rPr>
              <w:t>′</w:t>
            </w:r>
            <w:r>
              <w:rPr>
                <w:rFonts w:ascii="宋体" w:hAnsi="宋体" w:cs="宋体"/>
                <w:color w:val="auto"/>
                <w:kern w:val="0"/>
                <w:szCs w:val="21"/>
              </w:rPr>
              <w:t>47.381</w:t>
            </w:r>
            <w:r>
              <w:rPr>
                <w:rFonts w:hint="eastAsia" w:ascii="宋体" w:hAnsi="宋体" w:cs="宋体"/>
                <w:color w:val="auto"/>
                <w:kern w:val="0"/>
                <w:szCs w:val="21"/>
              </w:rPr>
              <w:t>″</w:t>
            </w:r>
            <w:r>
              <w:rPr>
                <w:rFonts w:ascii="宋体" w:hAnsi="宋体" w:cs="宋体"/>
                <w:color w:val="auto"/>
                <w:kern w:val="0"/>
                <w:szCs w:val="21"/>
              </w:rPr>
              <w:t>， N31</w:t>
            </w:r>
            <w:r>
              <w:rPr>
                <w:rFonts w:hint="eastAsia" w:ascii="宋体" w:hAnsi="宋体" w:cs="宋体"/>
                <w:color w:val="auto"/>
                <w:kern w:val="0"/>
                <w:szCs w:val="21"/>
              </w:rPr>
              <w:t>°</w:t>
            </w:r>
            <w:r>
              <w:rPr>
                <w:rFonts w:ascii="宋体" w:hAnsi="宋体" w:cs="宋体"/>
                <w:color w:val="auto"/>
                <w:kern w:val="0"/>
                <w:szCs w:val="21"/>
              </w:rPr>
              <w:t>33</w:t>
            </w:r>
            <w:r>
              <w:rPr>
                <w:rFonts w:hint="eastAsia" w:ascii="宋体" w:hAnsi="宋体" w:cs="宋体"/>
                <w:color w:val="auto"/>
                <w:kern w:val="0"/>
                <w:szCs w:val="21"/>
              </w:rPr>
              <w:t>′</w:t>
            </w:r>
            <w:r>
              <w:rPr>
                <w:rFonts w:ascii="宋体" w:hAnsi="宋体" w:cs="宋体"/>
                <w:color w:val="auto"/>
                <w:kern w:val="0"/>
                <w:szCs w:val="21"/>
              </w:rPr>
              <w:t>14.142</w:t>
            </w:r>
            <w:r>
              <w:rPr>
                <w:rFonts w:hint="eastAsia" w:ascii="宋体" w:hAnsi="宋体" w:cs="宋体"/>
                <w:color w:val="auto"/>
                <w:kern w:val="0"/>
                <w:szCs w:val="21"/>
              </w:rPr>
              <w:t>″</w:t>
            </w:r>
          </w:p>
          <w:p>
            <w:pPr>
              <w:adjustRightInd w:val="0"/>
              <w:snapToGrid w:val="0"/>
              <w:spacing w:line="360" w:lineRule="auto"/>
              <w:ind w:firstLine="420" w:firstLineChars="200"/>
              <w:jc w:val="center"/>
              <w:rPr>
                <w:rFonts w:ascii="宋体" w:hAnsi="宋体" w:cs="宋体"/>
                <w:color w:val="auto"/>
                <w:kern w:val="0"/>
                <w:szCs w:val="21"/>
              </w:rPr>
            </w:pPr>
            <w:r>
              <w:rPr>
                <w:rFonts w:ascii="宋体" w:hAnsi="宋体" w:cs="宋体"/>
                <w:color w:val="auto"/>
                <w:kern w:val="0"/>
                <w:szCs w:val="21"/>
              </w:rPr>
              <w:t>加工区</w:t>
            </w:r>
            <w:r>
              <w:rPr>
                <w:rFonts w:hint="eastAsia" w:ascii="宋体" w:hAnsi="宋体" w:cs="宋体"/>
                <w:color w:val="auto"/>
                <w:kern w:val="0"/>
                <w:szCs w:val="21"/>
              </w:rPr>
              <w:t>中心经纬度</w:t>
            </w:r>
            <w:r>
              <w:rPr>
                <w:rFonts w:ascii="宋体" w:hAnsi="宋体" w:cs="宋体"/>
                <w:color w:val="auto"/>
                <w:kern w:val="0"/>
                <w:szCs w:val="21"/>
              </w:rPr>
              <w:t>： E108</w:t>
            </w:r>
            <w:r>
              <w:rPr>
                <w:rFonts w:hint="eastAsia" w:ascii="宋体" w:hAnsi="宋体" w:cs="宋体"/>
                <w:color w:val="auto"/>
                <w:kern w:val="0"/>
                <w:szCs w:val="21"/>
              </w:rPr>
              <w:t>°</w:t>
            </w:r>
            <w:r>
              <w:rPr>
                <w:rFonts w:ascii="宋体" w:hAnsi="宋体" w:cs="宋体"/>
                <w:color w:val="auto"/>
                <w:kern w:val="0"/>
                <w:szCs w:val="21"/>
              </w:rPr>
              <w:t>23</w:t>
            </w:r>
            <w:r>
              <w:rPr>
                <w:rFonts w:hint="eastAsia" w:ascii="宋体" w:hAnsi="宋体" w:cs="宋体"/>
                <w:color w:val="auto"/>
                <w:kern w:val="0"/>
                <w:szCs w:val="21"/>
              </w:rPr>
              <w:t>′</w:t>
            </w:r>
            <w:r>
              <w:rPr>
                <w:rFonts w:ascii="宋体" w:hAnsi="宋体" w:cs="宋体"/>
                <w:color w:val="auto"/>
                <w:kern w:val="0"/>
                <w:szCs w:val="21"/>
              </w:rPr>
              <w:t>3.440</w:t>
            </w:r>
            <w:r>
              <w:rPr>
                <w:rFonts w:hint="eastAsia" w:ascii="宋体" w:hAnsi="宋体" w:cs="宋体"/>
                <w:color w:val="auto"/>
                <w:kern w:val="0"/>
                <w:szCs w:val="21"/>
              </w:rPr>
              <w:t>″</w:t>
            </w:r>
            <w:r>
              <w:rPr>
                <w:rFonts w:ascii="宋体" w:hAnsi="宋体" w:cs="宋体"/>
                <w:color w:val="auto"/>
                <w:kern w:val="0"/>
                <w:szCs w:val="21"/>
              </w:rPr>
              <w:t>，</w:t>
            </w:r>
            <w:r>
              <w:rPr>
                <w:rFonts w:hint="eastAsia" w:ascii="宋体" w:hAnsi="宋体" w:cs="宋体"/>
                <w:color w:val="auto"/>
                <w:kern w:val="0"/>
                <w:szCs w:val="21"/>
              </w:rPr>
              <w:t>N</w:t>
            </w:r>
            <w:r>
              <w:rPr>
                <w:rFonts w:ascii="宋体" w:hAnsi="宋体" w:cs="宋体"/>
                <w:color w:val="auto"/>
                <w:kern w:val="0"/>
                <w:szCs w:val="21"/>
              </w:rPr>
              <w:t>31</w:t>
            </w:r>
            <w:r>
              <w:rPr>
                <w:rFonts w:hint="eastAsia" w:ascii="宋体" w:hAnsi="宋体" w:cs="宋体"/>
                <w:color w:val="auto"/>
                <w:kern w:val="0"/>
                <w:szCs w:val="21"/>
              </w:rPr>
              <w:t>°</w:t>
            </w:r>
            <w:r>
              <w:rPr>
                <w:rFonts w:ascii="宋体" w:hAnsi="宋体" w:cs="宋体"/>
                <w:color w:val="auto"/>
                <w:kern w:val="0"/>
                <w:szCs w:val="21"/>
              </w:rPr>
              <w:t>33</w:t>
            </w:r>
            <w:r>
              <w:rPr>
                <w:rFonts w:hint="eastAsia" w:ascii="宋体" w:hAnsi="宋体" w:cs="宋体"/>
                <w:color w:val="auto"/>
                <w:kern w:val="0"/>
                <w:szCs w:val="21"/>
              </w:rPr>
              <w:t>′</w:t>
            </w:r>
            <w:r>
              <w:rPr>
                <w:rFonts w:ascii="宋体" w:hAnsi="宋体" w:cs="宋体"/>
                <w:color w:val="auto"/>
                <w:kern w:val="0"/>
                <w:szCs w:val="21"/>
              </w:rPr>
              <w:t xml:space="preserve"> 32.904</w:t>
            </w:r>
            <w:r>
              <w:rPr>
                <w:rFonts w:hint="eastAsia" w:ascii="宋体" w:hAnsi="宋体" w:cs="宋体"/>
                <w:color w:val="auto"/>
                <w:kern w:val="0"/>
                <w:szCs w:val="21"/>
              </w:rPr>
              <w:t>″</w:t>
            </w:r>
          </w:p>
          <w:p>
            <w:pPr>
              <w:adjustRightInd w:val="0"/>
              <w:snapToGrid w:val="0"/>
              <w:spacing w:line="360" w:lineRule="auto"/>
              <w:ind w:firstLine="420" w:firstLineChars="200"/>
              <w:jc w:val="center"/>
              <w:rPr>
                <w:rFonts w:ascii="宋体" w:hAnsi="宋体" w:cs="宋体"/>
                <w:color w:val="auto"/>
                <w:kern w:val="0"/>
                <w:szCs w:val="21"/>
              </w:rPr>
            </w:pPr>
            <w:r>
              <w:rPr>
                <w:rFonts w:ascii="宋体" w:hAnsi="宋体" w:cs="宋体"/>
                <w:color w:val="auto"/>
                <w:kern w:val="0"/>
                <w:szCs w:val="21"/>
              </w:rPr>
              <w:t>道路起点</w:t>
            </w:r>
            <w:r>
              <w:rPr>
                <w:rFonts w:hint="eastAsia" w:ascii="宋体" w:hAnsi="宋体" w:cs="宋体"/>
                <w:color w:val="auto"/>
                <w:kern w:val="0"/>
                <w:szCs w:val="21"/>
              </w:rPr>
              <w:t>经纬度</w:t>
            </w:r>
            <w:r>
              <w:rPr>
                <w:rFonts w:ascii="宋体" w:hAnsi="宋体" w:cs="宋体"/>
                <w:color w:val="auto"/>
                <w:kern w:val="0"/>
                <w:szCs w:val="21"/>
              </w:rPr>
              <w:t>：</w:t>
            </w:r>
            <w:r>
              <w:rPr>
                <w:rFonts w:hint="eastAsia" w:ascii="宋体" w:hAnsi="宋体" w:cs="宋体"/>
                <w:color w:val="auto"/>
                <w:kern w:val="0"/>
                <w:szCs w:val="21"/>
              </w:rPr>
              <w:t>E</w:t>
            </w:r>
            <w:r>
              <w:rPr>
                <w:rFonts w:ascii="宋体" w:hAnsi="宋体" w:cs="宋体"/>
                <w:color w:val="auto"/>
                <w:kern w:val="0"/>
                <w:szCs w:val="21"/>
              </w:rPr>
              <w:t>108</w:t>
            </w:r>
            <w:r>
              <w:rPr>
                <w:rFonts w:hint="eastAsia" w:ascii="宋体" w:hAnsi="宋体" w:cs="宋体"/>
                <w:color w:val="auto"/>
                <w:kern w:val="0"/>
                <w:szCs w:val="21"/>
              </w:rPr>
              <w:t>°</w:t>
            </w:r>
            <w:r>
              <w:rPr>
                <w:rFonts w:ascii="宋体" w:hAnsi="宋体" w:cs="宋体"/>
                <w:color w:val="auto"/>
                <w:kern w:val="0"/>
                <w:szCs w:val="21"/>
              </w:rPr>
              <w:t>23</w:t>
            </w:r>
            <w:r>
              <w:rPr>
                <w:rFonts w:hint="eastAsia" w:ascii="宋体" w:hAnsi="宋体" w:cs="宋体"/>
                <w:color w:val="auto"/>
                <w:kern w:val="0"/>
                <w:szCs w:val="21"/>
              </w:rPr>
              <w:t>′</w:t>
            </w:r>
            <w:r>
              <w:rPr>
                <w:rFonts w:ascii="宋体" w:hAnsi="宋体" w:cs="宋体"/>
                <w:color w:val="auto"/>
                <w:kern w:val="0"/>
                <w:szCs w:val="21"/>
              </w:rPr>
              <w:t>8.773</w:t>
            </w:r>
            <w:r>
              <w:rPr>
                <w:rFonts w:hint="eastAsia" w:ascii="宋体" w:hAnsi="宋体" w:cs="宋体"/>
                <w:color w:val="auto"/>
                <w:kern w:val="0"/>
                <w:szCs w:val="21"/>
              </w:rPr>
              <w:t>″</w:t>
            </w:r>
            <w:r>
              <w:rPr>
                <w:rFonts w:ascii="宋体" w:hAnsi="宋体" w:cs="宋体"/>
                <w:color w:val="auto"/>
                <w:kern w:val="0"/>
                <w:szCs w:val="21"/>
              </w:rPr>
              <w:t>，</w:t>
            </w:r>
            <w:r>
              <w:rPr>
                <w:rFonts w:hint="eastAsia" w:ascii="宋体" w:hAnsi="宋体" w:cs="宋体"/>
                <w:color w:val="auto"/>
                <w:kern w:val="0"/>
                <w:szCs w:val="21"/>
              </w:rPr>
              <w:t>N</w:t>
            </w:r>
            <w:r>
              <w:rPr>
                <w:rFonts w:ascii="宋体" w:hAnsi="宋体" w:cs="宋体"/>
                <w:color w:val="auto"/>
                <w:kern w:val="0"/>
                <w:szCs w:val="21"/>
              </w:rPr>
              <w:t>31</w:t>
            </w:r>
            <w:r>
              <w:rPr>
                <w:rFonts w:hint="eastAsia" w:ascii="宋体" w:hAnsi="宋体" w:cs="宋体"/>
                <w:color w:val="auto"/>
                <w:kern w:val="0"/>
                <w:szCs w:val="21"/>
              </w:rPr>
              <w:t>°</w:t>
            </w:r>
            <w:r>
              <w:rPr>
                <w:rFonts w:ascii="宋体" w:hAnsi="宋体" w:cs="宋体"/>
                <w:color w:val="auto"/>
                <w:kern w:val="0"/>
                <w:szCs w:val="21"/>
              </w:rPr>
              <w:t>33</w:t>
            </w:r>
            <w:r>
              <w:rPr>
                <w:rFonts w:hint="eastAsia" w:ascii="宋体" w:hAnsi="宋体" w:cs="宋体"/>
                <w:color w:val="auto"/>
                <w:kern w:val="0"/>
                <w:szCs w:val="21"/>
              </w:rPr>
              <w:t>′</w:t>
            </w:r>
            <w:r>
              <w:rPr>
                <w:rFonts w:ascii="宋体" w:hAnsi="宋体" w:cs="宋体"/>
                <w:color w:val="auto"/>
                <w:kern w:val="0"/>
                <w:szCs w:val="21"/>
              </w:rPr>
              <w:t>57.255</w:t>
            </w:r>
            <w:r>
              <w:rPr>
                <w:rFonts w:hint="eastAsia" w:ascii="宋体" w:hAnsi="宋体" w:cs="宋体"/>
                <w:color w:val="auto"/>
                <w:kern w:val="0"/>
                <w:szCs w:val="21"/>
              </w:rPr>
              <w:t>″</w:t>
            </w:r>
          </w:p>
          <w:p>
            <w:pPr>
              <w:adjustRightInd w:val="0"/>
              <w:snapToGrid w:val="0"/>
              <w:spacing w:line="360" w:lineRule="auto"/>
              <w:ind w:firstLine="420" w:firstLineChars="200"/>
              <w:jc w:val="center"/>
              <w:rPr>
                <w:rFonts w:ascii="宋体" w:hAnsi="宋体" w:cs="宋体"/>
                <w:color w:val="auto"/>
                <w:kern w:val="0"/>
                <w:szCs w:val="21"/>
              </w:rPr>
            </w:pPr>
            <w:r>
              <w:rPr>
                <w:rFonts w:ascii="宋体" w:hAnsi="宋体" w:cs="宋体"/>
                <w:color w:val="auto"/>
                <w:kern w:val="0"/>
                <w:szCs w:val="21"/>
              </w:rPr>
              <w:t>道路终点</w:t>
            </w:r>
            <w:r>
              <w:rPr>
                <w:rFonts w:hint="eastAsia" w:ascii="宋体" w:hAnsi="宋体" w:cs="宋体"/>
                <w:color w:val="auto"/>
                <w:kern w:val="0"/>
                <w:szCs w:val="21"/>
              </w:rPr>
              <w:t>经纬度</w:t>
            </w:r>
            <w:r>
              <w:rPr>
                <w:rFonts w:ascii="宋体" w:hAnsi="宋体" w:cs="宋体"/>
                <w:color w:val="auto"/>
                <w:kern w:val="0"/>
                <w:szCs w:val="21"/>
              </w:rPr>
              <w:t>：</w:t>
            </w:r>
            <w:r>
              <w:rPr>
                <w:rFonts w:hint="eastAsia" w:ascii="宋体" w:hAnsi="宋体" w:cs="宋体"/>
                <w:color w:val="auto"/>
                <w:kern w:val="0"/>
                <w:szCs w:val="21"/>
              </w:rPr>
              <w:t>E</w:t>
            </w:r>
            <w:r>
              <w:rPr>
                <w:rFonts w:ascii="宋体" w:hAnsi="宋体" w:cs="宋体"/>
                <w:color w:val="auto"/>
                <w:kern w:val="0"/>
                <w:szCs w:val="21"/>
              </w:rPr>
              <w:t>108</w:t>
            </w:r>
            <w:r>
              <w:rPr>
                <w:rFonts w:hint="eastAsia" w:ascii="宋体" w:hAnsi="宋体" w:cs="宋体"/>
                <w:color w:val="auto"/>
                <w:kern w:val="0"/>
                <w:szCs w:val="21"/>
              </w:rPr>
              <w:t>°</w:t>
            </w:r>
            <w:r>
              <w:rPr>
                <w:rFonts w:ascii="宋体" w:hAnsi="宋体" w:cs="宋体"/>
                <w:color w:val="auto"/>
                <w:kern w:val="0"/>
                <w:szCs w:val="21"/>
              </w:rPr>
              <w:t>22</w:t>
            </w:r>
            <w:r>
              <w:rPr>
                <w:rFonts w:hint="eastAsia" w:ascii="宋体" w:hAnsi="宋体" w:cs="宋体"/>
                <w:color w:val="auto"/>
                <w:kern w:val="0"/>
                <w:szCs w:val="21"/>
              </w:rPr>
              <w:t>′</w:t>
            </w:r>
            <w:r>
              <w:rPr>
                <w:rFonts w:ascii="宋体" w:hAnsi="宋体" w:cs="宋体"/>
                <w:color w:val="auto"/>
                <w:kern w:val="0"/>
                <w:szCs w:val="21"/>
              </w:rPr>
              <w:t>42.596</w:t>
            </w:r>
            <w:r>
              <w:rPr>
                <w:rFonts w:hint="eastAsia" w:ascii="宋体" w:hAnsi="宋体" w:cs="宋体"/>
                <w:color w:val="auto"/>
                <w:kern w:val="0"/>
                <w:szCs w:val="21"/>
              </w:rPr>
              <w:t>″</w:t>
            </w:r>
            <w:r>
              <w:rPr>
                <w:rFonts w:ascii="宋体" w:hAnsi="宋体" w:cs="宋体"/>
                <w:color w:val="auto"/>
                <w:kern w:val="0"/>
                <w:szCs w:val="21"/>
              </w:rPr>
              <w:t>，</w:t>
            </w:r>
            <w:r>
              <w:rPr>
                <w:rFonts w:hint="eastAsia" w:ascii="宋体" w:hAnsi="宋体" w:cs="宋体"/>
                <w:color w:val="auto"/>
                <w:kern w:val="0"/>
                <w:szCs w:val="21"/>
              </w:rPr>
              <w:t>N</w:t>
            </w:r>
            <w:r>
              <w:rPr>
                <w:rFonts w:ascii="宋体" w:hAnsi="宋体" w:cs="宋体"/>
                <w:color w:val="auto"/>
                <w:kern w:val="0"/>
                <w:szCs w:val="21"/>
              </w:rPr>
              <w:t>31</w:t>
            </w:r>
            <w:r>
              <w:rPr>
                <w:rFonts w:hint="eastAsia" w:ascii="宋体" w:hAnsi="宋体" w:cs="宋体"/>
                <w:color w:val="auto"/>
                <w:kern w:val="0"/>
                <w:szCs w:val="21"/>
              </w:rPr>
              <w:t>°</w:t>
            </w:r>
            <w:r>
              <w:rPr>
                <w:rFonts w:ascii="宋体" w:hAnsi="宋体" w:cs="宋体"/>
                <w:color w:val="auto"/>
                <w:kern w:val="0"/>
                <w:szCs w:val="21"/>
              </w:rPr>
              <w:t>33</w:t>
            </w:r>
            <w:r>
              <w:rPr>
                <w:rFonts w:hint="eastAsia" w:ascii="宋体" w:hAnsi="宋体" w:cs="宋体"/>
                <w:color w:val="auto"/>
                <w:kern w:val="0"/>
                <w:szCs w:val="21"/>
              </w:rPr>
              <w:t>′</w:t>
            </w:r>
            <w:r>
              <w:rPr>
                <w:rFonts w:ascii="宋体" w:hAnsi="宋体" w:cs="宋体"/>
                <w:color w:val="auto"/>
                <w:kern w:val="0"/>
                <w:szCs w:val="21"/>
              </w:rPr>
              <w:t>21.972</w:t>
            </w:r>
            <w:r>
              <w:rPr>
                <w:rFonts w:hint="eastAsia" w:ascii="宋体" w:hAnsi="宋体" w:cs="宋体"/>
                <w:color w:val="auto"/>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710" w:type="dxa"/>
            <w:vAlign w:val="center"/>
          </w:tcPr>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项目组成及规模</w:t>
            </w:r>
          </w:p>
        </w:tc>
        <w:tc>
          <w:tcPr>
            <w:tcW w:w="8380" w:type="dxa"/>
            <w:vAlign w:val="center"/>
          </w:tcPr>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一、项目由来</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随着宣汉县城市发展和基础设施建设的稳步推进，对砂石等建材的需求迫切。现阶段开工建设的西渝高铁（宣汉段）；正在规划，即将开工建设城宣大邻高速（宣汉段）和通平宣高速公路（宣汉段）；当地城市发展相适应的建筑、机场、市政道路、公路、桥梁、隧道等建设工程，都构成了砂石资源需求。2023年10月13日，宣汉县漆树土家族乡乘龙村鲁家洞建筑石料用灰岩、建筑用白云岩矿在达州市公共资源交易服务中心成功拍卖，中标人为宣汉发展投资集团有限公司。按原国土资源部《关于加强对矿产资源开发利用方案审查的通知》(国土资发〔1999〕98号)及附件《矿产资源开发利用方案编写内容》要求，宣汉发展投资集团有限公司委托四川省容大鹏程建设工程有限公司编制完成了《四川省宣汉县漆树土家族乡乘龙村鲁家洞建筑石料用灰岩、建筑用白云岩矿矿产资源开发利用方案》及《四川省宣汉县漆树土家族乡乘龙村鲁家洞建筑石料用灰岩、建筑用白云岩矿矿山地质环境保护与土地复垦方案》，并取得了《采矿许可证》（证号：C5117002024027140156361），有效期为202</w:t>
            </w:r>
            <w:r>
              <w:rPr>
                <w:rFonts w:ascii="宋体" w:hAnsi="宋体" w:cs="宋体"/>
                <w:color w:val="auto"/>
                <w:kern w:val="0"/>
                <w:szCs w:val="21"/>
              </w:rPr>
              <w:t>4</w:t>
            </w:r>
            <w:r>
              <w:rPr>
                <w:rFonts w:hint="eastAsia" w:ascii="宋体" w:hAnsi="宋体" w:cs="宋体"/>
                <w:color w:val="auto"/>
                <w:kern w:val="0"/>
                <w:szCs w:val="21"/>
              </w:rPr>
              <w:t>年</w:t>
            </w:r>
            <w:r>
              <w:rPr>
                <w:rFonts w:ascii="宋体" w:hAnsi="宋体" w:cs="宋体"/>
                <w:color w:val="auto"/>
                <w:kern w:val="0"/>
                <w:szCs w:val="21"/>
              </w:rPr>
              <w:t>2</w:t>
            </w:r>
            <w:r>
              <w:rPr>
                <w:rFonts w:hint="eastAsia" w:ascii="宋体" w:hAnsi="宋体" w:cs="宋体"/>
                <w:color w:val="auto"/>
                <w:kern w:val="0"/>
                <w:szCs w:val="21"/>
              </w:rPr>
              <w:t>月</w:t>
            </w:r>
            <w:r>
              <w:rPr>
                <w:rFonts w:ascii="宋体" w:hAnsi="宋体" w:cs="宋体"/>
                <w:color w:val="auto"/>
                <w:kern w:val="0"/>
                <w:szCs w:val="21"/>
              </w:rPr>
              <w:t>7</w:t>
            </w:r>
            <w:r>
              <w:rPr>
                <w:rFonts w:hint="eastAsia" w:ascii="宋体" w:hAnsi="宋体" w:cs="宋体"/>
                <w:color w:val="auto"/>
                <w:kern w:val="0"/>
                <w:szCs w:val="21"/>
              </w:rPr>
              <w:t>日至20</w:t>
            </w:r>
            <w:r>
              <w:rPr>
                <w:rFonts w:ascii="宋体" w:hAnsi="宋体" w:cs="宋体"/>
                <w:color w:val="auto"/>
                <w:kern w:val="0"/>
                <w:szCs w:val="21"/>
              </w:rPr>
              <w:t>49</w:t>
            </w:r>
            <w:r>
              <w:rPr>
                <w:rFonts w:hint="eastAsia" w:ascii="宋体" w:hAnsi="宋体" w:cs="宋体"/>
                <w:color w:val="auto"/>
                <w:kern w:val="0"/>
                <w:szCs w:val="21"/>
              </w:rPr>
              <w:t>年</w:t>
            </w:r>
            <w:r>
              <w:rPr>
                <w:rFonts w:ascii="宋体" w:hAnsi="宋体" w:cs="宋体"/>
                <w:color w:val="auto"/>
                <w:kern w:val="0"/>
                <w:szCs w:val="21"/>
              </w:rPr>
              <w:t>2</w:t>
            </w:r>
            <w:r>
              <w:rPr>
                <w:rFonts w:hint="eastAsia" w:ascii="宋体" w:hAnsi="宋体" w:cs="宋体"/>
                <w:color w:val="auto"/>
                <w:kern w:val="0"/>
                <w:szCs w:val="21"/>
              </w:rPr>
              <w:t>月</w:t>
            </w:r>
            <w:r>
              <w:rPr>
                <w:rFonts w:ascii="宋体" w:hAnsi="宋体" w:cs="宋体"/>
                <w:color w:val="auto"/>
                <w:kern w:val="0"/>
                <w:szCs w:val="21"/>
              </w:rPr>
              <w:t>7</w:t>
            </w:r>
            <w:r>
              <w:rPr>
                <w:rFonts w:hint="eastAsia" w:ascii="宋体" w:hAnsi="宋体" w:cs="宋体"/>
                <w:color w:val="auto"/>
                <w:kern w:val="0"/>
                <w:szCs w:val="21"/>
              </w:rPr>
              <w:t>日，开采矿种：建筑石料用灰岩、建筑用白云岩，开采方式：露天开采，生产规模</w:t>
            </w:r>
            <w:r>
              <w:rPr>
                <w:rFonts w:ascii="宋体" w:hAnsi="宋体" w:cs="宋体"/>
                <w:color w:val="auto"/>
                <w:kern w:val="0"/>
                <w:szCs w:val="21"/>
              </w:rPr>
              <w:t>250</w:t>
            </w:r>
            <w:r>
              <w:rPr>
                <w:rFonts w:hint="eastAsia" w:ascii="宋体" w:hAnsi="宋体" w:cs="宋体"/>
                <w:color w:val="auto"/>
                <w:kern w:val="0"/>
                <w:szCs w:val="21"/>
              </w:rPr>
              <w:t>万吨/年。矿区范围由</w:t>
            </w:r>
            <w:r>
              <w:rPr>
                <w:rFonts w:ascii="宋体" w:hAnsi="宋体" w:cs="宋体"/>
                <w:color w:val="auto"/>
                <w:kern w:val="0"/>
                <w:szCs w:val="21"/>
              </w:rPr>
              <w:t>8</w:t>
            </w:r>
            <w:r>
              <w:rPr>
                <w:rFonts w:hint="eastAsia" w:ascii="宋体" w:hAnsi="宋体" w:cs="宋体"/>
                <w:color w:val="auto"/>
                <w:kern w:val="0"/>
                <w:szCs w:val="21"/>
              </w:rPr>
              <w:t>个拐点圈闭，矿区面积为</w:t>
            </w:r>
            <w:r>
              <w:rPr>
                <w:rFonts w:ascii="宋体" w:hAnsi="宋体" w:cs="宋体"/>
                <w:color w:val="auto"/>
                <w:kern w:val="0"/>
                <w:szCs w:val="21"/>
              </w:rPr>
              <w:t>0.3756</w:t>
            </w:r>
            <w:r>
              <w:rPr>
                <w:rFonts w:hint="eastAsia" w:ascii="宋体" w:hAnsi="宋体" w:cs="宋体"/>
                <w:color w:val="auto"/>
                <w:kern w:val="0"/>
                <w:szCs w:val="21"/>
              </w:rPr>
              <w:t>km</w:t>
            </w:r>
            <w:r>
              <w:rPr>
                <w:rFonts w:hint="eastAsia" w:ascii="宋体" w:hAnsi="宋体" w:cs="宋体"/>
                <w:color w:val="auto"/>
                <w:kern w:val="0"/>
                <w:szCs w:val="21"/>
                <w:vertAlign w:val="superscript"/>
              </w:rPr>
              <w:t>2</w:t>
            </w:r>
            <w:r>
              <w:rPr>
                <w:rFonts w:hint="eastAsia" w:ascii="宋体" w:hAnsi="宋体" w:cs="宋体"/>
                <w:color w:val="auto"/>
                <w:kern w:val="0"/>
                <w:szCs w:val="21"/>
              </w:rPr>
              <w:t>，开采标高从</w:t>
            </w:r>
            <w:r>
              <w:rPr>
                <w:rFonts w:ascii="宋体" w:hAnsi="宋体" w:cs="宋体"/>
                <w:color w:val="auto"/>
                <w:kern w:val="0"/>
                <w:szCs w:val="21"/>
              </w:rPr>
              <w:t>1369</w:t>
            </w:r>
            <w:r>
              <w:rPr>
                <w:rFonts w:hint="eastAsia" w:ascii="宋体" w:hAnsi="宋体" w:cs="宋体"/>
                <w:color w:val="auto"/>
                <w:kern w:val="0"/>
                <w:szCs w:val="21"/>
              </w:rPr>
              <w:t>m到</w:t>
            </w:r>
            <w:r>
              <w:rPr>
                <w:rFonts w:ascii="宋体" w:hAnsi="宋体" w:cs="宋体"/>
                <w:color w:val="auto"/>
                <w:kern w:val="0"/>
                <w:szCs w:val="21"/>
              </w:rPr>
              <w:t>1170</w:t>
            </w:r>
            <w:r>
              <w:rPr>
                <w:rFonts w:hint="eastAsia" w:ascii="宋体" w:hAnsi="宋体" w:cs="宋体"/>
                <w:color w:val="auto"/>
                <w:kern w:val="0"/>
                <w:szCs w:val="21"/>
              </w:rPr>
              <w:t>m，服务年限为</w:t>
            </w:r>
            <w:r>
              <w:rPr>
                <w:rFonts w:ascii="宋体" w:hAnsi="宋体" w:cs="宋体"/>
                <w:color w:val="auto"/>
                <w:kern w:val="0"/>
                <w:szCs w:val="21"/>
              </w:rPr>
              <w:t>25</w:t>
            </w:r>
            <w:r>
              <w:rPr>
                <w:rFonts w:hint="eastAsia" w:ascii="宋体" w:hAnsi="宋体" w:cs="宋体"/>
                <w:color w:val="auto"/>
                <w:kern w:val="0"/>
                <w:szCs w:val="21"/>
              </w:rPr>
              <w:t>年。同时本项目配套建设矿石生产加工区及矿山生产服务交通运输通道。本项目实施形成的砂石供应，围绕宣汉县区域中心城市发展和保障铁路、公路等重点项目建设布局，是满足当地市场需求，保障宣汉县城市建设和基础设施建设的需求。</w:t>
            </w:r>
            <w:r>
              <w:rPr>
                <w:rFonts w:ascii="宋体" w:hAnsi="宋体" w:cs="宋体"/>
                <w:color w:val="auto"/>
                <w:kern w:val="0"/>
                <w:szCs w:val="21"/>
              </w:rPr>
              <w:cr/>
            </w:r>
            <w:r>
              <w:rPr>
                <w:rFonts w:ascii="宋体" w:hAnsi="宋体" w:cs="宋体"/>
                <w:color w:val="auto"/>
                <w:kern w:val="0"/>
                <w:szCs w:val="21"/>
              </w:rPr>
              <w:t xml:space="preserve">    </w:t>
            </w:r>
            <w:r>
              <w:rPr>
                <w:rFonts w:hint="eastAsia" w:ascii="宋体" w:hAnsi="宋体" w:cs="宋体"/>
                <w:color w:val="auto"/>
                <w:kern w:val="0"/>
                <w:szCs w:val="21"/>
              </w:rPr>
              <w:t>根据《中华人民共和国环境保护法</w:t>
            </w:r>
            <w:r>
              <w:rPr>
                <w:rFonts w:hint="eastAsia" w:ascii="宋体" w:hAnsi="宋体" w:cs="宋体"/>
                <w:color w:val="auto"/>
                <w:kern w:val="0"/>
                <w:szCs w:val="21"/>
                <w:lang w:eastAsia="zh-CN"/>
              </w:rPr>
              <w:t>》《</w:t>
            </w:r>
            <w:r>
              <w:rPr>
                <w:rFonts w:hint="eastAsia" w:ascii="宋体" w:hAnsi="宋体" w:cs="宋体"/>
                <w:color w:val="auto"/>
                <w:kern w:val="0"/>
                <w:szCs w:val="21"/>
              </w:rPr>
              <w:t>建设项目环境保护管理条例》，项目需开展环境影响评价。本项目为砂石开采及加工项目，根据《建设项目环境影响评价分类管理名录》（2021年版），本项目砂石开采属于“八、非金属矿采选业1</w:t>
            </w:r>
            <w:r>
              <w:rPr>
                <w:rFonts w:ascii="宋体" w:hAnsi="宋体" w:cs="宋体"/>
                <w:color w:val="auto"/>
                <w:kern w:val="0"/>
                <w:szCs w:val="21"/>
              </w:rPr>
              <w:t>0</w:t>
            </w:r>
            <w:r>
              <w:rPr>
                <w:rFonts w:hint="eastAsia" w:ascii="宋体" w:hAnsi="宋体" w:cs="宋体"/>
                <w:color w:val="auto"/>
                <w:kern w:val="0"/>
                <w:szCs w:val="21"/>
              </w:rPr>
              <w:t>”中“11土砂石开采1</w:t>
            </w:r>
            <w:r>
              <w:rPr>
                <w:rFonts w:ascii="宋体" w:hAnsi="宋体" w:cs="宋体"/>
                <w:color w:val="auto"/>
                <w:kern w:val="0"/>
                <w:szCs w:val="21"/>
              </w:rPr>
              <w:t>01</w:t>
            </w:r>
            <w:r>
              <w:rPr>
                <w:rFonts w:hint="eastAsia" w:ascii="宋体" w:hAnsi="宋体" w:cs="宋体"/>
                <w:color w:val="auto"/>
                <w:kern w:val="0"/>
                <w:szCs w:val="21"/>
              </w:rPr>
              <w:t>（不含河道采砂项目）”中“其他”，砂石加工属于“二十七、非金属矿物制品业3</w:t>
            </w:r>
            <w:r>
              <w:rPr>
                <w:rFonts w:ascii="宋体" w:hAnsi="宋体" w:cs="宋体"/>
                <w:color w:val="auto"/>
                <w:kern w:val="0"/>
                <w:szCs w:val="21"/>
              </w:rPr>
              <w:t>0</w:t>
            </w:r>
            <w:r>
              <w:rPr>
                <w:rFonts w:hint="eastAsia" w:ascii="宋体" w:hAnsi="宋体" w:cs="宋体"/>
                <w:color w:val="auto"/>
                <w:kern w:val="0"/>
                <w:szCs w:val="21"/>
              </w:rPr>
              <w:t>”中“56、砖瓦、石材等建筑材料制造 303”中“其他建筑材料制造”，需要编制环境影响报告表。为此，建设单位特委托我公司对本项目进行环境影响评价。</w:t>
            </w:r>
          </w:p>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二、项目建设情况</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kern w:val="0"/>
                <w:szCs w:val="21"/>
              </w:rPr>
              <w:t>项目名称：</w:t>
            </w:r>
            <w:r>
              <w:rPr>
                <w:rFonts w:hint="eastAsia" w:ascii="宋体" w:hAnsi="宋体" w:cs="宋体"/>
                <w:color w:val="auto"/>
                <w:szCs w:val="21"/>
              </w:rPr>
              <w:t>宣汉县漆树土家族乡乘龙村鲁家洞建筑石料用灰岩开发项目</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项目性质：新建</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项目投资：项目估算总投资为</w:t>
            </w:r>
            <w:r>
              <w:rPr>
                <w:color w:val="auto"/>
                <w:kern w:val="0"/>
                <w:szCs w:val="21"/>
              </w:rPr>
              <w:t>56318.89</w:t>
            </w:r>
            <w:r>
              <w:rPr>
                <w:rFonts w:hint="eastAsia" w:ascii="宋体" w:hAnsi="宋体" w:cs="宋体"/>
                <w:color w:val="auto"/>
                <w:kern w:val="0"/>
                <w:szCs w:val="21"/>
              </w:rPr>
              <w:t>万元</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建设地址：四川省达州市宣汉县漆树土家族乡乘龙村</w:t>
            </w:r>
          </w:p>
          <w:p>
            <w:pPr>
              <w:adjustRightInd w:val="0"/>
              <w:snapToGrid w:val="0"/>
              <w:spacing w:line="360" w:lineRule="auto"/>
              <w:ind w:firstLine="420" w:firstLineChars="200"/>
              <w:rPr>
                <w:color w:val="auto"/>
              </w:rPr>
            </w:pPr>
            <w:r>
              <w:rPr>
                <w:rFonts w:hint="eastAsia" w:ascii="宋体" w:hAnsi="宋体" w:cs="宋体"/>
                <w:color w:val="auto"/>
                <w:kern w:val="0"/>
                <w:szCs w:val="21"/>
              </w:rPr>
              <w:t>建设规模及内容：项目矿区面积0.</w:t>
            </w:r>
            <w:r>
              <w:rPr>
                <w:rFonts w:ascii="宋体" w:hAnsi="宋体" w:cs="宋体"/>
                <w:color w:val="auto"/>
                <w:kern w:val="0"/>
                <w:szCs w:val="21"/>
              </w:rPr>
              <w:t>3756</w:t>
            </w:r>
            <w:r>
              <w:rPr>
                <w:rFonts w:hint="eastAsia" w:ascii="宋体" w:hAnsi="宋体" w:cs="宋体"/>
                <w:color w:val="auto"/>
                <w:kern w:val="0"/>
                <w:szCs w:val="21"/>
              </w:rPr>
              <w:t>km</w:t>
            </w:r>
            <w:r>
              <w:rPr>
                <w:rFonts w:hint="eastAsia" w:ascii="宋体" w:hAnsi="宋体" w:cs="宋体"/>
                <w:color w:val="auto"/>
                <w:kern w:val="0"/>
                <w:szCs w:val="21"/>
                <w:vertAlign w:val="superscript"/>
              </w:rPr>
              <w:t>2</w:t>
            </w:r>
            <w:r>
              <w:rPr>
                <w:rFonts w:hint="eastAsia" w:ascii="宋体" w:hAnsi="宋体" w:cs="宋体"/>
                <w:color w:val="auto"/>
                <w:kern w:val="0"/>
                <w:szCs w:val="21"/>
              </w:rPr>
              <w:t>，根据了《四川省宣汉县鲁家洞建筑用白云岩建筑石料用灰岩矿勘探报告》，勘查区范围内累计查明建筑石料用灰岩矿+建筑用白云岩资源量共计2464.5万m</w:t>
            </w:r>
            <w:r>
              <w:rPr>
                <w:rFonts w:hint="eastAsia" w:ascii="宋体" w:hAnsi="宋体" w:cs="宋体"/>
                <w:color w:val="auto"/>
                <w:kern w:val="0"/>
                <w:szCs w:val="21"/>
                <w:vertAlign w:val="superscript"/>
              </w:rPr>
              <w:t>3</w:t>
            </w:r>
            <w:r>
              <w:rPr>
                <w:rFonts w:hint="eastAsia" w:ascii="宋体" w:hAnsi="宋体" w:cs="宋体"/>
                <w:color w:val="auto"/>
                <w:kern w:val="0"/>
                <w:szCs w:val="21"/>
              </w:rPr>
              <w:t>（折合6593.4万t）。其中探明资源811.5万m</w:t>
            </w:r>
            <w:r>
              <w:rPr>
                <w:rFonts w:hint="eastAsia" w:ascii="宋体" w:hAnsi="宋体" w:cs="宋体"/>
                <w:color w:val="auto"/>
                <w:kern w:val="0"/>
                <w:szCs w:val="21"/>
                <w:vertAlign w:val="superscript"/>
              </w:rPr>
              <w:t>3</w:t>
            </w:r>
            <w:r>
              <w:rPr>
                <w:rFonts w:hint="eastAsia" w:ascii="宋体" w:hAnsi="宋体" w:cs="宋体"/>
                <w:color w:val="auto"/>
                <w:kern w:val="0"/>
                <w:szCs w:val="21"/>
              </w:rPr>
              <w:t>（折合2170.4万t）；控制资源量421.2万m</w:t>
            </w:r>
            <w:r>
              <w:rPr>
                <w:rFonts w:hint="eastAsia" w:ascii="宋体" w:hAnsi="宋体" w:cs="宋体"/>
                <w:color w:val="auto"/>
                <w:kern w:val="0"/>
                <w:szCs w:val="21"/>
                <w:vertAlign w:val="superscript"/>
              </w:rPr>
              <w:t>3</w:t>
            </w:r>
            <w:r>
              <w:rPr>
                <w:rFonts w:hint="eastAsia" w:ascii="宋体" w:hAnsi="宋体" w:cs="宋体"/>
                <w:color w:val="auto"/>
                <w:kern w:val="0"/>
                <w:szCs w:val="21"/>
              </w:rPr>
              <w:t>（折合1128.9万t）；推断资源量1231.8万</w:t>
            </w:r>
            <w:r>
              <w:rPr>
                <w:rFonts w:ascii="宋体" w:hAnsi="宋体" w:cs="宋体"/>
                <w:color w:val="auto"/>
                <w:kern w:val="0"/>
                <w:szCs w:val="21"/>
              </w:rPr>
              <w:t>m</w:t>
            </w:r>
            <w:r>
              <w:rPr>
                <w:rFonts w:hint="eastAsia" w:ascii="宋体" w:hAnsi="宋体" w:cs="宋体"/>
                <w:color w:val="auto"/>
                <w:kern w:val="0"/>
                <w:szCs w:val="21"/>
                <w:vertAlign w:val="superscript"/>
              </w:rPr>
              <w:t>3</w:t>
            </w:r>
            <w:r>
              <w:rPr>
                <w:rFonts w:hint="eastAsia" w:ascii="宋体" w:hAnsi="宋体" w:cs="宋体"/>
                <w:color w:val="auto"/>
                <w:kern w:val="0"/>
                <w:szCs w:val="21"/>
              </w:rPr>
              <w:t>（折合3294.1万t）。探明+控制的资源量占总资源量50.04%。《四川省宣汉县漆树土家族乡乘龙村鲁家洞建筑石料用灰岩、建筑用白云岩矿矿产资源开发利用方案》，设计开采标高为+1369m～+1170m，设计利用的可采矿产资源量6178.03万吨；采区开采为台阶式开采，因剔除夹石剥离量，资源设计利用率为93.70%。生产规模为250 万吨/年，服务年限为</w:t>
            </w:r>
            <w:r>
              <w:rPr>
                <w:rFonts w:ascii="宋体" w:hAnsi="宋体" w:cs="宋体"/>
                <w:color w:val="auto"/>
                <w:kern w:val="0"/>
                <w:szCs w:val="21"/>
              </w:rPr>
              <w:t>25</w:t>
            </w:r>
            <w:r>
              <w:rPr>
                <w:rFonts w:hint="eastAsia" w:ascii="宋体" w:hAnsi="宋体" w:cs="宋体"/>
                <w:color w:val="auto"/>
                <w:kern w:val="0"/>
                <w:szCs w:val="21"/>
              </w:rPr>
              <w:t>年。同时建设配套建设矿石生产加工厂区，</w:t>
            </w:r>
            <w:r>
              <w:rPr>
                <w:color w:val="auto"/>
              </w:rPr>
              <w:t>生产能力</w:t>
            </w:r>
            <w:r>
              <w:rPr>
                <w:rFonts w:hint="eastAsia"/>
                <w:color w:val="auto"/>
              </w:rPr>
              <w:t>为</w:t>
            </w:r>
            <w:r>
              <w:rPr>
                <w:color w:val="auto"/>
              </w:rPr>
              <w:t>250万吨/年，以匹配矿山的生产能力。</w:t>
            </w:r>
            <w:r>
              <w:rPr>
                <w:rFonts w:hint="eastAsia"/>
                <w:color w:val="auto"/>
              </w:rPr>
              <w:t>目前矿区区域无直达交通通道，同时配套建设矿山生产服务交通运输通道及</w:t>
            </w:r>
            <w:r>
              <w:rPr>
                <w:rFonts w:hint="eastAsia" w:ascii="宋体" w:hAnsi="宋体" w:cs="宋体"/>
                <w:color w:val="auto"/>
                <w:kern w:val="0"/>
                <w:szCs w:val="21"/>
              </w:rPr>
              <w:t>给排水及供配电系统等其他配套设施</w:t>
            </w:r>
            <w:r>
              <w:rPr>
                <w:rFonts w:hint="eastAsia"/>
                <w:color w:val="auto"/>
              </w:rPr>
              <w:t>。本项目矿区不设炸药库，委托有资质的单位进行爆破作业，每次爆破所需炸药由其带来。</w:t>
            </w:r>
          </w:p>
          <w:p>
            <w:pPr>
              <w:adjustRightInd w:val="0"/>
              <w:snapToGrid w:val="0"/>
              <w:spacing w:line="360" w:lineRule="auto"/>
              <w:ind w:firstLine="361" w:firstLineChars="200"/>
              <w:jc w:val="center"/>
              <w:rPr>
                <w:rFonts w:ascii="宋体" w:hAnsi="宋体" w:cs="宋体"/>
                <w:color w:val="auto"/>
                <w:kern w:val="0"/>
                <w:szCs w:val="21"/>
              </w:rPr>
            </w:pPr>
            <w:r>
              <w:rPr>
                <w:b/>
                <w:color w:val="auto"/>
                <w:sz w:val="18"/>
                <w:szCs w:val="18"/>
              </w:rPr>
              <w:t>表2-1 采矿权信息一览表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626"/>
              <w:gridCol w:w="1489"/>
              <w:gridCol w:w="970"/>
              <w:gridCol w:w="1272"/>
              <w:gridCol w:w="19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矿山名称</w:t>
                  </w:r>
                </w:p>
              </w:tc>
              <w:tc>
                <w:tcPr>
                  <w:tcW w:w="2502" w:type="pct"/>
                  <w:gridSpan w:val="3"/>
                  <w:vAlign w:val="center"/>
                </w:tcPr>
                <w:p>
                  <w:pPr>
                    <w:widowControl/>
                    <w:ind w:left="-105" w:leftChars="-50" w:right="-105" w:rightChars="-50"/>
                    <w:jc w:val="center"/>
                    <w:rPr>
                      <w:color w:val="auto"/>
                      <w:kern w:val="0"/>
                      <w:sz w:val="18"/>
                      <w:szCs w:val="18"/>
                    </w:rPr>
                  </w:pPr>
                  <w:r>
                    <w:rPr>
                      <w:color w:val="auto"/>
                      <w:kern w:val="0"/>
                      <w:sz w:val="18"/>
                      <w:szCs w:val="18"/>
                    </w:rPr>
                    <w:t>四川省宣汉县漆树土家族乡乘龙村鲁家洞建筑石料用灰岩、建筑用白云岩矿</w:t>
                  </w:r>
                </w:p>
              </w:tc>
              <w:tc>
                <w:tcPr>
                  <w:tcW w:w="779" w:type="pct"/>
                  <w:vAlign w:val="center"/>
                </w:tcPr>
                <w:p>
                  <w:pPr>
                    <w:widowControl/>
                    <w:ind w:left="-105" w:leftChars="-50" w:right="-105" w:rightChars="-50"/>
                    <w:jc w:val="center"/>
                    <w:rPr>
                      <w:color w:val="auto"/>
                      <w:kern w:val="0"/>
                      <w:sz w:val="18"/>
                      <w:szCs w:val="18"/>
                    </w:rPr>
                  </w:pPr>
                  <w:r>
                    <w:rPr>
                      <w:color w:val="auto"/>
                      <w:kern w:val="0"/>
                      <w:sz w:val="18"/>
                      <w:szCs w:val="18"/>
                    </w:rPr>
                    <w:t>开采矿种</w:t>
                  </w:r>
                </w:p>
              </w:tc>
              <w:tc>
                <w:tcPr>
                  <w:tcW w:w="1175" w:type="pct"/>
                  <w:vAlign w:val="center"/>
                </w:tcPr>
                <w:p>
                  <w:pPr>
                    <w:widowControl/>
                    <w:ind w:left="-105" w:leftChars="-50" w:right="-105" w:rightChars="-50"/>
                    <w:jc w:val="center"/>
                    <w:rPr>
                      <w:color w:val="auto"/>
                      <w:kern w:val="0"/>
                      <w:sz w:val="18"/>
                      <w:szCs w:val="18"/>
                    </w:rPr>
                  </w:pPr>
                  <w:r>
                    <w:rPr>
                      <w:color w:val="auto"/>
                      <w:kern w:val="0"/>
                      <w:sz w:val="18"/>
                      <w:szCs w:val="18"/>
                    </w:rPr>
                    <w:t>建筑石料用灰岩、建筑用白云岩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采矿证号</w:t>
                  </w:r>
                </w:p>
              </w:tc>
              <w:tc>
                <w:tcPr>
                  <w:tcW w:w="2502" w:type="pct"/>
                  <w:gridSpan w:val="3"/>
                  <w:vAlign w:val="center"/>
                </w:tcPr>
                <w:p>
                  <w:pPr>
                    <w:widowControl/>
                    <w:ind w:left="-105" w:leftChars="-50" w:right="-105" w:rightChars="-50"/>
                    <w:jc w:val="center"/>
                    <w:rPr>
                      <w:color w:val="auto"/>
                      <w:kern w:val="0"/>
                      <w:sz w:val="18"/>
                      <w:szCs w:val="18"/>
                    </w:rPr>
                  </w:pPr>
                  <w:r>
                    <w:rPr>
                      <w:rFonts w:hint="eastAsia" w:ascii="宋体" w:hAnsi="宋体" w:cs="宋体"/>
                      <w:color w:val="auto"/>
                      <w:kern w:val="0"/>
                      <w:sz w:val="18"/>
                      <w:szCs w:val="18"/>
                    </w:rPr>
                    <w:t>C5117002024027140156361</w:t>
                  </w:r>
                </w:p>
              </w:tc>
              <w:tc>
                <w:tcPr>
                  <w:tcW w:w="779" w:type="pct"/>
                  <w:vAlign w:val="center"/>
                </w:tcPr>
                <w:p>
                  <w:pPr>
                    <w:widowControl/>
                    <w:ind w:left="-105" w:leftChars="-50" w:right="-105" w:rightChars="-50"/>
                    <w:jc w:val="center"/>
                    <w:rPr>
                      <w:color w:val="auto"/>
                      <w:kern w:val="0"/>
                      <w:sz w:val="18"/>
                      <w:szCs w:val="18"/>
                    </w:rPr>
                  </w:pPr>
                  <w:r>
                    <w:rPr>
                      <w:color w:val="auto"/>
                      <w:kern w:val="0"/>
                      <w:sz w:val="18"/>
                      <w:szCs w:val="18"/>
                    </w:rPr>
                    <w:t>开采方式</w:t>
                  </w:r>
                </w:p>
              </w:tc>
              <w:tc>
                <w:tcPr>
                  <w:tcW w:w="1175" w:type="pct"/>
                  <w:vAlign w:val="center"/>
                </w:tcPr>
                <w:p>
                  <w:pPr>
                    <w:widowControl/>
                    <w:ind w:left="-105" w:leftChars="-50" w:right="-105" w:rightChars="-50"/>
                    <w:jc w:val="center"/>
                    <w:rPr>
                      <w:color w:val="auto"/>
                      <w:kern w:val="0"/>
                      <w:sz w:val="18"/>
                      <w:szCs w:val="18"/>
                    </w:rPr>
                  </w:pPr>
                  <w:r>
                    <w:rPr>
                      <w:color w:val="auto"/>
                      <w:kern w:val="0"/>
                      <w:sz w:val="18"/>
                      <w:szCs w:val="18"/>
                    </w:rPr>
                    <w:t>露天开采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生产规模</w:t>
                  </w:r>
                </w:p>
              </w:tc>
              <w:tc>
                <w:tcPr>
                  <w:tcW w:w="996" w:type="pct"/>
                  <w:vAlign w:val="center"/>
                </w:tcPr>
                <w:p>
                  <w:pPr>
                    <w:widowControl/>
                    <w:ind w:left="-105" w:leftChars="-50" w:right="-105" w:rightChars="-50"/>
                    <w:jc w:val="center"/>
                    <w:rPr>
                      <w:color w:val="auto"/>
                      <w:kern w:val="0"/>
                      <w:sz w:val="18"/>
                      <w:szCs w:val="18"/>
                    </w:rPr>
                  </w:pPr>
                  <w:r>
                    <w:rPr>
                      <w:color w:val="auto"/>
                      <w:kern w:val="0"/>
                      <w:sz w:val="18"/>
                      <w:szCs w:val="18"/>
                    </w:rPr>
                    <w:t>250万吨/年</w:t>
                  </w:r>
                </w:p>
              </w:tc>
              <w:tc>
                <w:tcPr>
                  <w:tcW w:w="912" w:type="pct"/>
                  <w:vAlign w:val="center"/>
                </w:tcPr>
                <w:p>
                  <w:pPr>
                    <w:widowControl/>
                    <w:ind w:left="-105" w:leftChars="-50" w:right="-105" w:rightChars="-50"/>
                    <w:jc w:val="center"/>
                    <w:rPr>
                      <w:color w:val="auto"/>
                      <w:kern w:val="0"/>
                      <w:sz w:val="18"/>
                      <w:szCs w:val="18"/>
                    </w:rPr>
                  </w:pPr>
                  <w:r>
                    <w:rPr>
                      <w:color w:val="auto"/>
                      <w:kern w:val="0"/>
                      <w:sz w:val="18"/>
                      <w:szCs w:val="18"/>
                    </w:rPr>
                    <w:t>矿区面积</w:t>
                  </w:r>
                </w:p>
              </w:tc>
              <w:tc>
                <w:tcPr>
                  <w:tcW w:w="594" w:type="pct"/>
                  <w:vAlign w:val="center"/>
                </w:tcPr>
                <w:p>
                  <w:pPr>
                    <w:widowControl/>
                    <w:ind w:left="-105" w:leftChars="-50" w:right="-105" w:rightChars="-50"/>
                    <w:jc w:val="center"/>
                    <w:rPr>
                      <w:color w:val="auto"/>
                      <w:kern w:val="0"/>
                      <w:sz w:val="18"/>
                      <w:szCs w:val="18"/>
                    </w:rPr>
                  </w:pPr>
                  <w:r>
                    <w:rPr>
                      <w:color w:val="auto"/>
                      <w:kern w:val="0"/>
                      <w:sz w:val="18"/>
                      <w:szCs w:val="18"/>
                    </w:rPr>
                    <w:t>0.3756km</w:t>
                  </w:r>
                  <w:r>
                    <w:rPr>
                      <w:color w:val="auto"/>
                      <w:kern w:val="0"/>
                      <w:sz w:val="18"/>
                      <w:szCs w:val="18"/>
                      <w:vertAlign w:val="superscript"/>
                    </w:rPr>
                    <w:t>2</w:t>
                  </w:r>
                </w:p>
              </w:tc>
              <w:tc>
                <w:tcPr>
                  <w:tcW w:w="779" w:type="pct"/>
                  <w:vAlign w:val="center"/>
                </w:tcPr>
                <w:p>
                  <w:pPr>
                    <w:widowControl/>
                    <w:ind w:left="-105" w:leftChars="-50" w:right="-105" w:rightChars="-50"/>
                    <w:jc w:val="center"/>
                    <w:rPr>
                      <w:color w:val="auto"/>
                      <w:kern w:val="0"/>
                      <w:sz w:val="18"/>
                      <w:szCs w:val="18"/>
                    </w:rPr>
                  </w:pPr>
                  <w:r>
                    <w:rPr>
                      <w:color w:val="auto"/>
                      <w:kern w:val="0"/>
                      <w:sz w:val="18"/>
                      <w:szCs w:val="18"/>
                    </w:rPr>
                    <w:t>发证机构</w:t>
                  </w:r>
                </w:p>
              </w:tc>
              <w:tc>
                <w:tcPr>
                  <w:tcW w:w="1175" w:type="pct"/>
                  <w:vAlign w:val="center"/>
                </w:tcPr>
                <w:p>
                  <w:pPr>
                    <w:widowControl/>
                    <w:ind w:left="-105" w:leftChars="-50" w:right="-105" w:rightChars="-50"/>
                    <w:jc w:val="center"/>
                    <w:rPr>
                      <w:color w:val="auto"/>
                      <w:kern w:val="0"/>
                      <w:sz w:val="18"/>
                      <w:szCs w:val="18"/>
                    </w:rPr>
                  </w:pPr>
                  <w:r>
                    <w:rPr>
                      <w:rFonts w:hint="eastAsia"/>
                      <w:color w:val="auto"/>
                      <w:kern w:val="0"/>
                      <w:sz w:val="18"/>
                      <w:szCs w:val="18"/>
                    </w:rPr>
                    <w:t>达州市自然资源和规划局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采矿证</w:t>
                  </w:r>
                </w:p>
              </w:tc>
              <w:tc>
                <w:tcPr>
                  <w:tcW w:w="1908" w:type="pct"/>
                  <w:gridSpan w:val="2"/>
                  <w:vAlign w:val="center"/>
                </w:tcPr>
                <w:p>
                  <w:pPr>
                    <w:widowControl/>
                    <w:ind w:left="-105" w:leftChars="-50" w:right="-105" w:rightChars="-50"/>
                    <w:jc w:val="center"/>
                    <w:rPr>
                      <w:color w:val="auto"/>
                      <w:kern w:val="0"/>
                      <w:sz w:val="18"/>
                      <w:szCs w:val="18"/>
                    </w:rPr>
                  </w:pPr>
                  <w:r>
                    <w:rPr>
                      <w:rFonts w:hint="eastAsia"/>
                      <w:color w:val="auto"/>
                      <w:kern w:val="0"/>
                      <w:sz w:val="18"/>
                      <w:szCs w:val="18"/>
                    </w:rPr>
                    <w:t>已取得</w:t>
                  </w:r>
                </w:p>
              </w:tc>
              <w:tc>
                <w:tcPr>
                  <w:tcW w:w="594" w:type="pct"/>
                  <w:vMerge w:val="restart"/>
                  <w:vAlign w:val="center"/>
                </w:tcPr>
                <w:p>
                  <w:pPr>
                    <w:widowControl/>
                    <w:ind w:left="-105" w:leftChars="-50" w:right="-105" w:rightChars="-50"/>
                    <w:jc w:val="center"/>
                    <w:rPr>
                      <w:color w:val="auto"/>
                      <w:kern w:val="0"/>
                      <w:sz w:val="18"/>
                      <w:szCs w:val="18"/>
                    </w:rPr>
                  </w:pPr>
                  <w:r>
                    <w:rPr>
                      <w:color w:val="auto"/>
                      <w:kern w:val="0"/>
                      <w:sz w:val="18"/>
                      <w:szCs w:val="18"/>
                    </w:rPr>
                    <w:t>开采深度</w:t>
                  </w:r>
                </w:p>
              </w:tc>
              <w:tc>
                <w:tcPr>
                  <w:tcW w:w="1954" w:type="pct"/>
                  <w:gridSpan w:val="2"/>
                  <w:vMerge w:val="restart"/>
                  <w:vAlign w:val="center"/>
                </w:tcPr>
                <w:p>
                  <w:pPr>
                    <w:widowControl/>
                    <w:ind w:left="-105" w:leftChars="-50" w:right="-105" w:rightChars="-50"/>
                    <w:jc w:val="center"/>
                    <w:rPr>
                      <w:color w:val="auto"/>
                      <w:kern w:val="0"/>
                      <w:sz w:val="18"/>
                      <w:szCs w:val="18"/>
                    </w:rPr>
                  </w:pPr>
                  <w:r>
                    <w:rPr>
                      <w:color w:val="auto"/>
                      <w:kern w:val="0"/>
                      <w:sz w:val="18"/>
                      <w:szCs w:val="18"/>
                    </w:rPr>
                    <w:t>开采深度：+1369m～+1170m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有效期</w:t>
                  </w:r>
                </w:p>
              </w:tc>
              <w:tc>
                <w:tcPr>
                  <w:tcW w:w="1908" w:type="pct"/>
                  <w:gridSpan w:val="2"/>
                  <w:vAlign w:val="center"/>
                </w:tcPr>
                <w:p>
                  <w:pPr>
                    <w:widowControl/>
                    <w:ind w:left="-105" w:leftChars="-50" w:right="-105" w:rightChars="-50"/>
                    <w:jc w:val="center"/>
                    <w:rPr>
                      <w:color w:val="auto"/>
                      <w:kern w:val="0"/>
                      <w:sz w:val="18"/>
                      <w:szCs w:val="18"/>
                    </w:rPr>
                  </w:pPr>
                  <w:r>
                    <w:rPr>
                      <w:rFonts w:hint="eastAsia"/>
                      <w:color w:val="auto"/>
                      <w:kern w:val="0"/>
                      <w:sz w:val="18"/>
                      <w:szCs w:val="18"/>
                    </w:rPr>
                    <w:t>2024年2月7日至2049年2月7日</w:t>
                  </w:r>
                </w:p>
              </w:tc>
              <w:tc>
                <w:tcPr>
                  <w:tcW w:w="594" w:type="pct"/>
                  <w:vMerge w:val="continue"/>
                  <w:vAlign w:val="center"/>
                </w:tcPr>
                <w:p>
                  <w:pPr>
                    <w:widowControl/>
                    <w:ind w:left="-105" w:leftChars="-50" w:right="-105" w:rightChars="-50"/>
                    <w:jc w:val="center"/>
                    <w:rPr>
                      <w:color w:val="auto"/>
                      <w:kern w:val="0"/>
                      <w:sz w:val="18"/>
                      <w:szCs w:val="18"/>
                    </w:rPr>
                  </w:pPr>
                </w:p>
              </w:tc>
              <w:tc>
                <w:tcPr>
                  <w:tcW w:w="1954" w:type="pct"/>
                  <w:gridSpan w:val="2"/>
                  <w:vMerge w:val="continue"/>
                  <w:vAlign w:val="center"/>
                </w:tcPr>
                <w:p>
                  <w:pPr>
                    <w:widowControl/>
                    <w:ind w:left="-105" w:leftChars="-50" w:right="-105" w:rightChars="-50"/>
                    <w:jc w:val="center"/>
                    <w:rPr>
                      <w:color w:val="auto"/>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6"/>
                  <w:vAlign w:val="center"/>
                </w:tcPr>
                <w:p>
                  <w:pPr>
                    <w:widowControl/>
                    <w:ind w:left="-105" w:leftChars="-50" w:right="-105" w:rightChars="-50"/>
                    <w:jc w:val="center"/>
                    <w:rPr>
                      <w:color w:val="auto"/>
                      <w:kern w:val="0"/>
                      <w:sz w:val="18"/>
                      <w:szCs w:val="18"/>
                    </w:rPr>
                  </w:pPr>
                  <w:r>
                    <w:rPr>
                      <w:color w:val="auto"/>
                      <w:kern w:val="0"/>
                      <w:sz w:val="18"/>
                      <w:szCs w:val="18"/>
                    </w:rPr>
                    <w:t>矿区坐标（2000国家大地坐标系）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拐点号</w:t>
                  </w:r>
                </w:p>
              </w:tc>
              <w:tc>
                <w:tcPr>
                  <w:tcW w:w="996" w:type="pct"/>
                  <w:vAlign w:val="center"/>
                </w:tcPr>
                <w:p>
                  <w:pPr>
                    <w:widowControl/>
                    <w:ind w:left="-105" w:leftChars="-50" w:right="-105" w:rightChars="-50"/>
                    <w:jc w:val="center"/>
                    <w:rPr>
                      <w:color w:val="auto"/>
                      <w:kern w:val="0"/>
                      <w:sz w:val="18"/>
                      <w:szCs w:val="18"/>
                    </w:rPr>
                  </w:pPr>
                  <w:r>
                    <w:rPr>
                      <w:color w:val="auto"/>
                      <w:kern w:val="0"/>
                      <w:sz w:val="18"/>
                      <w:szCs w:val="18"/>
                    </w:rPr>
                    <w:t>东经</w:t>
                  </w:r>
                </w:p>
              </w:tc>
              <w:tc>
                <w:tcPr>
                  <w:tcW w:w="912" w:type="pct"/>
                  <w:vAlign w:val="center"/>
                </w:tcPr>
                <w:p>
                  <w:pPr>
                    <w:widowControl/>
                    <w:ind w:left="-105" w:leftChars="-50" w:right="-105" w:rightChars="-50"/>
                    <w:jc w:val="center"/>
                    <w:rPr>
                      <w:color w:val="auto"/>
                      <w:kern w:val="0"/>
                      <w:sz w:val="18"/>
                      <w:szCs w:val="18"/>
                    </w:rPr>
                  </w:pPr>
                  <w:r>
                    <w:rPr>
                      <w:color w:val="auto"/>
                      <w:kern w:val="0"/>
                      <w:sz w:val="18"/>
                      <w:szCs w:val="18"/>
                    </w:rPr>
                    <w:t>北纬</w:t>
                  </w:r>
                </w:p>
              </w:tc>
              <w:tc>
                <w:tcPr>
                  <w:tcW w:w="594" w:type="pct"/>
                  <w:vAlign w:val="center"/>
                </w:tcPr>
                <w:p>
                  <w:pPr>
                    <w:widowControl/>
                    <w:ind w:left="-105" w:leftChars="-50" w:right="-105" w:rightChars="-50"/>
                    <w:jc w:val="center"/>
                    <w:rPr>
                      <w:color w:val="auto"/>
                      <w:kern w:val="0"/>
                      <w:sz w:val="18"/>
                      <w:szCs w:val="18"/>
                    </w:rPr>
                  </w:pPr>
                  <w:r>
                    <w:rPr>
                      <w:color w:val="auto"/>
                      <w:kern w:val="0"/>
                      <w:sz w:val="18"/>
                      <w:szCs w:val="18"/>
                    </w:rPr>
                    <w:t>拐点号</w:t>
                  </w:r>
                </w:p>
              </w:tc>
              <w:tc>
                <w:tcPr>
                  <w:tcW w:w="779" w:type="pct"/>
                  <w:vAlign w:val="center"/>
                </w:tcPr>
                <w:p>
                  <w:pPr>
                    <w:widowControl/>
                    <w:ind w:left="-105" w:leftChars="-50" w:right="-105" w:rightChars="-50"/>
                    <w:jc w:val="center"/>
                    <w:rPr>
                      <w:color w:val="auto"/>
                      <w:kern w:val="0"/>
                      <w:sz w:val="18"/>
                      <w:szCs w:val="18"/>
                    </w:rPr>
                  </w:pPr>
                  <w:r>
                    <w:rPr>
                      <w:color w:val="auto"/>
                      <w:kern w:val="0"/>
                      <w:sz w:val="18"/>
                      <w:szCs w:val="18"/>
                    </w:rPr>
                    <w:t>X（m）</w:t>
                  </w:r>
                </w:p>
              </w:tc>
              <w:tc>
                <w:tcPr>
                  <w:tcW w:w="1175" w:type="pct"/>
                  <w:vAlign w:val="center"/>
                </w:tcPr>
                <w:p>
                  <w:pPr>
                    <w:widowControl/>
                    <w:ind w:left="-105" w:leftChars="-50" w:right="-105" w:rightChars="-50"/>
                    <w:jc w:val="center"/>
                    <w:rPr>
                      <w:color w:val="auto"/>
                      <w:kern w:val="0"/>
                      <w:sz w:val="18"/>
                      <w:szCs w:val="18"/>
                    </w:rPr>
                  </w:pPr>
                  <w:r>
                    <w:rPr>
                      <w:color w:val="auto"/>
                      <w:kern w:val="0"/>
                      <w:sz w:val="18"/>
                      <w:szCs w:val="18"/>
                    </w:rPr>
                    <w:t>Y（m）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1</w:t>
                  </w:r>
                </w:p>
              </w:tc>
              <w:tc>
                <w:tcPr>
                  <w:tcW w:w="996" w:type="pct"/>
                  <w:vAlign w:val="center"/>
                </w:tcPr>
                <w:p>
                  <w:pPr>
                    <w:jc w:val="center"/>
                    <w:rPr>
                      <w:color w:val="auto"/>
                      <w:kern w:val="0"/>
                      <w:sz w:val="18"/>
                      <w:szCs w:val="18"/>
                    </w:rPr>
                  </w:pPr>
                  <w:r>
                    <w:rPr>
                      <w:color w:val="auto"/>
                      <w:sz w:val="18"/>
                      <w:szCs w:val="18"/>
                    </w:rPr>
                    <w:t>108°22′25.364″</w:t>
                  </w:r>
                </w:p>
              </w:tc>
              <w:tc>
                <w:tcPr>
                  <w:tcW w:w="912" w:type="pct"/>
                  <w:vAlign w:val="center"/>
                </w:tcPr>
                <w:p>
                  <w:pPr>
                    <w:jc w:val="center"/>
                    <w:rPr>
                      <w:color w:val="auto"/>
                      <w:kern w:val="0"/>
                      <w:sz w:val="18"/>
                      <w:szCs w:val="18"/>
                    </w:rPr>
                  </w:pPr>
                  <w:r>
                    <w:rPr>
                      <w:color w:val="auto"/>
                      <w:sz w:val="18"/>
                      <w:szCs w:val="18"/>
                    </w:rPr>
                    <w:t>31°33′29.448″</w:t>
                  </w:r>
                </w:p>
              </w:tc>
              <w:tc>
                <w:tcPr>
                  <w:tcW w:w="594" w:type="pct"/>
                  <w:vAlign w:val="center"/>
                </w:tcPr>
                <w:p>
                  <w:pPr>
                    <w:widowControl/>
                    <w:ind w:left="-105" w:leftChars="-50" w:right="-105" w:rightChars="-50"/>
                    <w:jc w:val="center"/>
                    <w:rPr>
                      <w:color w:val="auto"/>
                      <w:kern w:val="0"/>
                      <w:sz w:val="18"/>
                      <w:szCs w:val="18"/>
                    </w:rPr>
                  </w:pPr>
                  <w:r>
                    <w:rPr>
                      <w:color w:val="auto"/>
                      <w:kern w:val="0"/>
                      <w:sz w:val="18"/>
                      <w:szCs w:val="18"/>
                    </w:rPr>
                    <w:t>1</w:t>
                  </w:r>
                </w:p>
              </w:tc>
              <w:tc>
                <w:tcPr>
                  <w:tcW w:w="779" w:type="pct"/>
                  <w:vAlign w:val="center"/>
                </w:tcPr>
                <w:p>
                  <w:pPr>
                    <w:jc w:val="center"/>
                    <w:rPr>
                      <w:color w:val="auto"/>
                      <w:kern w:val="0"/>
                      <w:sz w:val="18"/>
                      <w:szCs w:val="18"/>
                    </w:rPr>
                  </w:pPr>
                  <w:r>
                    <w:rPr>
                      <w:color w:val="auto"/>
                      <w:sz w:val="18"/>
                      <w:szCs w:val="18"/>
                    </w:rPr>
                    <w:t>3492922.70</w:t>
                  </w:r>
                </w:p>
              </w:tc>
              <w:tc>
                <w:tcPr>
                  <w:tcW w:w="1175" w:type="pct"/>
                  <w:vAlign w:val="center"/>
                </w:tcPr>
                <w:p>
                  <w:pPr>
                    <w:jc w:val="center"/>
                    <w:rPr>
                      <w:color w:val="auto"/>
                      <w:kern w:val="0"/>
                      <w:sz w:val="18"/>
                      <w:szCs w:val="18"/>
                    </w:rPr>
                  </w:pPr>
                  <w:r>
                    <w:rPr>
                      <w:color w:val="auto"/>
                      <w:sz w:val="18"/>
                      <w:szCs w:val="18"/>
                    </w:rPr>
                    <w:t>36535481.65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2</w:t>
                  </w:r>
                </w:p>
              </w:tc>
              <w:tc>
                <w:tcPr>
                  <w:tcW w:w="996" w:type="pct"/>
                  <w:vAlign w:val="center"/>
                </w:tcPr>
                <w:p>
                  <w:pPr>
                    <w:jc w:val="center"/>
                    <w:rPr>
                      <w:color w:val="auto"/>
                      <w:kern w:val="0"/>
                      <w:sz w:val="18"/>
                      <w:szCs w:val="18"/>
                    </w:rPr>
                  </w:pPr>
                  <w:r>
                    <w:rPr>
                      <w:color w:val="auto"/>
                      <w:sz w:val="18"/>
                      <w:szCs w:val="18"/>
                    </w:rPr>
                    <w:t>108°22′53.600″</w:t>
                  </w:r>
                </w:p>
              </w:tc>
              <w:tc>
                <w:tcPr>
                  <w:tcW w:w="912" w:type="pct"/>
                  <w:vAlign w:val="center"/>
                </w:tcPr>
                <w:p>
                  <w:pPr>
                    <w:jc w:val="center"/>
                    <w:rPr>
                      <w:color w:val="auto"/>
                      <w:kern w:val="0"/>
                      <w:sz w:val="18"/>
                      <w:szCs w:val="18"/>
                    </w:rPr>
                  </w:pPr>
                  <w:r>
                    <w:rPr>
                      <w:color w:val="auto"/>
                      <w:sz w:val="18"/>
                      <w:szCs w:val="18"/>
                    </w:rPr>
                    <w:t>31°33′19.957″</w:t>
                  </w:r>
                </w:p>
              </w:tc>
              <w:tc>
                <w:tcPr>
                  <w:tcW w:w="594" w:type="pct"/>
                  <w:vAlign w:val="center"/>
                </w:tcPr>
                <w:p>
                  <w:pPr>
                    <w:widowControl/>
                    <w:ind w:left="-105" w:leftChars="-50" w:right="-105" w:rightChars="-50"/>
                    <w:jc w:val="center"/>
                    <w:rPr>
                      <w:color w:val="auto"/>
                      <w:kern w:val="0"/>
                      <w:sz w:val="18"/>
                      <w:szCs w:val="18"/>
                    </w:rPr>
                  </w:pPr>
                  <w:r>
                    <w:rPr>
                      <w:color w:val="auto"/>
                      <w:kern w:val="0"/>
                      <w:sz w:val="18"/>
                      <w:szCs w:val="18"/>
                    </w:rPr>
                    <w:t>2</w:t>
                  </w:r>
                </w:p>
              </w:tc>
              <w:tc>
                <w:tcPr>
                  <w:tcW w:w="779" w:type="pct"/>
                  <w:vAlign w:val="center"/>
                </w:tcPr>
                <w:p>
                  <w:pPr>
                    <w:jc w:val="center"/>
                    <w:rPr>
                      <w:color w:val="auto"/>
                      <w:kern w:val="0"/>
                      <w:sz w:val="18"/>
                      <w:szCs w:val="18"/>
                    </w:rPr>
                  </w:pPr>
                  <w:r>
                    <w:rPr>
                      <w:color w:val="auto"/>
                      <w:sz w:val="18"/>
                      <w:szCs w:val="18"/>
                    </w:rPr>
                    <w:t>3492632.94</w:t>
                  </w:r>
                </w:p>
              </w:tc>
              <w:tc>
                <w:tcPr>
                  <w:tcW w:w="1175" w:type="pct"/>
                  <w:vAlign w:val="center"/>
                </w:tcPr>
                <w:p>
                  <w:pPr>
                    <w:jc w:val="center"/>
                    <w:rPr>
                      <w:color w:val="auto"/>
                      <w:kern w:val="0"/>
                      <w:sz w:val="18"/>
                      <w:szCs w:val="18"/>
                    </w:rPr>
                  </w:pPr>
                  <w:r>
                    <w:rPr>
                      <w:color w:val="auto"/>
                      <w:sz w:val="18"/>
                      <w:szCs w:val="18"/>
                    </w:rPr>
                    <w:t>36536227.33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3</w:t>
                  </w:r>
                </w:p>
              </w:tc>
              <w:tc>
                <w:tcPr>
                  <w:tcW w:w="996" w:type="pct"/>
                  <w:vAlign w:val="center"/>
                </w:tcPr>
                <w:p>
                  <w:pPr>
                    <w:jc w:val="center"/>
                    <w:rPr>
                      <w:color w:val="auto"/>
                      <w:kern w:val="0"/>
                      <w:sz w:val="18"/>
                      <w:szCs w:val="18"/>
                    </w:rPr>
                  </w:pPr>
                  <w:r>
                    <w:rPr>
                      <w:color w:val="auto"/>
                      <w:sz w:val="18"/>
                      <w:szCs w:val="18"/>
                    </w:rPr>
                    <w:t>108°22′47.965″</w:t>
                  </w:r>
                </w:p>
              </w:tc>
              <w:tc>
                <w:tcPr>
                  <w:tcW w:w="912" w:type="pct"/>
                  <w:vAlign w:val="center"/>
                </w:tcPr>
                <w:p>
                  <w:pPr>
                    <w:jc w:val="center"/>
                    <w:rPr>
                      <w:color w:val="auto"/>
                      <w:kern w:val="0"/>
                      <w:sz w:val="18"/>
                      <w:szCs w:val="18"/>
                    </w:rPr>
                  </w:pPr>
                  <w:r>
                    <w:rPr>
                      <w:color w:val="auto"/>
                      <w:sz w:val="18"/>
                      <w:szCs w:val="18"/>
                    </w:rPr>
                    <w:t>31°33′07.609″</w:t>
                  </w:r>
                </w:p>
              </w:tc>
              <w:tc>
                <w:tcPr>
                  <w:tcW w:w="594" w:type="pct"/>
                  <w:vAlign w:val="center"/>
                </w:tcPr>
                <w:p>
                  <w:pPr>
                    <w:widowControl/>
                    <w:ind w:left="-105" w:leftChars="-50" w:right="-105" w:rightChars="-50"/>
                    <w:jc w:val="center"/>
                    <w:rPr>
                      <w:color w:val="auto"/>
                      <w:kern w:val="0"/>
                      <w:sz w:val="18"/>
                      <w:szCs w:val="18"/>
                    </w:rPr>
                  </w:pPr>
                  <w:r>
                    <w:rPr>
                      <w:color w:val="auto"/>
                      <w:kern w:val="0"/>
                      <w:sz w:val="18"/>
                      <w:szCs w:val="18"/>
                    </w:rPr>
                    <w:t>3</w:t>
                  </w:r>
                </w:p>
              </w:tc>
              <w:tc>
                <w:tcPr>
                  <w:tcW w:w="779" w:type="pct"/>
                  <w:vAlign w:val="center"/>
                </w:tcPr>
                <w:p>
                  <w:pPr>
                    <w:jc w:val="center"/>
                    <w:rPr>
                      <w:color w:val="auto"/>
                      <w:kern w:val="0"/>
                      <w:sz w:val="18"/>
                      <w:szCs w:val="18"/>
                    </w:rPr>
                  </w:pPr>
                  <w:r>
                    <w:rPr>
                      <w:color w:val="auto"/>
                      <w:sz w:val="18"/>
                      <w:szCs w:val="18"/>
                    </w:rPr>
                    <w:t>3492252.11</w:t>
                  </w:r>
                </w:p>
              </w:tc>
              <w:tc>
                <w:tcPr>
                  <w:tcW w:w="1175" w:type="pct"/>
                  <w:vAlign w:val="center"/>
                </w:tcPr>
                <w:p>
                  <w:pPr>
                    <w:jc w:val="center"/>
                    <w:rPr>
                      <w:color w:val="auto"/>
                      <w:kern w:val="0"/>
                      <w:sz w:val="18"/>
                      <w:szCs w:val="18"/>
                    </w:rPr>
                  </w:pPr>
                  <w:r>
                    <w:rPr>
                      <w:color w:val="auto"/>
                      <w:sz w:val="18"/>
                      <w:szCs w:val="18"/>
                    </w:rPr>
                    <w:t>36536080.05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4</w:t>
                  </w:r>
                </w:p>
              </w:tc>
              <w:tc>
                <w:tcPr>
                  <w:tcW w:w="996" w:type="pct"/>
                  <w:vAlign w:val="center"/>
                </w:tcPr>
                <w:p>
                  <w:pPr>
                    <w:jc w:val="center"/>
                    <w:rPr>
                      <w:color w:val="auto"/>
                      <w:kern w:val="0"/>
                      <w:sz w:val="18"/>
                      <w:szCs w:val="18"/>
                    </w:rPr>
                  </w:pPr>
                  <w:r>
                    <w:rPr>
                      <w:color w:val="auto"/>
                      <w:sz w:val="18"/>
                      <w:szCs w:val="18"/>
                    </w:rPr>
                    <w:t>108°22′43.569″</w:t>
                  </w:r>
                </w:p>
              </w:tc>
              <w:tc>
                <w:tcPr>
                  <w:tcW w:w="912" w:type="pct"/>
                  <w:vAlign w:val="center"/>
                </w:tcPr>
                <w:p>
                  <w:pPr>
                    <w:jc w:val="center"/>
                    <w:rPr>
                      <w:color w:val="auto"/>
                      <w:kern w:val="0"/>
                      <w:sz w:val="18"/>
                      <w:szCs w:val="18"/>
                    </w:rPr>
                  </w:pPr>
                  <w:r>
                    <w:rPr>
                      <w:color w:val="auto"/>
                      <w:sz w:val="18"/>
                      <w:szCs w:val="18"/>
                    </w:rPr>
                    <w:t>31°33′06.884″</w:t>
                  </w:r>
                </w:p>
              </w:tc>
              <w:tc>
                <w:tcPr>
                  <w:tcW w:w="594" w:type="pct"/>
                  <w:vAlign w:val="center"/>
                </w:tcPr>
                <w:p>
                  <w:pPr>
                    <w:widowControl/>
                    <w:ind w:left="-105" w:leftChars="-50" w:right="-105" w:rightChars="-50"/>
                    <w:jc w:val="center"/>
                    <w:rPr>
                      <w:color w:val="auto"/>
                      <w:kern w:val="0"/>
                      <w:sz w:val="18"/>
                      <w:szCs w:val="18"/>
                    </w:rPr>
                  </w:pPr>
                  <w:r>
                    <w:rPr>
                      <w:color w:val="auto"/>
                      <w:kern w:val="0"/>
                      <w:sz w:val="18"/>
                      <w:szCs w:val="18"/>
                    </w:rPr>
                    <w:t>4</w:t>
                  </w:r>
                </w:p>
              </w:tc>
              <w:tc>
                <w:tcPr>
                  <w:tcW w:w="779" w:type="pct"/>
                  <w:vAlign w:val="center"/>
                </w:tcPr>
                <w:p>
                  <w:pPr>
                    <w:jc w:val="center"/>
                    <w:rPr>
                      <w:color w:val="auto"/>
                      <w:kern w:val="0"/>
                      <w:sz w:val="18"/>
                      <w:szCs w:val="18"/>
                    </w:rPr>
                  </w:pPr>
                  <w:r>
                    <w:rPr>
                      <w:color w:val="auto"/>
                      <w:sz w:val="18"/>
                      <w:szCs w:val="18"/>
                    </w:rPr>
                    <w:t>3492229.36</w:t>
                  </w:r>
                </w:p>
              </w:tc>
              <w:tc>
                <w:tcPr>
                  <w:tcW w:w="1175" w:type="pct"/>
                  <w:vAlign w:val="center"/>
                </w:tcPr>
                <w:p>
                  <w:pPr>
                    <w:jc w:val="center"/>
                    <w:rPr>
                      <w:color w:val="auto"/>
                      <w:kern w:val="0"/>
                      <w:sz w:val="18"/>
                      <w:szCs w:val="18"/>
                    </w:rPr>
                  </w:pPr>
                  <w:r>
                    <w:rPr>
                      <w:color w:val="auto"/>
                      <w:sz w:val="18"/>
                      <w:szCs w:val="18"/>
                    </w:rPr>
                    <w:t>36535964.17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5</w:t>
                  </w:r>
                </w:p>
              </w:tc>
              <w:tc>
                <w:tcPr>
                  <w:tcW w:w="996" w:type="pct"/>
                  <w:vAlign w:val="center"/>
                </w:tcPr>
                <w:p>
                  <w:pPr>
                    <w:jc w:val="center"/>
                    <w:rPr>
                      <w:color w:val="auto"/>
                      <w:kern w:val="0"/>
                      <w:sz w:val="18"/>
                      <w:szCs w:val="18"/>
                    </w:rPr>
                  </w:pPr>
                  <w:r>
                    <w:rPr>
                      <w:color w:val="auto"/>
                      <w:sz w:val="18"/>
                      <w:szCs w:val="18"/>
                    </w:rPr>
                    <w:t>108°22′39.854″</w:t>
                  </w:r>
                </w:p>
              </w:tc>
              <w:tc>
                <w:tcPr>
                  <w:tcW w:w="912" w:type="pct"/>
                  <w:vAlign w:val="center"/>
                </w:tcPr>
                <w:p>
                  <w:pPr>
                    <w:jc w:val="center"/>
                    <w:rPr>
                      <w:color w:val="auto"/>
                      <w:kern w:val="0"/>
                      <w:sz w:val="18"/>
                      <w:szCs w:val="18"/>
                    </w:rPr>
                  </w:pPr>
                  <w:r>
                    <w:rPr>
                      <w:color w:val="auto"/>
                      <w:sz w:val="18"/>
                      <w:szCs w:val="18"/>
                    </w:rPr>
                    <w:t>31°33′07.680″</w:t>
                  </w:r>
                </w:p>
              </w:tc>
              <w:tc>
                <w:tcPr>
                  <w:tcW w:w="594" w:type="pct"/>
                  <w:vAlign w:val="center"/>
                </w:tcPr>
                <w:p>
                  <w:pPr>
                    <w:widowControl/>
                    <w:ind w:left="-105" w:leftChars="-50" w:right="-105" w:rightChars="-50"/>
                    <w:jc w:val="center"/>
                    <w:rPr>
                      <w:color w:val="auto"/>
                      <w:kern w:val="0"/>
                      <w:sz w:val="18"/>
                      <w:szCs w:val="18"/>
                    </w:rPr>
                  </w:pPr>
                  <w:r>
                    <w:rPr>
                      <w:color w:val="auto"/>
                      <w:kern w:val="0"/>
                      <w:sz w:val="18"/>
                      <w:szCs w:val="18"/>
                    </w:rPr>
                    <w:t>5</w:t>
                  </w:r>
                </w:p>
              </w:tc>
              <w:tc>
                <w:tcPr>
                  <w:tcW w:w="779" w:type="pct"/>
                  <w:vAlign w:val="center"/>
                </w:tcPr>
                <w:p>
                  <w:pPr>
                    <w:jc w:val="center"/>
                    <w:rPr>
                      <w:color w:val="auto"/>
                      <w:kern w:val="0"/>
                      <w:sz w:val="18"/>
                      <w:szCs w:val="18"/>
                    </w:rPr>
                  </w:pPr>
                  <w:r>
                    <w:rPr>
                      <w:color w:val="auto"/>
                      <w:sz w:val="18"/>
                      <w:szCs w:val="18"/>
                    </w:rPr>
                    <w:t>3492253.53</w:t>
                  </w:r>
                </w:p>
              </w:tc>
              <w:tc>
                <w:tcPr>
                  <w:tcW w:w="1175" w:type="pct"/>
                  <w:vAlign w:val="center"/>
                </w:tcPr>
                <w:p>
                  <w:pPr>
                    <w:jc w:val="center"/>
                    <w:rPr>
                      <w:color w:val="auto"/>
                      <w:kern w:val="0"/>
                      <w:sz w:val="18"/>
                      <w:szCs w:val="18"/>
                    </w:rPr>
                  </w:pPr>
                  <w:r>
                    <w:rPr>
                      <w:color w:val="auto"/>
                      <w:sz w:val="18"/>
                      <w:szCs w:val="18"/>
                    </w:rPr>
                    <w:t>36535866.10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6</w:t>
                  </w:r>
                </w:p>
              </w:tc>
              <w:tc>
                <w:tcPr>
                  <w:tcW w:w="996" w:type="pct"/>
                  <w:vAlign w:val="center"/>
                </w:tcPr>
                <w:p>
                  <w:pPr>
                    <w:jc w:val="center"/>
                    <w:rPr>
                      <w:color w:val="auto"/>
                      <w:kern w:val="0"/>
                      <w:sz w:val="18"/>
                      <w:szCs w:val="18"/>
                    </w:rPr>
                  </w:pPr>
                  <w:r>
                    <w:rPr>
                      <w:color w:val="auto"/>
                      <w:sz w:val="18"/>
                      <w:szCs w:val="18"/>
                    </w:rPr>
                    <w:t>108°22′33.200″</w:t>
                  </w:r>
                </w:p>
              </w:tc>
              <w:tc>
                <w:tcPr>
                  <w:tcW w:w="912" w:type="pct"/>
                  <w:vAlign w:val="center"/>
                </w:tcPr>
                <w:p>
                  <w:pPr>
                    <w:jc w:val="center"/>
                    <w:rPr>
                      <w:color w:val="auto"/>
                      <w:kern w:val="0"/>
                      <w:sz w:val="18"/>
                      <w:szCs w:val="18"/>
                    </w:rPr>
                  </w:pPr>
                  <w:r>
                    <w:rPr>
                      <w:color w:val="auto"/>
                      <w:sz w:val="18"/>
                      <w:szCs w:val="18"/>
                    </w:rPr>
                    <w:t>31°33′10.932″</w:t>
                  </w:r>
                </w:p>
              </w:tc>
              <w:tc>
                <w:tcPr>
                  <w:tcW w:w="594" w:type="pct"/>
                  <w:vAlign w:val="center"/>
                </w:tcPr>
                <w:p>
                  <w:pPr>
                    <w:widowControl/>
                    <w:ind w:left="-105" w:leftChars="-50" w:right="-105" w:rightChars="-50"/>
                    <w:jc w:val="center"/>
                    <w:rPr>
                      <w:color w:val="auto"/>
                      <w:kern w:val="0"/>
                      <w:sz w:val="18"/>
                      <w:szCs w:val="18"/>
                    </w:rPr>
                  </w:pPr>
                  <w:r>
                    <w:rPr>
                      <w:color w:val="auto"/>
                      <w:kern w:val="0"/>
                      <w:sz w:val="18"/>
                      <w:szCs w:val="18"/>
                    </w:rPr>
                    <w:t>6</w:t>
                  </w:r>
                </w:p>
              </w:tc>
              <w:tc>
                <w:tcPr>
                  <w:tcW w:w="779" w:type="pct"/>
                  <w:vAlign w:val="center"/>
                </w:tcPr>
                <w:p>
                  <w:pPr>
                    <w:jc w:val="center"/>
                    <w:rPr>
                      <w:color w:val="auto"/>
                      <w:kern w:val="0"/>
                      <w:sz w:val="18"/>
                      <w:szCs w:val="18"/>
                    </w:rPr>
                  </w:pPr>
                  <w:r>
                    <w:rPr>
                      <w:color w:val="auto"/>
                      <w:sz w:val="18"/>
                      <w:szCs w:val="18"/>
                    </w:rPr>
                    <w:t>3492353.09</w:t>
                  </w:r>
                </w:p>
              </w:tc>
              <w:tc>
                <w:tcPr>
                  <w:tcW w:w="1175" w:type="pct"/>
                  <w:vAlign w:val="center"/>
                </w:tcPr>
                <w:p>
                  <w:pPr>
                    <w:jc w:val="center"/>
                    <w:rPr>
                      <w:color w:val="auto"/>
                      <w:kern w:val="0"/>
                      <w:sz w:val="18"/>
                      <w:szCs w:val="18"/>
                    </w:rPr>
                  </w:pPr>
                  <w:r>
                    <w:rPr>
                      <w:color w:val="auto"/>
                      <w:sz w:val="18"/>
                      <w:szCs w:val="18"/>
                    </w:rPr>
                    <w:t>36535690.26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7</w:t>
                  </w:r>
                </w:p>
              </w:tc>
              <w:tc>
                <w:tcPr>
                  <w:tcW w:w="996" w:type="pct"/>
                  <w:vAlign w:val="center"/>
                </w:tcPr>
                <w:p>
                  <w:pPr>
                    <w:jc w:val="center"/>
                    <w:rPr>
                      <w:color w:val="auto"/>
                      <w:kern w:val="0"/>
                      <w:sz w:val="18"/>
                      <w:szCs w:val="18"/>
                    </w:rPr>
                  </w:pPr>
                  <w:r>
                    <w:rPr>
                      <w:color w:val="auto"/>
                      <w:sz w:val="18"/>
                      <w:szCs w:val="18"/>
                    </w:rPr>
                    <w:t>108°22′25.350″</w:t>
                  </w:r>
                </w:p>
              </w:tc>
              <w:tc>
                <w:tcPr>
                  <w:tcW w:w="912" w:type="pct"/>
                  <w:vAlign w:val="center"/>
                </w:tcPr>
                <w:p>
                  <w:pPr>
                    <w:jc w:val="center"/>
                    <w:rPr>
                      <w:color w:val="auto"/>
                      <w:kern w:val="0"/>
                      <w:sz w:val="18"/>
                      <w:szCs w:val="18"/>
                    </w:rPr>
                  </w:pPr>
                  <w:r>
                    <w:rPr>
                      <w:color w:val="auto"/>
                      <w:sz w:val="18"/>
                      <w:szCs w:val="18"/>
                    </w:rPr>
                    <w:t>31°33′11.543″</w:t>
                  </w:r>
                </w:p>
              </w:tc>
              <w:tc>
                <w:tcPr>
                  <w:tcW w:w="594" w:type="pct"/>
                  <w:vAlign w:val="center"/>
                </w:tcPr>
                <w:p>
                  <w:pPr>
                    <w:widowControl/>
                    <w:ind w:left="-105" w:leftChars="-50" w:right="-105" w:rightChars="-50"/>
                    <w:jc w:val="center"/>
                    <w:rPr>
                      <w:color w:val="auto"/>
                      <w:kern w:val="0"/>
                      <w:sz w:val="18"/>
                      <w:szCs w:val="18"/>
                    </w:rPr>
                  </w:pPr>
                  <w:r>
                    <w:rPr>
                      <w:color w:val="auto"/>
                      <w:kern w:val="0"/>
                      <w:sz w:val="18"/>
                      <w:szCs w:val="18"/>
                    </w:rPr>
                    <w:t>7</w:t>
                  </w:r>
                </w:p>
              </w:tc>
              <w:tc>
                <w:tcPr>
                  <w:tcW w:w="779" w:type="pct"/>
                  <w:vAlign w:val="center"/>
                </w:tcPr>
                <w:p>
                  <w:pPr>
                    <w:jc w:val="center"/>
                    <w:rPr>
                      <w:color w:val="auto"/>
                      <w:kern w:val="0"/>
                      <w:sz w:val="18"/>
                      <w:szCs w:val="18"/>
                    </w:rPr>
                  </w:pPr>
                  <w:r>
                    <w:rPr>
                      <w:color w:val="auto"/>
                      <w:sz w:val="18"/>
                      <w:szCs w:val="18"/>
                    </w:rPr>
                    <w:t>3492371.23</w:t>
                  </w:r>
                </w:p>
              </w:tc>
              <w:tc>
                <w:tcPr>
                  <w:tcW w:w="1175" w:type="pct"/>
                  <w:vAlign w:val="center"/>
                </w:tcPr>
                <w:p>
                  <w:pPr>
                    <w:jc w:val="center"/>
                    <w:rPr>
                      <w:color w:val="auto"/>
                      <w:kern w:val="0"/>
                      <w:sz w:val="18"/>
                      <w:szCs w:val="18"/>
                    </w:rPr>
                  </w:pPr>
                  <w:r>
                    <w:rPr>
                      <w:color w:val="auto"/>
                      <w:sz w:val="18"/>
                      <w:szCs w:val="18"/>
                    </w:rPr>
                    <w:t>36535483.15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vAlign w:val="center"/>
                </w:tcPr>
                <w:p>
                  <w:pPr>
                    <w:widowControl/>
                    <w:ind w:left="-105" w:leftChars="-50" w:right="-105" w:rightChars="-50"/>
                    <w:jc w:val="center"/>
                    <w:rPr>
                      <w:color w:val="auto"/>
                      <w:kern w:val="0"/>
                      <w:sz w:val="18"/>
                      <w:szCs w:val="18"/>
                    </w:rPr>
                  </w:pPr>
                  <w:r>
                    <w:rPr>
                      <w:color w:val="auto"/>
                      <w:kern w:val="0"/>
                      <w:sz w:val="18"/>
                      <w:szCs w:val="18"/>
                    </w:rPr>
                    <w:t>8</w:t>
                  </w:r>
                </w:p>
              </w:tc>
              <w:tc>
                <w:tcPr>
                  <w:tcW w:w="996" w:type="pct"/>
                  <w:vAlign w:val="center"/>
                </w:tcPr>
                <w:p>
                  <w:pPr>
                    <w:jc w:val="center"/>
                    <w:rPr>
                      <w:color w:val="auto"/>
                      <w:kern w:val="0"/>
                      <w:sz w:val="18"/>
                      <w:szCs w:val="18"/>
                    </w:rPr>
                  </w:pPr>
                  <w:r>
                    <w:rPr>
                      <w:color w:val="auto"/>
                      <w:sz w:val="18"/>
                      <w:szCs w:val="18"/>
                    </w:rPr>
                    <w:t>108°22′19.619″</w:t>
                  </w:r>
                </w:p>
              </w:tc>
              <w:tc>
                <w:tcPr>
                  <w:tcW w:w="912" w:type="pct"/>
                  <w:vAlign w:val="center"/>
                </w:tcPr>
                <w:p>
                  <w:pPr>
                    <w:jc w:val="center"/>
                    <w:rPr>
                      <w:color w:val="auto"/>
                      <w:kern w:val="0"/>
                      <w:sz w:val="18"/>
                      <w:szCs w:val="18"/>
                    </w:rPr>
                  </w:pPr>
                  <w:r>
                    <w:rPr>
                      <w:color w:val="auto"/>
                      <w:sz w:val="18"/>
                      <w:szCs w:val="18"/>
                    </w:rPr>
                    <w:t>31°33′16.834″</w:t>
                  </w:r>
                </w:p>
              </w:tc>
              <w:tc>
                <w:tcPr>
                  <w:tcW w:w="594" w:type="pct"/>
                  <w:vAlign w:val="center"/>
                </w:tcPr>
                <w:p>
                  <w:pPr>
                    <w:widowControl/>
                    <w:ind w:left="-105" w:leftChars="-50" w:right="-105" w:rightChars="-50"/>
                    <w:jc w:val="center"/>
                    <w:rPr>
                      <w:color w:val="auto"/>
                      <w:kern w:val="0"/>
                      <w:sz w:val="18"/>
                      <w:szCs w:val="18"/>
                    </w:rPr>
                  </w:pPr>
                  <w:r>
                    <w:rPr>
                      <w:color w:val="auto"/>
                      <w:kern w:val="0"/>
                      <w:sz w:val="18"/>
                      <w:szCs w:val="18"/>
                    </w:rPr>
                    <w:t>8</w:t>
                  </w:r>
                </w:p>
              </w:tc>
              <w:tc>
                <w:tcPr>
                  <w:tcW w:w="779" w:type="pct"/>
                  <w:vAlign w:val="center"/>
                </w:tcPr>
                <w:p>
                  <w:pPr>
                    <w:jc w:val="center"/>
                    <w:rPr>
                      <w:color w:val="auto"/>
                      <w:kern w:val="0"/>
                      <w:sz w:val="18"/>
                      <w:szCs w:val="18"/>
                    </w:rPr>
                  </w:pPr>
                  <w:r>
                    <w:rPr>
                      <w:color w:val="auto"/>
                      <w:sz w:val="18"/>
                      <w:szCs w:val="18"/>
                    </w:rPr>
                    <w:t>3492533.67</w:t>
                  </w:r>
                </w:p>
              </w:tc>
              <w:tc>
                <w:tcPr>
                  <w:tcW w:w="1175" w:type="pct"/>
                  <w:vAlign w:val="center"/>
                </w:tcPr>
                <w:p>
                  <w:pPr>
                    <w:jc w:val="center"/>
                    <w:rPr>
                      <w:color w:val="auto"/>
                      <w:kern w:val="0"/>
                      <w:sz w:val="18"/>
                      <w:szCs w:val="18"/>
                    </w:rPr>
                  </w:pPr>
                  <w:r>
                    <w:rPr>
                      <w:color w:val="auto"/>
                      <w:sz w:val="18"/>
                      <w:szCs w:val="18"/>
                    </w:rPr>
                    <w:t>36535331.46</w:t>
                  </w:r>
                </w:p>
              </w:tc>
            </w:tr>
          </w:tbl>
          <w:p>
            <w:pPr>
              <w:adjustRightInd w:val="0"/>
              <w:snapToGrid w:val="0"/>
              <w:spacing w:line="360" w:lineRule="auto"/>
              <w:ind w:firstLine="420" w:firstLineChars="200"/>
              <w:rPr>
                <w:rFonts w:ascii="宋体" w:hAnsi="宋体" w:cs="宋体"/>
                <w:color w:val="auto"/>
                <w:kern w:val="0"/>
                <w:szCs w:val="21"/>
              </w:rPr>
            </w:pPr>
            <w:r>
              <w:rPr>
                <w:rFonts w:hint="eastAsia"/>
                <w:color w:val="auto"/>
              </w:rPr>
              <w:t>项目矿山及加工区</w:t>
            </w:r>
            <w:r>
              <w:rPr>
                <w:color w:val="auto"/>
              </w:rPr>
              <w:t>综合技术经济指标见下表。</w:t>
            </w:r>
          </w:p>
          <w:p>
            <w:pPr>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表2</w:t>
            </w:r>
            <w:r>
              <w:rPr>
                <w:rFonts w:ascii="宋体" w:hAnsi="宋体" w:cs="宋体"/>
                <w:b/>
                <w:color w:val="auto"/>
                <w:kern w:val="0"/>
                <w:sz w:val="18"/>
                <w:szCs w:val="18"/>
              </w:rPr>
              <w:t>-2</w:t>
            </w:r>
            <w:r>
              <w:rPr>
                <w:rFonts w:hint="eastAsia" w:ascii="宋体" w:hAnsi="宋体" w:cs="宋体"/>
                <w:b/>
                <w:color w:val="auto"/>
                <w:kern w:val="0"/>
                <w:sz w:val="18"/>
                <w:szCs w:val="18"/>
              </w:rPr>
              <w:t>矿山及加工区综合技术经济指标</w:t>
            </w:r>
          </w:p>
          <w:tbl>
            <w:tblPr>
              <w:tblStyle w:val="14"/>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95"/>
              <w:gridCol w:w="575"/>
              <w:gridCol w:w="709"/>
              <w:gridCol w:w="1561"/>
              <w:gridCol w:w="985"/>
              <w:gridCol w:w="2132"/>
              <w:gridCol w:w="150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b/>
                      <w:bCs/>
                      <w:color w:val="auto"/>
                      <w:sz w:val="18"/>
                      <w:szCs w:val="18"/>
                    </w:rPr>
                  </w:pPr>
                  <w:r>
                    <w:rPr>
                      <w:b/>
                      <w:bCs/>
                      <w:color w:val="auto"/>
                      <w:sz w:val="18"/>
                      <w:szCs w:val="18"/>
                    </w:rPr>
                    <w:t>序号</w:t>
                  </w:r>
                </w:p>
              </w:tc>
              <w:tc>
                <w:tcPr>
                  <w:tcW w:w="1742" w:type="pct"/>
                  <w:gridSpan w:val="3"/>
                  <w:vAlign w:val="center"/>
                </w:tcPr>
                <w:p>
                  <w:pPr>
                    <w:pStyle w:val="8"/>
                    <w:spacing w:after="0" w:line="280" w:lineRule="exact"/>
                    <w:ind w:left="0" w:leftChars="0"/>
                    <w:jc w:val="center"/>
                    <w:rPr>
                      <w:b/>
                      <w:bCs/>
                      <w:color w:val="auto"/>
                      <w:sz w:val="18"/>
                      <w:szCs w:val="18"/>
                    </w:rPr>
                  </w:pPr>
                  <w:r>
                    <w:rPr>
                      <w:b/>
                      <w:bCs/>
                      <w:color w:val="auto"/>
                      <w:sz w:val="18"/>
                      <w:szCs w:val="18"/>
                    </w:rPr>
                    <w:t>项目</w:t>
                  </w:r>
                </w:p>
              </w:tc>
              <w:tc>
                <w:tcPr>
                  <w:tcW w:w="603" w:type="pct"/>
                  <w:vAlign w:val="center"/>
                </w:tcPr>
                <w:p>
                  <w:pPr>
                    <w:pStyle w:val="8"/>
                    <w:spacing w:after="0" w:line="280" w:lineRule="exact"/>
                    <w:ind w:left="0" w:leftChars="0"/>
                    <w:jc w:val="center"/>
                    <w:rPr>
                      <w:b/>
                      <w:bCs/>
                      <w:color w:val="auto"/>
                      <w:sz w:val="18"/>
                      <w:szCs w:val="18"/>
                    </w:rPr>
                  </w:pPr>
                  <w:r>
                    <w:rPr>
                      <w:b/>
                      <w:bCs/>
                      <w:color w:val="auto"/>
                      <w:sz w:val="18"/>
                      <w:szCs w:val="18"/>
                    </w:rPr>
                    <w:t>单位</w:t>
                  </w:r>
                </w:p>
              </w:tc>
              <w:tc>
                <w:tcPr>
                  <w:tcW w:w="1306" w:type="pct"/>
                  <w:vAlign w:val="center"/>
                </w:tcPr>
                <w:p>
                  <w:pPr>
                    <w:pStyle w:val="8"/>
                    <w:spacing w:after="0" w:line="280" w:lineRule="exact"/>
                    <w:ind w:left="0" w:leftChars="0"/>
                    <w:jc w:val="center"/>
                    <w:rPr>
                      <w:b/>
                      <w:bCs/>
                      <w:color w:val="auto"/>
                      <w:sz w:val="18"/>
                      <w:szCs w:val="18"/>
                    </w:rPr>
                  </w:pPr>
                  <w:r>
                    <w:rPr>
                      <w:b/>
                      <w:bCs/>
                      <w:color w:val="auto"/>
                      <w:sz w:val="18"/>
                      <w:szCs w:val="18"/>
                    </w:rPr>
                    <w:t>指标</w:t>
                  </w:r>
                </w:p>
              </w:tc>
              <w:tc>
                <w:tcPr>
                  <w:tcW w:w="923" w:type="pct"/>
                  <w:vAlign w:val="center"/>
                </w:tcPr>
                <w:p>
                  <w:pPr>
                    <w:pStyle w:val="8"/>
                    <w:spacing w:after="0" w:line="280" w:lineRule="exact"/>
                    <w:ind w:left="0" w:leftChars="0"/>
                    <w:jc w:val="center"/>
                    <w:rPr>
                      <w:b/>
                      <w:bCs/>
                      <w:color w:val="auto"/>
                      <w:sz w:val="18"/>
                      <w:szCs w:val="18"/>
                    </w:rPr>
                  </w:pPr>
                  <w:r>
                    <w:rPr>
                      <w:b/>
                      <w:bCs/>
                      <w:color w:val="auto"/>
                      <w:sz w:val="18"/>
                      <w:szCs w:val="18"/>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color w:val="auto"/>
                      <w:sz w:val="18"/>
                      <w:szCs w:val="18"/>
                    </w:rPr>
                    <w:t>1</w:t>
                  </w:r>
                </w:p>
              </w:tc>
              <w:tc>
                <w:tcPr>
                  <w:tcW w:w="1742" w:type="pct"/>
                  <w:gridSpan w:val="3"/>
                  <w:vAlign w:val="center"/>
                </w:tcPr>
                <w:p>
                  <w:pPr>
                    <w:pStyle w:val="8"/>
                    <w:spacing w:after="0" w:line="280" w:lineRule="exact"/>
                    <w:ind w:left="0" w:leftChars="0"/>
                    <w:jc w:val="center"/>
                    <w:rPr>
                      <w:color w:val="auto"/>
                      <w:sz w:val="18"/>
                      <w:szCs w:val="18"/>
                    </w:rPr>
                  </w:pPr>
                  <w:r>
                    <w:rPr>
                      <w:color w:val="auto"/>
                      <w:sz w:val="18"/>
                      <w:szCs w:val="18"/>
                    </w:rPr>
                    <w:t>矿山设计生产能力</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万吨</w:t>
                  </w:r>
                  <w:r>
                    <w:rPr>
                      <w:rFonts w:hint="eastAsia"/>
                      <w:color w:val="auto"/>
                      <w:sz w:val="18"/>
                      <w:szCs w:val="18"/>
                    </w:rPr>
                    <w:t>/年</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250</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color w:val="auto"/>
                      <w:sz w:val="18"/>
                      <w:szCs w:val="18"/>
                    </w:rPr>
                    <w:t>2</w:t>
                  </w:r>
                </w:p>
              </w:tc>
              <w:tc>
                <w:tcPr>
                  <w:tcW w:w="1742" w:type="pct"/>
                  <w:gridSpan w:val="3"/>
                  <w:vAlign w:val="center"/>
                </w:tcPr>
                <w:p>
                  <w:pPr>
                    <w:pStyle w:val="8"/>
                    <w:spacing w:after="0" w:line="280" w:lineRule="exact"/>
                    <w:ind w:left="0" w:leftChars="0"/>
                    <w:jc w:val="center"/>
                    <w:rPr>
                      <w:color w:val="auto"/>
                      <w:sz w:val="18"/>
                      <w:szCs w:val="18"/>
                    </w:rPr>
                  </w:pPr>
                  <w:r>
                    <w:rPr>
                      <w:color w:val="auto"/>
                      <w:sz w:val="18"/>
                      <w:szCs w:val="18"/>
                    </w:rPr>
                    <w:t>服务年限</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a</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25</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3</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产品方案</w:t>
                  </w:r>
                </w:p>
              </w:tc>
              <w:tc>
                <w:tcPr>
                  <w:tcW w:w="603" w:type="pct"/>
                  <w:vAlign w:val="center"/>
                </w:tcPr>
                <w:p>
                  <w:pPr>
                    <w:pStyle w:val="8"/>
                    <w:spacing w:after="0" w:line="280" w:lineRule="exact"/>
                    <w:ind w:left="0" w:leftChars="0"/>
                    <w:jc w:val="center"/>
                    <w:rPr>
                      <w:color w:val="auto"/>
                      <w:sz w:val="18"/>
                      <w:szCs w:val="18"/>
                    </w:rPr>
                  </w:pPr>
                  <w:r>
                    <w:rPr>
                      <w:rFonts w:hint="eastAsia"/>
                      <w:color w:val="auto"/>
                      <w:sz w:val="18"/>
                      <w:szCs w:val="18"/>
                    </w:rPr>
                    <w:t>/</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碎石</w:t>
                  </w:r>
                </w:p>
              </w:tc>
              <w:tc>
                <w:tcPr>
                  <w:tcW w:w="923" w:type="pct"/>
                  <w:vAlign w:val="center"/>
                </w:tcPr>
                <w:p>
                  <w:pPr>
                    <w:pStyle w:val="8"/>
                    <w:spacing w:after="0" w:line="280" w:lineRule="exact"/>
                    <w:ind w:left="0" w:leftChars="0"/>
                    <w:jc w:val="center"/>
                    <w:rPr>
                      <w:color w:val="auto"/>
                      <w:sz w:val="18"/>
                      <w:szCs w:val="18"/>
                    </w:rPr>
                  </w:pPr>
                  <w:r>
                    <w:rPr>
                      <w:rFonts w:hint="eastAsia"/>
                      <w:color w:val="auto"/>
                      <w:sz w:val="18"/>
                      <w:szCs w:val="18"/>
                    </w:rPr>
                    <w:t>最终产品</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4</w:t>
                  </w:r>
                </w:p>
              </w:tc>
              <w:tc>
                <w:tcPr>
                  <w:tcW w:w="1742" w:type="pct"/>
                  <w:gridSpan w:val="3"/>
                  <w:vAlign w:val="center"/>
                </w:tcPr>
                <w:p>
                  <w:pPr>
                    <w:pStyle w:val="8"/>
                    <w:spacing w:after="0" w:line="280" w:lineRule="exact"/>
                    <w:ind w:left="0" w:leftChars="0"/>
                    <w:jc w:val="center"/>
                    <w:rPr>
                      <w:color w:val="auto"/>
                      <w:sz w:val="18"/>
                      <w:szCs w:val="18"/>
                    </w:rPr>
                  </w:pPr>
                  <w:r>
                    <w:rPr>
                      <w:color w:val="auto"/>
                      <w:sz w:val="18"/>
                      <w:szCs w:val="18"/>
                    </w:rPr>
                    <w:t>矿山工作制度</w:t>
                  </w:r>
                </w:p>
              </w:tc>
              <w:tc>
                <w:tcPr>
                  <w:tcW w:w="603" w:type="pct"/>
                  <w:vAlign w:val="center"/>
                </w:tcPr>
                <w:p>
                  <w:pPr>
                    <w:pStyle w:val="8"/>
                    <w:spacing w:after="0" w:line="280" w:lineRule="exact"/>
                    <w:ind w:left="0" w:leftChars="0"/>
                    <w:jc w:val="center"/>
                    <w:rPr>
                      <w:color w:val="auto"/>
                      <w:sz w:val="18"/>
                      <w:szCs w:val="18"/>
                    </w:rPr>
                  </w:pPr>
                </w:p>
              </w:tc>
              <w:tc>
                <w:tcPr>
                  <w:tcW w:w="1306" w:type="pct"/>
                  <w:vAlign w:val="center"/>
                </w:tcPr>
                <w:p>
                  <w:pPr>
                    <w:pStyle w:val="8"/>
                    <w:spacing w:after="0" w:line="280" w:lineRule="exact"/>
                    <w:ind w:left="0" w:leftChars="0"/>
                    <w:jc w:val="center"/>
                    <w:rPr>
                      <w:color w:val="auto"/>
                      <w:sz w:val="18"/>
                      <w:szCs w:val="18"/>
                    </w:rPr>
                  </w:pP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p>
              </w:tc>
              <w:tc>
                <w:tcPr>
                  <w:tcW w:w="1742" w:type="pct"/>
                  <w:gridSpan w:val="3"/>
                  <w:vAlign w:val="center"/>
                </w:tcPr>
                <w:p>
                  <w:pPr>
                    <w:pStyle w:val="8"/>
                    <w:spacing w:after="0" w:line="280" w:lineRule="exact"/>
                    <w:ind w:left="0" w:leftChars="0"/>
                    <w:jc w:val="center"/>
                    <w:rPr>
                      <w:color w:val="auto"/>
                      <w:sz w:val="18"/>
                      <w:szCs w:val="18"/>
                    </w:rPr>
                  </w:pPr>
                  <w:r>
                    <w:rPr>
                      <w:color w:val="auto"/>
                      <w:sz w:val="18"/>
                      <w:szCs w:val="18"/>
                    </w:rPr>
                    <w:t>作业形式</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班/天</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2</w:t>
                  </w:r>
                </w:p>
              </w:tc>
              <w:tc>
                <w:tcPr>
                  <w:tcW w:w="923" w:type="pct"/>
                  <w:vAlign w:val="center"/>
                </w:tcPr>
                <w:p>
                  <w:pPr>
                    <w:pStyle w:val="8"/>
                    <w:spacing w:after="0" w:line="280" w:lineRule="exact"/>
                    <w:ind w:left="0" w:leftChars="0"/>
                    <w:jc w:val="center"/>
                    <w:rPr>
                      <w:color w:val="auto"/>
                      <w:sz w:val="18"/>
                      <w:szCs w:val="18"/>
                    </w:rPr>
                  </w:pPr>
                  <w:r>
                    <w:rPr>
                      <w:rFonts w:hint="eastAsia"/>
                      <w:color w:val="auto"/>
                      <w:sz w:val="18"/>
                      <w:szCs w:val="18"/>
                    </w:rPr>
                    <w:t>白天爆破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p>
              </w:tc>
              <w:tc>
                <w:tcPr>
                  <w:tcW w:w="1742" w:type="pct"/>
                  <w:gridSpan w:val="3"/>
                  <w:vAlign w:val="center"/>
                </w:tcPr>
                <w:p>
                  <w:pPr>
                    <w:pStyle w:val="8"/>
                    <w:spacing w:after="0" w:line="280" w:lineRule="exact"/>
                    <w:ind w:left="0" w:leftChars="0"/>
                    <w:jc w:val="center"/>
                    <w:rPr>
                      <w:color w:val="auto"/>
                      <w:sz w:val="18"/>
                      <w:szCs w:val="18"/>
                    </w:rPr>
                  </w:pPr>
                  <w:r>
                    <w:rPr>
                      <w:color w:val="auto"/>
                      <w:sz w:val="18"/>
                      <w:szCs w:val="18"/>
                    </w:rPr>
                    <w:t>工作天数</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d</w:t>
                  </w:r>
                </w:p>
              </w:tc>
              <w:tc>
                <w:tcPr>
                  <w:tcW w:w="1306" w:type="pct"/>
                  <w:vAlign w:val="center"/>
                </w:tcPr>
                <w:p>
                  <w:pPr>
                    <w:pStyle w:val="8"/>
                    <w:spacing w:after="0" w:line="280" w:lineRule="exact"/>
                    <w:ind w:left="0" w:leftChars="0"/>
                    <w:jc w:val="center"/>
                    <w:rPr>
                      <w:color w:val="auto"/>
                      <w:sz w:val="18"/>
                      <w:szCs w:val="18"/>
                    </w:rPr>
                  </w:pPr>
                  <w:r>
                    <w:rPr>
                      <w:color w:val="auto"/>
                      <w:sz w:val="18"/>
                      <w:szCs w:val="18"/>
                    </w:rPr>
                    <w:t>3</w:t>
                  </w:r>
                  <w:r>
                    <w:rPr>
                      <w:rFonts w:hint="eastAsia"/>
                      <w:color w:val="auto"/>
                      <w:sz w:val="18"/>
                      <w:szCs w:val="18"/>
                    </w:rPr>
                    <w:t>0</w:t>
                  </w:r>
                  <w:r>
                    <w:rPr>
                      <w:color w:val="auto"/>
                      <w:sz w:val="18"/>
                      <w:szCs w:val="18"/>
                    </w:rPr>
                    <w:t>0</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5</w:t>
                  </w:r>
                </w:p>
              </w:tc>
              <w:tc>
                <w:tcPr>
                  <w:tcW w:w="1742" w:type="pct"/>
                  <w:gridSpan w:val="3"/>
                  <w:vAlign w:val="center"/>
                </w:tcPr>
                <w:p>
                  <w:pPr>
                    <w:pStyle w:val="8"/>
                    <w:spacing w:after="0" w:line="280" w:lineRule="exact"/>
                    <w:ind w:left="0" w:leftChars="0"/>
                    <w:jc w:val="center"/>
                    <w:rPr>
                      <w:color w:val="auto"/>
                      <w:sz w:val="18"/>
                      <w:szCs w:val="18"/>
                    </w:rPr>
                  </w:pPr>
                  <w:r>
                    <w:rPr>
                      <w:color w:val="auto"/>
                      <w:sz w:val="18"/>
                      <w:szCs w:val="18"/>
                    </w:rPr>
                    <w:t>矿山资源储量</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万吨</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6593.4</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设计利用资源量</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万吨</w:t>
                  </w:r>
                </w:p>
              </w:tc>
              <w:tc>
                <w:tcPr>
                  <w:tcW w:w="1306" w:type="pct"/>
                  <w:vAlign w:val="center"/>
                </w:tcPr>
                <w:p>
                  <w:pPr>
                    <w:pStyle w:val="8"/>
                    <w:spacing w:after="0" w:line="280" w:lineRule="exact"/>
                    <w:ind w:left="0" w:leftChars="0"/>
                    <w:jc w:val="center"/>
                    <w:rPr>
                      <w:color w:val="auto"/>
                      <w:sz w:val="18"/>
                      <w:szCs w:val="18"/>
                    </w:rPr>
                  </w:pPr>
                  <w:r>
                    <w:rPr>
                      <w:color w:val="auto"/>
                      <w:sz w:val="18"/>
                      <w:szCs w:val="18"/>
                    </w:rPr>
                    <w:t>6178.03</w:t>
                  </w:r>
                </w:p>
              </w:tc>
              <w:tc>
                <w:tcPr>
                  <w:tcW w:w="923" w:type="pct"/>
                  <w:vAlign w:val="center"/>
                </w:tcPr>
                <w:p>
                  <w:pPr>
                    <w:pStyle w:val="8"/>
                    <w:spacing w:after="0" w:line="280" w:lineRule="exact"/>
                    <w:ind w:left="0" w:leftChars="0"/>
                    <w:jc w:val="center"/>
                    <w:rPr>
                      <w:color w:val="auto"/>
                      <w:sz w:val="18"/>
                      <w:szCs w:val="18"/>
                    </w:rPr>
                  </w:pPr>
                  <w:r>
                    <w:rPr>
                      <w:color w:val="auto"/>
                      <w:sz w:val="18"/>
                      <w:szCs w:val="18"/>
                    </w:rPr>
                    <w:t>控制资源量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6</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露天采场境界圈定结果</w:t>
                  </w:r>
                </w:p>
              </w:tc>
              <w:tc>
                <w:tcPr>
                  <w:tcW w:w="603" w:type="pct"/>
                  <w:vAlign w:val="center"/>
                </w:tcPr>
                <w:p>
                  <w:pPr>
                    <w:pStyle w:val="8"/>
                    <w:spacing w:after="0" w:line="280" w:lineRule="exact"/>
                    <w:ind w:left="0" w:leftChars="0"/>
                    <w:jc w:val="center"/>
                    <w:rPr>
                      <w:color w:val="auto"/>
                      <w:sz w:val="18"/>
                      <w:szCs w:val="18"/>
                    </w:rPr>
                  </w:pPr>
                </w:p>
              </w:tc>
              <w:tc>
                <w:tcPr>
                  <w:tcW w:w="1306" w:type="pct"/>
                  <w:vAlign w:val="center"/>
                </w:tcPr>
                <w:p>
                  <w:pPr>
                    <w:pStyle w:val="8"/>
                    <w:spacing w:after="0" w:line="280" w:lineRule="exact"/>
                    <w:ind w:left="0" w:leftChars="0"/>
                    <w:jc w:val="center"/>
                    <w:rPr>
                      <w:color w:val="auto"/>
                      <w:sz w:val="18"/>
                      <w:szCs w:val="18"/>
                    </w:rPr>
                  </w:pP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圈定矿石量</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万吨</w:t>
                  </w:r>
                </w:p>
              </w:tc>
              <w:tc>
                <w:tcPr>
                  <w:tcW w:w="1306" w:type="pct"/>
                  <w:vAlign w:val="center"/>
                </w:tcPr>
                <w:p>
                  <w:pPr>
                    <w:pStyle w:val="8"/>
                    <w:spacing w:after="0" w:line="280" w:lineRule="exact"/>
                    <w:ind w:left="0" w:leftChars="0"/>
                    <w:jc w:val="center"/>
                    <w:rPr>
                      <w:color w:val="auto"/>
                      <w:sz w:val="18"/>
                      <w:szCs w:val="18"/>
                    </w:rPr>
                  </w:pPr>
                  <w:r>
                    <w:rPr>
                      <w:color w:val="auto"/>
                      <w:sz w:val="18"/>
                      <w:szCs w:val="18"/>
                    </w:rPr>
                    <w:t>6178.03</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剥离量</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万吨</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211.01</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7</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平均剥采比</w:t>
                  </w:r>
                </w:p>
              </w:tc>
              <w:tc>
                <w:tcPr>
                  <w:tcW w:w="603" w:type="pct"/>
                  <w:vAlign w:val="center"/>
                </w:tcPr>
                <w:p>
                  <w:pPr>
                    <w:pStyle w:val="8"/>
                    <w:spacing w:after="0" w:line="280" w:lineRule="exact"/>
                    <w:ind w:left="0" w:leftChars="0"/>
                    <w:jc w:val="center"/>
                    <w:rPr>
                      <w:color w:val="auto"/>
                      <w:sz w:val="18"/>
                      <w:szCs w:val="18"/>
                    </w:rPr>
                  </w:pPr>
                  <w:r>
                    <w:rPr>
                      <w:rFonts w:hint="eastAsia"/>
                      <w:color w:val="auto"/>
                      <w:sz w:val="18"/>
                      <w:szCs w:val="18"/>
                    </w:rPr>
                    <w:t>t/t</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0.08</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8</w:t>
                  </w:r>
                </w:p>
              </w:tc>
              <w:tc>
                <w:tcPr>
                  <w:tcW w:w="1742" w:type="pct"/>
                  <w:gridSpan w:val="3"/>
                  <w:vAlign w:val="center"/>
                </w:tcPr>
                <w:p>
                  <w:pPr>
                    <w:pStyle w:val="8"/>
                    <w:spacing w:after="0" w:line="280" w:lineRule="exact"/>
                    <w:ind w:left="0" w:leftChars="0"/>
                    <w:jc w:val="center"/>
                    <w:rPr>
                      <w:color w:val="auto"/>
                      <w:sz w:val="18"/>
                      <w:szCs w:val="18"/>
                    </w:rPr>
                  </w:pPr>
                  <w:r>
                    <w:rPr>
                      <w:color w:val="auto"/>
                      <w:sz w:val="18"/>
                      <w:szCs w:val="18"/>
                    </w:rPr>
                    <w:t>采区回采率</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98</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9</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废石混入率</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2</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10</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采出矿石量</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万吨</w:t>
                  </w:r>
                </w:p>
              </w:tc>
              <w:tc>
                <w:tcPr>
                  <w:tcW w:w="1306" w:type="pct"/>
                  <w:vAlign w:val="center"/>
                </w:tcPr>
                <w:p>
                  <w:pPr>
                    <w:pStyle w:val="8"/>
                    <w:spacing w:after="0" w:line="280" w:lineRule="exact"/>
                    <w:ind w:left="0" w:leftChars="0"/>
                    <w:jc w:val="center"/>
                    <w:rPr>
                      <w:color w:val="auto"/>
                      <w:sz w:val="18"/>
                      <w:szCs w:val="18"/>
                    </w:rPr>
                  </w:pPr>
                  <w:r>
                    <w:rPr>
                      <w:color w:val="auto"/>
                      <w:sz w:val="18"/>
                      <w:szCs w:val="18"/>
                    </w:rPr>
                    <w:t>6178.03</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11</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开拓运输方式</w:t>
                  </w:r>
                </w:p>
              </w:tc>
              <w:tc>
                <w:tcPr>
                  <w:tcW w:w="603" w:type="pct"/>
                  <w:vAlign w:val="center"/>
                </w:tcPr>
                <w:p>
                  <w:pPr>
                    <w:pStyle w:val="8"/>
                    <w:spacing w:after="0" w:line="280" w:lineRule="exact"/>
                    <w:ind w:left="0" w:leftChars="0"/>
                    <w:jc w:val="center"/>
                    <w:rPr>
                      <w:color w:val="auto"/>
                      <w:sz w:val="18"/>
                      <w:szCs w:val="18"/>
                    </w:rPr>
                  </w:pPr>
                </w:p>
              </w:tc>
              <w:tc>
                <w:tcPr>
                  <w:tcW w:w="2229" w:type="pct"/>
                  <w:gridSpan w:val="2"/>
                  <w:vAlign w:val="center"/>
                </w:tcPr>
                <w:p>
                  <w:pPr>
                    <w:pStyle w:val="8"/>
                    <w:spacing w:after="0" w:line="280" w:lineRule="exact"/>
                    <w:ind w:left="0" w:leftChars="0"/>
                    <w:jc w:val="center"/>
                    <w:rPr>
                      <w:color w:val="auto"/>
                      <w:sz w:val="18"/>
                      <w:szCs w:val="18"/>
                    </w:rPr>
                  </w:pPr>
                  <w:r>
                    <w:rPr>
                      <w:rFonts w:hint="eastAsia"/>
                      <w:color w:val="auto"/>
                      <w:sz w:val="18"/>
                      <w:szCs w:val="18"/>
                    </w:rPr>
                    <w:t>公路开拓-汽车运输方案</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12</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两级矿量</w:t>
                  </w:r>
                </w:p>
              </w:tc>
              <w:tc>
                <w:tcPr>
                  <w:tcW w:w="603" w:type="pct"/>
                  <w:vAlign w:val="center"/>
                </w:tcPr>
                <w:p>
                  <w:pPr>
                    <w:pStyle w:val="8"/>
                    <w:spacing w:after="0" w:line="280" w:lineRule="exact"/>
                    <w:ind w:left="0" w:leftChars="0"/>
                    <w:jc w:val="center"/>
                    <w:rPr>
                      <w:color w:val="auto"/>
                      <w:sz w:val="18"/>
                      <w:szCs w:val="18"/>
                    </w:rPr>
                  </w:pPr>
                </w:p>
              </w:tc>
              <w:tc>
                <w:tcPr>
                  <w:tcW w:w="1306" w:type="pct"/>
                  <w:vAlign w:val="center"/>
                </w:tcPr>
                <w:p>
                  <w:pPr>
                    <w:pStyle w:val="8"/>
                    <w:spacing w:after="0" w:line="280" w:lineRule="exact"/>
                    <w:ind w:left="0" w:leftChars="0"/>
                    <w:jc w:val="center"/>
                    <w:rPr>
                      <w:color w:val="auto"/>
                      <w:sz w:val="18"/>
                      <w:szCs w:val="18"/>
                    </w:rPr>
                  </w:pP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开拓矿量</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万吨</w:t>
                  </w:r>
                </w:p>
              </w:tc>
              <w:tc>
                <w:tcPr>
                  <w:tcW w:w="1306" w:type="pct"/>
                  <w:vAlign w:val="center"/>
                </w:tcPr>
                <w:p>
                  <w:pPr>
                    <w:pStyle w:val="8"/>
                    <w:spacing w:after="0" w:line="280" w:lineRule="exact"/>
                    <w:ind w:left="0" w:leftChars="0"/>
                    <w:jc w:val="center"/>
                    <w:rPr>
                      <w:color w:val="auto"/>
                      <w:sz w:val="18"/>
                      <w:szCs w:val="18"/>
                    </w:rPr>
                  </w:pPr>
                  <w:r>
                    <w:rPr>
                      <w:color w:val="auto"/>
                      <w:sz w:val="18"/>
                      <w:szCs w:val="18"/>
                    </w:rPr>
                    <w:t>392.33</w:t>
                  </w:r>
                </w:p>
              </w:tc>
              <w:tc>
                <w:tcPr>
                  <w:tcW w:w="923" w:type="pct"/>
                  <w:vAlign w:val="center"/>
                </w:tcPr>
                <w:p>
                  <w:pPr>
                    <w:pStyle w:val="8"/>
                    <w:spacing w:after="0" w:line="280" w:lineRule="exact"/>
                    <w:ind w:left="0" w:leftChars="0"/>
                    <w:jc w:val="center"/>
                    <w:rPr>
                      <w:color w:val="auto"/>
                      <w:sz w:val="18"/>
                      <w:szCs w:val="18"/>
                    </w:rPr>
                  </w:pPr>
                  <w:r>
                    <w:rPr>
                      <w:rFonts w:hint="eastAsia"/>
                      <w:color w:val="auto"/>
                      <w:sz w:val="18"/>
                      <w:szCs w:val="18"/>
                    </w:rPr>
                    <w:t>1.57年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备采矿量</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万吨</w:t>
                  </w:r>
                </w:p>
              </w:tc>
              <w:tc>
                <w:tcPr>
                  <w:tcW w:w="1306" w:type="pct"/>
                  <w:vAlign w:val="center"/>
                </w:tcPr>
                <w:p>
                  <w:pPr>
                    <w:pStyle w:val="8"/>
                    <w:spacing w:after="0" w:line="280" w:lineRule="exact"/>
                    <w:ind w:left="0" w:leftChars="0"/>
                    <w:jc w:val="center"/>
                    <w:rPr>
                      <w:color w:val="auto"/>
                      <w:sz w:val="18"/>
                      <w:szCs w:val="18"/>
                    </w:rPr>
                  </w:pPr>
                  <w:r>
                    <w:rPr>
                      <w:color w:val="auto"/>
                      <w:sz w:val="18"/>
                      <w:szCs w:val="18"/>
                    </w:rPr>
                    <w:t>136.87</w:t>
                  </w:r>
                </w:p>
              </w:tc>
              <w:tc>
                <w:tcPr>
                  <w:tcW w:w="923" w:type="pct"/>
                  <w:vAlign w:val="center"/>
                </w:tcPr>
                <w:p>
                  <w:pPr>
                    <w:jc w:val="center"/>
                    <w:rPr>
                      <w:color w:val="auto"/>
                      <w:sz w:val="18"/>
                      <w:szCs w:val="18"/>
                    </w:rPr>
                  </w:pPr>
                  <w:r>
                    <w:rPr>
                      <w:rFonts w:hint="eastAsia"/>
                      <w:color w:val="auto"/>
                      <w:sz w:val="18"/>
                      <w:szCs w:val="18"/>
                    </w:rPr>
                    <w:t>5.5月</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13</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开采方式</w:t>
                  </w:r>
                </w:p>
              </w:tc>
              <w:tc>
                <w:tcPr>
                  <w:tcW w:w="603" w:type="pct"/>
                  <w:vAlign w:val="center"/>
                </w:tcPr>
                <w:p>
                  <w:pPr>
                    <w:pStyle w:val="8"/>
                    <w:spacing w:after="0" w:line="280" w:lineRule="exact"/>
                    <w:ind w:left="0" w:leftChars="0"/>
                    <w:jc w:val="center"/>
                    <w:rPr>
                      <w:color w:val="auto"/>
                      <w:sz w:val="18"/>
                      <w:szCs w:val="18"/>
                    </w:rPr>
                  </w:pP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山坡露天开采</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Merge w:val="restart"/>
                  <w:vAlign w:val="center"/>
                </w:tcPr>
                <w:p>
                  <w:pPr>
                    <w:pStyle w:val="8"/>
                    <w:spacing w:after="0" w:line="280" w:lineRule="exact"/>
                    <w:ind w:left="0" w:leftChars="0"/>
                    <w:jc w:val="center"/>
                    <w:rPr>
                      <w:color w:val="auto"/>
                      <w:sz w:val="18"/>
                      <w:szCs w:val="18"/>
                    </w:rPr>
                  </w:pPr>
                  <w:r>
                    <w:rPr>
                      <w:rFonts w:hint="eastAsia"/>
                      <w:color w:val="auto"/>
                      <w:sz w:val="18"/>
                      <w:szCs w:val="18"/>
                    </w:rPr>
                    <w:t>14</w:t>
                  </w:r>
                </w:p>
              </w:tc>
              <w:tc>
                <w:tcPr>
                  <w:tcW w:w="352" w:type="pct"/>
                  <w:vMerge w:val="restart"/>
                  <w:vAlign w:val="center"/>
                </w:tcPr>
                <w:p>
                  <w:pPr>
                    <w:pStyle w:val="8"/>
                    <w:spacing w:after="0" w:line="280" w:lineRule="exact"/>
                    <w:ind w:left="0" w:leftChars="0"/>
                    <w:jc w:val="center"/>
                    <w:rPr>
                      <w:color w:val="auto"/>
                      <w:sz w:val="18"/>
                      <w:szCs w:val="18"/>
                    </w:rPr>
                  </w:pPr>
                  <w:r>
                    <w:rPr>
                      <w:rFonts w:hint="eastAsia"/>
                      <w:color w:val="auto"/>
                      <w:sz w:val="18"/>
                      <w:szCs w:val="18"/>
                    </w:rPr>
                    <w:t>采场参数</w:t>
                  </w:r>
                </w:p>
              </w:tc>
              <w:tc>
                <w:tcPr>
                  <w:tcW w:w="434" w:type="pct"/>
                  <w:vMerge w:val="restart"/>
                  <w:vAlign w:val="center"/>
                </w:tcPr>
                <w:p>
                  <w:pPr>
                    <w:pStyle w:val="8"/>
                    <w:spacing w:after="0" w:line="280" w:lineRule="exact"/>
                    <w:ind w:left="0" w:leftChars="0"/>
                    <w:jc w:val="center"/>
                    <w:rPr>
                      <w:color w:val="auto"/>
                      <w:sz w:val="18"/>
                      <w:szCs w:val="18"/>
                    </w:rPr>
                  </w:pPr>
                  <w:r>
                    <w:rPr>
                      <w:rFonts w:hint="eastAsia"/>
                      <w:color w:val="auto"/>
                      <w:sz w:val="18"/>
                      <w:szCs w:val="18"/>
                    </w:rPr>
                    <w:t>开采境界</w:t>
                  </w:r>
                </w:p>
              </w:tc>
              <w:tc>
                <w:tcPr>
                  <w:tcW w:w="956" w:type="pct"/>
                  <w:vAlign w:val="center"/>
                </w:tcPr>
                <w:p>
                  <w:pPr>
                    <w:pStyle w:val="8"/>
                    <w:spacing w:after="0" w:line="280" w:lineRule="exact"/>
                    <w:ind w:left="0" w:leftChars="0"/>
                    <w:jc w:val="center"/>
                    <w:rPr>
                      <w:color w:val="auto"/>
                      <w:sz w:val="18"/>
                      <w:szCs w:val="18"/>
                    </w:rPr>
                  </w:pPr>
                  <w:r>
                    <w:rPr>
                      <w:rFonts w:hint="eastAsia"/>
                      <w:color w:val="auto"/>
                      <w:sz w:val="18"/>
                      <w:szCs w:val="18"/>
                    </w:rPr>
                    <w:t>上口尺寸</w:t>
                  </w:r>
                </w:p>
              </w:tc>
              <w:tc>
                <w:tcPr>
                  <w:tcW w:w="603" w:type="pct"/>
                  <w:vAlign w:val="center"/>
                </w:tcPr>
                <w:p>
                  <w:pPr>
                    <w:pStyle w:val="8"/>
                    <w:spacing w:after="0" w:line="280" w:lineRule="exact"/>
                    <w:ind w:left="0" w:leftChars="0"/>
                    <w:jc w:val="center"/>
                    <w:rPr>
                      <w:color w:val="auto"/>
                      <w:sz w:val="18"/>
                      <w:szCs w:val="18"/>
                    </w:rPr>
                  </w:pPr>
                  <w:r>
                    <w:rPr>
                      <w:color w:val="auto"/>
                      <w:sz w:val="18"/>
                      <w:szCs w:val="18"/>
                    </w:rPr>
                    <w:t>m</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800×（380～450）</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Merge w:val="continue"/>
                  <w:vAlign w:val="center"/>
                </w:tcPr>
                <w:p>
                  <w:pPr>
                    <w:pStyle w:val="8"/>
                    <w:spacing w:after="0" w:line="280" w:lineRule="exact"/>
                    <w:ind w:left="0" w:leftChars="0"/>
                    <w:jc w:val="center"/>
                    <w:rPr>
                      <w:color w:val="auto"/>
                      <w:sz w:val="18"/>
                      <w:szCs w:val="18"/>
                    </w:rPr>
                  </w:pPr>
                </w:p>
              </w:tc>
              <w:tc>
                <w:tcPr>
                  <w:tcW w:w="352" w:type="pct"/>
                  <w:vMerge w:val="continue"/>
                  <w:vAlign w:val="center"/>
                </w:tcPr>
                <w:p>
                  <w:pPr>
                    <w:pStyle w:val="8"/>
                    <w:spacing w:after="0" w:line="280" w:lineRule="exact"/>
                    <w:ind w:left="0" w:leftChars="0"/>
                    <w:jc w:val="center"/>
                    <w:rPr>
                      <w:color w:val="auto"/>
                      <w:sz w:val="18"/>
                      <w:szCs w:val="18"/>
                    </w:rPr>
                  </w:pPr>
                </w:p>
              </w:tc>
              <w:tc>
                <w:tcPr>
                  <w:tcW w:w="434" w:type="pct"/>
                  <w:vMerge w:val="continue"/>
                  <w:vAlign w:val="center"/>
                </w:tcPr>
                <w:p>
                  <w:pPr>
                    <w:pStyle w:val="8"/>
                    <w:spacing w:after="0" w:line="280" w:lineRule="exact"/>
                    <w:ind w:left="0" w:leftChars="0"/>
                    <w:jc w:val="center"/>
                    <w:rPr>
                      <w:color w:val="auto"/>
                      <w:sz w:val="18"/>
                      <w:szCs w:val="18"/>
                    </w:rPr>
                  </w:pPr>
                </w:p>
              </w:tc>
              <w:tc>
                <w:tcPr>
                  <w:tcW w:w="956" w:type="pct"/>
                  <w:vAlign w:val="center"/>
                </w:tcPr>
                <w:p>
                  <w:pPr>
                    <w:pStyle w:val="8"/>
                    <w:spacing w:after="0" w:line="280" w:lineRule="exact"/>
                    <w:ind w:left="0" w:leftChars="0"/>
                    <w:jc w:val="center"/>
                    <w:rPr>
                      <w:color w:val="auto"/>
                      <w:sz w:val="18"/>
                      <w:szCs w:val="18"/>
                    </w:rPr>
                  </w:pPr>
                  <w:r>
                    <w:rPr>
                      <w:rFonts w:hint="eastAsia"/>
                      <w:color w:val="auto"/>
                      <w:sz w:val="18"/>
                      <w:szCs w:val="18"/>
                    </w:rPr>
                    <w:t>下口尺寸</w:t>
                  </w:r>
                </w:p>
              </w:tc>
              <w:tc>
                <w:tcPr>
                  <w:tcW w:w="603" w:type="pct"/>
                  <w:vAlign w:val="center"/>
                </w:tcPr>
                <w:p>
                  <w:pPr>
                    <w:pStyle w:val="8"/>
                    <w:spacing w:after="0" w:line="280" w:lineRule="exact"/>
                    <w:ind w:left="0" w:leftChars="0"/>
                    <w:jc w:val="center"/>
                    <w:rPr>
                      <w:color w:val="auto"/>
                      <w:sz w:val="18"/>
                      <w:szCs w:val="18"/>
                    </w:rPr>
                  </w:pPr>
                  <w:r>
                    <w:rPr>
                      <w:rFonts w:hint="eastAsia"/>
                      <w:color w:val="auto"/>
                      <w:sz w:val="18"/>
                      <w:szCs w:val="18"/>
                    </w:rPr>
                    <w:t>m</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660×（253～332）</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Merge w:val="continue"/>
                  <w:vAlign w:val="center"/>
                </w:tcPr>
                <w:p>
                  <w:pPr>
                    <w:pStyle w:val="8"/>
                    <w:spacing w:after="0" w:line="280" w:lineRule="exact"/>
                    <w:ind w:left="0" w:leftChars="0"/>
                    <w:jc w:val="center"/>
                    <w:rPr>
                      <w:color w:val="auto"/>
                      <w:sz w:val="18"/>
                      <w:szCs w:val="18"/>
                    </w:rPr>
                  </w:pPr>
                </w:p>
              </w:tc>
              <w:tc>
                <w:tcPr>
                  <w:tcW w:w="352" w:type="pct"/>
                  <w:vMerge w:val="continue"/>
                  <w:vAlign w:val="center"/>
                </w:tcPr>
                <w:p>
                  <w:pPr>
                    <w:pStyle w:val="8"/>
                    <w:spacing w:after="0" w:line="280" w:lineRule="exact"/>
                    <w:ind w:left="0" w:leftChars="0"/>
                    <w:jc w:val="center"/>
                    <w:rPr>
                      <w:color w:val="auto"/>
                      <w:sz w:val="18"/>
                      <w:szCs w:val="18"/>
                    </w:rPr>
                  </w:pPr>
                </w:p>
              </w:tc>
              <w:tc>
                <w:tcPr>
                  <w:tcW w:w="1390" w:type="pct"/>
                  <w:gridSpan w:val="2"/>
                  <w:vAlign w:val="center"/>
                </w:tcPr>
                <w:p>
                  <w:pPr>
                    <w:pStyle w:val="8"/>
                    <w:spacing w:after="0" w:line="280" w:lineRule="exact"/>
                    <w:ind w:left="0" w:leftChars="0"/>
                    <w:jc w:val="center"/>
                    <w:rPr>
                      <w:color w:val="auto"/>
                      <w:sz w:val="18"/>
                      <w:szCs w:val="18"/>
                    </w:rPr>
                  </w:pPr>
                  <w:r>
                    <w:rPr>
                      <w:rFonts w:hint="eastAsia"/>
                      <w:color w:val="auto"/>
                      <w:sz w:val="18"/>
                      <w:szCs w:val="18"/>
                    </w:rPr>
                    <w:t>台阶高度</w:t>
                  </w:r>
                </w:p>
              </w:tc>
              <w:tc>
                <w:tcPr>
                  <w:tcW w:w="603" w:type="pct"/>
                </w:tcPr>
                <w:p>
                  <w:pPr>
                    <w:pStyle w:val="8"/>
                    <w:spacing w:after="0" w:line="280" w:lineRule="exact"/>
                    <w:ind w:left="0" w:leftChars="0"/>
                    <w:jc w:val="center"/>
                    <w:rPr>
                      <w:color w:val="auto"/>
                      <w:sz w:val="18"/>
                      <w:szCs w:val="18"/>
                    </w:rPr>
                  </w:pPr>
                  <w:r>
                    <w:rPr>
                      <w:rFonts w:hint="eastAsia"/>
                      <w:color w:val="auto"/>
                      <w:sz w:val="18"/>
                      <w:szCs w:val="18"/>
                    </w:rPr>
                    <w:t>m</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15</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Merge w:val="continue"/>
                  <w:vAlign w:val="center"/>
                </w:tcPr>
                <w:p>
                  <w:pPr>
                    <w:pStyle w:val="8"/>
                    <w:spacing w:after="0" w:line="280" w:lineRule="exact"/>
                    <w:ind w:left="0" w:leftChars="0"/>
                    <w:jc w:val="center"/>
                    <w:rPr>
                      <w:color w:val="auto"/>
                      <w:sz w:val="18"/>
                      <w:szCs w:val="18"/>
                    </w:rPr>
                  </w:pPr>
                </w:p>
              </w:tc>
              <w:tc>
                <w:tcPr>
                  <w:tcW w:w="352" w:type="pct"/>
                  <w:vMerge w:val="continue"/>
                  <w:vAlign w:val="center"/>
                </w:tcPr>
                <w:p>
                  <w:pPr>
                    <w:pStyle w:val="8"/>
                    <w:spacing w:after="0" w:line="280" w:lineRule="exact"/>
                    <w:ind w:left="0" w:leftChars="0"/>
                    <w:jc w:val="center"/>
                    <w:rPr>
                      <w:color w:val="auto"/>
                      <w:sz w:val="18"/>
                      <w:szCs w:val="18"/>
                    </w:rPr>
                  </w:pPr>
                </w:p>
              </w:tc>
              <w:tc>
                <w:tcPr>
                  <w:tcW w:w="1390" w:type="pct"/>
                  <w:gridSpan w:val="2"/>
                  <w:vAlign w:val="center"/>
                </w:tcPr>
                <w:p>
                  <w:pPr>
                    <w:pStyle w:val="8"/>
                    <w:spacing w:after="0" w:line="280" w:lineRule="exact"/>
                    <w:ind w:left="0" w:leftChars="0"/>
                    <w:jc w:val="center"/>
                    <w:rPr>
                      <w:color w:val="auto"/>
                      <w:sz w:val="18"/>
                      <w:szCs w:val="18"/>
                    </w:rPr>
                  </w:pPr>
                  <w:r>
                    <w:rPr>
                      <w:rFonts w:hint="eastAsia"/>
                      <w:color w:val="auto"/>
                      <w:sz w:val="18"/>
                      <w:szCs w:val="18"/>
                    </w:rPr>
                    <w:t>最高台阶标高</w:t>
                  </w:r>
                </w:p>
              </w:tc>
              <w:tc>
                <w:tcPr>
                  <w:tcW w:w="603" w:type="pct"/>
                </w:tcPr>
                <w:p>
                  <w:pPr>
                    <w:pStyle w:val="8"/>
                    <w:spacing w:after="0" w:line="280" w:lineRule="exact"/>
                    <w:ind w:left="0" w:leftChars="0"/>
                    <w:jc w:val="center"/>
                    <w:rPr>
                      <w:color w:val="auto"/>
                      <w:sz w:val="18"/>
                      <w:szCs w:val="18"/>
                    </w:rPr>
                  </w:pPr>
                  <w:r>
                    <w:rPr>
                      <w:rFonts w:hint="eastAsia"/>
                      <w:color w:val="auto"/>
                      <w:sz w:val="18"/>
                      <w:szCs w:val="18"/>
                    </w:rPr>
                    <w:t>m</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+1350</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Merge w:val="continue"/>
                  <w:vAlign w:val="center"/>
                </w:tcPr>
                <w:p>
                  <w:pPr>
                    <w:pStyle w:val="8"/>
                    <w:spacing w:after="0" w:line="280" w:lineRule="exact"/>
                    <w:ind w:left="0" w:leftChars="0"/>
                    <w:jc w:val="center"/>
                    <w:rPr>
                      <w:color w:val="auto"/>
                      <w:sz w:val="18"/>
                      <w:szCs w:val="18"/>
                    </w:rPr>
                  </w:pPr>
                </w:p>
              </w:tc>
              <w:tc>
                <w:tcPr>
                  <w:tcW w:w="352" w:type="pct"/>
                  <w:vMerge w:val="continue"/>
                  <w:vAlign w:val="center"/>
                </w:tcPr>
                <w:p>
                  <w:pPr>
                    <w:pStyle w:val="8"/>
                    <w:spacing w:after="0" w:line="280" w:lineRule="exact"/>
                    <w:ind w:left="0" w:leftChars="0"/>
                    <w:jc w:val="center"/>
                    <w:rPr>
                      <w:color w:val="auto"/>
                      <w:sz w:val="18"/>
                      <w:szCs w:val="18"/>
                    </w:rPr>
                  </w:pPr>
                </w:p>
              </w:tc>
              <w:tc>
                <w:tcPr>
                  <w:tcW w:w="1390" w:type="pct"/>
                  <w:gridSpan w:val="2"/>
                  <w:vAlign w:val="center"/>
                </w:tcPr>
                <w:p>
                  <w:pPr>
                    <w:pStyle w:val="8"/>
                    <w:spacing w:after="0" w:line="280" w:lineRule="exact"/>
                    <w:ind w:left="0" w:leftChars="0"/>
                    <w:jc w:val="center"/>
                    <w:rPr>
                      <w:color w:val="auto"/>
                      <w:sz w:val="18"/>
                      <w:szCs w:val="18"/>
                    </w:rPr>
                  </w:pPr>
                  <w:r>
                    <w:rPr>
                      <w:rFonts w:hint="eastAsia"/>
                      <w:color w:val="auto"/>
                      <w:sz w:val="18"/>
                      <w:szCs w:val="18"/>
                    </w:rPr>
                    <w:t>最低台阶标高</w:t>
                  </w:r>
                </w:p>
              </w:tc>
              <w:tc>
                <w:tcPr>
                  <w:tcW w:w="603" w:type="pct"/>
                </w:tcPr>
                <w:p>
                  <w:pPr>
                    <w:pStyle w:val="8"/>
                    <w:spacing w:after="0" w:line="280" w:lineRule="exact"/>
                    <w:ind w:left="0" w:leftChars="0"/>
                    <w:jc w:val="center"/>
                    <w:rPr>
                      <w:color w:val="auto"/>
                      <w:sz w:val="18"/>
                      <w:szCs w:val="18"/>
                    </w:rPr>
                  </w:pPr>
                  <w:r>
                    <w:rPr>
                      <w:rFonts w:hint="eastAsia"/>
                      <w:color w:val="auto"/>
                      <w:sz w:val="18"/>
                      <w:szCs w:val="18"/>
                    </w:rPr>
                    <w:t>m</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+1170</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Merge w:val="continue"/>
                  <w:vAlign w:val="center"/>
                </w:tcPr>
                <w:p>
                  <w:pPr>
                    <w:pStyle w:val="8"/>
                    <w:spacing w:after="0" w:line="280" w:lineRule="exact"/>
                    <w:ind w:left="0" w:leftChars="0"/>
                    <w:jc w:val="center"/>
                    <w:rPr>
                      <w:color w:val="auto"/>
                      <w:sz w:val="18"/>
                      <w:szCs w:val="18"/>
                    </w:rPr>
                  </w:pPr>
                </w:p>
              </w:tc>
              <w:tc>
                <w:tcPr>
                  <w:tcW w:w="352" w:type="pct"/>
                  <w:vMerge w:val="continue"/>
                  <w:vAlign w:val="center"/>
                </w:tcPr>
                <w:p>
                  <w:pPr>
                    <w:pStyle w:val="8"/>
                    <w:spacing w:after="0" w:line="280" w:lineRule="exact"/>
                    <w:ind w:left="0" w:leftChars="0"/>
                    <w:jc w:val="center"/>
                    <w:rPr>
                      <w:color w:val="auto"/>
                      <w:sz w:val="18"/>
                      <w:szCs w:val="18"/>
                    </w:rPr>
                  </w:pPr>
                </w:p>
              </w:tc>
              <w:tc>
                <w:tcPr>
                  <w:tcW w:w="1390" w:type="pct"/>
                  <w:gridSpan w:val="2"/>
                  <w:vAlign w:val="center"/>
                </w:tcPr>
                <w:p>
                  <w:pPr>
                    <w:pStyle w:val="8"/>
                    <w:spacing w:after="0" w:line="280" w:lineRule="exact"/>
                    <w:ind w:left="0" w:leftChars="0"/>
                    <w:jc w:val="center"/>
                    <w:rPr>
                      <w:color w:val="auto"/>
                      <w:sz w:val="18"/>
                      <w:szCs w:val="18"/>
                    </w:rPr>
                  </w:pPr>
                  <w:r>
                    <w:rPr>
                      <w:rFonts w:hint="eastAsia"/>
                      <w:color w:val="auto"/>
                      <w:sz w:val="18"/>
                      <w:szCs w:val="18"/>
                    </w:rPr>
                    <w:t>最大台阶数级</w:t>
                  </w:r>
                </w:p>
              </w:tc>
              <w:tc>
                <w:tcPr>
                  <w:tcW w:w="603" w:type="pct"/>
                  <w:vAlign w:val="center"/>
                </w:tcPr>
                <w:p>
                  <w:pPr>
                    <w:pStyle w:val="8"/>
                    <w:spacing w:after="0" w:line="280" w:lineRule="exact"/>
                    <w:ind w:left="0" w:leftChars="0"/>
                    <w:jc w:val="center"/>
                    <w:rPr>
                      <w:color w:val="auto"/>
                      <w:sz w:val="18"/>
                      <w:szCs w:val="18"/>
                    </w:rPr>
                  </w:pPr>
                  <w:r>
                    <w:rPr>
                      <w:rFonts w:hint="eastAsia"/>
                      <w:color w:val="auto"/>
                      <w:sz w:val="18"/>
                      <w:szCs w:val="18"/>
                    </w:rPr>
                    <w:t>个</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13</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Merge w:val="continue"/>
                  <w:vAlign w:val="center"/>
                </w:tcPr>
                <w:p>
                  <w:pPr>
                    <w:pStyle w:val="8"/>
                    <w:spacing w:after="0" w:line="280" w:lineRule="exact"/>
                    <w:ind w:left="0" w:leftChars="0"/>
                    <w:jc w:val="center"/>
                    <w:rPr>
                      <w:color w:val="auto"/>
                      <w:sz w:val="18"/>
                      <w:szCs w:val="18"/>
                    </w:rPr>
                  </w:pPr>
                </w:p>
              </w:tc>
              <w:tc>
                <w:tcPr>
                  <w:tcW w:w="352" w:type="pct"/>
                  <w:vMerge w:val="continue"/>
                  <w:vAlign w:val="center"/>
                </w:tcPr>
                <w:p>
                  <w:pPr>
                    <w:pStyle w:val="8"/>
                    <w:spacing w:after="0" w:line="280" w:lineRule="exact"/>
                    <w:ind w:left="0" w:leftChars="0"/>
                    <w:jc w:val="center"/>
                    <w:rPr>
                      <w:color w:val="auto"/>
                      <w:sz w:val="18"/>
                      <w:szCs w:val="18"/>
                    </w:rPr>
                  </w:pPr>
                </w:p>
              </w:tc>
              <w:tc>
                <w:tcPr>
                  <w:tcW w:w="1390" w:type="pct"/>
                  <w:gridSpan w:val="2"/>
                  <w:vAlign w:val="center"/>
                </w:tcPr>
                <w:p>
                  <w:pPr>
                    <w:pStyle w:val="8"/>
                    <w:spacing w:after="0" w:line="280" w:lineRule="exact"/>
                    <w:ind w:left="0" w:leftChars="0"/>
                    <w:jc w:val="center"/>
                    <w:rPr>
                      <w:color w:val="auto"/>
                      <w:sz w:val="18"/>
                      <w:szCs w:val="18"/>
                    </w:rPr>
                  </w:pPr>
                  <w:r>
                    <w:rPr>
                      <w:rFonts w:hint="eastAsia"/>
                      <w:color w:val="auto"/>
                      <w:sz w:val="18"/>
                      <w:szCs w:val="18"/>
                    </w:rPr>
                    <w:t>安全平台宽度</w:t>
                  </w:r>
                </w:p>
              </w:tc>
              <w:tc>
                <w:tcPr>
                  <w:tcW w:w="603" w:type="pct"/>
                </w:tcPr>
                <w:p>
                  <w:pPr>
                    <w:pStyle w:val="8"/>
                    <w:spacing w:after="0" w:line="280" w:lineRule="exact"/>
                    <w:ind w:left="0" w:leftChars="0"/>
                    <w:jc w:val="center"/>
                    <w:rPr>
                      <w:color w:val="auto"/>
                      <w:sz w:val="18"/>
                      <w:szCs w:val="18"/>
                    </w:rPr>
                  </w:pPr>
                  <w:r>
                    <w:rPr>
                      <w:rFonts w:hint="eastAsia"/>
                      <w:color w:val="auto"/>
                      <w:sz w:val="18"/>
                      <w:szCs w:val="18"/>
                    </w:rPr>
                    <w:t>m</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5</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Merge w:val="continue"/>
                  <w:vAlign w:val="center"/>
                </w:tcPr>
                <w:p>
                  <w:pPr>
                    <w:pStyle w:val="8"/>
                    <w:spacing w:after="0" w:line="280" w:lineRule="exact"/>
                    <w:ind w:left="0" w:leftChars="0"/>
                    <w:jc w:val="center"/>
                    <w:rPr>
                      <w:color w:val="auto"/>
                      <w:sz w:val="18"/>
                      <w:szCs w:val="18"/>
                    </w:rPr>
                  </w:pPr>
                </w:p>
              </w:tc>
              <w:tc>
                <w:tcPr>
                  <w:tcW w:w="352" w:type="pct"/>
                  <w:vMerge w:val="continue"/>
                  <w:vAlign w:val="center"/>
                </w:tcPr>
                <w:p>
                  <w:pPr>
                    <w:pStyle w:val="8"/>
                    <w:spacing w:after="0" w:line="280" w:lineRule="exact"/>
                    <w:ind w:left="0" w:leftChars="0"/>
                    <w:jc w:val="center"/>
                    <w:rPr>
                      <w:color w:val="auto"/>
                      <w:sz w:val="18"/>
                      <w:szCs w:val="18"/>
                    </w:rPr>
                  </w:pPr>
                </w:p>
              </w:tc>
              <w:tc>
                <w:tcPr>
                  <w:tcW w:w="1390" w:type="pct"/>
                  <w:gridSpan w:val="2"/>
                  <w:vAlign w:val="center"/>
                </w:tcPr>
                <w:p>
                  <w:pPr>
                    <w:pStyle w:val="8"/>
                    <w:spacing w:after="0" w:line="280" w:lineRule="exact"/>
                    <w:ind w:left="0" w:leftChars="0"/>
                    <w:jc w:val="center"/>
                    <w:rPr>
                      <w:color w:val="auto"/>
                      <w:sz w:val="18"/>
                      <w:szCs w:val="18"/>
                    </w:rPr>
                  </w:pPr>
                  <w:r>
                    <w:rPr>
                      <w:rFonts w:hint="eastAsia"/>
                      <w:color w:val="auto"/>
                      <w:sz w:val="18"/>
                      <w:szCs w:val="18"/>
                    </w:rPr>
                    <w:t>清扫平台宽度</w:t>
                  </w:r>
                </w:p>
              </w:tc>
              <w:tc>
                <w:tcPr>
                  <w:tcW w:w="603" w:type="pct"/>
                </w:tcPr>
                <w:p>
                  <w:pPr>
                    <w:pStyle w:val="8"/>
                    <w:spacing w:after="0" w:line="280" w:lineRule="exact"/>
                    <w:ind w:left="0" w:leftChars="0"/>
                    <w:jc w:val="center"/>
                    <w:rPr>
                      <w:color w:val="auto"/>
                      <w:sz w:val="18"/>
                      <w:szCs w:val="18"/>
                    </w:rPr>
                  </w:pPr>
                  <w:r>
                    <w:rPr>
                      <w:rFonts w:hint="eastAsia"/>
                      <w:color w:val="auto"/>
                      <w:sz w:val="18"/>
                      <w:szCs w:val="18"/>
                    </w:rPr>
                    <w:t>m</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12</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Merge w:val="continue"/>
                  <w:vAlign w:val="center"/>
                </w:tcPr>
                <w:p>
                  <w:pPr>
                    <w:pStyle w:val="8"/>
                    <w:spacing w:after="0" w:line="280" w:lineRule="exact"/>
                    <w:ind w:left="0" w:leftChars="0"/>
                    <w:jc w:val="center"/>
                    <w:rPr>
                      <w:color w:val="auto"/>
                      <w:sz w:val="18"/>
                      <w:szCs w:val="18"/>
                    </w:rPr>
                  </w:pPr>
                </w:p>
              </w:tc>
              <w:tc>
                <w:tcPr>
                  <w:tcW w:w="352" w:type="pct"/>
                  <w:vMerge w:val="continue"/>
                  <w:vAlign w:val="center"/>
                </w:tcPr>
                <w:p>
                  <w:pPr>
                    <w:pStyle w:val="8"/>
                    <w:spacing w:after="0" w:line="280" w:lineRule="exact"/>
                    <w:ind w:left="0" w:leftChars="0"/>
                    <w:jc w:val="center"/>
                    <w:rPr>
                      <w:color w:val="auto"/>
                      <w:sz w:val="18"/>
                      <w:szCs w:val="18"/>
                    </w:rPr>
                  </w:pPr>
                </w:p>
              </w:tc>
              <w:tc>
                <w:tcPr>
                  <w:tcW w:w="1390" w:type="pct"/>
                  <w:gridSpan w:val="2"/>
                  <w:vAlign w:val="center"/>
                </w:tcPr>
                <w:p>
                  <w:pPr>
                    <w:pStyle w:val="8"/>
                    <w:spacing w:after="0" w:line="280" w:lineRule="exact"/>
                    <w:ind w:left="0" w:leftChars="0"/>
                    <w:jc w:val="center"/>
                    <w:rPr>
                      <w:color w:val="auto"/>
                      <w:sz w:val="18"/>
                      <w:szCs w:val="18"/>
                    </w:rPr>
                  </w:pPr>
                  <w:r>
                    <w:rPr>
                      <w:rFonts w:hint="eastAsia"/>
                      <w:color w:val="auto"/>
                      <w:sz w:val="18"/>
                      <w:szCs w:val="18"/>
                    </w:rPr>
                    <w:t>工作台阶坡面角</w:t>
                  </w:r>
                </w:p>
              </w:tc>
              <w:tc>
                <w:tcPr>
                  <w:tcW w:w="603" w:type="pct"/>
                  <w:vAlign w:val="center"/>
                </w:tcPr>
                <w:p>
                  <w:pPr>
                    <w:pStyle w:val="8"/>
                    <w:spacing w:after="0" w:line="280" w:lineRule="exact"/>
                    <w:ind w:left="0" w:leftChars="0"/>
                    <w:jc w:val="center"/>
                    <w:rPr>
                      <w:color w:val="auto"/>
                      <w:sz w:val="18"/>
                      <w:szCs w:val="18"/>
                    </w:rPr>
                  </w:pPr>
                  <w:r>
                    <w:rPr>
                      <w:rFonts w:hint="eastAsia"/>
                      <w:color w:val="auto"/>
                      <w:sz w:val="18"/>
                      <w:szCs w:val="18"/>
                    </w:rPr>
                    <w:t>（°）</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75</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Merge w:val="continue"/>
                  <w:vAlign w:val="center"/>
                </w:tcPr>
                <w:p>
                  <w:pPr>
                    <w:pStyle w:val="8"/>
                    <w:spacing w:after="0" w:line="280" w:lineRule="exact"/>
                    <w:ind w:left="0" w:leftChars="0"/>
                    <w:jc w:val="center"/>
                    <w:rPr>
                      <w:color w:val="auto"/>
                      <w:sz w:val="18"/>
                      <w:szCs w:val="18"/>
                    </w:rPr>
                  </w:pPr>
                </w:p>
              </w:tc>
              <w:tc>
                <w:tcPr>
                  <w:tcW w:w="352" w:type="pct"/>
                  <w:vMerge w:val="continue"/>
                  <w:vAlign w:val="center"/>
                </w:tcPr>
                <w:p>
                  <w:pPr>
                    <w:pStyle w:val="8"/>
                    <w:spacing w:after="0" w:line="280" w:lineRule="exact"/>
                    <w:ind w:left="0" w:leftChars="0"/>
                    <w:jc w:val="center"/>
                    <w:rPr>
                      <w:color w:val="auto"/>
                      <w:sz w:val="18"/>
                      <w:szCs w:val="18"/>
                    </w:rPr>
                  </w:pPr>
                </w:p>
              </w:tc>
              <w:tc>
                <w:tcPr>
                  <w:tcW w:w="1390" w:type="pct"/>
                  <w:gridSpan w:val="2"/>
                  <w:vMerge w:val="restart"/>
                  <w:vAlign w:val="center"/>
                </w:tcPr>
                <w:p>
                  <w:pPr>
                    <w:pStyle w:val="8"/>
                    <w:spacing w:after="0" w:line="280" w:lineRule="exact"/>
                    <w:ind w:left="0" w:leftChars="0"/>
                    <w:jc w:val="center"/>
                    <w:rPr>
                      <w:color w:val="auto"/>
                      <w:sz w:val="18"/>
                      <w:szCs w:val="18"/>
                    </w:rPr>
                  </w:pPr>
                  <w:r>
                    <w:rPr>
                      <w:rFonts w:hint="eastAsia"/>
                      <w:color w:val="auto"/>
                      <w:sz w:val="18"/>
                      <w:szCs w:val="18"/>
                    </w:rPr>
                    <w:t>最终台阶坡面角</w:t>
                  </w:r>
                </w:p>
              </w:tc>
              <w:tc>
                <w:tcPr>
                  <w:tcW w:w="603" w:type="pct"/>
                  <w:vMerge w:val="restart"/>
                  <w:vAlign w:val="center"/>
                </w:tcPr>
                <w:p>
                  <w:pPr>
                    <w:pStyle w:val="8"/>
                    <w:spacing w:after="0" w:line="280" w:lineRule="exact"/>
                    <w:ind w:left="0" w:leftChars="0"/>
                    <w:jc w:val="center"/>
                    <w:rPr>
                      <w:color w:val="auto"/>
                      <w:sz w:val="18"/>
                      <w:szCs w:val="18"/>
                    </w:rPr>
                  </w:pPr>
                  <w:r>
                    <w:rPr>
                      <w:rFonts w:hint="eastAsia"/>
                      <w:color w:val="auto"/>
                      <w:sz w:val="18"/>
                      <w:szCs w:val="18"/>
                    </w:rPr>
                    <w:t>（°）</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65</w:t>
                  </w:r>
                </w:p>
              </w:tc>
              <w:tc>
                <w:tcPr>
                  <w:tcW w:w="923" w:type="pct"/>
                  <w:vAlign w:val="center"/>
                </w:tcPr>
                <w:p>
                  <w:pPr>
                    <w:pStyle w:val="8"/>
                    <w:spacing w:line="280" w:lineRule="exact"/>
                    <w:ind w:left="0" w:leftChars="0"/>
                    <w:jc w:val="center"/>
                    <w:rPr>
                      <w:color w:val="auto"/>
                      <w:sz w:val="18"/>
                      <w:szCs w:val="18"/>
                    </w:rPr>
                  </w:pPr>
                  <w:r>
                    <w:rPr>
                      <w:rFonts w:hint="eastAsia"/>
                      <w:color w:val="auto"/>
                      <w:sz w:val="18"/>
                      <w:szCs w:val="18"/>
                    </w:rPr>
                    <w:t>西北及东南侧边坡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Merge w:val="continue"/>
                  <w:vAlign w:val="center"/>
                </w:tcPr>
                <w:p>
                  <w:pPr>
                    <w:pStyle w:val="8"/>
                    <w:spacing w:after="0" w:line="280" w:lineRule="exact"/>
                    <w:ind w:left="0" w:leftChars="0"/>
                    <w:jc w:val="center"/>
                    <w:rPr>
                      <w:color w:val="auto"/>
                      <w:sz w:val="18"/>
                      <w:szCs w:val="18"/>
                    </w:rPr>
                  </w:pPr>
                </w:p>
              </w:tc>
              <w:tc>
                <w:tcPr>
                  <w:tcW w:w="352" w:type="pct"/>
                  <w:vMerge w:val="continue"/>
                  <w:vAlign w:val="center"/>
                </w:tcPr>
                <w:p>
                  <w:pPr>
                    <w:pStyle w:val="8"/>
                    <w:spacing w:after="0" w:line="280" w:lineRule="exact"/>
                    <w:ind w:left="0" w:leftChars="0"/>
                    <w:jc w:val="center"/>
                    <w:rPr>
                      <w:color w:val="auto"/>
                      <w:sz w:val="18"/>
                      <w:szCs w:val="18"/>
                    </w:rPr>
                  </w:pPr>
                </w:p>
              </w:tc>
              <w:tc>
                <w:tcPr>
                  <w:tcW w:w="1390" w:type="pct"/>
                  <w:gridSpan w:val="2"/>
                  <w:vMerge w:val="continue"/>
                  <w:vAlign w:val="center"/>
                </w:tcPr>
                <w:p>
                  <w:pPr>
                    <w:pStyle w:val="8"/>
                    <w:spacing w:after="0" w:line="280" w:lineRule="exact"/>
                    <w:ind w:left="0" w:leftChars="0"/>
                    <w:jc w:val="center"/>
                    <w:rPr>
                      <w:color w:val="auto"/>
                      <w:sz w:val="18"/>
                      <w:szCs w:val="18"/>
                    </w:rPr>
                  </w:pPr>
                </w:p>
              </w:tc>
              <w:tc>
                <w:tcPr>
                  <w:tcW w:w="603" w:type="pct"/>
                  <w:vMerge w:val="continue"/>
                  <w:vAlign w:val="center"/>
                </w:tcPr>
                <w:p>
                  <w:pPr>
                    <w:pStyle w:val="8"/>
                    <w:spacing w:after="0" w:line="280" w:lineRule="exact"/>
                    <w:ind w:left="0" w:leftChars="0"/>
                    <w:jc w:val="center"/>
                    <w:rPr>
                      <w:color w:val="auto"/>
                      <w:sz w:val="18"/>
                      <w:szCs w:val="18"/>
                    </w:rPr>
                  </w:pP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55</w:t>
                  </w:r>
                </w:p>
              </w:tc>
              <w:tc>
                <w:tcPr>
                  <w:tcW w:w="923" w:type="pct"/>
                  <w:vAlign w:val="center"/>
                </w:tcPr>
                <w:p>
                  <w:pPr>
                    <w:pStyle w:val="8"/>
                    <w:spacing w:after="0" w:line="280" w:lineRule="exact"/>
                    <w:ind w:left="0" w:leftChars="0"/>
                    <w:jc w:val="center"/>
                    <w:rPr>
                      <w:color w:val="auto"/>
                      <w:sz w:val="18"/>
                      <w:szCs w:val="18"/>
                    </w:rPr>
                  </w:pPr>
                  <w:r>
                    <w:rPr>
                      <w:rFonts w:hint="eastAsia"/>
                      <w:color w:val="auto"/>
                      <w:sz w:val="18"/>
                      <w:szCs w:val="18"/>
                    </w:rPr>
                    <w:t>西南侧边坡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Merge w:val="continue"/>
                  <w:vAlign w:val="center"/>
                </w:tcPr>
                <w:p>
                  <w:pPr>
                    <w:pStyle w:val="8"/>
                    <w:spacing w:after="0" w:line="280" w:lineRule="exact"/>
                    <w:ind w:left="0" w:leftChars="0"/>
                    <w:jc w:val="center"/>
                    <w:rPr>
                      <w:color w:val="auto"/>
                      <w:sz w:val="18"/>
                      <w:szCs w:val="18"/>
                    </w:rPr>
                  </w:pPr>
                </w:p>
              </w:tc>
              <w:tc>
                <w:tcPr>
                  <w:tcW w:w="352" w:type="pct"/>
                  <w:vMerge w:val="continue"/>
                  <w:vAlign w:val="center"/>
                </w:tcPr>
                <w:p>
                  <w:pPr>
                    <w:pStyle w:val="8"/>
                    <w:spacing w:after="0" w:line="280" w:lineRule="exact"/>
                    <w:ind w:left="0" w:leftChars="0"/>
                    <w:jc w:val="center"/>
                    <w:rPr>
                      <w:color w:val="auto"/>
                      <w:sz w:val="18"/>
                      <w:szCs w:val="18"/>
                    </w:rPr>
                  </w:pPr>
                </w:p>
              </w:tc>
              <w:tc>
                <w:tcPr>
                  <w:tcW w:w="1390" w:type="pct"/>
                  <w:gridSpan w:val="2"/>
                  <w:vMerge w:val="continue"/>
                  <w:vAlign w:val="center"/>
                </w:tcPr>
                <w:p>
                  <w:pPr>
                    <w:pStyle w:val="8"/>
                    <w:spacing w:after="0" w:line="280" w:lineRule="exact"/>
                    <w:ind w:left="0" w:leftChars="0"/>
                    <w:jc w:val="center"/>
                    <w:rPr>
                      <w:color w:val="auto"/>
                      <w:sz w:val="18"/>
                      <w:szCs w:val="18"/>
                    </w:rPr>
                  </w:pPr>
                </w:p>
              </w:tc>
              <w:tc>
                <w:tcPr>
                  <w:tcW w:w="603" w:type="pct"/>
                  <w:vMerge w:val="continue"/>
                  <w:vAlign w:val="center"/>
                </w:tcPr>
                <w:p>
                  <w:pPr>
                    <w:pStyle w:val="8"/>
                    <w:spacing w:after="0" w:line="280" w:lineRule="exact"/>
                    <w:ind w:left="0" w:leftChars="0"/>
                    <w:jc w:val="center"/>
                    <w:rPr>
                      <w:color w:val="auto"/>
                      <w:sz w:val="18"/>
                      <w:szCs w:val="18"/>
                    </w:rPr>
                  </w:pP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45</w:t>
                  </w:r>
                </w:p>
              </w:tc>
              <w:tc>
                <w:tcPr>
                  <w:tcW w:w="923" w:type="pct"/>
                  <w:vAlign w:val="center"/>
                </w:tcPr>
                <w:p>
                  <w:pPr>
                    <w:pStyle w:val="8"/>
                    <w:spacing w:after="0" w:line="280" w:lineRule="exact"/>
                    <w:ind w:left="0" w:leftChars="0"/>
                    <w:jc w:val="center"/>
                    <w:rPr>
                      <w:color w:val="auto"/>
                      <w:sz w:val="18"/>
                      <w:szCs w:val="18"/>
                    </w:rPr>
                  </w:pPr>
                  <w:r>
                    <w:rPr>
                      <w:rFonts w:hint="eastAsia"/>
                      <w:color w:val="auto"/>
                      <w:sz w:val="18"/>
                      <w:szCs w:val="18"/>
                    </w:rPr>
                    <w:t>表土及风化层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Merge w:val="continue"/>
                  <w:vAlign w:val="center"/>
                </w:tcPr>
                <w:p>
                  <w:pPr>
                    <w:pStyle w:val="8"/>
                    <w:spacing w:after="0" w:line="280" w:lineRule="exact"/>
                    <w:ind w:left="0" w:leftChars="0"/>
                    <w:jc w:val="center"/>
                    <w:rPr>
                      <w:color w:val="auto"/>
                      <w:sz w:val="18"/>
                      <w:szCs w:val="18"/>
                    </w:rPr>
                  </w:pPr>
                </w:p>
              </w:tc>
              <w:tc>
                <w:tcPr>
                  <w:tcW w:w="352" w:type="pct"/>
                  <w:vMerge w:val="continue"/>
                  <w:vAlign w:val="center"/>
                </w:tcPr>
                <w:p>
                  <w:pPr>
                    <w:pStyle w:val="8"/>
                    <w:spacing w:after="0" w:line="280" w:lineRule="exact"/>
                    <w:ind w:left="0" w:leftChars="0"/>
                    <w:jc w:val="center"/>
                    <w:rPr>
                      <w:color w:val="auto"/>
                      <w:sz w:val="18"/>
                      <w:szCs w:val="18"/>
                    </w:rPr>
                  </w:pPr>
                </w:p>
              </w:tc>
              <w:tc>
                <w:tcPr>
                  <w:tcW w:w="1390" w:type="pct"/>
                  <w:gridSpan w:val="2"/>
                  <w:vAlign w:val="center"/>
                </w:tcPr>
                <w:p>
                  <w:pPr>
                    <w:pStyle w:val="8"/>
                    <w:spacing w:after="0" w:line="280" w:lineRule="exact"/>
                    <w:ind w:left="0" w:leftChars="0"/>
                    <w:jc w:val="center"/>
                    <w:rPr>
                      <w:color w:val="auto"/>
                      <w:sz w:val="18"/>
                      <w:szCs w:val="18"/>
                    </w:rPr>
                  </w:pPr>
                  <w:r>
                    <w:rPr>
                      <w:rFonts w:hint="eastAsia"/>
                      <w:color w:val="auto"/>
                      <w:sz w:val="18"/>
                      <w:szCs w:val="18"/>
                    </w:rPr>
                    <w:t>最终边坡角</w:t>
                  </w:r>
                </w:p>
              </w:tc>
              <w:tc>
                <w:tcPr>
                  <w:tcW w:w="603" w:type="pct"/>
                  <w:vAlign w:val="center"/>
                </w:tcPr>
                <w:p>
                  <w:pPr>
                    <w:pStyle w:val="8"/>
                    <w:spacing w:after="0" w:line="280" w:lineRule="exact"/>
                    <w:ind w:left="0" w:leftChars="0"/>
                    <w:jc w:val="center"/>
                    <w:rPr>
                      <w:color w:val="auto"/>
                      <w:sz w:val="18"/>
                      <w:szCs w:val="18"/>
                    </w:rPr>
                  </w:pPr>
                  <w:r>
                    <w:rPr>
                      <w:rFonts w:hint="eastAsia"/>
                      <w:color w:val="auto"/>
                      <w:sz w:val="18"/>
                      <w:szCs w:val="18"/>
                    </w:rPr>
                    <w:t>（°）</w:t>
                  </w:r>
                </w:p>
              </w:tc>
              <w:tc>
                <w:tcPr>
                  <w:tcW w:w="1306" w:type="pct"/>
                  <w:vAlign w:val="center"/>
                </w:tcPr>
                <w:p>
                  <w:pPr>
                    <w:jc w:val="center"/>
                    <w:rPr>
                      <w:color w:val="auto"/>
                      <w:sz w:val="18"/>
                      <w:szCs w:val="18"/>
                    </w:rPr>
                  </w:pPr>
                  <w:r>
                    <w:rPr>
                      <w:rFonts w:hint="eastAsia"/>
                      <w:color w:val="auto"/>
                      <w:sz w:val="18"/>
                      <w:szCs w:val="18"/>
                    </w:rPr>
                    <w:t>≤48</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15</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爆破安全警戒线</w:t>
                  </w:r>
                </w:p>
              </w:tc>
              <w:tc>
                <w:tcPr>
                  <w:tcW w:w="603" w:type="pct"/>
                  <w:vAlign w:val="center"/>
                </w:tcPr>
                <w:p>
                  <w:pPr>
                    <w:pStyle w:val="8"/>
                    <w:spacing w:after="0" w:line="280" w:lineRule="exact"/>
                    <w:ind w:left="0" w:leftChars="0"/>
                    <w:jc w:val="center"/>
                    <w:rPr>
                      <w:color w:val="auto"/>
                      <w:sz w:val="18"/>
                      <w:szCs w:val="18"/>
                    </w:rPr>
                  </w:pPr>
                  <w:r>
                    <w:rPr>
                      <w:rFonts w:hint="eastAsia"/>
                      <w:color w:val="auto"/>
                      <w:sz w:val="18"/>
                      <w:szCs w:val="18"/>
                    </w:rPr>
                    <w:t>m</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上坡 200m，下坡 300m</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16</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同时工作台阶数</w:t>
                  </w:r>
                </w:p>
              </w:tc>
              <w:tc>
                <w:tcPr>
                  <w:tcW w:w="603" w:type="pct"/>
                  <w:vAlign w:val="center"/>
                </w:tcPr>
                <w:p>
                  <w:pPr>
                    <w:pStyle w:val="8"/>
                    <w:spacing w:after="0" w:line="280" w:lineRule="exact"/>
                    <w:ind w:left="0" w:leftChars="0"/>
                    <w:jc w:val="center"/>
                    <w:rPr>
                      <w:color w:val="auto"/>
                      <w:sz w:val="18"/>
                      <w:szCs w:val="18"/>
                    </w:rPr>
                  </w:pPr>
                  <w:r>
                    <w:rPr>
                      <w:rFonts w:hint="eastAsia"/>
                      <w:color w:val="auto"/>
                      <w:sz w:val="18"/>
                      <w:szCs w:val="18"/>
                    </w:rPr>
                    <w:t>个</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1~2</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17</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最小作业平台宽度</w:t>
                  </w:r>
                </w:p>
              </w:tc>
              <w:tc>
                <w:tcPr>
                  <w:tcW w:w="603" w:type="pct"/>
                </w:tcPr>
                <w:p>
                  <w:pPr>
                    <w:pStyle w:val="8"/>
                    <w:spacing w:after="0" w:line="280" w:lineRule="exact"/>
                    <w:ind w:left="0" w:leftChars="0"/>
                    <w:jc w:val="center"/>
                    <w:rPr>
                      <w:color w:val="auto"/>
                      <w:sz w:val="18"/>
                      <w:szCs w:val="18"/>
                    </w:rPr>
                  </w:pPr>
                  <w:r>
                    <w:rPr>
                      <w:rFonts w:hint="eastAsia"/>
                      <w:color w:val="auto"/>
                      <w:sz w:val="18"/>
                      <w:szCs w:val="18"/>
                    </w:rPr>
                    <w:t>m</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25</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18</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最小工作平台宽度</w:t>
                  </w:r>
                </w:p>
              </w:tc>
              <w:tc>
                <w:tcPr>
                  <w:tcW w:w="603" w:type="pct"/>
                </w:tcPr>
                <w:p>
                  <w:pPr>
                    <w:pStyle w:val="8"/>
                    <w:spacing w:after="0" w:line="280" w:lineRule="exact"/>
                    <w:ind w:left="0" w:leftChars="0"/>
                    <w:jc w:val="center"/>
                    <w:rPr>
                      <w:color w:val="auto"/>
                      <w:sz w:val="18"/>
                      <w:szCs w:val="18"/>
                    </w:rPr>
                  </w:pPr>
                  <w:r>
                    <w:rPr>
                      <w:rFonts w:hint="eastAsia"/>
                      <w:color w:val="auto"/>
                      <w:sz w:val="18"/>
                      <w:szCs w:val="18"/>
                    </w:rPr>
                    <w:t>m</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30</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19</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挖掘机最小工作线长度</w:t>
                  </w:r>
                </w:p>
              </w:tc>
              <w:tc>
                <w:tcPr>
                  <w:tcW w:w="603" w:type="pct"/>
                </w:tcPr>
                <w:p>
                  <w:pPr>
                    <w:pStyle w:val="8"/>
                    <w:spacing w:after="0" w:line="280" w:lineRule="exact"/>
                    <w:ind w:left="0" w:leftChars="0"/>
                    <w:jc w:val="center"/>
                    <w:rPr>
                      <w:color w:val="auto"/>
                      <w:sz w:val="18"/>
                      <w:szCs w:val="18"/>
                    </w:rPr>
                  </w:pPr>
                  <w:r>
                    <w:rPr>
                      <w:rFonts w:hint="eastAsia"/>
                      <w:color w:val="auto"/>
                      <w:sz w:val="18"/>
                      <w:szCs w:val="18"/>
                    </w:rPr>
                    <w:t>m</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200</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20</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劳动定员</w:t>
                  </w:r>
                </w:p>
              </w:tc>
              <w:tc>
                <w:tcPr>
                  <w:tcW w:w="603" w:type="pct"/>
                  <w:vAlign w:val="center"/>
                </w:tcPr>
                <w:p>
                  <w:pPr>
                    <w:pStyle w:val="8"/>
                    <w:spacing w:after="0" w:line="280" w:lineRule="exact"/>
                    <w:ind w:left="0" w:leftChars="0"/>
                    <w:jc w:val="center"/>
                    <w:rPr>
                      <w:color w:val="auto"/>
                      <w:sz w:val="18"/>
                      <w:szCs w:val="18"/>
                    </w:rPr>
                  </w:pPr>
                  <w:r>
                    <w:rPr>
                      <w:rFonts w:hint="eastAsia"/>
                      <w:color w:val="auto"/>
                      <w:sz w:val="18"/>
                      <w:szCs w:val="18"/>
                    </w:rPr>
                    <w:t>人</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98</w:t>
                  </w:r>
                </w:p>
              </w:tc>
              <w:tc>
                <w:tcPr>
                  <w:tcW w:w="923" w:type="pct"/>
                  <w:vAlign w:val="center"/>
                </w:tcPr>
                <w:p>
                  <w:pPr>
                    <w:pStyle w:val="8"/>
                    <w:spacing w:after="0" w:line="280" w:lineRule="exact"/>
                    <w:ind w:left="0" w:leftChars="0"/>
                    <w:jc w:val="center"/>
                    <w:rPr>
                      <w:color w:val="auto"/>
                      <w:sz w:val="18"/>
                      <w:szCs w:val="18"/>
                    </w:rPr>
                  </w:pPr>
                  <w:r>
                    <w:rPr>
                      <w:rFonts w:hint="eastAsia"/>
                      <w:color w:val="auto"/>
                      <w:sz w:val="18"/>
                      <w:szCs w:val="18"/>
                    </w:rPr>
                    <w:t>含破碎</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21</w:t>
                  </w:r>
                </w:p>
              </w:tc>
              <w:tc>
                <w:tcPr>
                  <w:tcW w:w="1742" w:type="pct"/>
                  <w:gridSpan w:val="3"/>
                  <w:vAlign w:val="center"/>
                </w:tcPr>
                <w:p>
                  <w:pPr>
                    <w:pStyle w:val="8"/>
                    <w:spacing w:after="0" w:line="280" w:lineRule="exact"/>
                    <w:ind w:left="0" w:leftChars="0"/>
                    <w:jc w:val="center"/>
                    <w:rPr>
                      <w:color w:val="auto"/>
                      <w:sz w:val="18"/>
                      <w:szCs w:val="18"/>
                    </w:rPr>
                  </w:pPr>
                  <w:r>
                    <w:rPr>
                      <w:rFonts w:hint="eastAsia"/>
                      <w:color w:val="auto"/>
                      <w:sz w:val="18"/>
                      <w:szCs w:val="18"/>
                    </w:rPr>
                    <w:t>建设周期</w:t>
                  </w:r>
                </w:p>
              </w:tc>
              <w:tc>
                <w:tcPr>
                  <w:tcW w:w="603" w:type="pct"/>
                  <w:vAlign w:val="center"/>
                </w:tcPr>
                <w:p>
                  <w:pPr>
                    <w:pStyle w:val="8"/>
                    <w:spacing w:after="0" w:line="280" w:lineRule="exact"/>
                    <w:ind w:left="0" w:leftChars="0"/>
                    <w:jc w:val="center"/>
                    <w:rPr>
                      <w:color w:val="auto"/>
                      <w:sz w:val="18"/>
                      <w:szCs w:val="18"/>
                    </w:rPr>
                  </w:pPr>
                  <w:r>
                    <w:rPr>
                      <w:rFonts w:hint="eastAsia"/>
                      <w:color w:val="auto"/>
                      <w:sz w:val="18"/>
                      <w:szCs w:val="18"/>
                    </w:rPr>
                    <w:t>月</w:t>
                  </w:r>
                </w:p>
              </w:tc>
              <w:tc>
                <w:tcPr>
                  <w:tcW w:w="1306" w:type="pct"/>
                  <w:vAlign w:val="center"/>
                </w:tcPr>
                <w:p>
                  <w:pPr>
                    <w:pStyle w:val="8"/>
                    <w:spacing w:after="0" w:line="280" w:lineRule="exact"/>
                    <w:ind w:left="0" w:leftChars="0"/>
                    <w:jc w:val="center"/>
                    <w:rPr>
                      <w:color w:val="auto"/>
                      <w:sz w:val="18"/>
                      <w:szCs w:val="18"/>
                    </w:rPr>
                  </w:pPr>
                  <w:r>
                    <w:rPr>
                      <w:rFonts w:hint="eastAsia"/>
                      <w:color w:val="auto"/>
                      <w:sz w:val="18"/>
                      <w:szCs w:val="18"/>
                    </w:rPr>
                    <w:t>1</w:t>
                  </w:r>
                  <w:r>
                    <w:rPr>
                      <w:color w:val="auto"/>
                      <w:sz w:val="18"/>
                      <w:szCs w:val="18"/>
                    </w:rPr>
                    <w:t>2</w:t>
                  </w:r>
                </w:p>
              </w:tc>
              <w:tc>
                <w:tcPr>
                  <w:tcW w:w="923"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26" w:type="pct"/>
                  <w:vAlign w:val="center"/>
                </w:tcPr>
                <w:p>
                  <w:pPr>
                    <w:pStyle w:val="8"/>
                    <w:spacing w:after="0" w:line="280" w:lineRule="exact"/>
                    <w:ind w:left="0" w:leftChars="0"/>
                    <w:jc w:val="center"/>
                    <w:rPr>
                      <w:color w:val="auto"/>
                      <w:sz w:val="18"/>
                      <w:szCs w:val="18"/>
                    </w:rPr>
                  </w:pPr>
                  <w:r>
                    <w:rPr>
                      <w:rFonts w:hint="eastAsia"/>
                      <w:color w:val="auto"/>
                      <w:sz w:val="18"/>
                      <w:szCs w:val="18"/>
                    </w:rPr>
                    <w:t>22</w:t>
                  </w:r>
                </w:p>
              </w:tc>
              <w:tc>
                <w:tcPr>
                  <w:tcW w:w="1742" w:type="pct"/>
                  <w:gridSpan w:val="3"/>
                  <w:vAlign w:val="center"/>
                </w:tcPr>
                <w:p>
                  <w:pPr>
                    <w:pStyle w:val="8"/>
                    <w:spacing w:after="0" w:line="280" w:lineRule="exact"/>
                    <w:ind w:left="0" w:leftChars="0"/>
                    <w:jc w:val="center"/>
                    <w:rPr>
                      <w:color w:val="auto"/>
                      <w:sz w:val="18"/>
                      <w:szCs w:val="18"/>
                    </w:rPr>
                  </w:pPr>
                  <w:r>
                    <w:rPr>
                      <w:color w:val="auto"/>
                      <w:sz w:val="18"/>
                      <w:szCs w:val="18"/>
                    </w:rPr>
                    <w:t>矿山排水方式</w:t>
                  </w:r>
                </w:p>
              </w:tc>
              <w:tc>
                <w:tcPr>
                  <w:tcW w:w="603" w:type="pct"/>
                  <w:vAlign w:val="center"/>
                </w:tcPr>
                <w:p>
                  <w:pPr>
                    <w:pStyle w:val="8"/>
                    <w:spacing w:after="0" w:line="280" w:lineRule="exact"/>
                    <w:ind w:left="0" w:leftChars="0"/>
                    <w:jc w:val="center"/>
                    <w:rPr>
                      <w:color w:val="auto"/>
                      <w:sz w:val="18"/>
                      <w:szCs w:val="18"/>
                    </w:rPr>
                  </w:pPr>
                </w:p>
              </w:tc>
              <w:tc>
                <w:tcPr>
                  <w:tcW w:w="2229" w:type="pct"/>
                  <w:gridSpan w:val="2"/>
                  <w:vAlign w:val="center"/>
                </w:tcPr>
                <w:p>
                  <w:pPr>
                    <w:pStyle w:val="8"/>
                    <w:spacing w:after="0" w:line="280" w:lineRule="exact"/>
                    <w:ind w:left="0" w:leftChars="0"/>
                    <w:jc w:val="center"/>
                    <w:rPr>
                      <w:color w:val="auto"/>
                      <w:sz w:val="18"/>
                      <w:szCs w:val="18"/>
                    </w:rPr>
                  </w:pPr>
                  <w:r>
                    <w:rPr>
                      <w:color w:val="auto"/>
                      <w:sz w:val="18"/>
                      <w:szCs w:val="18"/>
                    </w:rPr>
                    <w:t>自流式排水为主</w:t>
                  </w:r>
                </w:p>
              </w:tc>
            </w:tr>
          </w:tbl>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根据本项目在功能作用，结合项目沿线地形、地貌，并充分考虑项目经济效益,本项目配套</w:t>
            </w:r>
            <w:r>
              <w:rPr>
                <w:rFonts w:hint="eastAsia"/>
                <w:color w:val="auto"/>
              </w:rPr>
              <w:t>建设矿山生产服务交通运输通道</w:t>
            </w:r>
            <w:r>
              <w:rPr>
                <w:rFonts w:hint="eastAsia" w:ascii="宋体" w:hAnsi="宋体" w:cs="宋体"/>
                <w:color w:val="auto"/>
                <w:kern w:val="0"/>
                <w:szCs w:val="21"/>
              </w:rPr>
              <w:t>S202-生产区段按照四级公路，路面宽度3.5米，路基宽度4.5米，设计速度 20km/h，混凝土路面设计。生产区-矿区段按照四级公路（Ⅱ类），路面宽度3.5米，路基宽度4.5米，设计速度15km/h，土路基。</w:t>
            </w:r>
          </w:p>
          <w:p>
            <w:pPr>
              <w:adjustRightInd w:val="0"/>
              <w:snapToGrid w:val="0"/>
              <w:spacing w:line="360" w:lineRule="auto"/>
              <w:ind w:firstLine="420" w:firstLineChars="200"/>
              <w:rPr>
                <w:rFonts w:ascii="宋体" w:hAnsi="宋体" w:cs="宋体"/>
                <w:color w:val="auto"/>
                <w:kern w:val="0"/>
                <w:szCs w:val="21"/>
              </w:rPr>
            </w:pPr>
            <w:r>
              <w:rPr>
                <w:rFonts w:hint="eastAsia"/>
                <w:color w:val="auto"/>
              </w:rPr>
              <w:t>项目</w:t>
            </w:r>
            <w:r>
              <w:rPr>
                <w:rFonts w:hint="eastAsia" w:ascii="宋体" w:hAnsi="宋体" w:cs="宋体"/>
                <w:color w:val="auto"/>
                <w:kern w:val="0"/>
                <w:szCs w:val="21"/>
              </w:rPr>
              <w:t>矿区道路</w:t>
            </w:r>
            <w:r>
              <w:rPr>
                <w:color w:val="auto"/>
              </w:rPr>
              <w:t>综合技术经济指标见下表。</w:t>
            </w:r>
          </w:p>
          <w:p>
            <w:pPr>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表2</w:t>
            </w:r>
            <w:r>
              <w:rPr>
                <w:rFonts w:ascii="宋体" w:hAnsi="宋体" w:cs="宋体"/>
                <w:b/>
                <w:color w:val="auto"/>
                <w:kern w:val="0"/>
                <w:sz w:val="18"/>
                <w:szCs w:val="18"/>
              </w:rPr>
              <w:t>-</w:t>
            </w:r>
            <w:r>
              <w:rPr>
                <w:rFonts w:hint="eastAsia" w:ascii="宋体" w:hAnsi="宋体" w:cs="宋体"/>
                <w:b/>
                <w:color w:val="auto"/>
                <w:kern w:val="0"/>
                <w:sz w:val="18"/>
                <w:szCs w:val="18"/>
              </w:rPr>
              <w:t>3矿区道路综合技术经济指标</w:t>
            </w:r>
          </w:p>
          <w:tbl>
            <w:tblPr>
              <w:tblStyle w:val="14"/>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122"/>
              <w:gridCol w:w="993"/>
              <w:gridCol w:w="851"/>
              <w:gridCol w:w="1136"/>
              <w:gridCol w:w="851"/>
              <w:gridCol w:w="999"/>
              <w:gridCol w:w="121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Merge w:val="restart"/>
                  <w:vAlign w:val="center"/>
                </w:tcPr>
                <w:p>
                  <w:pPr>
                    <w:pStyle w:val="8"/>
                    <w:spacing w:after="0" w:line="280" w:lineRule="exact"/>
                    <w:ind w:left="0" w:leftChars="0"/>
                    <w:jc w:val="center"/>
                    <w:rPr>
                      <w:b/>
                      <w:bCs/>
                      <w:color w:val="auto"/>
                      <w:sz w:val="18"/>
                      <w:szCs w:val="18"/>
                    </w:rPr>
                  </w:pPr>
                  <w:r>
                    <w:rPr>
                      <w:rFonts w:hint="eastAsia"/>
                      <w:b/>
                      <w:bCs/>
                      <w:color w:val="auto"/>
                      <w:sz w:val="18"/>
                      <w:szCs w:val="18"/>
                    </w:rPr>
                    <w:t>名称</w:t>
                  </w:r>
                </w:p>
              </w:tc>
              <w:tc>
                <w:tcPr>
                  <w:tcW w:w="608" w:type="pct"/>
                  <w:vMerge w:val="restart"/>
                  <w:vAlign w:val="center"/>
                </w:tcPr>
                <w:p>
                  <w:pPr>
                    <w:pStyle w:val="8"/>
                    <w:spacing w:after="0" w:line="280" w:lineRule="exact"/>
                    <w:ind w:left="0" w:leftChars="0"/>
                    <w:jc w:val="center"/>
                    <w:rPr>
                      <w:b/>
                      <w:bCs/>
                      <w:color w:val="auto"/>
                      <w:sz w:val="18"/>
                      <w:szCs w:val="18"/>
                    </w:rPr>
                  </w:pPr>
                  <w:r>
                    <w:rPr>
                      <w:rFonts w:hint="eastAsia"/>
                      <w:b/>
                      <w:bCs/>
                      <w:color w:val="auto"/>
                      <w:sz w:val="18"/>
                      <w:szCs w:val="18"/>
                    </w:rPr>
                    <w:t>单位</w:t>
                  </w:r>
                </w:p>
              </w:tc>
              <w:tc>
                <w:tcPr>
                  <w:tcW w:w="2350" w:type="pct"/>
                  <w:gridSpan w:val="4"/>
                  <w:vAlign w:val="center"/>
                </w:tcPr>
                <w:p>
                  <w:pPr>
                    <w:pStyle w:val="8"/>
                    <w:spacing w:after="0" w:line="280" w:lineRule="exact"/>
                    <w:ind w:left="0" w:leftChars="0"/>
                    <w:jc w:val="center"/>
                    <w:rPr>
                      <w:b/>
                      <w:bCs/>
                      <w:color w:val="auto"/>
                      <w:sz w:val="18"/>
                      <w:szCs w:val="18"/>
                    </w:rPr>
                  </w:pPr>
                  <w:r>
                    <w:rPr>
                      <w:b/>
                      <w:bCs/>
                      <w:color w:val="auto"/>
                      <w:sz w:val="18"/>
                      <w:szCs w:val="18"/>
                    </w:rPr>
                    <w:t>指标</w:t>
                  </w:r>
                  <w:r>
                    <w:rPr>
                      <w:rFonts w:hint="eastAsia"/>
                      <w:b/>
                      <w:bCs/>
                      <w:color w:val="auto"/>
                      <w:sz w:val="18"/>
                      <w:szCs w:val="18"/>
                    </w:rPr>
                    <w:t>值</w:t>
                  </w:r>
                </w:p>
              </w:tc>
              <w:tc>
                <w:tcPr>
                  <w:tcW w:w="742" w:type="pct"/>
                  <w:vMerge w:val="restart"/>
                  <w:vAlign w:val="center"/>
                </w:tcPr>
                <w:p>
                  <w:pPr>
                    <w:pStyle w:val="8"/>
                    <w:spacing w:after="0" w:line="280" w:lineRule="exact"/>
                    <w:ind w:left="0" w:leftChars="0"/>
                    <w:jc w:val="center"/>
                    <w:rPr>
                      <w:b/>
                      <w:bCs/>
                      <w:color w:val="auto"/>
                      <w:sz w:val="18"/>
                      <w:szCs w:val="18"/>
                    </w:rPr>
                  </w:pPr>
                  <w:r>
                    <w:rPr>
                      <w:b/>
                      <w:bCs/>
                      <w:color w:val="auto"/>
                      <w:sz w:val="18"/>
                      <w:szCs w:val="18"/>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Merge w:val="continue"/>
                  <w:vAlign w:val="center"/>
                </w:tcPr>
                <w:p>
                  <w:pPr>
                    <w:pStyle w:val="8"/>
                    <w:spacing w:after="0" w:line="280" w:lineRule="exact"/>
                    <w:ind w:left="0" w:leftChars="0"/>
                    <w:jc w:val="center"/>
                    <w:rPr>
                      <w:color w:val="auto"/>
                      <w:sz w:val="18"/>
                      <w:szCs w:val="18"/>
                    </w:rPr>
                  </w:pPr>
                </w:p>
              </w:tc>
              <w:tc>
                <w:tcPr>
                  <w:tcW w:w="608" w:type="pct"/>
                  <w:vMerge w:val="continue"/>
                  <w:vAlign w:val="center"/>
                </w:tcPr>
                <w:p>
                  <w:pPr>
                    <w:pStyle w:val="8"/>
                    <w:spacing w:after="0" w:line="280" w:lineRule="exact"/>
                    <w:ind w:left="0" w:leftChars="0"/>
                    <w:jc w:val="center"/>
                    <w:rPr>
                      <w:color w:val="auto"/>
                      <w:sz w:val="18"/>
                      <w:szCs w:val="18"/>
                    </w:rPr>
                  </w:pPr>
                </w:p>
              </w:tc>
              <w:tc>
                <w:tcPr>
                  <w:tcW w:w="1217" w:type="pct"/>
                  <w:gridSpan w:val="2"/>
                  <w:vAlign w:val="center"/>
                </w:tcPr>
                <w:p>
                  <w:pPr>
                    <w:pStyle w:val="8"/>
                    <w:spacing w:after="0" w:line="280" w:lineRule="exact"/>
                    <w:ind w:left="0" w:leftChars="0"/>
                    <w:jc w:val="center"/>
                    <w:rPr>
                      <w:color w:val="auto"/>
                      <w:sz w:val="18"/>
                      <w:szCs w:val="18"/>
                    </w:rPr>
                  </w:pPr>
                  <w:r>
                    <w:rPr>
                      <w:rFonts w:hint="eastAsia"/>
                      <w:color w:val="auto"/>
                      <w:sz w:val="18"/>
                      <w:szCs w:val="18"/>
                    </w:rPr>
                    <w:t>四级公路</w:t>
                  </w:r>
                </w:p>
              </w:tc>
              <w:tc>
                <w:tcPr>
                  <w:tcW w:w="1133" w:type="pct"/>
                  <w:gridSpan w:val="2"/>
                  <w:vAlign w:val="center"/>
                </w:tcPr>
                <w:p>
                  <w:pPr>
                    <w:pStyle w:val="8"/>
                    <w:spacing w:after="0" w:line="280" w:lineRule="exact"/>
                    <w:ind w:left="0" w:leftChars="0"/>
                    <w:jc w:val="center"/>
                    <w:rPr>
                      <w:color w:val="auto"/>
                      <w:sz w:val="18"/>
                      <w:szCs w:val="18"/>
                    </w:rPr>
                  </w:pPr>
                  <w:r>
                    <w:rPr>
                      <w:rFonts w:hint="eastAsia"/>
                      <w:color w:val="auto"/>
                      <w:sz w:val="18"/>
                      <w:szCs w:val="18"/>
                    </w:rPr>
                    <w:t>四级公路（Ⅱ类）</w:t>
                  </w:r>
                </w:p>
              </w:tc>
              <w:tc>
                <w:tcPr>
                  <w:tcW w:w="742" w:type="pct"/>
                  <w:vMerge w:val="continue"/>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Align w:val="center"/>
                </w:tcPr>
                <w:p>
                  <w:pPr>
                    <w:pStyle w:val="8"/>
                    <w:spacing w:after="0" w:line="280" w:lineRule="exact"/>
                    <w:ind w:left="0" w:leftChars="0"/>
                    <w:jc w:val="center"/>
                    <w:rPr>
                      <w:color w:val="auto"/>
                      <w:sz w:val="18"/>
                      <w:szCs w:val="18"/>
                    </w:rPr>
                  </w:pPr>
                  <w:r>
                    <w:rPr>
                      <w:rFonts w:hint="eastAsia"/>
                      <w:color w:val="auto"/>
                      <w:sz w:val="18"/>
                      <w:szCs w:val="18"/>
                    </w:rPr>
                    <w:t>道路等级</w:t>
                  </w:r>
                </w:p>
              </w:tc>
              <w:tc>
                <w:tcPr>
                  <w:tcW w:w="608" w:type="pct"/>
                  <w:vAlign w:val="center"/>
                </w:tcPr>
                <w:p>
                  <w:pPr>
                    <w:pStyle w:val="8"/>
                    <w:spacing w:after="0" w:line="280" w:lineRule="exact"/>
                    <w:ind w:left="0" w:leftChars="0"/>
                    <w:jc w:val="center"/>
                    <w:rPr>
                      <w:color w:val="auto"/>
                      <w:sz w:val="18"/>
                      <w:szCs w:val="18"/>
                    </w:rPr>
                  </w:pP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标准值</w:t>
                  </w:r>
                </w:p>
              </w:tc>
              <w:tc>
                <w:tcPr>
                  <w:tcW w:w="696" w:type="pct"/>
                  <w:vAlign w:val="center"/>
                </w:tcPr>
                <w:p>
                  <w:pPr>
                    <w:pStyle w:val="8"/>
                    <w:spacing w:after="0" w:line="280" w:lineRule="exact"/>
                    <w:ind w:left="0" w:leftChars="0"/>
                    <w:jc w:val="center"/>
                    <w:rPr>
                      <w:color w:val="auto"/>
                      <w:sz w:val="18"/>
                      <w:szCs w:val="18"/>
                    </w:rPr>
                  </w:pPr>
                  <w:r>
                    <w:rPr>
                      <w:rFonts w:hint="eastAsia"/>
                      <w:color w:val="auto"/>
                      <w:sz w:val="18"/>
                      <w:szCs w:val="18"/>
                    </w:rPr>
                    <w:t>采用值</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标准值</w:t>
                  </w:r>
                </w:p>
              </w:tc>
              <w:tc>
                <w:tcPr>
                  <w:tcW w:w="612" w:type="pct"/>
                  <w:vAlign w:val="center"/>
                </w:tcPr>
                <w:p>
                  <w:pPr>
                    <w:pStyle w:val="8"/>
                    <w:spacing w:after="0" w:line="280" w:lineRule="exact"/>
                    <w:ind w:left="0" w:leftChars="0"/>
                    <w:jc w:val="center"/>
                    <w:rPr>
                      <w:color w:val="auto"/>
                      <w:sz w:val="18"/>
                      <w:szCs w:val="18"/>
                    </w:rPr>
                  </w:pPr>
                  <w:r>
                    <w:rPr>
                      <w:rFonts w:hint="eastAsia"/>
                      <w:color w:val="auto"/>
                      <w:sz w:val="18"/>
                      <w:szCs w:val="18"/>
                    </w:rPr>
                    <w:t>采用值</w:t>
                  </w:r>
                </w:p>
              </w:tc>
              <w:tc>
                <w:tcPr>
                  <w:tcW w:w="742"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Align w:val="center"/>
                </w:tcPr>
                <w:p>
                  <w:pPr>
                    <w:pStyle w:val="8"/>
                    <w:spacing w:after="0" w:line="280" w:lineRule="exact"/>
                    <w:ind w:left="0" w:leftChars="0"/>
                    <w:jc w:val="center"/>
                    <w:rPr>
                      <w:color w:val="auto"/>
                      <w:sz w:val="18"/>
                      <w:szCs w:val="18"/>
                    </w:rPr>
                  </w:pPr>
                  <w:r>
                    <w:rPr>
                      <w:rFonts w:hint="eastAsia"/>
                      <w:color w:val="auto"/>
                      <w:sz w:val="18"/>
                      <w:szCs w:val="18"/>
                    </w:rPr>
                    <w:t>设计速度</w:t>
                  </w:r>
                </w:p>
              </w:tc>
              <w:tc>
                <w:tcPr>
                  <w:tcW w:w="608" w:type="pct"/>
                  <w:vAlign w:val="center"/>
                </w:tcPr>
                <w:p>
                  <w:pPr>
                    <w:pStyle w:val="8"/>
                    <w:spacing w:after="0" w:line="280" w:lineRule="exact"/>
                    <w:ind w:left="0" w:leftChars="0"/>
                    <w:jc w:val="center"/>
                    <w:rPr>
                      <w:color w:val="auto"/>
                      <w:sz w:val="18"/>
                      <w:szCs w:val="18"/>
                    </w:rPr>
                  </w:pPr>
                  <w:r>
                    <w:rPr>
                      <w:rFonts w:hint="eastAsia"/>
                      <w:color w:val="auto"/>
                      <w:sz w:val="18"/>
                      <w:szCs w:val="18"/>
                    </w:rPr>
                    <w:t>Km/h</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20</w:t>
                  </w:r>
                </w:p>
              </w:tc>
              <w:tc>
                <w:tcPr>
                  <w:tcW w:w="696" w:type="pct"/>
                  <w:vAlign w:val="center"/>
                </w:tcPr>
                <w:p>
                  <w:pPr>
                    <w:pStyle w:val="8"/>
                    <w:spacing w:after="0" w:line="280" w:lineRule="exact"/>
                    <w:ind w:left="0" w:leftChars="0"/>
                    <w:jc w:val="center"/>
                    <w:rPr>
                      <w:color w:val="auto"/>
                      <w:sz w:val="18"/>
                      <w:szCs w:val="18"/>
                    </w:rPr>
                  </w:pPr>
                  <w:r>
                    <w:rPr>
                      <w:rFonts w:hint="eastAsia"/>
                      <w:color w:val="auto"/>
                      <w:sz w:val="18"/>
                      <w:szCs w:val="18"/>
                    </w:rPr>
                    <w:t>20</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15</w:t>
                  </w:r>
                </w:p>
              </w:tc>
              <w:tc>
                <w:tcPr>
                  <w:tcW w:w="612" w:type="pct"/>
                  <w:vAlign w:val="center"/>
                </w:tcPr>
                <w:p>
                  <w:pPr>
                    <w:pStyle w:val="8"/>
                    <w:spacing w:after="0" w:line="280" w:lineRule="exact"/>
                    <w:ind w:left="0" w:leftChars="0"/>
                    <w:jc w:val="center"/>
                    <w:rPr>
                      <w:color w:val="auto"/>
                      <w:sz w:val="18"/>
                      <w:szCs w:val="18"/>
                    </w:rPr>
                  </w:pPr>
                  <w:r>
                    <w:rPr>
                      <w:rFonts w:hint="eastAsia"/>
                      <w:color w:val="auto"/>
                      <w:sz w:val="18"/>
                      <w:szCs w:val="18"/>
                    </w:rPr>
                    <w:t>15</w:t>
                  </w:r>
                </w:p>
              </w:tc>
              <w:tc>
                <w:tcPr>
                  <w:tcW w:w="742"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Align w:val="center"/>
                </w:tcPr>
                <w:p>
                  <w:pPr>
                    <w:pStyle w:val="8"/>
                    <w:spacing w:line="280" w:lineRule="exact"/>
                    <w:jc w:val="center"/>
                    <w:rPr>
                      <w:color w:val="auto"/>
                      <w:sz w:val="18"/>
                      <w:szCs w:val="18"/>
                    </w:rPr>
                  </w:pPr>
                  <w:r>
                    <w:rPr>
                      <w:rFonts w:hint="eastAsia"/>
                      <w:color w:val="auto"/>
                      <w:sz w:val="18"/>
                      <w:szCs w:val="18"/>
                    </w:rPr>
                    <w:t>圆曲线最小半径（一般值）</w:t>
                  </w:r>
                </w:p>
              </w:tc>
              <w:tc>
                <w:tcPr>
                  <w:tcW w:w="608" w:type="pct"/>
                  <w:vAlign w:val="center"/>
                </w:tcPr>
                <w:p>
                  <w:pPr>
                    <w:pStyle w:val="8"/>
                    <w:spacing w:after="0" w:line="280" w:lineRule="exact"/>
                    <w:ind w:left="0" w:leftChars="0"/>
                    <w:jc w:val="center"/>
                    <w:rPr>
                      <w:color w:val="auto"/>
                      <w:sz w:val="18"/>
                      <w:szCs w:val="18"/>
                    </w:rPr>
                  </w:pPr>
                  <w:r>
                    <w:rPr>
                      <w:rFonts w:hint="eastAsia"/>
                      <w:color w:val="auto"/>
                      <w:sz w:val="18"/>
                      <w:szCs w:val="18"/>
                    </w:rPr>
                    <w:t>米</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30</w:t>
                  </w:r>
                </w:p>
              </w:tc>
              <w:tc>
                <w:tcPr>
                  <w:tcW w:w="696" w:type="pct"/>
                  <w:vAlign w:val="center"/>
                </w:tcPr>
                <w:p>
                  <w:pPr>
                    <w:pStyle w:val="8"/>
                    <w:spacing w:after="0" w:line="280" w:lineRule="exact"/>
                    <w:ind w:left="0" w:leftChars="0"/>
                    <w:jc w:val="center"/>
                    <w:rPr>
                      <w:color w:val="auto"/>
                      <w:sz w:val="18"/>
                      <w:szCs w:val="18"/>
                    </w:rPr>
                  </w:pP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w:t>
                  </w:r>
                </w:p>
              </w:tc>
              <w:tc>
                <w:tcPr>
                  <w:tcW w:w="612" w:type="pct"/>
                  <w:vAlign w:val="center"/>
                </w:tcPr>
                <w:p>
                  <w:pPr>
                    <w:pStyle w:val="8"/>
                    <w:spacing w:after="0" w:line="280" w:lineRule="exact"/>
                    <w:ind w:left="0" w:leftChars="0"/>
                    <w:jc w:val="center"/>
                    <w:rPr>
                      <w:color w:val="auto"/>
                      <w:sz w:val="18"/>
                      <w:szCs w:val="18"/>
                    </w:rPr>
                  </w:pPr>
                  <w:r>
                    <w:rPr>
                      <w:rFonts w:hint="eastAsia"/>
                      <w:color w:val="auto"/>
                      <w:sz w:val="18"/>
                      <w:szCs w:val="18"/>
                    </w:rPr>
                    <w:t>-</w:t>
                  </w:r>
                </w:p>
              </w:tc>
              <w:tc>
                <w:tcPr>
                  <w:tcW w:w="742"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Align w:val="center"/>
                </w:tcPr>
                <w:p>
                  <w:pPr>
                    <w:pStyle w:val="8"/>
                    <w:spacing w:line="280" w:lineRule="exact"/>
                    <w:jc w:val="center"/>
                    <w:rPr>
                      <w:color w:val="auto"/>
                      <w:sz w:val="18"/>
                      <w:szCs w:val="18"/>
                    </w:rPr>
                  </w:pPr>
                  <w:r>
                    <w:rPr>
                      <w:rFonts w:hint="eastAsia"/>
                      <w:color w:val="auto"/>
                      <w:sz w:val="18"/>
                      <w:szCs w:val="18"/>
                    </w:rPr>
                    <w:t>圆曲线最小半径（极限值）</w:t>
                  </w:r>
                </w:p>
              </w:tc>
              <w:tc>
                <w:tcPr>
                  <w:tcW w:w="608" w:type="pct"/>
                  <w:vAlign w:val="center"/>
                </w:tcPr>
                <w:p>
                  <w:pPr>
                    <w:pStyle w:val="8"/>
                    <w:spacing w:after="0" w:line="280" w:lineRule="exact"/>
                    <w:ind w:left="0" w:leftChars="0"/>
                    <w:jc w:val="center"/>
                    <w:rPr>
                      <w:color w:val="auto"/>
                      <w:sz w:val="18"/>
                      <w:szCs w:val="18"/>
                    </w:rPr>
                  </w:pPr>
                  <w:r>
                    <w:rPr>
                      <w:rFonts w:hint="eastAsia"/>
                      <w:color w:val="auto"/>
                      <w:sz w:val="18"/>
                      <w:szCs w:val="18"/>
                    </w:rPr>
                    <w:t>米</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15</w:t>
                  </w:r>
                </w:p>
              </w:tc>
              <w:tc>
                <w:tcPr>
                  <w:tcW w:w="696" w:type="pct"/>
                  <w:vAlign w:val="center"/>
                </w:tcPr>
                <w:p>
                  <w:pPr>
                    <w:pStyle w:val="8"/>
                    <w:spacing w:after="0" w:line="280" w:lineRule="exact"/>
                    <w:ind w:left="0" w:leftChars="0"/>
                    <w:jc w:val="center"/>
                    <w:rPr>
                      <w:color w:val="auto"/>
                      <w:sz w:val="18"/>
                      <w:szCs w:val="18"/>
                    </w:rPr>
                  </w:pPr>
                  <w:r>
                    <w:rPr>
                      <w:rFonts w:hint="eastAsia"/>
                      <w:color w:val="auto"/>
                      <w:sz w:val="18"/>
                      <w:szCs w:val="18"/>
                    </w:rPr>
                    <w:t>15</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12</w:t>
                  </w:r>
                </w:p>
              </w:tc>
              <w:tc>
                <w:tcPr>
                  <w:tcW w:w="612" w:type="pct"/>
                  <w:vAlign w:val="center"/>
                </w:tcPr>
                <w:p>
                  <w:pPr>
                    <w:pStyle w:val="8"/>
                    <w:spacing w:after="0" w:line="280" w:lineRule="exact"/>
                    <w:ind w:left="0" w:leftChars="0"/>
                    <w:jc w:val="center"/>
                    <w:rPr>
                      <w:color w:val="auto"/>
                      <w:sz w:val="18"/>
                      <w:szCs w:val="18"/>
                    </w:rPr>
                  </w:pPr>
                  <w:r>
                    <w:rPr>
                      <w:rFonts w:hint="eastAsia"/>
                      <w:color w:val="auto"/>
                      <w:sz w:val="18"/>
                      <w:szCs w:val="18"/>
                    </w:rPr>
                    <w:t>-</w:t>
                  </w:r>
                </w:p>
              </w:tc>
              <w:tc>
                <w:tcPr>
                  <w:tcW w:w="742"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Align w:val="center"/>
                </w:tcPr>
                <w:p>
                  <w:pPr>
                    <w:pStyle w:val="8"/>
                    <w:spacing w:line="280" w:lineRule="exact"/>
                    <w:jc w:val="center"/>
                    <w:rPr>
                      <w:color w:val="auto"/>
                      <w:sz w:val="18"/>
                      <w:szCs w:val="18"/>
                    </w:rPr>
                  </w:pPr>
                  <w:r>
                    <w:rPr>
                      <w:rFonts w:hint="eastAsia"/>
                      <w:color w:val="auto"/>
                      <w:sz w:val="18"/>
                      <w:szCs w:val="18"/>
                    </w:rPr>
                    <w:t>凸型竖曲线极限最小半径</w:t>
                  </w:r>
                </w:p>
              </w:tc>
              <w:tc>
                <w:tcPr>
                  <w:tcW w:w="608" w:type="pct"/>
                  <w:vAlign w:val="center"/>
                </w:tcPr>
                <w:p>
                  <w:pPr>
                    <w:pStyle w:val="8"/>
                    <w:spacing w:after="0" w:line="280" w:lineRule="exact"/>
                    <w:ind w:left="0" w:leftChars="0"/>
                    <w:jc w:val="center"/>
                    <w:rPr>
                      <w:color w:val="auto"/>
                      <w:sz w:val="18"/>
                      <w:szCs w:val="18"/>
                    </w:rPr>
                  </w:pPr>
                  <w:r>
                    <w:rPr>
                      <w:rFonts w:hint="eastAsia"/>
                      <w:color w:val="auto"/>
                      <w:sz w:val="18"/>
                      <w:szCs w:val="18"/>
                    </w:rPr>
                    <w:t>米</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100</w:t>
                  </w:r>
                </w:p>
              </w:tc>
              <w:tc>
                <w:tcPr>
                  <w:tcW w:w="696" w:type="pct"/>
                  <w:vAlign w:val="center"/>
                </w:tcPr>
                <w:p>
                  <w:pPr>
                    <w:pStyle w:val="8"/>
                    <w:spacing w:after="0" w:line="280" w:lineRule="exact"/>
                    <w:ind w:left="0" w:leftChars="0"/>
                    <w:jc w:val="center"/>
                    <w:rPr>
                      <w:color w:val="auto"/>
                      <w:sz w:val="18"/>
                      <w:szCs w:val="18"/>
                    </w:rPr>
                  </w:pPr>
                  <w:r>
                    <w:rPr>
                      <w:rFonts w:hint="eastAsia"/>
                      <w:color w:val="auto"/>
                      <w:sz w:val="18"/>
                      <w:szCs w:val="18"/>
                    </w:rPr>
                    <w:t>400</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75</w:t>
                  </w:r>
                </w:p>
              </w:tc>
              <w:tc>
                <w:tcPr>
                  <w:tcW w:w="612" w:type="pct"/>
                  <w:vAlign w:val="center"/>
                </w:tcPr>
                <w:p>
                  <w:pPr>
                    <w:pStyle w:val="8"/>
                    <w:spacing w:after="0" w:line="280" w:lineRule="exact"/>
                    <w:ind w:left="0" w:leftChars="0"/>
                    <w:jc w:val="center"/>
                    <w:rPr>
                      <w:color w:val="auto"/>
                      <w:sz w:val="18"/>
                      <w:szCs w:val="18"/>
                    </w:rPr>
                  </w:pPr>
                  <w:r>
                    <w:rPr>
                      <w:rFonts w:hint="eastAsia"/>
                      <w:color w:val="auto"/>
                      <w:sz w:val="18"/>
                      <w:szCs w:val="18"/>
                    </w:rPr>
                    <w:t>800</w:t>
                  </w:r>
                </w:p>
              </w:tc>
              <w:tc>
                <w:tcPr>
                  <w:tcW w:w="742"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Align w:val="center"/>
                </w:tcPr>
                <w:p>
                  <w:pPr>
                    <w:pStyle w:val="8"/>
                    <w:spacing w:line="280" w:lineRule="exact"/>
                    <w:jc w:val="center"/>
                    <w:rPr>
                      <w:color w:val="auto"/>
                      <w:sz w:val="18"/>
                      <w:szCs w:val="18"/>
                    </w:rPr>
                  </w:pPr>
                  <w:r>
                    <w:rPr>
                      <w:rFonts w:hint="eastAsia"/>
                      <w:color w:val="auto"/>
                      <w:sz w:val="18"/>
                      <w:szCs w:val="18"/>
                    </w:rPr>
                    <w:t>凹型竖曲线极限最小直径</w:t>
                  </w:r>
                </w:p>
              </w:tc>
              <w:tc>
                <w:tcPr>
                  <w:tcW w:w="608" w:type="pct"/>
                  <w:vAlign w:val="center"/>
                </w:tcPr>
                <w:p>
                  <w:pPr>
                    <w:pStyle w:val="8"/>
                    <w:spacing w:after="0" w:line="280" w:lineRule="exact"/>
                    <w:ind w:left="0" w:leftChars="0"/>
                    <w:jc w:val="center"/>
                    <w:rPr>
                      <w:color w:val="auto"/>
                      <w:sz w:val="18"/>
                      <w:szCs w:val="18"/>
                    </w:rPr>
                  </w:pPr>
                  <w:r>
                    <w:rPr>
                      <w:rFonts w:hint="eastAsia"/>
                      <w:color w:val="auto"/>
                      <w:sz w:val="18"/>
                      <w:szCs w:val="18"/>
                    </w:rPr>
                    <w:t>米</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100</w:t>
                  </w:r>
                </w:p>
              </w:tc>
              <w:tc>
                <w:tcPr>
                  <w:tcW w:w="696" w:type="pct"/>
                  <w:vAlign w:val="center"/>
                </w:tcPr>
                <w:p>
                  <w:pPr>
                    <w:pStyle w:val="8"/>
                    <w:spacing w:after="0" w:line="280" w:lineRule="exact"/>
                    <w:ind w:left="0" w:leftChars="0"/>
                    <w:jc w:val="center"/>
                    <w:rPr>
                      <w:color w:val="auto"/>
                      <w:sz w:val="18"/>
                      <w:szCs w:val="18"/>
                    </w:rPr>
                  </w:pPr>
                  <w:r>
                    <w:rPr>
                      <w:rFonts w:hint="eastAsia"/>
                      <w:color w:val="auto"/>
                      <w:sz w:val="18"/>
                      <w:szCs w:val="18"/>
                    </w:rPr>
                    <w:t>400</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75</w:t>
                  </w:r>
                </w:p>
              </w:tc>
              <w:tc>
                <w:tcPr>
                  <w:tcW w:w="612" w:type="pct"/>
                  <w:vAlign w:val="center"/>
                </w:tcPr>
                <w:p>
                  <w:pPr>
                    <w:pStyle w:val="8"/>
                    <w:spacing w:after="0" w:line="280" w:lineRule="exact"/>
                    <w:ind w:left="0" w:leftChars="0"/>
                    <w:jc w:val="center"/>
                    <w:rPr>
                      <w:color w:val="auto"/>
                      <w:sz w:val="18"/>
                      <w:szCs w:val="18"/>
                    </w:rPr>
                  </w:pPr>
                  <w:r>
                    <w:rPr>
                      <w:rFonts w:hint="eastAsia"/>
                      <w:color w:val="auto"/>
                      <w:sz w:val="18"/>
                      <w:szCs w:val="18"/>
                    </w:rPr>
                    <w:t>600</w:t>
                  </w:r>
                </w:p>
              </w:tc>
              <w:tc>
                <w:tcPr>
                  <w:tcW w:w="742"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Align w:val="center"/>
                </w:tcPr>
                <w:p>
                  <w:pPr>
                    <w:pStyle w:val="8"/>
                    <w:spacing w:after="0" w:line="280" w:lineRule="exact"/>
                    <w:ind w:left="0" w:leftChars="0"/>
                    <w:jc w:val="center"/>
                    <w:rPr>
                      <w:color w:val="auto"/>
                      <w:sz w:val="18"/>
                      <w:szCs w:val="18"/>
                    </w:rPr>
                  </w:pPr>
                  <w:r>
                    <w:rPr>
                      <w:rFonts w:hint="eastAsia"/>
                      <w:color w:val="auto"/>
                      <w:sz w:val="18"/>
                      <w:szCs w:val="18"/>
                    </w:rPr>
                    <w:t>最大纵坡</w:t>
                  </w:r>
                </w:p>
              </w:tc>
              <w:tc>
                <w:tcPr>
                  <w:tcW w:w="608" w:type="pct"/>
                  <w:vAlign w:val="center"/>
                </w:tcPr>
                <w:p>
                  <w:pPr>
                    <w:pStyle w:val="8"/>
                    <w:spacing w:after="0" w:line="280" w:lineRule="exact"/>
                    <w:ind w:left="0" w:leftChars="0"/>
                    <w:jc w:val="center"/>
                    <w:rPr>
                      <w:color w:val="auto"/>
                      <w:sz w:val="18"/>
                      <w:szCs w:val="18"/>
                    </w:rPr>
                  </w:pPr>
                  <w:r>
                    <w:rPr>
                      <w:rFonts w:hint="eastAsia"/>
                      <w:color w:val="auto"/>
                      <w:sz w:val="18"/>
                      <w:szCs w:val="18"/>
                    </w:rPr>
                    <w:t>%</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9（10）</w:t>
                  </w:r>
                </w:p>
              </w:tc>
              <w:tc>
                <w:tcPr>
                  <w:tcW w:w="696" w:type="pct"/>
                  <w:vAlign w:val="center"/>
                </w:tcPr>
                <w:p>
                  <w:pPr>
                    <w:pStyle w:val="8"/>
                    <w:spacing w:after="0" w:line="280" w:lineRule="exact"/>
                    <w:ind w:left="0" w:leftChars="0"/>
                    <w:jc w:val="center"/>
                    <w:rPr>
                      <w:color w:val="auto"/>
                      <w:sz w:val="18"/>
                      <w:szCs w:val="18"/>
                    </w:rPr>
                  </w:pPr>
                  <w:r>
                    <w:rPr>
                      <w:color w:val="auto"/>
                      <w:sz w:val="18"/>
                      <w:szCs w:val="18"/>
                    </w:rPr>
                    <w:t>10</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12（14）</w:t>
                  </w:r>
                </w:p>
              </w:tc>
              <w:tc>
                <w:tcPr>
                  <w:tcW w:w="612" w:type="pct"/>
                  <w:vAlign w:val="center"/>
                </w:tcPr>
                <w:p>
                  <w:pPr>
                    <w:pStyle w:val="8"/>
                    <w:spacing w:after="0" w:line="280" w:lineRule="exact"/>
                    <w:ind w:left="0" w:leftChars="0"/>
                    <w:jc w:val="center"/>
                    <w:rPr>
                      <w:color w:val="auto"/>
                      <w:sz w:val="18"/>
                      <w:szCs w:val="18"/>
                    </w:rPr>
                  </w:pPr>
                  <w:r>
                    <w:rPr>
                      <w:color w:val="auto"/>
                      <w:sz w:val="18"/>
                      <w:szCs w:val="18"/>
                    </w:rPr>
                    <w:t>10.26</w:t>
                  </w:r>
                </w:p>
              </w:tc>
              <w:tc>
                <w:tcPr>
                  <w:tcW w:w="742" w:type="pct"/>
                  <w:vAlign w:val="center"/>
                </w:tcPr>
                <w:p>
                  <w:pPr>
                    <w:pStyle w:val="8"/>
                    <w:spacing w:line="280" w:lineRule="exact"/>
                    <w:ind w:left="0" w:leftChars="0"/>
                    <w:jc w:val="center"/>
                    <w:rPr>
                      <w:color w:val="auto"/>
                      <w:sz w:val="18"/>
                      <w:szCs w:val="18"/>
                    </w:rPr>
                  </w:pPr>
                  <w:r>
                    <w:rPr>
                      <w:rFonts w:hint="eastAsia"/>
                      <w:color w:val="auto"/>
                      <w:sz w:val="18"/>
                      <w:szCs w:val="18"/>
                    </w:rPr>
                    <w:t>括号内为老路改建段</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Align w:val="center"/>
                </w:tcPr>
                <w:p>
                  <w:pPr>
                    <w:pStyle w:val="8"/>
                    <w:spacing w:after="0" w:line="280" w:lineRule="exact"/>
                    <w:ind w:left="0" w:leftChars="0"/>
                    <w:jc w:val="center"/>
                    <w:rPr>
                      <w:color w:val="auto"/>
                      <w:sz w:val="18"/>
                      <w:szCs w:val="18"/>
                    </w:rPr>
                  </w:pPr>
                  <w:r>
                    <w:rPr>
                      <w:rFonts w:hint="eastAsia"/>
                      <w:color w:val="auto"/>
                      <w:sz w:val="18"/>
                      <w:szCs w:val="18"/>
                    </w:rPr>
                    <w:t>最小坡长</w:t>
                  </w:r>
                </w:p>
              </w:tc>
              <w:tc>
                <w:tcPr>
                  <w:tcW w:w="608" w:type="pct"/>
                  <w:vAlign w:val="center"/>
                </w:tcPr>
                <w:p>
                  <w:pPr>
                    <w:pStyle w:val="8"/>
                    <w:spacing w:after="0" w:line="280" w:lineRule="exact"/>
                    <w:ind w:left="0" w:leftChars="0"/>
                    <w:jc w:val="center"/>
                    <w:rPr>
                      <w:color w:val="auto"/>
                      <w:sz w:val="18"/>
                      <w:szCs w:val="18"/>
                    </w:rPr>
                  </w:pPr>
                  <w:r>
                    <w:rPr>
                      <w:rFonts w:hint="eastAsia"/>
                      <w:color w:val="auto"/>
                      <w:sz w:val="18"/>
                      <w:szCs w:val="18"/>
                    </w:rPr>
                    <w:t>米</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60</w:t>
                  </w:r>
                </w:p>
              </w:tc>
              <w:tc>
                <w:tcPr>
                  <w:tcW w:w="696" w:type="pct"/>
                  <w:vAlign w:val="center"/>
                </w:tcPr>
                <w:p>
                  <w:pPr>
                    <w:pStyle w:val="8"/>
                    <w:spacing w:after="0" w:line="280" w:lineRule="exact"/>
                    <w:ind w:left="0" w:leftChars="0"/>
                    <w:jc w:val="center"/>
                    <w:rPr>
                      <w:color w:val="auto"/>
                      <w:sz w:val="18"/>
                      <w:szCs w:val="18"/>
                    </w:rPr>
                  </w:pPr>
                  <w:r>
                    <w:rPr>
                      <w:rFonts w:hint="eastAsia"/>
                      <w:color w:val="auto"/>
                      <w:sz w:val="18"/>
                      <w:szCs w:val="18"/>
                    </w:rPr>
                    <w:t>60</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45</w:t>
                  </w:r>
                </w:p>
              </w:tc>
              <w:tc>
                <w:tcPr>
                  <w:tcW w:w="612" w:type="pct"/>
                  <w:vAlign w:val="center"/>
                </w:tcPr>
                <w:p>
                  <w:pPr>
                    <w:pStyle w:val="8"/>
                    <w:spacing w:after="0" w:line="280" w:lineRule="exact"/>
                    <w:ind w:left="0" w:leftChars="0"/>
                    <w:jc w:val="center"/>
                    <w:rPr>
                      <w:color w:val="auto"/>
                      <w:sz w:val="18"/>
                      <w:szCs w:val="18"/>
                    </w:rPr>
                  </w:pPr>
                  <w:r>
                    <w:rPr>
                      <w:rFonts w:hint="eastAsia"/>
                      <w:color w:val="auto"/>
                      <w:sz w:val="18"/>
                      <w:szCs w:val="18"/>
                    </w:rPr>
                    <w:t>90</w:t>
                  </w:r>
                </w:p>
              </w:tc>
              <w:tc>
                <w:tcPr>
                  <w:tcW w:w="742"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Align w:val="center"/>
                </w:tcPr>
                <w:p>
                  <w:pPr>
                    <w:pStyle w:val="8"/>
                    <w:spacing w:after="0" w:line="280" w:lineRule="exact"/>
                    <w:ind w:left="0" w:leftChars="0"/>
                    <w:jc w:val="center"/>
                    <w:rPr>
                      <w:color w:val="auto"/>
                      <w:sz w:val="18"/>
                      <w:szCs w:val="18"/>
                    </w:rPr>
                  </w:pPr>
                  <w:r>
                    <w:rPr>
                      <w:rFonts w:hint="eastAsia"/>
                      <w:color w:val="auto"/>
                      <w:sz w:val="18"/>
                      <w:szCs w:val="18"/>
                    </w:rPr>
                    <w:t>路基宽度</w:t>
                  </w:r>
                </w:p>
              </w:tc>
              <w:tc>
                <w:tcPr>
                  <w:tcW w:w="608" w:type="pct"/>
                  <w:vAlign w:val="center"/>
                </w:tcPr>
                <w:p>
                  <w:pPr>
                    <w:pStyle w:val="8"/>
                    <w:spacing w:after="0" w:line="280" w:lineRule="exact"/>
                    <w:ind w:left="0" w:leftChars="0"/>
                    <w:jc w:val="center"/>
                    <w:rPr>
                      <w:color w:val="auto"/>
                      <w:sz w:val="18"/>
                      <w:szCs w:val="18"/>
                    </w:rPr>
                  </w:pPr>
                  <w:r>
                    <w:rPr>
                      <w:rFonts w:hint="eastAsia"/>
                      <w:color w:val="auto"/>
                      <w:sz w:val="18"/>
                      <w:szCs w:val="18"/>
                    </w:rPr>
                    <w:t>米</w:t>
                  </w:r>
                </w:p>
              </w:tc>
              <w:tc>
                <w:tcPr>
                  <w:tcW w:w="521" w:type="pct"/>
                  <w:vAlign w:val="center"/>
                </w:tcPr>
                <w:p>
                  <w:pPr>
                    <w:pStyle w:val="8"/>
                    <w:spacing w:after="0" w:line="280" w:lineRule="exact"/>
                    <w:ind w:left="0" w:leftChars="0"/>
                    <w:jc w:val="center"/>
                    <w:rPr>
                      <w:color w:val="auto"/>
                      <w:sz w:val="18"/>
                      <w:szCs w:val="18"/>
                    </w:rPr>
                  </w:pPr>
                  <w:r>
                    <w:rPr>
                      <w:color w:val="auto"/>
                      <w:sz w:val="18"/>
                      <w:szCs w:val="18"/>
                    </w:rPr>
                    <w:t>6.5/4.5</w:t>
                  </w:r>
                </w:p>
              </w:tc>
              <w:tc>
                <w:tcPr>
                  <w:tcW w:w="696" w:type="pct"/>
                  <w:vAlign w:val="center"/>
                </w:tcPr>
                <w:p>
                  <w:pPr>
                    <w:pStyle w:val="8"/>
                    <w:spacing w:after="0" w:line="280" w:lineRule="exact"/>
                    <w:ind w:left="0" w:leftChars="0"/>
                    <w:jc w:val="center"/>
                    <w:rPr>
                      <w:color w:val="auto"/>
                      <w:sz w:val="18"/>
                      <w:szCs w:val="18"/>
                    </w:rPr>
                  </w:pPr>
                  <w:r>
                    <w:rPr>
                      <w:rFonts w:hint="eastAsia"/>
                      <w:color w:val="auto"/>
                      <w:sz w:val="18"/>
                      <w:szCs w:val="18"/>
                    </w:rPr>
                    <w:t>4.5</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4.5</w:t>
                  </w:r>
                </w:p>
              </w:tc>
              <w:tc>
                <w:tcPr>
                  <w:tcW w:w="612" w:type="pct"/>
                  <w:vAlign w:val="center"/>
                </w:tcPr>
                <w:p>
                  <w:pPr>
                    <w:pStyle w:val="8"/>
                    <w:spacing w:after="0" w:line="280" w:lineRule="exact"/>
                    <w:ind w:left="0" w:leftChars="0"/>
                    <w:jc w:val="center"/>
                    <w:rPr>
                      <w:color w:val="auto"/>
                      <w:sz w:val="18"/>
                      <w:szCs w:val="18"/>
                    </w:rPr>
                  </w:pPr>
                  <w:r>
                    <w:rPr>
                      <w:rFonts w:hint="eastAsia"/>
                      <w:color w:val="auto"/>
                      <w:sz w:val="18"/>
                      <w:szCs w:val="18"/>
                    </w:rPr>
                    <w:t>4.5</w:t>
                  </w:r>
                </w:p>
              </w:tc>
              <w:tc>
                <w:tcPr>
                  <w:tcW w:w="742"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Align w:val="center"/>
                </w:tcPr>
                <w:p>
                  <w:pPr>
                    <w:pStyle w:val="8"/>
                    <w:spacing w:after="0" w:line="280" w:lineRule="exact"/>
                    <w:ind w:left="0" w:leftChars="0"/>
                    <w:jc w:val="center"/>
                    <w:rPr>
                      <w:color w:val="auto"/>
                      <w:sz w:val="18"/>
                      <w:szCs w:val="18"/>
                    </w:rPr>
                  </w:pPr>
                  <w:r>
                    <w:rPr>
                      <w:rFonts w:hint="eastAsia"/>
                      <w:color w:val="auto"/>
                      <w:sz w:val="18"/>
                      <w:szCs w:val="18"/>
                    </w:rPr>
                    <w:t>路面宽度</w:t>
                  </w:r>
                </w:p>
              </w:tc>
              <w:tc>
                <w:tcPr>
                  <w:tcW w:w="608" w:type="pct"/>
                  <w:vAlign w:val="center"/>
                </w:tcPr>
                <w:p>
                  <w:pPr>
                    <w:pStyle w:val="8"/>
                    <w:spacing w:after="0" w:line="280" w:lineRule="exact"/>
                    <w:ind w:left="0" w:leftChars="0"/>
                    <w:jc w:val="center"/>
                    <w:rPr>
                      <w:color w:val="auto"/>
                      <w:sz w:val="18"/>
                      <w:szCs w:val="18"/>
                    </w:rPr>
                  </w:pPr>
                  <w:r>
                    <w:rPr>
                      <w:rFonts w:hint="eastAsia"/>
                      <w:color w:val="auto"/>
                      <w:sz w:val="18"/>
                      <w:szCs w:val="18"/>
                    </w:rPr>
                    <w:t>米</w:t>
                  </w:r>
                </w:p>
              </w:tc>
              <w:tc>
                <w:tcPr>
                  <w:tcW w:w="521" w:type="pct"/>
                  <w:vAlign w:val="center"/>
                </w:tcPr>
                <w:p>
                  <w:pPr>
                    <w:pStyle w:val="8"/>
                    <w:spacing w:after="0" w:line="280" w:lineRule="exact"/>
                    <w:ind w:left="0" w:leftChars="0"/>
                    <w:jc w:val="center"/>
                    <w:rPr>
                      <w:color w:val="auto"/>
                      <w:sz w:val="18"/>
                      <w:szCs w:val="18"/>
                    </w:rPr>
                  </w:pPr>
                  <w:r>
                    <w:rPr>
                      <w:color w:val="auto"/>
                      <w:sz w:val="18"/>
                      <w:szCs w:val="18"/>
                    </w:rPr>
                    <w:t>6.0/3.5</w:t>
                  </w:r>
                </w:p>
              </w:tc>
              <w:tc>
                <w:tcPr>
                  <w:tcW w:w="696" w:type="pct"/>
                  <w:vAlign w:val="center"/>
                </w:tcPr>
                <w:p>
                  <w:pPr>
                    <w:pStyle w:val="8"/>
                    <w:spacing w:after="0" w:line="280" w:lineRule="exact"/>
                    <w:ind w:left="0" w:leftChars="0"/>
                    <w:jc w:val="center"/>
                    <w:rPr>
                      <w:color w:val="auto"/>
                      <w:sz w:val="18"/>
                      <w:szCs w:val="18"/>
                    </w:rPr>
                  </w:pPr>
                  <w:r>
                    <w:rPr>
                      <w:rFonts w:hint="eastAsia"/>
                      <w:color w:val="auto"/>
                      <w:sz w:val="18"/>
                      <w:szCs w:val="18"/>
                    </w:rPr>
                    <w:t>3.5</w:t>
                  </w:r>
                </w:p>
              </w:tc>
              <w:tc>
                <w:tcPr>
                  <w:tcW w:w="521" w:type="pct"/>
                  <w:vAlign w:val="center"/>
                </w:tcPr>
                <w:p>
                  <w:pPr>
                    <w:pStyle w:val="8"/>
                    <w:spacing w:after="0" w:line="280" w:lineRule="exact"/>
                    <w:ind w:left="0" w:leftChars="0"/>
                    <w:jc w:val="center"/>
                    <w:rPr>
                      <w:color w:val="auto"/>
                      <w:sz w:val="18"/>
                      <w:szCs w:val="18"/>
                    </w:rPr>
                  </w:pPr>
                  <w:r>
                    <w:rPr>
                      <w:rFonts w:hint="eastAsia"/>
                      <w:color w:val="auto"/>
                      <w:sz w:val="18"/>
                      <w:szCs w:val="18"/>
                    </w:rPr>
                    <w:t>3.5</w:t>
                  </w:r>
                </w:p>
              </w:tc>
              <w:tc>
                <w:tcPr>
                  <w:tcW w:w="612" w:type="pct"/>
                  <w:vAlign w:val="center"/>
                </w:tcPr>
                <w:p>
                  <w:pPr>
                    <w:pStyle w:val="8"/>
                    <w:spacing w:after="0" w:line="280" w:lineRule="exact"/>
                    <w:ind w:left="0" w:leftChars="0"/>
                    <w:jc w:val="center"/>
                    <w:rPr>
                      <w:color w:val="auto"/>
                      <w:sz w:val="18"/>
                      <w:szCs w:val="18"/>
                    </w:rPr>
                  </w:pPr>
                  <w:r>
                    <w:rPr>
                      <w:rFonts w:hint="eastAsia"/>
                      <w:color w:val="auto"/>
                      <w:sz w:val="18"/>
                      <w:szCs w:val="18"/>
                    </w:rPr>
                    <w:t>3.5</w:t>
                  </w:r>
                </w:p>
              </w:tc>
              <w:tc>
                <w:tcPr>
                  <w:tcW w:w="742"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Align w:val="center"/>
                </w:tcPr>
                <w:p>
                  <w:pPr>
                    <w:pStyle w:val="8"/>
                    <w:spacing w:after="0" w:line="280" w:lineRule="exact"/>
                    <w:ind w:left="0" w:leftChars="0"/>
                    <w:jc w:val="center"/>
                    <w:rPr>
                      <w:color w:val="auto"/>
                      <w:sz w:val="18"/>
                      <w:szCs w:val="18"/>
                    </w:rPr>
                  </w:pPr>
                  <w:r>
                    <w:rPr>
                      <w:rFonts w:hint="eastAsia"/>
                      <w:color w:val="auto"/>
                      <w:sz w:val="18"/>
                      <w:szCs w:val="18"/>
                    </w:rPr>
                    <w:t>设计荷载等级</w:t>
                  </w:r>
                </w:p>
              </w:tc>
              <w:tc>
                <w:tcPr>
                  <w:tcW w:w="608" w:type="pct"/>
                  <w:vAlign w:val="center"/>
                </w:tcPr>
                <w:p>
                  <w:pPr>
                    <w:pStyle w:val="8"/>
                    <w:spacing w:after="0" w:line="280" w:lineRule="exact"/>
                    <w:ind w:left="0" w:leftChars="0"/>
                    <w:jc w:val="center"/>
                    <w:rPr>
                      <w:color w:val="auto"/>
                      <w:sz w:val="18"/>
                      <w:szCs w:val="18"/>
                    </w:rPr>
                  </w:pPr>
                </w:p>
              </w:tc>
              <w:tc>
                <w:tcPr>
                  <w:tcW w:w="521" w:type="pct"/>
                  <w:vAlign w:val="center"/>
                </w:tcPr>
                <w:p>
                  <w:pPr>
                    <w:pStyle w:val="8"/>
                    <w:spacing w:after="0" w:line="280" w:lineRule="exact"/>
                    <w:ind w:left="0" w:leftChars="0"/>
                    <w:jc w:val="center"/>
                    <w:rPr>
                      <w:color w:val="auto"/>
                      <w:sz w:val="18"/>
                      <w:szCs w:val="18"/>
                    </w:rPr>
                  </w:pPr>
                </w:p>
              </w:tc>
              <w:tc>
                <w:tcPr>
                  <w:tcW w:w="696" w:type="pct"/>
                  <w:vAlign w:val="center"/>
                </w:tcPr>
                <w:p>
                  <w:pPr>
                    <w:pStyle w:val="8"/>
                    <w:spacing w:after="0" w:line="280" w:lineRule="exact"/>
                    <w:ind w:left="0" w:leftChars="0"/>
                    <w:jc w:val="center"/>
                    <w:rPr>
                      <w:color w:val="auto"/>
                      <w:sz w:val="18"/>
                      <w:szCs w:val="18"/>
                    </w:rPr>
                  </w:pPr>
                  <w:r>
                    <w:rPr>
                      <w:rFonts w:hint="eastAsia"/>
                      <w:color w:val="auto"/>
                      <w:sz w:val="18"/>
                      <w:szCs w:val="18"/>
                    </w:rPr>
                    <w:t>公路-Ⅱ级</w:t>
                  </w:r>
                </w:p>
              </w:tc>
              <w:tc>
                <w:tcPr>
                  <w:tcW w:w="521" w:type="pct"/>
                  <w:vAlign w:val="center"/>
                </w:tcPr>
                <w:p>
                  <w:pPr>
                    <w:pStyle w:val="8"/>
                    <w:spacing w:after="0" w:line="280" w:lineRule="exact"/>
                    <w:ind w:left="0" w:leftChars="0"/>
                    <w:jc w:val="center"/>
                    <w:rPr>
                      <w:color w:val="auto"/>
                      <w:sz w:val="18"/>
                      <w:szCs w:val="18"/>
                    </w:rPr>
                  </w:pPr>
                </w:p>
              </w:tc>
              <w:tc>
                <w:tcPr>
                  <w:tcW w:w="612" w:type="pct"/>
                  <w:vAlign w:val="center"/>
                </w:tcPr>
                <w:p>
                  <w:pPr>
                    <w:pStyle w:val="8"/>
                    <w:spacing w:after="0" w:line="280" w:lineRule="exact"/>
                    <w:ind w:left="0" w:leftChars="0"/>
                    <w:jc w:val="center"/>
                    <w:rPr>
                      <w:color w:val="auto"/>
                      <w:sz w:val="18"/>
                      <w:szCs w:val="18"/>
                    </w:rPr>
                  </w:pPr>
                  <w:r>
                    <w:rPr>
                      <w:rFonts w:hint="eastAsia"/>
                      <w:color w:val="auto"/>
                      <w:sz w:val="18"/>
                      <w:szCs w:val="18"/>
                    </w:rPr>
                    <w:t>公路-Ⅱ级</w:t>
                  </w:r>
                </w:p>
              </w:tc>
              <w:tc>
                <w:tcPr>
                  <w:tcW w:w="742"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Align w:val="center"/>
                </w:tcPr>
                <w:p>
                  <w:pPr>
                    <w:pStyle w:val="8"/>
                    <w:spacing w:line="280" w:lineRule="exact"/>
                    <w:ind w:left="0" w:leftChars="0"/>
                    <w:jc w:val="center"/>
                    <w:rPr>
                      <w:color w:val="auto"/>
                      <w:sz w:val="18"/>
                      <w:szCs w:val="18"/>
                    </w:rPr>
                  </w:pPr>
                  <w:r>
                    <w:rPr>
                      <w:rFonts w:hint="eastAsia"/>
                      <w:color w:val="auto"/>
                      <w:sz w:val="18"/>
                      <w:szCs w:val="18"/>
                    </w:rPr>
                    <w:t>中桥设计洪水频率</w:t>
                  </w:r>
                </w:p>
              </w:tc>
              <w:tc>
                <w:tcPr>
                  <w:tcW w:w="608" w:type="pct"/>
                  <w:vAlign w:val="center"/>
                </w:tcPr>
                <w:p>
                  <w:pPr>
                    <w:pStyle w:val="8"/>
                    <w:spacing w:after="0" w:line="280" w:lineRule="exact"/>
                    <w:ind w:left="0" w:leftChars="0"/>
                    <w:jc w:val="center"/>
                    <w:rPr>
                      <w:color w:val="auto"/>
                      <w:sz w:val="18"/>
                      <w:szCs w:val="18"/>
                    </w:rPr>
                  </w:pPr>
                </w:p>
              </w:tc>
              <w:tc>
                <w:tcPr>
                  <w:tcW w:w="521" w:type="pct"/>
                  <w:vAlign w:val="center"/>
                </w:tcPr>
                <w:p>
                  <w:pPr>
                    <w:pStyle w:val="8"/>
                    <w:spacing w:after="0" w:line="280" w:lineRule="exact"/>
                    <w:ind w:left="0" w:leftChars="0"/>
                    <w:jc w:val="center"/>
                    <w:rPr>
                      <w:color w:val="auto"/>
                      <w:sz w:val="18"/>
                      <w:szCs w:val="18"/>
                    </w:rPr>
                  </w:pPr>
                </w:p>
              </w:tc>
              <w:tc>
                <w:tcPr>
                  <w:tcW w:w="696" w:type="pct"/>
                  <w:vAlign w:val="center"/>
                </w:tcPr>
                <w:p>
                  <w:pPr>
                    <w:pStyle w:val="8"/>
                    <w:spacing w:after="0" w:line="280" w:lineRule="exact"/>
                    <w:ind w:left="0" w:leftChars="0"/>
                    <w:jc w:val="center"/>
                    <w:rPr>
                      <w:color w:val="auto"/>
                      <w:sz w:val="18"/>
                      <w:szCs w:val="18"/>
                    </w:rPr>
                  </w:pPr>
                  <w:r>
                    <w:rPr>
                      <w:color w:val="auto"/>
                      <w:sz w:val="18"/>
                      <w:szCs w:val="18"/>
                    </w:rPr>
                    <w:t>1/50</w:t>
                  </w:r>
                </w:p>
              </w:tc>
              <w:tc>
                <w:tcPr>
                  <w:tcW w:w="521" w:type="pct"/>
                  <w:vAlign w:val="center"/>
                </w:tcPr>
                <w:p>
                  <w:pPr>
                    <w:pStyle w:val="8"/>
                    <w:spacing w:after="0" w:line="280" w:lineRule="exact"/>
                    <w:ind w:left="0" w:leftChars="0"/>
                    <w:jc w:val="center"/>
                    <w:rPr>
                      <w:color w:val="auto"/>
                      <w:sz w:val="18"/>
                      <w:szCs w:val="18"/>
                    </w:rPr>
                  </w:pPr>
                </w:p>
              </w:tc>
              <w:tc>
                <w:tcPr>
                  <w:tcW w:w="612" w:type="pct"/>
                  <w:vAlign w:val="center"/>
                </w:tcPr>
                <w:p>
                  <w:pPr>
                    <w:pStyle w:val="8"/>
                    <w:spacing w:after="0" w:line="280" w:lineRule="exact"/>
                    <w:ind w:left="0" w:leftChars="0"/>
                    <w:jc w:val="center"/>
                    <w:rPr>
                      <w:color w:val="auto"/>
                      <w:sz w:val="18"/>
                      <w:szCs w:val="18"/>
                    </w:rPr>
                  </w:pPr>
                  <w:r>
                    <w:rPr>
                      <w:color w:val="auto"/>
                      <w:sz w:val="18"/>
                      <w:szCs w:val="18"/>
                    </w:rPr>
                    <w:t>1/50</w:t>
                  </w:r>
                </w:p>
              </w:tc>
              <w:tc>
                <w:tcPr>
                  <w:tcW w:w="742" w:type="pct"/>
                  <w:vAlign w:val="center"/>
                </w:tcPr>
                <w:p>
                  <w:pPr>
                    <w:pStyle w:val="8"/>
                    <w:spacing w:after="0" w:line="280" w:lineRule="exact"/>
                    <w:ind w:left="0" w:leftChars="0"/>
                    <w:jc w:val="center"/>
                    <w:rPr>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1300" w:type="pct"/>
                  <w:vAlign w:val="center"/>
                </w:tcPr>
                <w:p>
                  <w:pPr>
                    <w:pStyle w:val="8"/>
                    <w:spacing w:line="280" w:lineRule="exact"/>
                    <w:ind w:left="0" w:leftChars="0"/>
                    <w:jc w:val="center"/>
                    <w:rPr>
                      <w:color w:val="auto"/>
                      <w:sz w:val="18"/>
                      <w:szCs w:val="18"/>
                    </w:rPr>
                  </w:pPr>
                  <w:r>
                    <w:rPr>
                      <w:rFonts w:hint="eastAsia"/>
                      <w:color w:val="auto"/>
                      <w:sz w:val="18"/>
                      <w:szCs w:val="18"/>
                    </w:rPr>
                    <w:t>涵洞及小型排水洪水频率</w:t>
                  </w:r>
                </w:p>
              </w:tc>
              <w:tc>
                <w:tcPr>
                  <w:tcW w:w="608" w:type="pct"/>
                  <w:vAlign w:val="center"/>
                </w:tcPr>
                <w:p>
                  <w:pPr>
                    <w:pStyle w:val="8"/>
                    <w:spacing w:after="0" w:line="280" w:lineRule="exact"/>
                    <w:ind w:left="0" w:leftChars="0"/>
                    <w:jc w:val="center"/>
                    <w:rPr>
                      <w:color w:val="auto"/>
                      <w:sz w:val="18"/>
                      <w:szCs w:val="18"/>
                    </w:rPr>
                  </w:pPr>
                </w:p>
              </w:tc>
              <w:tc>
                <w:tcPr>
                  <w:tcW w:w="521" w:type="pct"/>
                  <w:vAlign w:val="center"/>
                </w:tcPr>
                <w:p>
                  <w:pPr>
                    <w:pStyle w:val="8"/>
                    <w:spacing w:after="0" w:line="280" w:lineRule="exact"/>
                    <w:ind w:left="0" w:leftChars="0"/>
                    <w:jc w:val="center"/>
                    <w:rPr>
                      <w:color w:val="auto"/>
                      <w:sz w:val="18"/>
                      <w:szCs w:val="18"/>
                    </w:rPr>
                  </w:pPr>
                  <w:r>
                    <w:rPr>
                      <w:color w:val="auto"/>
                      <w:sz w:val="18"/>
                      <w:szCs w:val="18"/>
                    </w:rPr>
                    <w:t>1/25</w:t>
                  </w:r>
                </w:p>
              </w:tc>
              <w:tc>
                <w:tcPr>
                  <w:tcW w:w="696" w:type="pct"/>
                  <w:vAlign w:val="center"/>
                </w:tcPr>
                <w:p>
                  <w:pPr>
                    <w:pStyle w:val="8"/>
                    <w:spacing w:after="0" w:line="280" w:lineRule="exact"/>
                    <w:ind w:left="0" w:leftChars="0"/>
                    <w:jc w:val="center"/>
                    <w:rPr>
                      <w:color w:val="auto"/>
                      <w:sz w:val="18"/>
                      <w:szCs w:val="18"/>
                    </w:rPr>
                  </w:pPr>
                  <w:r>
                    <w:rPr>
                      <w:color w:val="auto"/>
                      <w:sz w:val="18"/>
                      <w:szCs w:val="18"/>
                    </w:rPr>
                    <w:t>1/25</w:t>
                  </w:r>
                </w:p>
              </w:tc>
              <w:tc>
                <w:tcPr>
                  <w:tcW w:w="521" w:type="pct"/>
                  <w:vAlign w:val="center"/>
                </w:tcPr>
                <w:p>
                  <w:pPr>
                    <w:pStyle w:val="8"/>
                    <w:spacing w:after="0" w:line="280" w:lineRule="exact"/>
                    <w:ind w:left="0" w:leftChars="0"/>
                    <w:jc w:val="center"/>
                    <w:rPr>
                      <w:color w:val="auto"/>
                      <w:sz w:val="18"/>
                      <w:szCs w:val="18"/>
                    </w:rPr>
                  </w:pPr>
                  <w:r>
                    <w:rPr>
                      <w:color w:val="auto"/>
                      <w:sz w:val="18"/>
                      <w:szCs w:val="18"/>
                    </w:rPr>
                    <w:t>1/15</w:t>
                  </w:r>
                </w:p>
              </w:tc>
              <w:tc>
                <w:tcPr>
                  <w:tcW w:w="612" w:type="pct"/>
                  <w:vAlign w:val="center"/>
                </w:tcPr>
                <w:p>
                  <w:pPr>
                    <w:pStyle w:val="8"/>
                    <w:spacing w:after="0" w:line="280" w:lineRule="exact"/>
                    <w:ind w:left="0" w:leftChars="0"/>
                    <w:jc w:val="center"/>
                    <w:rPr>
                      <w:color w:val="auto"/>
                      <w:sz w:val="18"/>
                      <w:szCs w:val="18"/>
                    </w:rPr>
                  </w:pPr>
                  <w:r>
                    <w:rPr>
                      <w:color w:val="auto"/>
                      <w:sz w:val="18"/>
                      <w:szCs w:val="18"/>
                    </w:rPr>
                    <w:t>1/15</w:t>
                  </w:r>
                </w:p>
              </w:tc>
              <w:tc>
                <w:tcPr>
                  <w:tcW w:w="742" w:type="pct"/>
                  <w:vAlign w:val="center"/>
                </w:tcPr>
                <w:p>
                  <w:pPr>
                    <w:pStyle w:val="8"/>
                    <w:spacing w:after="0" w:line="280" w:lineRule="exact"/>
                    <w:ind w:left="0" w:leftChars="0"/>
                    <w:jc w:val="center"/>
                    <w:rPr>
                      <w:color w:val="auto"/>
                      <w:sz w:val="18"/>
                      <w:szCs w:val="18"/>
                    </w:rPr>
                  </w:pPr>
                </w:p>
              </w:tc>
            </w:tr>
          </w:tbl>
          <w:p>
            <w:pPr>
              <w:adjustRightInd w:val="0"/>
              <w:snapToGrid w:val="0"/>
              <w:spacing w:line="360" w:lineRule="auto"/>
              <w:ind w:firstLine="420" w:firstLineChars="200"/>
              <w:rPr>
                <w:rFonts w:ascii="宋体" w:hAnsi="宋体" w:cs="宋体"/>
                <w:color w:val="auto"/>
                <w:kern w:val="0"/>
                <w:szCs w:val="21"/>
              </w:rPr>
            </w:pP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项目组成及主要环境问题见表</w:t>
            </w:r>
            <w:r>
              <w:rPr>
                <w:rFonts w:ascii="宋体" w:hAnsi="宋体" w:cs="宋体"/>
                <w:color w:val="auto"/>
                <w:kern w:val="0"/>
                <w:szCs w:val="21"/>
              </w:rPr>
              <w:t>2-</w:t>
            </w:r>
            <w:r>
              <w:rPr>
                <w:rFonts w:hint="eastAsia" w:ascii="宋体" w:hAnsi="宋体" w:cs="宋体"/>
                <w:color w:val="auto"/>
                <w:kern w:val="0"/>
                <w:szCs w:val="21"/>
              </w:rPr>
              <w:t>4。</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表2-4</w:t>
            </w:r>
            <w:r>
              <w:rPr>
                <w:rFonts w:ascii="宋体" w:hAnsi="宋体" w:cs="宋体"/>
                <w:b/>
                <w:bCs/>
                <w:color w:val="auto"/>
                <w:kern w:val="0"/>
                <w:sz w:val="18"/>
                <w:szCs w:val="18"/>
              </w:rPr>
              <w:t xml:space="preserve"> </w:t>
            </w:r>
            <w:r>
              <w:rPr>
                <w:rFonts w:hint="eastAsia" w:ascii="宋体" w:hAnsi="宋体" w:cs="宋体"/>
                <w:b/>
                <w:bCs/>
                <w:color w:val="auto"/>
                <w:kern w:val="0"/>
                <w:sz w:val="18"/>
                <w:szCs w:val="18"/>
              </w:rPr>
              <w:t>项目组成及主要环境问题</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156"/>
              <w:gridCol w:w="3827"/>
              <w:gridCol w:w="991"/>
              <w:gridCol w:w="852"/>
              <w:gridCol w:w="6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restart"/>
                  <w:vAlign w:val="center"/>
                </w:tcPr>
                <w:p>
                  <w:pPr>
                    <w:spacing w:line="276" w:lineRule="auto"/>
                    <w:jc w:val="center"/>
                    <w:rPr>
                      <w:color w:val="auto"/>
                      <w:kern w:val="0"/>
                      <w:sz w:val="18"/>
                      <w:szCs w:val="18"/>
                    </w:rPr>
                  </w:pPr>
                  <w:r>
                    <w:rPr>
                      <w:rFonts w:hint="eastAsia"/>
                      <w:color w:val="auto"/>
                      <w:kern w:val="0"/>
                      <w:sz w:val="18"/>
                      <w:szCs w:val="18"/>
                    </w:rPr>
                    <w:t>类别</w:t>
                  </w:r>
                </w:p>
              </w:tc>
              <w:tc>
                <w:tcPr>
                  <w:tcW w:w="3052" w:type="pct"/>
                  <w:gridSpan w:val="2"/>
                  <w:vMerge w:val="restart"/>
                  <w:vAlign w:val="center"/>
                </w:tcPr>
                <w:p>
                  <w:pPr>
                    <w:spacing w:line="276" w:lineRule="auto"/>
                    <w:jc w:val="center"/>
                    <w:rPr>
                      <w:color w:val="auto"/>
                      <w:kern w:val="0"/>
                      <w:sz w:val="18"/>
                      <w:szCs w:val="18"/>
                    </w:rPr>
                  </w:pPr>
                  <w:r>
                    <w:rPr>
                      <w:rFonts w:hint="eastAsia"/>
                      <w:color w:val="auto"/>
                      <w:kern w:val="0"/>
                      <w:sz w:val="18"/>
                      <w:szCs w:val="18"/>
                    </w:rPr>
                    <w:t>建设内容</w:t>
                  </w:r>
                </w:p>
              </w:tc>
              <w:tc>
                <w:tcPr>
                  <w:tcW w:w="1129" w:type="pct"/>
                  <w:gridSpan w:val="2"/>
                  <w:vAlign w:val="center"/>
                </w:tcPr>
                <w:p>
                  <w:pPr>
                    <w:spacing w:line="276" w:lineRule="auto"/>
                    <w:jc w:val="center"/>
                    <w:rPr>
                      <w:color w:val="auto"/>
                      <w:kern w:val="0"/>
                      <w:sz w:val="18"/>
                      <w:szCs w:val="18"/>
                    </w:rPr>
                  </w:pPr>
                  <w:r>
                    <w:rPr>
                      <w:rFonts w:hint="eastAsia"/>
                      <w:color w:val="auto"/>
                      <w:kern w:val="0"/>
                      <w:sz w:val="18"/>
                      <w:szCs w:val="18"/>
                    </w:rPr>
                    <w:t>主要环境问题</w:t>
                  </w:r>
                </w:p>
              </w:tc>
              <w:tc>
                <w:tcPr>
                  <w:tcW w:w="397" w:type="pct"/>
                  <w:vMerge w:val="restart"/>
                  <w:vAlign w:val="center"/>
                </w:tcPr>
                <w:p>
                  <w:pPr>
                    <w:spacing w:line="276" w:lineRule="auto"/>
                    <w:jc w:val="center"/>
                    <w:rPr>
                      <w:color w:val="auto"/>
                      <w:kern w:val="0"/>
                      <w:sz w:val="18"/>
                      <w:szCs w:val="18"/>
                    </w:rPr>
                  </w:pPr>
                  <w:r>
                    <w:rPr>
                      <w:rFonts w:hint="eastAsia"/>
                      <w:color w:val="auto"/>
                      <w:kern w:val="0"/>
                      <w:sz w:val="18"/>
                      <w:szCs w:val="18"/>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3052" w:type="pct"/>
                  <w:gridSpan w:val="2"/>
                  <w:vMerge w:val="continue"/>
                  <w:vAlign w:val="center"/>
                </w:tcPr>
                <w:p>
                  <w:pPr>
                    <w:spacing w:line="276" w:lineRule="auto"/>
                    <w:jc w:val="center"/>
                    <w:rPr>
                      <w:color w:val="auto"/>
                      <w:kern w:val="0"/>
                      <w:sz w:val="18"/>
                      <w:szCs w:val="18"/>
                    </w:rPr>
                  </w:pPr>
                </w:p>
              </w:tc>
              <w:tc>
                <w:tcPr>
                  <w:tcW w:w="607" w:type="pct"/>
                  <w:vAlign w:val="center"/>
                </w:tcPr>
                <w:p>
                  <w:pPr>
                    <w:spacing w:line="276" w:lineRule="auto"/>
                    <w:jc w:val="center"/>
                    <w:rPr>
                      <w:color w:val="auto"/>
                      <w:kern w:val="0"/>
                      <w:sz w:val="18"/>
                      <w:szCs w:val="18"/>
                    </w:rPr>
                  </w:pPr>
                  <w:r>
                    <w:rPr>
                      <w:rFonts w:hint="eastAsia"/>
                      <w:color w:val="auto"/>
                      <w:kern w:val="0"/>
                      <w:sz w:val="18"/>
                      <w:szCs w:val="18"/>
                    </w:rPr>
                    <w:t>施工期</w:t>
                  </w:r>
                </w:p>
              </w:tc>
              <w:tc>
                <w:tcPr>
                  <w:tcW w:w="522" w:type="pct"/>
                  <w:vAlign w:val="center"/>
                </w:tcPr>
                <w:p>
                  <w:pPr>
                    <w:spacing w:line="276" w:lineRule="auto"/>
                    <w:jc w:val="center"/>
                    <w:rPr>
                      <w:color w:val="auto"/>
                      <w:kern w:val="0"/>
                      <w:sz w:val="18"/>
                      <w:szCs w:val="18"/>
                    </w:rPr>
                  </w:pPr>
                  <w:r>
                    <w:rPr>
                      <w:rFonts w:hint="eastAsia"/>
                      <w:color w:val="auto"/>
                      <w:kern w:val="0"/>
                      <w:sz w:val="18"/>
                      <w:szCs w:val="18"/>
                    </w:rPr>
                    <w:t>运营期</w:t>
                  </w:r>
                </w:p>
              </w:tc>
              <w:tc>
                <w:tcPr>
                  <w:tcW w:w="397" w:type="pct"/>
                  <w:vMerge w:val="continue"/>
                  <w:vAlign w:val="center"/>
                </w:tcPr>
                <w:p>
                  <w:pPr>
                    <w:spacing w:line="276" w:lineRule="auto"/>
                    <w:jc w:val="center"/>
                    <w:rPr>
                      <w:color w:val="auto"/>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23" w:type="pct"/>
                  <w:vMerge w:val="restart"/>
                  <w:vAlign w:val="center"/>
                </w:tcPr>
                <w:p>
                  <w:pPr>
                    <w:spacing w:line="276" w:lineRule="auto"/>
                    <w:jc w:val="center"/>
                    <w:rPr>
                      <w:color w:val="auto"/>
                      <w:kern w:val="0"/>
                      <w:sz w:val="18"/>
                      <w:szCs w:val="18"/>
                    </w:rPr>
                  </w:pPr>
                  <w:r>
                    <w:rPr>
                      <w:rFonts w:hint="eastAsia"/>
                      <w:color w:val="auto"/>
                      <w:kern w:val="0"/>
                      <w:sz w:val="18"/>
                      <w:szCs w:val="18"/>
                    </w:rPr>
                    <w:t>主体工程</w:t>
                  </w:r>
                </w:p>
              </w:tc>
              <w:tc>
                <w:tcPr>
                  <w:tcW w:w="708" w:type="pct"/>
                  <w:vAlign w:val="center"/>
                </w:tcPr>
                <w:p>
                  <w:pPr>
                    <w:spacing w:line="276" w:lineRule="auto"/>
                    <w:jc w:val="center"/>
                    <w:rPr>
                      <w:color w:val="auto"/>
                      <w:kern w:val="0"/>
                      <w:sz w:val="18"/>
                      <w:szCs w:val="18"/>
                    </w:rPr>
                  </w:pPr>
                  <w:r>
                    <w:rPr>
                      <w:rFonts w:hint="eastAsia"/>
                      <w:color w:val="auto"/>
                      <w:kern w:val="0"/>
                      <w:sz w:val="18"/>
                      <w:szCs w:val="18"/>
                    </w:rPr>
                    <w:t>矿山开采作业区</w:t>
                  </w:r>
                </w:p>
              </w:tc>
              <w:tc>
                <w:tcPr>
                  <w:tcW w:w="2344" w:type="pct"/>
                  <w:vAlign w:val="center"/>
                </w:tcPr>
                <w:p>
                  <w:pPr>
                    <w:spacing w:line="276" w:lineRule="auto"/>
                    <w:jc w:val="center"/>
                    <w:rPr>
                      <w:color w:val="auto"/>
                      <w:kern w:val="0"/>
                      <w:sz w:val="18"/>
                      <w:szCs w:val="18"/>
                    </w:rPr>
                  </w:pPr>
                  <w:r>
                    <w:rPr>
                      <w:rFonts w:hint="eastAsia"/>
                      <w:color w:val="auto"/>
                      <w:kern w:val="0"/>
                      <w:sz w:val="18"/>
                      <w:szCs w:val="18"/>
                    </w:rPr>
                    <w:t>矿区面积</w:t>
                  </w:r>
                  <w:r>
                    <w:rPr>
                      <w:color w:val="auto"/>
                      <w:kern w:val="0"/>
                      <w:sz w:val="18"/>
                      <w:szCs w:val="18"/>
                    </w:rPr>
                    <w:t>0.3756km</w:t>
                  </w:r>
                  <w:r>
                    <w:rPr>
                      <w:color w:val="auto"/>
                      <w:kern w:val="0"/>
                      <w:sz w:val="18"/>
                      <w:szCs w:val="18"/>
                      <w:vertAlign w:val="superscript"/>
                    </w:rPr>
                    <w:t>2</w:t>
                  </w:r>
                  <w:r>
                    <w:rPr>
                      <w:rFonts w:hint="eastAsia"/>
                      <w:color w:val="auto"/>
                      <w:kern w:val="0"/>
                      <w:sz w:val="18"/>
                      <w:szCs w:val="18"/>
                    </w:rPr>
                    <w:t>，由8个拐点圈定，开采标高+1369m～+1170m，年建筑石料用灰岩、建筑用白云岩矿250万吨；采用露天开采，自上而下的组合台阶法，单个台阶高约15m，拟设置13个台阶，</w:t>
                  </w:r>
                  <w:r>
                    <w:rPr>
                      <w:rFonts w:hint="eastAsia"/>
                      <w:color w:val="auto"/>
                      <w:sz w:val="18"/>
                      <w:szCs w:val="18"/>
                    </w:rPr>
                    <w:t>清扫平台</w:t>
                  </w:r>
                  <w:r>
                    <w:rPr>
                      <w:rFonts w:hint="eastAsia"/>
                      <w:color w:val="auto"/>
                      <w:kern w:val="0"/>
                      <w:sz w:val="18"/>
                      <w:szCs w:val="18"/>
                    </w:rPr>
                    <w:t>宽度为12m；</w:t>
                  </w:r>
                  <w:r>
                    <w:rPr>
                      <w:rFonts w:hint="eastAsia"/>
                      <w:color w:val="auto"/>
                      <w:sz w:val="18"/>
                      <w:szCs w:val="18"/>
                    </w:rPr>
                    <w:t>安全平台宽度</w:t>
                  </w:r>
                  <w:r>
                    <w:rPr>
                      <w:rFonts w:hint="eastAsia"/>
                      <w:color w:val="auto"/>
                      <w:kern w:val="0"/>
                      <w:sz w:val="18"/>
                      <w:szCs w:val="18"/>
                    </w:rPr>
                    <w:t>为5m；矿石采用公路开拓汽车运输方式。矿区不设原矿堆场，开采的矿石直接由汽车运至加工区。开采境界外周围建截排水沟。</w:t>
                  </w:r>
                </w:p>
              </w:tc>
              <w:tc>
                <w:tcPr>
                  <w:tcW w:w="607" w:type="pct"/>
                  <w:vMerge w:val="restart"/>
                  <w:vAlign w:val="center"/>
                </w:tcPr>
                <w:p>
                  <w:pPr>
                    <w:spacing w:line="280" w:lineRule="exact"/>
                    <w:ind w:left="-48" w:leftChars="-23" w:right="-48" w:rightChars="-23"/>
                    <w:jc w:val="center"/>
                    <w:rPr>
                      <w:color w:val="auto"/>
                      <w:spacing w:val="-8"/>
                      <w:sz w:val="18"/>
                      <w:szCs w:val="18"/>
                    </w:rPr>
                  </w:pPr>
                  <w:r>
                    <w:rPr>
                      <w:color w:val="auto"/>
                      <w:spacing w:val="-8"/>
                      <w:sz w:val="18"/>
                      <w:szCs w:val="18"/>
                    </w:rPr>
                    <w:t>噪声、</w:t>
                  </w:r>
                </w:p>
                <w:p>
                  <w:pPr>
                    <w:spacing w:line="280" w:lineRule="exact"/>
                    <w:ind w:left="-48" w:leftChars="-23" w:right="-48" w:rightChars="-23"/>
                    <w:jc w:val="center"/>
                    <w:rPr>
                      <w:color w:val="auto"/>
                      <w:spacing w:val="-8"/>
                      <w:sz w:val="18"/>
                      <w:szCs w:val="18"/>
                    </w:rPr>
                  </w:pPr>
                  <w:r>
                    <w:rPr>
                      <w:color w:val="auto"/>
                      <w:spacing w:val="-8"/>
                      <w:sz w:val="18"/>
                      <w:szCs w:val="18"/>
                    </w:rPr>
                    <w:t>扬尘、</w:t>
                  </w:r>
                </w:p>
                <w:p>
                  <w:pPr>
                    <w:spacing w:line="280" w:lineRule="exact"/>
                    <w:ind w:left="-48" w:leftChars="-23" w:right="-48" w:rightChars="-23"/>
                    <w:jc w:val="center"/>
                    <w:rPr>
                      <w:color w:val="auto"/>
                      <w:spacing w:val="-8"/>
                      <w:sz w:val="18"/>
                      <w:szCs w:val="18"/>
                    </w:rPr>
                  </w:pPr>
                  <w:r>
                    <w:rPr>
                      <w:color w:val="auto"/>
                      <w:spacing w:val="-8"/>
                      <w:sz w:val="18"/>
                      <w:szCs w:val="18"/>
                    </w:rPr>
                    <w:t>废水、</w:t>
                  </w:r>
                </w:p>
                <w:p>
                  <w:pPr>
                    <w:spacing w:line="276" w:lineRule="auto"/>
                    <w:jc w:val="center"/>
                    <w:rPr>
                      <w:color w:val="auto"/>
                      <w:kern w:val="0"/>
                      <w:sz w:val="18"/>
                      <w:szCs w:val="18"/>
                    </w:rPr>
                  </w:pPr>
                  <w:r>
                    <w:rPr>
                      <w:color w:val="auto"/>
                      <w:spacing w:val="-8"/>
                      <w:sz w:val="18"/>
                      <w:szCs w:val="18"/>
                    </w:rPr>
                    <w:t>固体废物、水土流失</w:t>
                  </w:r>
                </w:p>
              </w:tc>
              <w:tc>
                <w:tcPr>
                  <w:tcW w:w="522" w:type="pct"/>
                  <w:vAlign w:val="center"/>
                </w:tcPr>
                <w:p>
                  <w:pPr>
                    <w:spacing w:line="276" w:lineRule="auto"/>
                    <w:jc w:val="center"/>
                    <w:rPr>
                      <w:color w:val="auto"/>
                      <w:kern w:val="0"/>
                      <w:sz w:val="18"/>
                      <w:szCs w:val="18"/>
                    </w:rPr>
                  </w:pPr>
                  <w:r>
                    <w:rPr>
                      <w:color w:val="auto"/>
                      <w:sz w:val="18"/>
                      <w:szCs w:val="18"/>
                    </w:rPr>
                    <w:t>废气、噪声、固废、废水、水土流失等</w:t>
                  </w:r>
                </w:p>
              </w:tc>
              <w:tc>
                <w:tcPr>
                  <w:tcW w:w="397" w:type="pct"/>
                  <w:vMerge w:val="restar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23" w:type="pct"/>
                  <w:vMerge w:val="continue"/>
                  <w:vAlign w:val="center"/>
                </w:tcPr>
                <w:p>
                  <w:pPr>
                    <w:spacing w:line="276" w:lineRule="auto"/>
                    <w:jc w:val="center"/>
                    <w:rPr>
                      <w:color w:val="auto"/>
                      <w:kern w:val="0"/>
                      <w:sz w:val="18"/>
                      <w:szCs w:val="18"/>
                    </w:rPr>
                  </w:pPr>
                </w:p>
              </w:tc>
              <w:tc>
                <w:tcPr>
                  <w:tcW w:w="708" w:type="pct"/>
                  <w:vAlign w:val="center"/>
                </w:tcPr>
                <w:p>
                  <w:pPr>
                    <w:spacing w:line="276" w:lineRule="auto"/>
                    <w:jc w:val="center"/>
                    <w:rPr>
                      <w:color w:val="auto"/>
                      <w:kern w:val="0"/>
                      <w:sz w:val="18"/>
                      <w:szCs w:val="18"/>
                    </w:rPr>
                  </w:pPr>
                  <w:r>
                    <w:rPr>
                      <w:rFonts w:hint="eastAsia"/>
                      <w:color w:val="auto"/>
                      <w:kern w:val="0"/>
                      <w:sz w:val="18"/>
                      <w:szCs w:val="18"/>
                    </w:rPr>
                    <w:t>加工生产区</w:t>
                  </w:r>
                </w:p>
              </w:tc>
              <w:tc>
                <w:tcPr>
                  <w:tcW w:w="2344" w:type="pct"/>
                  <w:vAlign w:val="center"/>
                </w:tcPr>
                <w:p>
                  <w:pPr>
                    <w:spacing w:line="276" w:lineRule="auto"/>
                    <w:jc w:val="center"/>
                    <w:rPr>
                      <w:color w:val="auto"/>
                      <w:kern w:val="0"/>
                      <w:sz w:val="18"/>
                      <w:szCs w:val="18"/>
                    </w:rPr>
                  </w:pPr>
                  <w:r>
                    <w:rPr>
                      <w:rFonts w:hint="eastAsia"/>
                      <w:color w:val="auto"/>
                      <w:kern w:val="0"/>
                      <w:sz w:val="18"/>
                      <w:szCs w:val="18"/>
                    </w:rPr>
                    <w:t>加工区占地面积约176亩，位于露天采场北侧爆破警戒线范围外，破碎站卸料平台标高+1070m，矿石加工区标高+930m～+980m。加工生产区包含矿石生产场地、废料弃土场地、卸料平台及初碎车间、皮带走廊等，在一级、二级筛分机上方设置冲水装置，下方设置废水收集装置，筛分机后设置洗砂设备（螺旋洗砂机、脱水筛、尾砂回收机等）、废水处理设施及配套输送皮带等，形成“破碎+筛分+洗选”工艺，生产规模为250万吨/年。</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color w:val="auto"/>
                      <w:sz w:val="18"/>
                      <w:szCs w:val="18"/>
                    </w:rPr>
                    <w:t>废气、噪声、固废</w:t>
                  </w:r>
                </w:p>
              </w:tc>
              <w:tc>
                <w:tcPr>
                  <w:tcW w:w="397" w:type="pct"/>
                  <w:vMerge w:val="continue"/>
                  <w:vAlign w:val="center"/>
                </w:tcPr>
                <w:p>
                  <w:pPr>
                    <w:spacing w:line="276" w:lineRule="auto"/>
                    <w:jc w:val="center"/>
                    <w:rPr>
                      <w:color w:val="auto"/>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restart"/>
                  <w:vAlign w:val="center"/>
                </w:tcPr>
                <w:p>
                  <w:pPr>
                    <w:spacing w:line="276" w:lineRule="auto"/>
                    <w:jc w:val="center"/>
                    <w:rPr>
                      <w:color w:val="auto"/>
                      <w:kern w:val="0"/>
                      <w:sz w:val="18"/>
                      <w:szCs w:val="18"/>
                    </w:rPr>
                  </w:pPr>
                  <w:r>
                    <w:rPr>
                      <w:rFonts w:hint="eastAsia"/>
                      <w:color w:val="auto"/>
                      <w:kern w:val="0"/>
                      <w:sz w:val="18"/>
                      <w:szCs w:val="18"/>
                    </w:rPr>
                    <w:t>辅助工程</w:t>
                  </w:r>
                </w:p>
              </w:tc>
              <w:tc>
                <w:tcPr>
                  <w:tcW w:w="708" w:type="pct"/>
                  <w:vAlign w:val="center"/>
                </w:tcPr>
                <w:p>
                  <w:pPr>
                    <w:spacing w:line="276" w:lineRule="auto"/>
                    <w:jc w:val="center"/>
                    <w:rPr>
                      <w:color w:val="auto"/>
                      <w:kern w:val="0"/>
                      <w:sz w:val="18"/>
                      <w:szCs w:val="18"/>
                    </w:rPr>
                  </w:pPr>
                  <w:r>
                    <w:rPr>
                      <w:rFonts w:hint="eastAsia"/>
                      <w:color w:val="auto"/>
                      <w:kern w:val="0"/>
                      <w:sz w:val="18"/>
                      <w:szCs w:val="18"/>
                    </w:rPr>
                    <w:t>废料弃土场地</w:t>
                  </w:r>
                </w:p>
              </w:tc>
              <w:tc>
                <w:tcPr>
                  <w:tcW w:w="2344" w:type="pct"/>
                  <w:vAlign w:val="center"/>
                </w:tcPr>
                <w:p>
                  <w:pPr>
                    <w:spacing w:line="276" w:lineRule="auto"/>
                    <w:jc w:val="center"/>
                    <w:rPr>
                      <w:color w:val="auto"/>
                      <w:kern w:val="0"/>
                      <w:sz w:val="18"/>
                      <w:szCs w:val="18"/>
                    </w:rPr>
                  </w:pPr>
                  <w:r>
                    <w:rPr>
                      <w:rFonts w:hint="eastAsia"/>
                      <w:color w:val="auto"/>
                      <w:sz w:val="18"/>
                      <w:szCs w:val="18"/>
                    </w:rPr>
                    <w:t>设置在采场西北侧。堆排总高度约 45m，最高堆排标高+1230m，最低堆排标高+1185m，设计容积约</w:t>
                  </w:r>
                  <w:r>
                    <w:rPr>
                      <w:color w:val="auto"/>
                      <w:sz w:val="18"/>
                      <w:szCs w:val="18"/>
                    </w:rPr>
                    <w:t>14</w:t>
                  </w:r>
                  <w:r>
                    <w:rPr>
                      <w:rFonts w:hint="eastAsia"/>
                      <w:color w:val="auto"/>
                      <w:sz w:val="18"/>
                      <w:szCs w:val="18"/>
                    </w:rPr>
                    <w:t>万m</w:t>
                  </w:r>
                  <w:r>
                    <w:rPr>
                      <w:rFonts w:hint="eastAsia"/>
                      <w:color w:val="auto"/>
                      <w:sz w:val="18"/>
                      <w:szCs w:val="18"/>
                      <w:vertAlign w:val="superscript"/>
                    </w:rPr>
                    <w:t>3</w:t>
                  </w:r>
                  <w:r>
                    <w:rPr>
                      <w:rFonts w:hint="eastAsia"/>
                      <w:color w:val="auto"/>
                      <w:sz w:val="18"/>
                      <w:szCs w:val="18"/>
                    </w:rPr>
                    <w:t>。占地面积约24亩。用对堆放表土及弃石</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废气</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Align w:val="center"/>
                </w:tcPr>
                <w:p>
                  <w:pPr>
                    <w:spacing w:line="276" w:lineRule="auto"/>
                    <w:jc w:val="center"/>
                    <w:rPr>
                      <w:color w:val="auto"/>
                      <w:kern w:val="0"/>
                      <w:sz w:val="18"/>
                      <w:szCs w:val="18"/>
                    </w:rPr>
                  </w:pPr>
                  <w:r>
                    <w:rPr>
                      <w:rFonts w:hint="eastAsia"/>
                      <w:color w:val="auto"/>
                      <w:kern w:val="0"/>
                      <w:sz w:val="18"/>
                      <w:szCs w:val="18"/>
                    </w:rPr>
                    <w:t>空压机</w:t>
                  </w:r>
                </w:p>
              </w:tc>
              <w:tc>
                <w:tcPr>
                  <w:tcW w:w="2344" w:type="pct"/>
                  <w:vAlign w:val="center"/>
                </w:tcPr>
                <w:p>
                  <w:pPr>
                    <w:spacing w:line="276" w:lineRule="auto"/>
                    <w:jc w:val="center"/>
                    <w:rPr>
                      <w:color w:val="auto"/>
                      <w:sz w:val="18"/>
                      <w:szCs w:val="18"/>
                    </w:rPr>
                  </w:pPr>
                  <w:r>
                    <w:rPr>
                      <w:rFonts w:hint="eastAsia"/>
                      <w:color w:val="auto"/>
                      <w:sz w:val="18"/>
                      <w:szCs w:val="18"/>
                    </w:rPr>
                    <w:t>项目在矿山开采作业区设置2台6m³</w:t>
                  </w:r>
                  <w:r>
                    <w:rPr>
                      <w:color w:val="auto"/>
                      <w:sz w:val="18"/>
                      <w:szCs w:val="18"/>
                    </w:rPr>
                    <w:t>/</w:t>
                  </w:r>
                  <w:r>
                    <w:rPr>
                      <w:rFonts w:hint="eastAsia"/>
                      <w:color w:val="auto"/>
                      <w:sz w:val="18"/>
                      <w:szCs w:val="18"/>
                    </w:rPr>
                    <w:t>h的螺杆式空压机，在加工生产区设置1台</w:t>
                  </w:r>
                  <w:r>
                    <w:rPr>
                      <w:color w:val="auto"/>
                      <w:sz w:val="18"/>
                      <w:szCs w:val="18"/>
                    </w:rPr>
                    <w:t>3</w:t>
                  </w:r>
                  <w:r>
                    <w:rPr>
                      <w:rFonts w:hint="eastAsia"/>
                      <w:color w:val="auto"/>
                      <w:sz w:val="18"/>
                      <w:szCs w:val="18"/>
                    </w:rPr>
                    <w:t>m³</w:t>
                  </w:r>
                  <w:r>
                    <w:rPr>
                      <w:color w:val="auto"/>
                      <w:sz w:val="18"/>
                      <w:szCs w:val="18"/>
                    </w:rPr>
                    <w:t>/</w:t>
                  </w:r>
                  <w:r>
                    <w:rPr>
                      <w:rFonts w:hint="eastAsia"/>
                      <w:color w:val="auto"/>
                      <w:sz w:val="18"/>
                      <w:szCs w:val="18"/>
                    </w:rPr>
                    <w:t>h的螺杆式空压机，空压机设备设置移动设备间</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噪声</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Align w:val="center"/>
                </w:tcPr>
                <w:p>
                  <w:pPr>
                    <w:spacing w:line="276" w:lineRule="auto"/>
                    <w:jc w:val="center"/>
                    <w:rPr>
                      <w:color w:val="auto"/>
                      <w:kern w:val="0"/>
                      <w:sz w:val="18"/>
                      <w:szCs w:val="18"/>
                    </w:rPr>
                  </w:pPr>
                  <w:r>
                    <w:rPr>
                      <w:color w:val="auto"/>
                      <w:sz w:val="18"/>
                      <w:szCs w:val="18"/>
                    </w:rPr>
                    <w:t>地磅房</w:t>
                  </w:r>
                </w:p>
              </w:tc>
              <w:tc>
                <w:tcPr>
                  <w:tcW w:w="2344" w:type="pct"/>
                  <w:vAlign w:val="center"/>
                </w:tcPr>
                <w:p>
                  <w:pPr>
                    <w:spacing w:line="276" w:lineRule="auto"/>
                    <w:jc w:val="center"/>
                    <w:rPr>
                      <w:color w:val="auto"/>
                      <w:kern w:val="0"/>
                      <w:sz w:val="18"/>
                      <w:szCs w:val="18"/>
                    </w:rPr>
                  </w:pPr>
                  <w:r>
                    <w:rPr>
                      <w:rFonts w:hint="eastAsia"/>
                      <w:color w:val="auto"/>
                      <w:kern w:val="0"/>
                      <w:sz w:val="18"/>
                      <w:szCs w:val="18"/>
                    </w:rPr>
                    <w:t>加工区原料进口和产品出口分别安装1台100t的地磅</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噪声</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Align w:val="center"/>
                </w:tcPr>
                <w:p>
                  <w:pPr>
                    <w:spacing w:line="276" w:lineRule="auto"/>
                    <w:jc w:val="center"/>
                    <w:rPr>
                      <w:color w:val="auto"/>
                      <w:sz w:val="18"/>
                      <w:szCs w:val="18"/>
                    </w:rPr>
                  </w:pPr>
                  <w:r>
                    <w:rPr>
                      <w:color w:val="auto"/>
                      <w:sz w:val="18"/>
                      <w:szCs w:val="18"/>
                    </w:rPr>
                    <w:t>炸药库</w:t>
                  </w:r>
                </w:p>
              </w:tc>
              <w:tc>
                <w:tcPr>
                  <w:tcW w:w="2344" w:type="pct"/>
                  <w:vAlign w:val="center"/>
                </w:tcPr>
                <w:p>
                  <w:pPr>
                    <w:spacing w:line="276" w:lineRule="auto"/>
                    <w:jc w:val="center"/>
                    <w:rPr>
                      <w:color w:val="auto"/>
                      <w:kern w:val="0"/>
                      <w:sz w:val="18"/>
                      <w:szCs w:val="18"/>
                    </w:rPr>
                  </w:pPr>
                  <w:r>
                    <w:rPr>
                      <w:color w:val="auto"/>
                      <w:spacing w:val="-4"/>
                      <w:sz w:val="18"/>
                      <w:szCs w:val="18"/>
                    </w:rPr>
                    <w:t>项目矿区不设炸药库，每次爆破时由爆破公司带来</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restart"/>
                  <w:vAlign w:val="center"/>
                </w:tcPr>
                <w:p>
                  <w:pPr>
                    <w:spacing w:line="276" w:lineRule="auto"/>
                    <w:jc w:val="center"/>
                    <w:rPr>
                      <w:color w:val="auto"/>
                      <w:kern w:val="0"/>
                      <w:sz w:val="18"/>
                      <w:szCs w:val="18"/>
                    </w:rPr>
                  </w:pPr>
                  <w:r>
                    <w:rPr>
                      <w:rFonts w:hint="eastAsia"/>
                      <w:color w:val="auto"/>
                      <w:kern w:val="0"/>
                      <w:sz w:val="18"/>
                      <w:szCs w:val="18"/>
                    </w:rPr>
                    <w:t>储运工程</w:t>
                  </w:r>
                </w:p>
              </w:tc>
              <w:tc>
                <w:tcPr>
                  <w:tcW w:w="708" w:type="pct"/>
                  <w:vAlign w:val="center"/>
                </w:tcPr>
                <w:p>
                  <w:pPr>
                    <w:spacing w:line="280" w:lineRule="exact"/>
                    <w:ind w:left="-90" w:leftChars="-43" w:right="-90" w:rightChars="-43"/>
                    <w:jc w:val="center"/>
                    <w:rPr>
                      <w:color w:val="auto"/>
                      <w:sz w:val="18"/>
                      <w:szCs w:val="18"/>
                    </w:rPr>
                  </w:pPr>
                  <w:r>
                    <w:rPr>
                      <w:color w:val="auto"/>
                      <w:sz w:val="18"/>
                      <w:szCs w:val="18"/>
                    </w:rPr>
                    <w:t>对外运输道路</w:t>
                  </w:r>
                </w:p>
              </w:tc>
              <w:tc>
                <w:tcPr>
                  <w:tcW w:w="2344" w:type="pct"/>
                  <w:vAlign w:val="center"/>
                </w:tcPr>
                <w:p>
                  <w:pPr>
                    <w:spacing w:line="276" w:lineRule="auto"/>
                    <w:jc w:val="center"/>
                    <w:rPr>
                      <w:color w:val="auto"/>
                      <w:spacing w:val="-4"/>
                      <w:sz w:val="18"/>
                      <w:szCs w:val="18"/>
                    </w:rPr>
                  </w:pPr>
                  <w:r>
                    <w:rPr>
                      <w:rFonts w:hint="eastAsia"/>
                      <w:color w:val="auto"/>
                      <w:spacing w:val="-4"/>
                      <w:sz w:val="18"/>
                      <w:szCs w:val="18"/>
                    </w:rPr>
                    <w:t>矿区道路全长 4.19 km。S202-生产区路线长 3.0 km，道路等级：四级公路；路面宽度 3.5 米，路基宽度4.5 米，设计速度 20km/h，混凝土路面。生产区-矿区路线长 1.19 km，道路等级：四级公路（Ⅱ类）；路面宽度 3.5 米，路基宽度 4.5 米，设计速度 15km/h，土路基。</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噪声、废气</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Align w:val="center"/>
                </w:tcPr>
                <w:p>
                  <w:pPr>
                    <w:spacing w:line="280" w:lineRule="exact"/>
                    <w:ind w:left="-90" w:leftChars="-43" w:right="-90" w:rightChars="-43"/>
                    <w:jc w:val="center"/>
                    <w:rPr>
                      <w:color w:val="auto"/>
                      <w:sz w:val="18"/>
                      <w:szCs w:val="18"/>
                    </w:rPr>
                  </w:pPr>
                  <w:r>
                    <w:rPr>
                      <w:color w:val="auto"/>
                      <w:sz w:val="18"/>
                      <w:szCs w:val="18"/>
                    </w:rPr>
                    <w:t>内部运输道路</w:t>
                  </w:r>
                </w:p>
              </w:tc>
              <w:tc>
                <w:tcPr>
                  <w:tcW w:w="2344" w:type="pct"/>
                  <w:vAlign w:val="center"/>
                </w:tcPr>
                <w:p>
                  <w:pPr>
                    <w:spacing w:line="276" w:lineRule="auto"/>
                    <w:jc w:val="center"/>
                    <w:rPr>
                      <w:color w:val="auto"/>
                      <w:spacing w:val="-4"/>
                      <w:sz w:val="18"/>
                      <w:szCs w:val="18"/>
                    </w:rPr>
                  </w:pPr>
                  <w:r>
                    <w:rPr>
                      <w:color w:val="auto"/>
                      <w:sz w:val="18"/>
                      <w:szCs w:val="18"/>
                    </w:rPr>
                    <w:t>加工区内的道路进行硬化</w:t>
                  </w:r>
                  <w:r>
                    <w:rPr>
                      <w:rFonts w:hint="eastAsia"/>
                      <w:color w:val="auto"/>
                      <w:sz w:val="18"/>
                      <w:szCs w:val="18"/>
                    </w:rPr>
                    <w:t>处理</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Align w:val="center"/>
                </w:tcPr>
                <w:p>
                  <w:pPr>
                    <w:spacing w:line="280" w:lineRule="exact"/>
                    <w:ind w:left="-90" w:leftChars="-43" w:right="-90" w:rightChars="-43"/>
                    <w:jc w:val="center"/>
                    <w:rPr>
                      <w:color w:val="auto"/>
                      <w:sz w:val="18"/>
                      <w:szCs w:val="18"/>
                    </w:rPr>
                  </w:pPr>
                  <w:r>
                    <w:rPr>
                      <w:rFonts w:hint="eastAsia"/>
                      <w:color w:val="auto"/>
                      <w:sz w:val="18"/>
                      <w:szCs w:val="18"/>
                    </w:rPr>
                    <w:t>堆场</w:t>
                  </w:r>
                </w:p>
              </w:tc>
              <w:tc>
                <w:tcPr>
                  <w:tcW w:w="2344" w:type="pct"/>
                  <w:vAlign w:val="center"/>
                </w:tcPr>
                <w:p>
                  <w:pPr>
                    <w:spacing w:line="276" w:lineRule="auto"/>
                    <w:jc w:val="center"/>
                    <w:rPr>
                      <w:color w:val="auto"/>
                      <w:spacing w:val="-4"/>
                      <w:sz w:val="18"/>
                      <w:szCs w:val="18"/>
                    </w:rPr>
                  </w:pPr>
                  <w:r>
                    <w:rPr>
                      <w:rFonts w:hint="eastAsia"/>
                      <w:color w:val="auto"/>
                      <w:spacing w:val="-4"/>
                      <w:sz w:val="18"/>
                      <w:szCs w:val="18"/>
                    </w:rPr>
                    <w:t>矿山采区不设原矿堆场，矿石采集后直接运至加工区；加工区设原料堆场1个，面积约2000m</w:t>
                  </w:r>
                  <w:r>
                    <w:rPr>
                      <w:rFonts w:hint="eastAsia"/>
                      <w:color w:val="auto"/>
                      <w:spacing w:val="-4"/>
                      <w:sz w:val="18"/>
                      <w:szCs w:val="18"/>
                      <w:vertAlign w:val="superscript"/>
                    </w:rPr>
                    <w:t>2</w:t>
                  </w:r>
                  <w:r>
                    <w:rPr>
                      <w:rFonts w:hint="eastAsia"/>
                      <w:color w:val="auto"/>
                      <w:spacing w:val="-4"/>
                      <w:sz w:val="18"/>
                      <w:szCs w:val="18"/>
                    </w:rPr>
                    <w:t>，产品堆场1个，约5000m</w:t>
                  </w:r>
                  <w:r>
                    <w:rPr>
                      <w:rFonts w:hint="eastAsia"/>
                      <w:color w:val="auto"/>
                      <w:spacing w:val="-4"/>
                      <w:sz w:val="18"/>
                      <w:szCs w:val="18"/>
                      <w:vertAlign w:val="superscript"/>
                    </w:rPr>
                    <w:t>2</w:t>
                  </w:r>
                  <w:r>
                    <w:rPr>
                      <w:rFonts w:hint="eastAsia"/>
                      <w:color w:val="auto"/>
                      <w:spacing w:val="-4"/>
                      <w:sz w:val="18"/>
                      <w:szCs w:val="18"/>
                    </w:rPr>
                    <w:t>，实行订单式生产，减少堆存量</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restart"/>
                  <w:vAlign w:val="center"/>
                </w:tcPr>
                <w:p>
                  <w:pPr>
                    <w:spacing w:line="276" w:lineRule="auto"/>
                    <w:jc w:val="center"/>
                    <w:rPr>
                      <w:color w:val="auto"/>
                      <w:kern w:val="0"/>
                      <w:sz w:val="18"/>
                      <w:szCs w:val="18"/>
                    </w:rPr>
                  </w:pPr>
                  <w:r>
                    <w:rPr>
                      <w:rFonts w:hint="eastAsia"/>
                      <w:color w:val="auto"/>
                      <w:kern w:val="0"/>
                      <w:sz w:val="18"/>
                      <w:szCs w:val="18"/>
                    </w:rPr>
                    <w:t>公用工程</w:t>
                  </w:r>
                </w:p>
              </w:tc>
              <w:tc>
                <w:tcPr>
                  <w:tcW w:w="708" w:type="pct"/>
                  <w:vAlign w:val="center"/>
                </w:tcPr>
                <w:p>
                  <w:pPr>
                    <w:spacing w:line="276" w:lineRule="auto"/>
                    <w:jc w:val="center"/>
                    <w:rPr>
                      <w:color w:val="auto"/>
                      <w:kern w:val="0"/>
                      <w:sz w:val="18"/>
                      <w:szCs w:val="18"/>
                    </w:rPr>
                  </w:pPr>
                  <w:r>
                    <w:rPr>
                      <w:rFonts w:hint="eastAsia"/>
                      <w:color w:val="auto"/>
                      <w:kern w:val="0"/>
                      <w:sz w:val="18"/>
                      <w:szCs w:val="18"/>
                    </w:rPr>
                    <w:t>供电</w:t>
                  </w:r>
                </w:p>
              </w:tc>
              <w:tc>
                <w:tcPr>
                  <w:tcW w:w="2344" w:type="pct"/>
                  <w:vAlign w:val="center"/>
                </w:tcPr>
                <w:p>
                  <w:pPr>
                    <w:spacing w:line="276" w:lineRule="auto"/>
                    <w:jc w:val="center"/>
                    <w:rPr>
                      <w:color w:val="auto"/>
                      <w:kern w:val="0"/>
                      <w:sz w:val="18"/>
                      <w:szCs w:val="18"/>
                    </w:rPr>
                  </w:pPr>
                  <w:r>
                    <w:rPr>
                      <w:rFonts w:hint="eastAsia"/>
                      <w:color w:val="auto"/>
                      <w:kern w:val="0"/>
                      <w:sz w:val="18"/>
                      <w:szCs w:val="18"/>
                    </w:rPr>
                    <w:t>供电电源从附近三墩变电站架设一路10kV架空绝缘线专线至矿区及加工生产区；采场采剥设备均由柴油提供动力，为“无电化”开采；项目用电主要为露天矿山办公、生活及加工区用电</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restart"/>
                  <w:vAlign w:val="center"/>
                </w:tcPr>
                <w:p>
                  <w:pPr>
                    <w:spacing w:line="276" w:lineRule="auto"/>
                    <w:jc w:val="center"/>
                    <w:rPr>
                      <w:color w:val="auto"/>
                      <w:kern w:val="0"/>
                      <w:sz w:val="18"/>
                      <w:szCs w:val="18"/>
                    </w:rPr>
                  </w:pPr>
                  <w:r>
                    <w:rPr>
                      <w:rFonts w:hint="eastAsia"/>
                      <w:color w:val="auto"/>
                      <w:kern w:val="0"/>
                      <w:sz w:val="18"/>
                      <w:szCs w:val="18"/>
                    </w:rPr>
                    <w:t>供水</w:t>
                  </w:r>
                </w:p>
              </w:tc>
              <w:tc>
                <w:tcPr>
                  <w:tcW w:w="2344" w:type="pct"/>
                  <w:vAlign w:val="center"/>
                </w:tcPr>
                <w:p>
                  <w:pPr>
                    <w:spacing w:line="276" w:lineRule="auto"/>
                    <w:jc w:val="center"/>
                    <w:rPr>
                      <w:color w:val="auto"/>
                      <w:kern w:val="0"/>
                      <w:sz w:val="18"/>
                      <w:szCs w:val="18"/>
                    </w:rPr>
                  </w:pPr>
                  <w:r>
                    <w:rPr>
                      <w:rFonts w:hint="eastAsia"/>
                      <w:color w:val="auto"/>
                      <w:kern w:val="0"/>
                      <w:sz w:val="18"/>
                      <w:szCs w:val="18"/>
                    </w:rPr>
                    <w:t>采矿区生产初期利用矿区北东侧开采境界外设计水池蓄水供给钻机降尘使用，水源补给靠雨季水补给，容量有628m</w:t>
                  </w:r>
                  <w:r>
                    <w:rPr>
                      <w:rFonts w:hint="eastAsia"/>
                      <w:color w:val="auto"/>
                      <w:kern w:val="0"/>
                      <w:sz w:val="18"/>
                      <w:szCs w:val="18"/>
                      <w:vertAlign w:val="superscript"/>
                    </w:rPr>
                    <w:t>3</w:t>
                  </w:r>
                  <w:r>
                    <w:rPr>
                      <w:rFonts w:hint="eastAsia"/>
                      <w:color w:val="auto"/>
                      <w:kern w:val="0"/>
                      <w:sz w:val="18"/>
                      <w:szCs w:val="18"/>
                    </w:rPr>
                    <w:t>。由于上部矿石量较少，生产初期降段速度较快，一旦形成平台后，将改用移动式储水罐向钻机降尘供水，水源补给采用汽车从加工场运输补充，移动式储水罐容积设计选用30m</w:t>
                  </w:r>
                  <w:r>
                    <w:rPr>
                      <w:rFonts w:hint="eastAsia"/>
                      <w:color w:val="auto"/>
                      <w:kern w:val="0"/>
                      <w:sz w:val="18"/>
                      <w:szCs w:val="18"/>
                      <w:vertAlign w:val="superscript"/>
                    </w:rPr>
                    <w:t>3</w:t>
                  </w:r>
                  <w:r>
                    <w:rPr>
                      <w:rFonts w:hint="eastAsia"/>
                      <w:color w:val="auto"/>
                      <w:kern w:val="0"/>
                      <w:sz w:val="18"/>
                      <w:szCs w:val="18"/>
                    </w:rPr>
                    <w:t>，数量1个（可根据实际需要增减）</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噪声</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kern w:val="0"/>
                      <w:sz w:val="18"/>
                      <w:szCs w:val="18"/>
                    </w:rPr>
                  </w:pPr>
                  <w:r>
                    <w:rPr>
                      <w:color w:val="auto"/>
                      <w:sz w:val="18"/>
                      <w:szCs w:val="18"/>
                    </w:rPr>
                    <w:t>加工区生产</w:t>
                  </w:r>
                  <w:r>
                    <w:rPr>
                      <w:rFonts w:hint="eastAsia"/>
                      <w:color w:val="auto"/>
                      <w:sz w:val="18"/>
                      <w:szCs w:val="18"/>
                    </w:rPr>
                    <w:t>生活用</w:t>
                  </w:r>
                  <w:r>
                    <w:rPr>
                      <w:color w:val="auto"/>
                      <w:sz w:val="18"/>
                      <w:szCs w:val="18"/>
                    </w:rPr>
                    <w:t>水来源于山泉水、</w:t>
                  </w:r>
                  <w:r>
                    <w:rPr>
                      <w:rFonts w:hint="eastAsia"/>
                      <w:color w:val="auto"/>
                      <w:sz w:val="18"/>
                      <w:szCs w:val="18"/>
                    </w:rPr>
                    <w:t>石溪河</w:t>
                  </w:r>
                  <w:r>
                    <w:rPr>
                      <w:color w:val="auto"/>
                      <w:sz w:val="18"/>
                      <w:szCs w:val="18"/>
                    </w:rPr>
                    <w:t>，建蓄水池</w:t>
                  </w:r>
                  <w:r>
                    <w:rPr>
                      <w:rFonts w:hint="eastAsia"/>
                      <w:color w:val="auto"/>
                      <w:sz w:val="18"/>
                      <w:szCs w:val="18"/>
                    </w:rPr>
                    <w:t>2</w:t>
                  </w:r>
                  <w:r>
                    <w:rPr>
                      <w:color w:val="auto"/>
                      <w:sz w:val="18"/>
                      <w:szCs w:val="18"/>
                    </w:rPr>
                    <w:t>个（</w:t>
                  </w:r>
                  <w:r>
                    <w:rPr>
                      <w:rFonts w:hint="eastAsia"/>
                      <w:color w:val="auto"/>
                      <w:sz w:val="18"/>
                      <w:szCs w:val="18"/>
                    </w:rPr>
                    <w:t>1个100</w:t>
                  </w:r>
                  <w:r>
                    <w:rPr>
                      <w:color w:val="auto"/>
                      <w:sz w:val="18"/>
                      <w:szCs w:val="18"/>
                    </w:rPr>
                    <w:t>m</w:t>
                  </w:r>
                  <w:r>
                    <w:rPr>
                      <w:color w:val="auto"/>
                      <w:sz w:val="18"/>
                      <w:szCs w:val="18"/>
                      <w:vertAlign w:val="superscript"/>
                    </w:rPr>
                    <w:t>3</w:t>
                  </w:r>
                  <w:r>
                    <w:rPr>
                      <w:rFonts w:hint="eastAsia"/>
                      <w:color w:val="auto"/>
                      <w:sz w:val="18"/>
                      <w:szCs w:val="18"/>
                    </w:rPr>
                    <w:t>，1个400</w:t>
                  </w:r>
                  <w:r>
                    <w:rPr>
                      <w:color w:val="auto"/>
                      <w:sz w:val="18"/>
                      <w:szCs w:val="18"/>
                    </w:rPr>
                    <w:t>m</w:t>
                  </w:r>
                  <w:r>
                    <w:rPr>
                      <w:color w:val="auto"/>
                      <w:sz w:val="18"/>
                      <w:szCs w:val="18"/>
                      <w:vertAlign w:val="superscript"/>
                    </w:rPr>
                    <w:t>3</w:t>
                  </w:r>
                  <w:r>
                    <w:rPr>
                      <w:color w:val="auto"/>
                      <w:sz w:val="18"/>
                      <w:szCs w:val="18"/>
                    </w:rPr>
                    <w:t>）</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噪声</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restart"/>
                  <w:vAlign w:val="center"/>
                </w:tcPr>
                <w:p>
                  <w:pPr>
                    <w:spacing w:line="276" w:lineRule="auto"/>
                    <w:jc w:val="center"/>
                    <w:rPr>
                      <w:color w:val="auto"/>
                      <w:kern w:val="0"/>
                      <w:sz w:val="18"/>
                      <w:szCs w:val="18"/>
                    </w:rPr>
                  </w:pPr>
                  <w:r>
                    <w:rPr>
                      <w:rFonts w:hint="eastAsia"/>
                      <w:color w:val="auto"/>
                      <w:kern w:val="0"/>
                      <w:sz w:val="18"/>
                      <w:szCs w:val="18"/>
                    </w:rPr>
                    <w:t>排水</w:t>
                  </w:r>
                </w:p>
              </w:tc>
              <w:tc>
                <w:tcPr>
                  <w:tcW w:w="2344" w:type="pct"/>
                  <w:vAlign w:val="center"/>
                </w:tcPr>
                <w:p>
                  <w:pPr>
                    <w:spacing w:line="276" w:lineRule="auto"/>
                    <w:jc w:val="center"/>
                    <w:rPr>
                      <w:color w:val="auto"/>
                      <w:kern w:val="0"/>
                      <w:sz w:val="18"/>
                      <w:szCs w:val="18"/>
                    </w:rPr>
                  </w:pPr>
                  <w:r>
                    <w:rPr>
                      <w:color w:val="auto"/>
                      <w:sz w:val="18"/>
                      <w:szCs w:val="18"/>
                    </w:rPr>
                    <w:t>矿区范围开采作业区上方及两侧面修筑截排水沟</w:t>
                  </w:r>
                  <w:r>
                    <w:rPr>
                      <w:rFonts w:hint="eastAsia"/>
                      <w:color w:val="auto"/>
                      <w:sz w:val="18"/>
                      <w:szCs w:val="18"/>
                    </w:rPr>
                    <w:t>，将采场内的废水、初期雨水收集至废水处理设施。在开采区外围建设截排水沟，将采场外的雨水导排至石溪河，避免对采场内进行冲刷。</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sz w:val="18"/>
                      <w:szCs w:val="18"/>
                    </w:rPr>
                  </w:pPr>
                  <w:r>
                    <w:rPr>
                      <w:color w:val="auto"/>
                      <w:sz w:val="18"/>
                      <w:szCs w:val="18"/>
                    </w:rPr>
                    <w:t>生产区场地周围</w:t>
                  </w:r>
                  <w:r>
                    <w:rPr>
                      <w:rFonts w:hint="eastAsia"/>
                      <w:color w:val="auto"/>
                      <w:sz w:val="18"/>
                      <w:szCs w:val="18"/>
                    </w:rPr>
                    <w:t>建设</w:t>
                  </w:r>
                  <w:r>
                    <w:rPr>
                      <w:color w:val="auto"/>
                      <w:sz w:val="18"/>
                      <w:szCs w:val="18"/>
                    </w:rPr>
                    <w:t>截排水沟，截流场外废水排至</w:t>
                  </w:r>
                  <w:r>
                    <w:rPr>
                      <w:rFonts w:hint="eastAsia"/>
                      <w:color w:val="auto"/>
                      <w:sz w:val="18"/>
                      <w:szCs w:val="18"/>
                    </w:rPr>
                    <w:t>石溪河</w:t>
                  </w:r>
                  <w:r>
                    <w:rPr>
                      <w:color w:val="auto"/>
                      <w:sz w:val="18"/>
                      <w:szCs w:val="18"/>
                    </w:rPr>
                    <w:t>，场内废水收集后作为生产补充水</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restart"/>
                  <w:vAlign w:val="center"/>
                </w:tcPr>
                <w:p>
                  <w:pPr>
                    <w:spacing w:line="276" w:lineRule="auto"/>
                    <w:jc w:val="center"/>
                    <w:rPr>
                      <w:color w:val="auto"/>
                      <w:kern w:val="0"/>
                      <w:sz w:val="18"/>
                      <w:szCs w:val="18"/>
                    </w:rPr>
                  </w:pPr>
                  <w:r>
                    <w:rPr>
                      <w:rFonts w:hint="eastAsia"/>
                      <w:color w:val="auto"/>
                      <w:kern w:val="0"/>
                      <w:sz w:val="18"/>
                      <w:szCs w:val="18"/>
                    </w:rPr>
                    <w:t>办公及生活</w:t>
                  </w:r>
                </w:p>
              </w:tc>
              <w:tc>
                <w:tcPr>
                  <w:tcW w:w="708" w:type="pct"/>
                  <w:vMerge w:val="restart"/>
                  <w:vAlign w:val="center"/>
                </w:tcPr>
                <w:p>
                  <w:pPr>
                    <w:spacing w:line="276" w:lineRule="auto"/>
                    <w:jc w:val="center"/>
                    <w:rPr>
                      <w:color w:val="auto"/>
                      <w:kern w:val="0"/>
                      <w:sz w:val="18"/>
                      <w:szCs w:val="18"/>
                    </w:rPr>
                  </w:pPr>
                  <w:r>
                    <w:rPr>
                      <w:rFonts w:hint="eastAsia"/>
                      <w:color w:val="auto"/>
                      <w:kern w:val="0"/>
                      <w:sz w:val="18"/>
                      <w:szCs w:val="18"/>
                    </w:rPr>
                    <w:t>现场办公区</w:t>
                  </w:r>
                </w:p>
              </w:tc>
              <w:tc>
                <w:tcPr>
                  <w:tcW w:w="2344" w:type="pct"/>
                  <w:vAlign w:val="center"/>
                </w:tcPr>
                <w:p>
                  <w:pPr>
                    <w:spacing w:line="276" w:lineRule="auto"/>
                    <w:jc w:val="center"/>
                    <w:rPr>
                      <w:color w:val="auto"/>
                      <w:sz w:val="18"/>
                      <w:szCs w:val="18"/>
                    </w:rPr>
                  </w:pPr>
                  <w:r>
                    <w:rPr>
                      <w:rFonts w:hint="eastAsia"/>
                      <w:color w:val="auto"/>
                      <w:sz w:val="18"/>
                      <w:szCs w:val="18"/>
                    </w:rPr>
                    <w:t>现场办公及维修场地位于矿区北侧最终爆破警戒线范围外，破碎加工区西侧，场地标高+930m，占地面积约1.5亩。主要由现场办公室、休息室、简易维修间及仓库等组成。</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color w:val="auto"/>
                      <w:spacing w:val="-6"/>
                      <w:sz w:val="18"/>
                      <w:szCs w:val="18"/>
                    </w:rPr>
                    <w:t>固废、废水</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sz w:val="18"/>
                      <w:szCs w:val="18"/>
                    </w:rPr>
                  </w:pPr>
                  <w:r>
                    <w:rPr>
                      <w:rFonts w:hint="eastAsia"/>
                      <w:color w:val="auto"/>
                      <w:sz w:val="18"/>
                      <w:szCs w:val="18"/>
                    </w:rPr>
                    <w:t>矿山办公生活区布置在破碎加工区北侧，场地标高+920m，办公生活区占地面积约 17 亩；主要由矿山办公楼、中控室、职工宿舍、食堂及变配电室等组成。</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color w:val="auto"/>
                      <w:spacing w:val="-6"/>
                      <w:sz w:val="18"/>
                      <w:szCs w:val="18"/>
                    </w:rPr>
                    <w:t>固废、废水、油烟</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restart"/>
                  <w:vAlign w:val="center"/>
                </w:tcPr>
                <w:p>
                  <w:pPr>
                    <w:spacing w:line="276" w:lineRule="auto"/>
                    <w:jc w:val="center"/>
                    <w:rPr>
                      <w:color w:val="auto"/>
                      <w:kern w:val="0"/>
                      <w:sz w:val="18"/>
                      <w:szCs w:val="18"/>
                    </w:rPr>
                  </w:pPr>
                  <w:r>
                    <w:rPr>
                      <w:rFonts w:hint="eastAsia"/>
                      <w:color w:val="auto"/>
                      <w:kern w:val="0"/>
                      <w:sz w:val="18"/>
                      <w:szCs w:val="18"/>
                    </w:rPr>
                    <w:t>环保工程</w:t>
                  </w:r>
                </w:p>
              </w:tc>
              <w:tc>
                <w:tcPr>
                  <w:tcW w:w="708" w:type="pct"/>
                  <w:vMerge w:val="restart"/>
                  <w:vAlign w:val="center"/>
                </w:tcPr>
                <w:p>
                  <w:pPr>
                    <w:spacing w:line="276" w:lineRule="auto"/>
                    <w:jc w:val="center"/>
                    <w:rPr>
                      <w:color w:val="auto"/>
                      <w:kern w:val="0"/>
                      <w:sz w:val="18"/>
                      <w:szCs w:val="18"/>
                    </w:rPr>
                  </w:pPr>
                  <w:r>
                    <w:rPr>
                      <w:rFonts w:hint="eastAsia"/>
                      <w:color w:val="auto"/>
                      <w:kern w:val="0"/>
                      <w:sz w:val="18"/>
                      <w:szCs w:val="18"/>
                    </w:rPr>
                    <w:t>废气处理</w:t>
                  </w:r>
                </w:p>
              </w:tc>
              <w:tc>
                <w:tcPr>
                  <w:tcW w:w="2344" w:type="pct"/>
                  <w:vAlign w:val="center"/>
                </w:tcPr>
                <w:p>
                  <w:pPr>
                    <w:spacing w:line="276" w:lineRule="auto"/>
                    <w:jc w:val="center"/>
                    <w:rPr>
                      <w:color w:val="auto"/>
                      <w:kern w:val="0"/>
                      <w:sz w:val="18"/>
                      <w:szCs w:val="18"/>
                    </w:rPr>
                  </w:pPr>
                  <w:r>
                    <w:rPr>
                      <w:rFonts w:hint="eastAsia"/>
                      <w:b/>
                      <w:bCs/>
                      <w:color w:val="auto"/>
                      <w:kern w:val="0"/>
                      <w:sz w:val="18"/>
                      <w:szCs w:val="18"/>
                    </w:rPr>
                    <w:t>采场粉尘：</w:t>
                  </w:r>
                  <w:r>
                    <w:rPr>
                      <w:rFonts w:hint="eastAsia"/>
                      <w:color w:val="auto"/>
                      <w:kern w:val="0"/>
                      <w:sz w:val="18"/>
                      <w:szCs w:val="18"/>
                    </w:rPr>
                    <w:t>矿山配备雾炮机、高压喷水枪或洒水车，适时洒水防尘；钻孔采取湿法作业；爆破后对矿体进行洒水降尘；铲装前洒水润湿；场内主要道路硬化，并安装喷雾洒水装备</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kern w:val="0"/>
                      <w:sz w:val="18"/>
                      <w:szCs w:val="18"/>
                    </w:rPr>
                  </w:pPr>
                  <w:r>
                    <w:rPr>
                      <w:b/>
                      <w:bCs/>
                      <w:color w:val="auto"/>
                      <w:sz w:val="18"/>
                      <w:szCs w:val="18"/>
                    </w:rPr>
                    <w:t>生产粉尘</w:t>
                  </w:r>
                  <w:r>
                    <w:rPr>
                      <w:color w:val="auto"/>
                      <w:sz w:val="18"/>
                      <w:szCs w:val="18"/>
                    </w:rPr>
                    <w:t>：</w:t>
                  </w:r>
                  <w:r>
                    <w:rPr>
                      <w:color w:val="auto"/>
                      <w:spacing w:val="-6"/>
                      <w:sz w:val="18"/>
                      <w:szCs w:val="18"/>
                    </w:rPr>
                    <w:t>对给料、破碎、筛分</w:t>
                  </w:r>
                  <w:r>
                    <w:rPr>
                      <w:rFonts w:hint="eastAsia"/>
                      <w:color w:val="auto"/>
                      <w:spacing w:val="-6"/>
                      <w:sz w:val="18"/>
                      <w:szCs w:val="18"/>
                    </w:rPr>
                    <w:t>、整形</w:t>
                  </w:r>
                  <w:r>
                    <w:rPr>
                      <w:color w:val="auto"/>
                      <w:spacing w:val="-6"/>
                      <w:sz w:val="18"/>
                      <w:szCs w:val="18"/>
                    </w:rPr>
                    <w:t>等各生产环节分别采用彩钢板封闭</w:t>
                  </w:r>
                  <w:r>
                    <w:rPr>
                      <w:rFonts w:hint="eastAsia"/>
                      <w:color w:val="auto"/>
                      <w:spacing w:val="-6"/>
                      <w:sz w:val="18"/>
                      <w:szCs w:val="18"/>
                    </w:rPr>
                    <w:t>，生产车间围挡封闭</w:t>
                  </w:r>
                  <w:r>
                    <w:rPr>
                      <w:color w:val="auto"/>
                      <w:spacing w:val="-6"/>
                      <w:sz w:val="18"/>
                      <w:szCs w:val="18"/>
                    </w:rPr>
                    <w:t>；各环节矿石进、出料口上方均安装喷雾装置；车间之间的输送带进行全封闭；另外对破碎</w:t>
                  </w:r>
                  <w:r>
                    <w:rPr>
                      <w:rFonts w:hint="eastAsia"/>
                      <w:color w:val="auto"/>
                      <w:spacing w:val="-6"/>
                      <w:sz w:val="18"/>
                      <w:szCs w:val="18"/>
                    </w:rPr>
                    <w:t>生产区域设置密闭厂房，进出料口设置喷雾降尘；对一级、二级筛分机设置冲水设施控制粉尘</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噪声</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kern w:val="0"/>
                      <w:sz w:val="18"/>
                      <w:szCs w:val="18"/>
                    </w:rPr>
                  </w:pPr>
                  <w:r>
                    <w:rPr>
                      <w:b/>
                      <w:bCs/>
                      <w:color w:val="auto"/>
                      <w:sz w:val="18"/>
                      <w:szCs w:val="18"/>
                    </w:rPr>
                    <w:t>堆场扬尘：</w:t>
                  </w:r>
                  <w:r>
                    <w:rPr>
                      <w:rFonts w:hint="eastAsia"/>
                      <w:color w:val="auto"/>
                      <w:sz w:val="18"/>
                      <w:szCs w:val="18"/>
                    </w:rPr>
                    <w:t>①厂区地面采取硬化处理，安排专人适时清扫地面，并适时清扫洒水防尘；②原料堆场全封闭，周围安装喷雾降尘装置；③产品堆场四周建1.5m高围挡，内设置分隔围挡，周围安装喷雾降尘，堆放期间采用防尘网覆盖</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b/>
                      <w:bCs/>
                      <w:color w:val="auto"/>
                      <w:sz w:val="18"/>
                      <w:szCs w:val="18"/>
                    </w:rPr>
                  </w:pPr>
                  <w:r>
                    <w:rPr>
                      <w:b/>
                      <w:bCs/>
                      <w:color w:val="auto"/>
                      <w:spacing w:val="-6"/>
                      <w:sz w:val="18"/>
                      <w:szCs w:val="18"/>
                    </w:rPr>
                    <w:t>道路粉尘</w:t>
                  </w:r>
                  <w:r>
                    <w:rPr>
                      <w:color w:val="auto"/>
                      <w:spacing w:val="-6"/>
                      <w:sz w:val="18"/>
                      <w:szCs w:val="18"/>
                    </w:rPr>
                    <w:t>：</w:t>
                  </w:r>
                  <w:r>
                    <w:rPr>
                      <w:rFonts w:hint="eastAsia" w:ascii="宋体" w:hAnsi="宋体" w:cs="宋体"/>
                      <w:color w:val="auto"/>
                      <w:spacing w:val="-6"/>
                      <w:sz w:val="18"/>
                      <w:szCs w:val="18"/>
                    </w:rPr>
                    <w:t>①</w:t>
                  </w:r>
                  <w:r>
                    <w:rPr>
                      <w:color w:val="auto"/>
                      <w:spacing w:val="-6"/>
                      <w:sz w:val="18"/>
                      <w:szCs w:val="18"/>
                    </w:rPr>
                    <w:t>矿区主要运输道路硬化，道路一侧安装喷雾装置；</w:t>
                  </w:r>
                  <w:r>
                    <w:rPr>
                      <w:rFonts w:hint="eastAsia" w:ascii="宋体" w:hAnsi="宋体" w:cs="宋体"/>
                      <w:color w:val="auto"/>
                      <w:spacing w:val="-6"/>
                      <w:sz w:val="18"/>
                      <w:szCs w:val="18"/>
                    </w:rPr>
                    <w:t>②</w:t>
                  </w:r>
                  <w:r>
                    <w:rPr>
                      <w:color w:val="auto"/>
                      <w:spacing w:val="-6"/>
                      <w:sz w:val="18"/>
                      <w:szCs w:val="18"/>
                    </w:rPr>
                    <w:t>加工区道路已硬化，安排专人定期清扫；</w:t>
                  </w:r>
                  <w:r>
                    <w:rPr>
                      <w:rFonts w:hint="eastAsia" w:ascii="宋体" w:hAnsi="宋体" w:cs="宋体"/>
                      <w:color w:val="auto"/>
                      <w:spacing w:val="-6"/>
                      <w:sz w:val="18"/>
                      <w:szCs w:val="18"/>
                    </w:rPr>
                    <w:t>③</w:t>
                  </w:r>
                  <w:r>
                    <w:rPr>
                      <w:color w:val="auto"/>
                      <w:spacing w:val="-6"/>
                      <w:sz w:val="18"/>
                      <w:szCs w:val="18"/>
                    </w:rPr>
                    <w:t>矿区出入口、加工区进出大门口分别设置车辆冲洗台；</w:t>
                  </w:r>
                  <w:r>
                    <w:rPr>
                      <w:rFonts w:hint="eastAsia" w:ascii="宋体" w:hAnsi="宋体" w:cs="宋体"/>
                      <w:color w:val="auto"/>
                      <w:spacing w:val="-6"/>
                      <w:sz w:val="18"/>
                      <w:szCs w:val="18"/>
                    </w:rPr>
                    <w:t>④</w:t>
                  </w:r>
                  <w:r>
                    <w:rPr>
                      <w:color w:val="auto"/>
                      <w:spacing w:val="-6"/>
                      <w:sz w:val="18"/>
                      <w:szCs w:val="18"/>
                    </w:rPr>
                    <w:t>原矿、产品等运输车辆均加盖篷布密闭</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噪声</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b/>
                      <w:bCs/>
                      <w:color w:val="auto"/>
                      <w:sz w:val="18"/>
                      <w:szCs w:val="18"/>
                    </w:rPr>
                  </w:pPr>
                  <w:r>
                    <w:rPr>
                      <w:rFonts w:hint="eastAsia"/>
                      <w:b/>
                      <w:bCs/>
                      <w:color w:val="auto"/>
                      <w:sz w:val="18"/>
                      <w:szCs w:val="18"/>
                    </w:rPr>
                    <w:t>废料弃土场地扬尘：</w:t>
                  </w:r>
                  <w:r>
                    <w:rPr>
                      <w:rFonts w:hint="eastAsia"/>
                      <w:color w:val="auto"/>
                      <w:sz w:val="18"/>
                      <w:szCs w:val="18"/>
                    </w:rPr>
                    <w:t>堆放期间采用防尘网遮盖、大风天气洒水降尘，或在堆场表面播撒植被种子、临时绿化防护，实行“边开采、边恢复”，尽量降低堆场堆存量、减小堆放面积</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b/>
                      <w:bCs/>
                      <w:color w:val="auto"/>
                      <w:sz w:val="18"/>
                      <w:szCs w:val="18"/>
                    </w:rPr>
                  </w:pPr>
                  <w:r>
                    <w:rPr>
                      <w:b/>
                      <w:bCs/>
                      <w:color w:val="auto"/>
                      <w:spacing w:val="-6"/>
                      <w:sz w:val="18"/>
                      <w:szCs w:val="18"/>
                    </w:rPr>
                    <w:t>爆破废气、机械燃油尾气</w:t>
                  </w:r>
                  <w:r>
                    <w:rPr>
                      <w:color w:val="auto"/>
                      <w:spacing w:val="-6"/>
                      <w:sz w:val="18"/>
                      <w:szCs w:val="18"/>
                    </w:rPr>
                    <w:t>：自然扩散、大气稀释</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b/>
                      <w:bCs/>
                      <w:color w:val="auto"/>
                      <w:sz w:val="18"/>
                      <w:szCs w:val="18"/>
                    </w:rPr>
                  </w:pPr>
                  <w:r>
                    <w:rPr>
                      <w:b/>
                      <w:bCs/>
                      <w:color w:val="auto"/>
                      <w:sz w:val="18"/>
                      <w:szCs w:val="18"/>
                    </w:rPr>
                    <w:t>食堂油烟</w:t>
                  </w:r>
                  <w:r>
                    <w:rPr>
                      <w:color w:val="auto"/>
                      <w:sz w:val="18"/>
                      <w:szCs w:val="18"/>
                    </w:rPr>
                    <w:t>：食堂</w:t>
                  </w:r>
                  <w:r>
                    <w:rPr>
                      <w:rFonts w:hint="eastAsia"/>
                      <w:color w:val="auto"/>
                      <w:sz w:val="18"/>
                      <w:szCs w:val="18"/>
                    </w:rPr>
                    <w:t>设置</w:t>
                  </w:r>
                  <w:r>
                    <w:rPr>
                      <w:color w:val="auto"/>
                      <w:sz w:val="18"/>
                      <w:szCs w:val="18"/>
                    </w:rPr>
                    <w:t>抽油烟机</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噪声</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restart"/>
                  <w:vAlign w:val="center"/>
                </w:tcPr>
                <w:p>
                  <w:pPr>
                    <w:spacing w:line="276" w:lineRule="auto"/>
                    <w:jc w:val="center"/>
                    <w:rPr>
                      <w:color w:val="auto"/>
                      <w:kern w:val="0"/>
                      <w:sz w:val="18"/>
                      <w:szCs w:val="18"/>
                    </w:rPr>
                  </w:pPr>
                  <w:r>
                    <w:rPr>
                      <w:rFonts w:hint="eastAsia"/>
                      <w:color w:val="auto"/>
                      <w:kern w:val="0"/>
                      <w:sz w:val="18"/>
                      <w:szCs w:val="18"/>
                    </w:rPr>
                    <w:t>废水处理措施</w:t>
                  </w:r>
                </w:p>
              </w:tc>
              <w:tc>
                <w:tcPr>
                  <w:tcW w:w="2344" w:type="pct"/>
                  <w:vAlign w:val="center"/>
                </w:tcPr>
                <w:p>
                  <w:pPr>
                    <w:spacing w:line="276" w:lineRule="auto"/>
                    <w:jc w:val="center"/>
                    <w:rPr>
                      <w:color w:val="auto"/>
                      <w:kern w:val="0"/>
                      <w:sz w:val="18"/>
                      <w:szCs w:val="18"/>
                    </w:rPr>
                  </w:pPr>
                  <w:r>
                    <w:rPr>
                      <w:b/>
                      <w:bCs/>
                      <w:color w:val="auto"/>
                      <w:sz w:val="18"/>
                      <w:szCs w:val="18"/>
                    </w:rPr>
                    <w:t>车辆冲洗废水</w:t>
                  </w:r>
                  <w:r>
                    <w:rPr>
                      <w:color w:val="auto"/>
                      <w:sz w:val="18"/>
                      <w:szCs w:val="18"/>
                    </w:rPr>
                    <w:t>：</w:t>
                  </w:r>
                  <w:r>
                    <w:rPr>
                      <w:rFonts w:hint="eastAsia" w:ascii="宋体" w:hAnsi="宋体" w:cs="宋体"/>
                      <w:color w:val="auto"/>
                      <w:sz w:val="18"/>
                      <w:szCs w:val="18"/>
                    </w:rPr>
                    <w:t>①</w:t>
                  </w:r>
                  <w:r>
                    <w:rPr>
                      <w:color w:val="auto"/>
                      <w:sz w:val="18"/>
                      <w:szCs w:val="18"/>
                    </w:rPr>
                    <w:t>矿区车辆冲洗平台旁建废水沉淀池（容积约15m</w:t>
                  </w:r>
                  <w:r>
                    <w:rPr>
                      <w:color w:val="auto"/>
                      <w:sz w:val="18"/>
                      <w:szCs w:val="18"/>
                      <w:vertAlign w:val="superscript"/>
                    </w:rPr>
                    <w:t>3</w:t>
                  </w:r>
                  <w:r>
                    <w:rPr>
                      <w:color w:val="auto"/>
                      <w:sz w:val="18"/>
                      <w:szCs w:val="18"/>
                    </w:rPr>
                    <w:t>）收集车辆冲洗废水，处理后循环使用；</w:t>
                  </w:r>
                  <w:r>
                    <w:rPr>
                      <w:rFonts w:hint="eastAsia" w:ascii="宋体" w:hAnsi="宋体" w:cs="宋体"/>
                      <w:color w:val="auto"/>
                      <w:sz w:val="18"/>
                      <w:szCs w:val="18"/>
                    </w:rPr>
                    <w:t>②</w:t>
                  </w:r>
                  <w:r>
                    <w:rPr>
                      <w:color w:val="auto"/>
                      <w:sz w:val="18"/>
                      <w:szCs w:val="18"/>
                    </w:rPr>
                    <w:t>加工区</w:t>
                  </w:r>
                  <w:r>
                    <w:rPr>
                      <w:rFonts w:hint="eastAsia"/>
                      <w:color w:val="auto"/>
                      <w:sz w:val="18"/>
                      <w:szCs w:val="18"/>
                    </w:rPr>
                    <w:t>建设</w:t>
                  </w:r>
                  <w:r>
                    <w:rPr>
                      <w:color w:val="auto"/>
                      <w:sz w:val="18"/>
                      <w:szCs w:val="18"/>
                    </w:rPr>
                    <w:t>车辆冲洗废水沉淀池（容积约15m</w:t>
                  </w:r>
                  <w:r>
                    <w:rPr>
                      <w:color w:val="auto"/>
                      <w:sz w:val="18"/>
                      <w:szCs w:val="18"/>
                      <w:vertAlign w:val="superscript"/>
                    </w:rPr>
                    <w:t>3</w:t>
                  </w:r>
                  <w:r>
                    <w:rPr>
                      <w:color w:val="auto"/>
                      <w:sz w:val="18"/>
                      <w:szCs w:val="18"/>
                    </w:rPr>
                    <w:t>），收集车辆冲洗废水，处理后循环回用，</w:t>
                  </w:r>
                  <w:r>
                    <w:rPr>
                      <w:rFonts w:hint="eastAsia"/>
                      <w:color w:val="auto"/>
                      <w:sz w:val="18"/>
                      <w:szCs w:val="18"/>
                    </w:rPr>
                    <w:t>不</w:t>
                  </w:r>
                  <w:r>
                    <w:rPr>
                      <w:color w:val="auto"/>
                      <w:sz w:val="18"/>
                      <w:szCs w:val="18"/>
                    </w:rPr>
                    <w:t>外排</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固废</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kern w:val="0"/>
                      <w:sz w:val="18"/>
                      <w:szCs w:val="18"/>
                    </w:rPr>
                  </w:pPr>
                  <w:r>
                    <w:rPr>
                      <w:rFonts w:hint="eastAsia"/>
                      <w:b/>
                      <w:bCs/>
                      <w:color w:val="auto"/>
                      <w:kern w:val="0"/>
                      <w:sz w:val="18"/>
                      <w:szCs w:val="18"/>
                    </w:rPr>
                    <w:t>矿区雨水：</w:t>
                  </w:r>
                  <w:r>
                    <w:rPr>
                      <w:rFonts w:hint="eastAsia"/>
                      <w:color w:val="auto"/>
                      <w:kern w:val="0"/>
                      <w:sz w:val="18"/>
                      <w:szCs w:val="18"/>
                    </w:rPr>
                    <w:t>矿区根据开采进度，在开采作业区周围建截排水沟，并在矿区北东侧地势较低处建雨水收集池（628m</w:t>
                  </w:r>
                  <w:r>
                    <w:rPr>
                      <w:rFonts w:hint="eastAsia"/>
                      <w:color w:val="auto"/>
                      <w:kern w:val="0"/>
                      <w:sz w:val="18"/>
                      <w:szCs w:val="18"/>
                      <w:vertAlign w:val="superscript"/>
                    </w:rPr>
                    <w:t>3</w:t>
                  </w:r>
                  <w:r>
                    <w:rPr>
                      <w:rFonts w:hint="eastAsia"/>
                      <w:color w:val="auto"/>
                      <w:kern w:val="0"/>
                      <w:sz w:val="18"/>
                      <w:szCs w:val="18"/>
                    </w:rPr>
                    <w:t>），收集后作为生产防尘补充水</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固废</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kern w:val="0"/>
                      <w:sz w:val="18"/>
                      <w:szCs w:val="18"/>
                    </w:rPr>
                  </w:pPr>
                  <w:r>
                    <w:rPr>
                      <w:b/>
                      <w:bCs/>
                      <w:color w:val="auto"/>
                      <w:sz w:val="18"/>
                      <w:szCs w:val="18"/>
                    </w:rPr>
                    <w:t>生产废水</w:t>
                  </w:r>
                  <w:r>
                    <w:rPr>
                      <w:color w:val="auto"/>
                      <w:kern w:val="0"/>
                      <w:sz w:val="18"/>
                      <w:szCs w:val="18"/>
                    </w:rPr>
                    <w:t>：</w:t>
                  </w:r>
                  <w:r>
                    <w:rPr>
                      <w:rFonts w:hint="eastAsia"/>
                      <w:color w:val="auto"/>
                      <w:kern w:val="0"/>
                      <w:sz w:val="18"/>
                      <w:szCs w:val="18"/>
                    </w:rPr>
                    <w:t>加工区设置</w:t>
                  </w:r>
                  <w:r>
                    <w:rPr>
                      <w:color w:val="auto"/>
                      <w:sz w:val="18"/>
                      <w:szCs w:val="18"/>
                    </w:rPr>
                    <w:t>废水处理系统1套，采用“絮凝沉淀”工艺处理，建废水收集池1个、立式沉淀罐1个、清水罐1个、加药池1个、压滤机3台等，废水处理后循环使用</w:t>
                  </w:r>
                  <w:r>
                    <w:rPr>
                      <w:rFonts w:hint="eastAsia"/>
                      <w:color w:val="auto"/>
                      <w:sz w:val="18"/>
                      <w:szCs w:val="18"/>
                    </w:rPr>
                    <w:t>；生产区周围建雨水截排沟；场内建雨水收集沟</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噪声、固废</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kern w:val="0"/>
                      <w:sz w:val="18"/>
                      <w:szCs w:val="18"/>
                    </w:rPr>
                  </w:pPr>
                  <w:r>
                    <w:rPr>
                      <w:b/>
                      <w:bCs/>
                      <w:color w:val="auto"/>
                      <w:sz w:val="18"/>
                      <w:szCs w:val="18"/>
                    </w:rPr>
                    <w:t>生活污水</w:t>
                  </w:r>
                  <w:r>
                    <w:rPr>
                      <w:color w:val="auto"/>
                      <w:sz w:val="18"/>
                      <w:szCs w:val="18"/>
                    </w:rPr>
                    <w:t>：</w:t>
                  </w:r>
                  <w:r>
                    <w:rPr>
                      <w:rFonts w:hint="eastAsia"/>
                      <w:color w:val="auto"/>
                      <w:sz w:val="18"/>
                      <w:szCs w:val="18"/>
                    </w:rPr>
                    <w:t>矿区生活污水建设一体化污水处理设施（处理量10m³/d，处理工艺为初沉+接触氧化+二沉）收集处理后用作农地灌溉；生产区生活污水建设一体化污水处理设施（处理量10m³/d，处理工艺为初沉+接触氧化+二沉）收集处理后用作农地灌溉</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恶臭</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restart"/>
                  <w:vAlign w:val="center"/>
                </w:tcPr>
                <w:p>
                  <w:pPr>
                    <w:spacing w:line="276" w:lineRule="auto"/>
                    <w:jc w:val="center"/>
                    <w:rPr>
                      <w:color w:val="auto"/>
                      <w:kern w:val="0"/>
                      <w:sz w:val="18"/>
                      <w:szCs w:val="18"/>
                    </w:rPr>
                  </w:pPr>
                  <w:r>
                    <w:rPr>
                      <w:rFonts w:hint="eastAsia"/>
                      <w:color w:val="auto"/>
                      <w:kern w:val="0"/>
                      <w:sz w:val="18"/>
                      <w:szCs w:val="18"/>
                    </w:rPr>
                    <w:t>噪声处理措施</w:t>
                  </w:r>
                </w:p>
              </w:tc>
              <w:tc>
                <w:tcPr>
                  <w:tcW w:w="2344" w:type="pct"/>
                  <w:vAlign w:val="center"/>
                </w:tcPr>
                <w:p>
                  <w:pPr>
                    <w:spacing w:line="276" w:lineRule="auto"/>
                    <w:jc w:val="center"/>
                    <w:rPr>
                      <w:color w:val="auto"/>
                      <w:kern w:val="0"/>
                      <w:sz w:val="18"/>
                      <w:szCs w:val="18"/>
                    </w:rPr>
                  </w:pPr>
                  <w:r>
                    <w:rPr>
                      <w:color w:val="auto"/>
                      <w:sz w:val="18"/>
                      <w:szCs w:val="18"/>
                    </w:rPr>
                    <w:t>爆破作业采用多排孔延时爆破，毫秒迟发多段爆破，减少每一段的装药量，严格控制爆破装药量、爆破次数等；合理安排爆破时间</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kern w:val="0"/>
                      <w:sz w:val="18"/>
                      <w:szCs w:val="18"/>
                    </w:rPr>
                  </w:pPr>
                  <w:r>
                    <w:rPr>
                      <w:color w:val="auto"/>
                      <w:sz w:val="18"/>
                      <w:szCs w:val="18"/>
                    </w:rPr>
                    <w:t>生产车间设为全封闭式、建筑隔声，选用低噪声设备、优化布局、设备基础减振；空压机等设备设置单独的房间；加强设备维护保养，合理安排生产时间</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sz w:val="18"/>
                      <w:szCs w:val="18"/>
                    </w:rPr>
                  </w:pPr>
                  <w:r>
                    <w:rPr>
                      <w:color w:val="auto"/>
                      <w:sz w:val="18"/>
                      <w:szCs w:val="18"/>
                    </w:rPr>
                    <w:t>运输作业尽量安排在白天进行，经过沿线居民区时限速禁鸣，避免噪声扰民</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restart"/>
                  <w:vAlign w:val="center"/>
                </w:tcPr>
                <w:p>
                  <w:pPr>
                    <w:spacing w:line="276" w:lineRule="auto"/>
                    <w:jc w:val="center"/>
                    <w:rPr>
                      <w:color w:val="auto"/>
                      <w:kern w:val="0"/>
                      <w:sz w:val="18"/>
                      <w:szCs w:val="18"/>
                    </w:rPr>
                  </w:pPr>
                  <w:r>
                    <w:rPr>
                      <w:rFonts w:hint="eastAsia"/>
                      <w:color w:val="auto"/>
                      <w:kern w:val="0"/>
                      <w:sz w:val="18"/>
                      <w:szCs w:val="18"/>
                    </w:rPr>
                    <w:t>固废处理措施</w:t>
                  </w:r>
                </w:p>
              </w:tc>
              <w:tc>
                <w:tcPr>
                  <w:tcW w:w="2344" w:type="pct"/>
                  <w:vAlign w:val="center"/>
                </w:tcPr>
                <w:p>
                  <w:pPr>
                    <w:spacing w:line="276" w:lineRule="auto"/>
                    <w:jc w:val="center"/>
                    <w:rPr>
                      <w:color w:val="auto"/>
                      <w:kern w:val="0"/>
                      <w:sz w:val="18"/>
                      <w:szCs w:val="18"/>
                    </w:rPr>
                  </w:pPr>
                  <w:r>
                    <w:rPr>
                      <w:b/>
                      <w:bCs/>
                      <w:color w:val="auto"/>
                      <w:sz w:val="18"/>
                      <w:szCs w:val="18"/>
                    </w:rPr>
                    <w:t>剥离表土：</w:t>
                  </w:r>
                  <w:r>
                    <w:rPr>
                      <w:rFonts w:hint="eastAsia"/>
                      <w:color w:val="auto"/>
                      <w:sz w:val="18"/>
                      <w:szCs w:val="18"/>
                    </w:rPr>
                    <w:t xml:space="preserve">废料弃土场地设置在采场西北侧。堆排总高度约 45m，最高堆排标高+1230m，最低堆排标高+1185m，设计容积约 </w:t>
                  </w:r>
                  <w:r>
                    <w:rPr>
                      <w:color w:val="auto"/>
                      <w:sz w:val="18"/>
                      <w:szCs w:val="18"/>
                    </w:rPr>
                    <w:t>14</w:t>
                  </w:r>
                  <w:r>
                    <w:rPr>
                      <w:rFonts w:hint="eastAsia"/>
                      <w:color w:val="auto"/>
                      <w:sz w:val="18"/>
                      <w:szCs w:val="18"/>
                    </w:rPr>
                    <w:t>万m</w:t>
                  </w:r>
                  <w:r>
                    <w:rPr>
                      <w:rFonts w:hint="eastAsia"/>
                      <w:color w:val="auto"/>
                      <w:sz w:val="18"/>
                      <w:szCs w:val="18"/>
                      <w:vertAlign w:val="superscript"/>
                    </w:rPr>
                    <w:t>3</w:t>
                  </w:r>
                  <w:r>
                    <w:rPr>
                      <w:rFonts w:hint="eastAsia"/>
                      <w:color w:val="auto"/>
                      <w:sz w:val="18"/>
                      <w:szCs w:val="18"/>
                    </w:rPr>
                    <w:t>。废料弃土场地占地面积约 24 亩</w:t>
                  </w:r>
                  <w:r>
                    <w:rPr>
                      <w:color w:val="auto"/>
                      <w:sz w:val="18"/>
                      <w:szCs w:val="18"/>
                    </w:rPr>
                    <w:t>，在</w:t>
                  </w:r>
                  <w:r>
                    <w:rPr>
                      <w:rFonts w:hint="eastAsia"/>
                      <w:color w:val="auto"/>
                      <w:kern w:val="0"/>
                      <w:sz w:val="18"/>
                      <w:szCs w:val="18"/>
                    </w:rPr>
                    <w:t>废料弃土场地</w:t>
                  </w:r>
                  <w:r>
                    <w:rPr>
                      <w:color w:val="auto"/>
                      <w:sz w:val="18"/>
                      <w:szCs w:val="18"/>
                    </w:rPr>
                    <w:t>周围设置挡土墙，四周设排水沟渠，并对其表面采取绿化、覆盖和洒水等临时防尘措施，用于采空区的回填覆土；尾矿与原矿一起及时送至生产区作为原料加工利用，实现固体废物减量化、资源化和无害化处置</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color w:val="auto"/>
                      <w:sz w:val="18"/>
                      <w:szCs w:val="18"/>
                    </w:rPr>
                    <w:t>扬尘、水土流失</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b/>
                      <w:bCs/>
                      <w:color w:val="auto"/>
                      <w:sz w:val="18"/>
                      <w:szCs w:val="18"/>
                    </w:rPr>
                  </w:pPr>
                  <w:r>
                    <w:rPr>
                      <w:b/>
                      <w:bCs/>
                      <w:color w:val="auto"/>
                      <w:sz w:val="18"/>
                      <w:szCs w:val="18"/>
                    </w:rPr>
                    <w:t>植被枝丫</w:t>
                  </w:r>
                  <w:r>
                    <w:rPr>
                      <w:color w:val="auto"/>
                      <w:sz w:val="18"/>
                      <w:szCs w:val="18"/>
                    </w:rPr>
                    <w:t>：临时堆放在表土临时堆场，后期运至采空区回填</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sz w:val="18"/>
                      <w:szCs w:val="18"/>
                    </w:rPr>
                  </w:pPr>
                  <w:r>
                    <w:rPr>
                      <w:rFonts w:hint="eastAsia"/>
                      <w:color w:val="auto"/>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b/>
                      <w:bCs/>
                      <w:color w:val="auto"/>
                      <w:sz w:val="18"/>
                      <w:szCs w:val="18"/>
                    </w:rPr>
                  </w:pPr>
                  <w:r>
                    <w:rPr>
                      <w:rFonts w:hint="eastAsia"/>
                      <w:b/>
                      <w:bCs/>
                      <w:color w:val="auto"/>
                      <w:sz w:val="18"/>
                      <w:szCs w:val="18"/>
                    </w:rPr>
                    <w:t>泥饼</w:t>
                  </w:r>
                  <w:r>
                    <w:rPr>
                      <w:color w:val="auto"/>
                      <w:sz w:val="18"/>
                      <w:szCs w:val="18"/>
                    </w:rPr>
                    <w:t>：生产区配套3台</w:t>
                  </w:r>
                  <w:r>
                    <w:rPr>
                      <w:rFonts w:hint="eastAsia"/>
                      <w:color w:val="auto"/>
                      <w:sz w:val="18"/>
                      <w:szCs w:val="18"/>
                    </w:rPr>
                    <w:t>（2用1备）</w:t>
                  </w:r>
                  <w:r>
                    <w:rPr>
                      <w:color w:val="auto"/>
                      <w:sz w:val="18"/>
                      <w:szCs w:val="18"/>
                    </w:rPr>
                    <w:t>泥沙压滤机，干化泥沙暂存在压滤机下方（</w:t>
                  </w:r>
                  <w:r>
                    <w:rPr>
                      <w:rFonts w:hint="eastAsia"/>
                      <w:color w:val="auto"/>
                      <w:sz w:val="18"/>
                      <w:szCs w:val="18"/>
                    </w:rPr>
                    <w:t>3</w:t>
                  </w:r>
                  <w:r>
                    <w:rPr>
                      <w:color w:val="auto"/>
                      <w:sz w:val="18"/>
                      <w:szCs w:val="18"/>
                    </w:rPr>
                    <w:t>0m</w:t>
                  </w:r>
                  <w:r>
                    <w:rPr>
                      <w:color w:val="auto"/>
                      <w:sz w:val="18"/>
                      <w:szCs w:val="18"/>
                      <w:vertAlign w:val="superscript"/>
                    </w:rPr>
                    <w:t>2</w:t>
                  </w:r>
                  <w:r>
                    <w:rPr>
                      <w:color w:val="auto"/>
                      <w:sz w:val="18"/>
                      <w:szCs w:val="18"/>
                    </w:rPr>
                    <w:t>），暂存池四周建不低于0.5m的挡墙，并建设防雨设施；定期运至矿山回填采空区；矿区沉淀池定期清理，暂存在表土临时堆场，后期用于采空区覆土</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sz w:val="18"/>
                      <w:szCs w:val="18"/>
                    </w:rPr>
                  </w:pPr>
                  <w:r>
                    <w:rPr>
                      <w:color w:val="auto"/>
                      <w:sz w:val="18"/>
                      <w:szCs w:val="18"/>
                    </w:rPr>
                    <w:t>噪声、废石</w:t>
                  </w:r>
                </w:p>
              </w:tc>
              <w:tc>
                <w:tcPr>
                  <w:tcW w:w="397" w:type="pct"/>
                  <w:vAlign w:val="center"/>
                </w:tcPr>
                <w:p>
                  <w:pPr>
                    <w:spacing w:line="276" w:lineRule="auto"/>
                    <w:jc w:val="center"/>
                    <w:rPr>
                      <w:color w:val="auto"/>
                      <w:kern w:val="0"/>
                      <w:sz w:val="18"/>
                      <w:szCs w:val="18"/>
                    </w:rPr>
                  </w:pPr>
                  <w:r>
                    <w:rPr>
                      <w:rFonts w:hint="eastAsia"/>
                      <w:color w:val="auto"/>
                      <w:kern w:val="0"/>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b/>
                      <w:bCs/>
                      <w:color w:val="auto"/>
                      <w:sz w:val="18"/>
                      <w:szCs w:val="18"/>
                    </w:rPr>
                  </w:pPr>
                  <w:r>
                    <w:rPr>
                      <w:rFonts w:hint="eastAsia"/>
                      <w:b/>
                      <w:bCs/>
                      <w:color w:val="auto"/>
                      <w:sz w:val="18"/>
                      <w:szCs w:val="18"/>
                    </w:rPr>
                    <w:t>废矿物油：</w:t>
                  </w:r>
                  <w:r>
                    <w:rPr>
                      <w:rFonts w:hint="eastAsia"/>
                      <w:color w:val="auto"/>
                      <w:sz w:val="18"/>
                      <w:szCs w:val="18"/>
                    </w:rPr>
                    <w:t>在现场办公及维修场地建设1间危险废物暂存间收集暂存矿山及加工区机械设备产生的危险废物；对危废暂存间采取防渗措施，并委托有资质的单位回收处置</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sz w:val="18"/>
                      <w:szCs w:val="18"/>
                    </w:rPr>
                  </w:pPr>
                  <w:r>
                    <w:rPr>
                      <w:rFonts w:hint="eastAsia"/>
                      <w:color w:val="auto"/>
                      <w:sz w:val="18"/>
                      <w:szCs w:val="18"/>
                    </w:rPr>
                    <w:t>环境风险</w:t>
                  </w:r>
                </w:p>
              </w:tc>
              <w:tc>
                <w:tcPr>
                  <w:tcW w:w="397" w:type="pct"/>
                  <w:vAlign w:val="center"/>
                </w:tcPr>
                <w:p>
                  <w:pPr>
                    <w:spacing w:line="276" w:lineRule="auto"/>
                    <w:jc w:val="center"/>
                    <w:rPr>
                      <w:color w:val="auto"/>
                      <w:kern w:val="0"/>
                      <w:sz w:val="18"/>
                      <w:szCs w:val="18"/>
                    </w:rPr>
                  </w:pPr>
                  <w:r>
                    <w:rPr>
                      <w:rFonts w:hint="eastAsia"/>
                      <w:color w:val="auto"/>
                      <w:kern w:val="0"/>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b/>
                      <w:bCs/>
                      <w:color w:val="auto"/>
                      <w:sz w:val="18"/>
                      <w:szCs w:val="18"/>
                    </w:rPr>
                  </w:pPr>
                  <w:r>
                    <w:rPr>
                      <w:b/>
                      <w:bCs/>
                      <w:color w:val="auto"/>
                      <w:sz w:val="18"/>
                      <w:szCs w:val="18"/>
                    </w:rPr>
                    <w:t>生活垃圾：</w:t>
                  </w:r>
                  <w:r>
                    <w:rPr>
                      <w:rFonts w:hint="eastAsia"/>
                      <w:color w:val="auto"/>
                      <w:sz w:val="18"/>
                      <w:szCs w:val="18"/>
                    </w:rPr>
                    <w:t>现场办公及维修场地</w:t>
                  </w:r>
                  <w:r>
                    <w:rPr>
                      <w:color w:val="auto"/>
                      <w:sz w:val="18"/>
                      <w:szCs w:val="18"/>
                    </w:rPr>
                    <w:t>设置垃圾桶收集；</w:t>
                  </w:r>
                  <w:r>
                    <w:rPr>
                      <w:rFonts w:hint="eastAsia"/>
                      <w:color w:val="auto"/>
                      <w:sz w:val="18"/>
                      <w:szCs w:val="18"/>
                    </w:rPr>
                    <w:t>矿山办公生活区</w:t>
                  </w:r>
                  <w:r>
                    <w:rPr>
                      <w:color w:val="auto"/>
                      <w:sz w:val="18"/>
                      <w:szCs w:val="18"/>
                    </w:rPr>
                    <w:t>设垃圾桶收集后，均送场镇生活垃圾收集点处置</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sz w:val="18"/>
                      <w:szCs w:val="18"/>
                    </w:rPr>
                  </w:pPr>
                  <w:r>
                    <w:rPr>
                      <w:rFonts w:hint="eastAsia"/>
                      <w:color w:val="auto"/>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restart"/>
                  <w:vAlign w:val="center"/>
                </w:tcPr>
                <w:p>
                  <w:pPr>
                    <w:spacing w:line="276" w:lineRule="auto"/>
                    <w:jc w:val="center"/>
                    <w:rPr>
                      <w:color w:val="auto"/>
                      <w:kern w:val="0"/>
                      <w:sz w:val="18"/>
                      <w:szCs w:val="18"/>
                    </w:rPr>
                  </w:pPr>
                  <w:r>
                    <w:rPr>
                      <w:rFonts w:hint="eastAsia"/>
                      <w:color w:val="auto"/>
                      <w:kern w:val="0"/>
                      <w:sz w:val="18"/>
                      <w:szCs w:val="18"/>
                    </w:rPr>
                    <w:t>生态环境保护</w:t>
                  </w:r>
                </w:p>
              </w:tc>
              <w:tc>
                <w:tcPr>
                  <w:tcW w:w="2344" w:type="pct"/>
                  <w:vAlign w:val="center"/>
                </w:tcPr>
                <w:p>
                  <w:pPr>
                    <w:spacing w:line="276" w:lineRule="auto"/>
                    <w:jc w:val="center"/>
                    <w:rPr>
                      <w:color w:val="auto"/>
                      <w:kern w:val="0"/>
                      <w:sz w:val="18"/>
                      <w:szCs w:val="18"/>
                    </w:rPr>
                  </w:pPr>
                  <w:r>
                    <w:rPr>
                      <w:b/>
                      <w:bCs/>
                      <w:color w:val="auto"/>
                      <w:sz w:val="18"/>
                      <w:szCs w:val="18"/>
                    </w:rPr>
                    <w:t>施工期间</w:t>
                  </w:r>
                  <w:r>
                    <w:rPr>
                      <w:color w:val="auto"/>
                      <w:sz w:val="18"/>
                      <w:szCs w:val="18"/>
                    </w:rPr>
                    <w:t>：优化施工方案、设临时排水沟和沉砂池，落实水土流失防治措施；进行边坡防护。运输道路及时采取水泥硬化，开展迹地植被恢复工作；植被</w:t>
                  </w:r>
                  <w:r>
                    <w:rPr>
                      <w:rFonts w:hint="eastAsia"/>
                      <w:color w:val="auto"/>
                      <w:sz w:val="18"/>
                      <w:szCs w:val="18"/>
                    </w:rPr>
                    <w:t>枝丫</w:t>
                  </w:r>
                  <w:r>
                    <w:rPr>
                      <w:color w:val="auto"/>
                      <w:sz w:val="18"/>
                      <w:szCs w:val="18"/>
                    </w:rPr>
                    <w:t>及时运至表土临时堆场堆存，禁止随意丢弃造成环境污染；或由附近农户拉走做原料</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kern w:val="0"/>
                      <w:sz w:val="18"/>
                      <w:szCs w:val="18"/>
                    </w:rPr>
                  </w:pPr>
                  <w:r>
                    <w:rPr>
                      <w:b/>
                      <w:bCs/>
                      <w:color w:val="auto"/>
                      <w:sz w:val="18"/>
                      <w:szCs w:val="18"/>
                    </w:rPr>
                    <w:t>开采期间</w:t>
                  </w:r>
                  <w:r>
                    <w:rPr>
                      <w:color w:val="auto"/>
                      <w:sz w:val="18"/>
                      <w:szCs w:val="18"/>
                    </w:rPr>
                    <w:t>：禁止扩大建设和采矿区域，对开采形成的最终台面及暂时不动用的台面，要及时进行覆土绿化；对矿山开采作业面周围修建排水沟、临时堆场四周设置排水沟，在采区地势较低处修建雨水沉淀池，采场初期雨水经收集沟引至废水处理设施，处理后回用；加强开采区排水设施的管理维护，避免堵塞造成采场积水；临时堆场表面采用防尘网覆盖或播撒植被种子绿化防护等</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kern w:val="0"/>
                      <w:sz w:val="18"/>
                      <w:szCs w:val="18"/>
                    </w:rPr>
                  </w:pPr>
                  <w:r>
                    <w:rPr>
                      <w:b/>
                      <w:bCs/>
                      <w:color w:val="auto"/>
                      <w:sz w:val="18"/>
                      <w:szCs w:val="18"/>
                    </w:rPr>
                    <w:t>开采后期</w:t>
                  </w:r>
                  <w:r>
                    <w:rPr>
                      <w:color w:val="auto"/>
                      <w:sz w:val="18"/>
                      <w:szCs w:val="18"/>
                    </w:rPr>
                    <w:t>：对采空区及时进行覆土绿化；对开采形成的边坡及裸露平台进行防护</w:t>
                  </w:r>
                  <w:r>
                    <w:rPr>
                      <w:rFonts w:hint="eastAsia"/>
                      <w:color w:val="auto"/>
                      <w:sz w:val="18"/>
                      <w:szCs w:val="18"/>
                    </w:rPr>
                    <w:t>；一个台阶开采结束后立即进行生态恢复，恢复后再开始下一台阶的开采</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pPr>
                    <w:spacing w:line="276" w:lineRule="auto"/>
                    <w:jc w:val="center"/>
                    <w:rPr>
                      <w:color w:val="auto"/>
                      <w:kern w:val="0"/>
                      <w:sz w:val="18"/>
                      <w:szCs w:val="18"/>
                    </w:rPr>
                  </w:pPr>
                </w:p>
              </w:tc>
              <w:tc>
                <w:tcPr>
                  <w:tcW w:w="708" w:type="pct"/>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kern w:val="0"/>
                      <w:sz w:val="18"/>
                      <w:szCs w:val="18"/>
                    </w:rPr>
                  </w:pPr>
                  <w:r>
                    <w:rPr>
                      <w:b/>
                      <w:bCs/>
                      <w:color w:val="auto"/>
                      <w:sz w:val="18"/>
                      <w:szCs w:val="18"/>
                    </w:rPr>
                    <w:t>闭矿期</w:t>
                  </w:r>
                  <w:r>
                    <w:rPr>
                      <w:color w:val="auto"/>
                      <w:sz w:val="18"/>
                      <w:szCs w:val="18"/>
                    </w:rPr>
                    <w:t>：对采场占地区域、加工区地面设施设备及拆除，采取迹地恢复，对矿区进行生态绿化修复；对采空区、表土临时堆场进行治理等占地区域；加强边坡防护，防止发生崩塌</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1" w:type="pct"/>
                  <w:gridSpan w:val="2"/>
                  <w:vMerge w:val="restart"/>
                  <w:vAlign w:val="center"/>
                </w:tcPr>
                <w:p>
                  <w:pPr>
                    <w:spacing w:line="276" w:lineRule="auto"/>
                    <w:jc w:val="center"/>
                    <w:rPr>
                      <w:color w:val="auto"/>
                      <w:kern w:val="0"/>
                      <w:sz w:val="18"/>
                      <w:szCs w:val="18"/>
                    </w:rPr>
                  </w:pPr>
                  <w:r>
                    <w:rPr>
                      <w:rFonts w:hint="eastAsia"/>
                      <w:color w:val="auto"/>
                      <w:kern w:val="0"/>
                      <w:sz w:val="18"/>
                      <w:szCs w:val="18"/>
                    </w:rPr>
                    <w:t>环境风险防治</w:t>
                  </w:r>
                </w:p>
              </w:tc>
              <w:tc>
                <w:tcPr>
                  <w:tcW w:w="2344" w:type="pct"/>
                  <w:vAlign w:val="center"/>
                </w:tcPr>
                <w:p>
                  <w:pPr>
                    <w:spacing w:line="276" w:lineRule="auto"/>
                    <w:jc w:val="center"/>
                    <w:rPr>
                      <w:b/>
                      <w:bCs/>
                      <w:color w:val="auto"/>
                      <w:sz w:val="18"/>
                      <w:szCs w:val="18"/>
                    </w:rPr>
                  </w:pPr>
                  <w:r>
                    <w:rPr>
                      <w:color w:val="auto"/>
                      <w:sz w:val="18"/>
                      <w:szCs w:val="18"/>
                    </w:rPr>
                    <w:t>对危废暂存间采取防渗措施，加强管理</w:t>
                  </w:r>
                  <w:r>
                    <w:rPr>
                      <w:rFonts w:hint="eastAsia"/>
                      <w:color w:val="auto"/>
                      <w:sz w:val="18"/>
                      <w:szCs w:val="18"/>
                    </w:rPr>
                    <w:t>，定期巡查表土临时堆场及开采边坡防垮塌、废水处理设施正常运行</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1" w:type="pct"/>
                  <w:gridSpan w:val="2"/>
                  <w:vMerge w:val="continue"/>
                  <w:vAlign w:val="center"/>
                </w:tcPr>
                <w:p>
                  <w:pPr>
                    <w:spacing w:line="276" w:lineRule="auto"/>
                    <w:jc w:val="center"/>
                    <w:rPr>
                      <w:color w:val="auto"/>
                      <w:kern w:val="0"/>
                      <w:sz w:val="18"/>
                      <w:szCs w:val="18"/>
                    </w:rPr>
                  </w:pPr>
                </w:p>
              </w:tc>
              <w:tc>
                <w:tcPr>
                  <w:tcW w:w="2344" w:type="pct"/>
                  <w:vAlign w:val="center"/>
                </w:tcPr>
                <w:p>
                  <w:pPr>
                    <w:spacing w:line="276" w:lineRule="auto"/>
                    <w:jc w:val="center"/>
                    <w:rPr>
                      <w:color w:val="auto"/>
                      <w:sz w:val="18"/>
                      <w:szCs w:val="18"/>
                    </w:rPr>
                  </w:pPr>
                  <w:r>
                    <w:rPr>
                      <w:rFonts w:hint="eastAsia"/>
                      <w:color w:val="auto"/>
                      <w:sz w:val="18"/>
                      <w:szCs w:val="18"/>
                    </w:rPr>
                    <w:t>边坡采取台阶开采，避免边坡失稳，表土废石堆场采取拦挡、周围建设排水沟防止坍塌。规范表土临时堆场的建设，堆场底部建设防洪和排水设施，临空面修建拦渣坝（墙），加强隐患排查，避免溃坝事故发生；开采边坡加强防护，及时复绿，周围修建截排水沟，定期巡查确保稳定</w:t>
                  </w:r>
                </w:p>
              </w:tc>
              <w:tc>
                <w:tcPr>
                  <w:tcW w:w="607" w:type="pct"/>
                  <w:vMerge w:val="continue"/>
                  <w:vAlign w:val="center"/>
                </w:tcPr>
                <w:p>
                  <w:pPr>
                    <w:spacing w:line="276" w:lineRule="auto"/>
                    <w:jc w:val="center"/>
                    <w:rPr>
                      <w:color w:val="auto"/>
                      <w:kern w:val="0"/>
                      <w:sz w:val="18"/>
                      <w:szCs w:val="18"/>
                    </w:rPr>
                  </w:pPr>
                </w:p>
              </w:tc>
              <w:tc>
                <w:tcPr>
                  <w:tcW w:w="522" w:type="pct"/>
                  <w:vAlign w:val="center"/>
                </w:tcPr>
                <w:p>
                  <w:pPr>
                    <w:spacing w:line="276" w:lineRule="auto"/>
                    <w:jc w:val="center"/>
                    <w:rPr>
                      <w:color w:val="auto"/>
                      <w:kern w:val="0"/>
                      <w:sz w:val="18"/>
                      <w:szCs w:val="18"/>
                    </w:rPr>
                  </w:pPr>
                  <w:r>
                    <w:rPr>
                      <w:rFonts w:hint="eastAsia"/>
                      <w:color w:val="auto"/>
                      <w:kern w:val="0"/>
                      <w:sz w:val="18"/>
                      <w:szCs w:val="18"/>
                    </w:rPr>
                    <w:t>/</w:t>
                  </w:r>
                </w:p>
              </w:tc>
              <w:tc>
                <w:tcPr>
                  <w:tcW w:w="397" w:type="pct"/>
                  <w:vAlign w:val="center"/>
                </w:tcPr>
                <w:p>
                  <w:pPr>
                    <w:spacing w:line="276" w:lineRule="auto"/>
                    <w:jc w:val="center"/>
                    <w:rPr>
                      <w:color w:val="auto"/>
                      <w:kern w:val="0"/>
                      <w:sz w:val="18"/>
                      <w:szCs w:val="18"/>
                    </w:rPr>
                  </w:pPr>
                  <w:r>
                    <w:rPr>
                      <w:rFonts w:hint="eastAsia"/>
                      <w:color w:val="auto"/>
                      <w:kern w:val="0"/>
                      <w:sz w:val="18"/>
                      <w:szCs w:val="18"/>
                    </w:rPr>
                    <w:t>新建</w:t>
                  </w:r>
                </w:p>
              </w:tc>
            </w:tr>
          </w:tbl>
          <w:p>
            <w:pPr>
              <w:adjustRightInd w:val="0"/>
              <w:snapToGrid w:val="0"/>
              <w:spacing w:line="360" w:lineRule="auto"/>
              <w:rPr>
                <w:rFonts w:ascii="宋体" w:hAnsi="宋体" w:cs="宋体"/>
                <w:color w:val="auto"/>
                <w:kern w:val="0"/>
                <w:szCs w:val="21"/>
              </w:rPr>
            </w:pPr>
          </w:p>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三、生产规模、产品方案及产品标准</w:t>
            </w:r>
          </w:p>
          <w:p>
            <w:pPr>
              <w:adjustRightInd w:val="0"/>
              <w:snapToGrid w:val="0"/>
              <w:spacing w:line="360" w:lineRule="auto"/>
              <w:ind w:firstLine="422" w:firstLineChars="200"/>
              <w:rPr>
                <w:rFonts w:ascii="宋体" w:hAnsi="宋体" w:cs="宋体"/>
                <w:color w:val="auto"/>
                <w:kern w:val="0"/>
                <w:szCs w:val="21"/>
              </w:rPr>
            </w:pPr>
            <w:r>
              <w:rPr>
                <w:rFonts w:hint="eastAsia" w:ascii="宋体" w:hAnsi="宋体" w:cs="宋体"/>
                <w:b/>
                <w:bCs/>
                <w:color w:val="auto"/>
                <w:kern w:val="0"/>
                <w:szCs w:val="21"/>
              </w:rPr>
              <w:t>生产规模</w:t>
            </w:r>
            <w:r>
              <w:rPr>
                <w:rFonts w:hint="eastAsia" w:ascii="宋体" w:hAnsi="宋体" w:cs="宋体"/>
                <w:color w:val="auto"/>
                <w:kern w:val="0"/>
                <w:szCs w:val="21"/>
              </w:rPr>
              <w:t>：年开采加工生产建筑石料用砂岩250万t/a。根据《四川省宣汉县漆树土家族乡乘龙村鲁家洞建筑石料用灰岩、建筑用白云岩矿矿产资源开发利用方案》，矿石以白云质灰岩为主，少量生物碎屑灰岩；白云岩矿石自然类型以白云岩为主，少量灰质白云岩。</w:t>
            </w:r>
          </w:p>
          <w:p>
            <w:pPr>
              <w:adjustRightInd w:val="0"/>
              <w:snapToGrid w:val="0"/>
              <w:spacing w:line="360" w:lineRule="auto"/>
              <w:ind w:firstLine="422" w:firstLineChars="200"/>
              <w:rPr>
                <w:rFonts w:ascii="宋体" w:hAnsi="宋体" w:cs="宋体"/>
                <w:color w:val="auto"/>
                <w:kern w:val="0"/>
                <w:szCs w:val="21"/>
              </w:rPr>
            </w:pPr>
            <w:r>
              <w:rPr>
                <w:b/>
                <w:bCs/>
                <w:color w:val="auto"/>
              </w:rPr>
              <w:t>产品方案</w:t>
            </w:r>
            <w:r>
              <w:rPr>
                <w:color w:val="auto"/>
              </w:rPr>
              <w:t>：根据开发利用方案，</w:t>
            </w:r>
            <w:r>
              <w:rPr>
                <w:rFonts w:hint="eastAsia"/>
                <w:color w:val="auto"/>
              </w:rPr>
              <w:t>项目矿石主要成分是氧化钙，为建筑石料用灰岩，</w:t>
            </w:r>
            <w:r>
              <w:rPr>
                <w:color w:val="auto"/>
              </w:rPr>
              <w:t>矿山所开采矿石采集后直接运至加工区，进行破碎、筛分等加工，产品主要为各种规格的建筑石料用砂石料，包括</w:t>
            </w:r>
            <w:r>
              <w:rPr>
                <w:rFonts w:hint="eastAsia"/>
                <w:color w:val="auto"/>
              </w:rPr>
              <w:t>水洗砂</w:t>
            </w:r>
            <w:r>
              <w:rPr>
                <w:color w:val="auto"/>
              </w:rPr>
              <w:t>、米石、碎石等。</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表2-5 项目产品方案</w:t>
            </w:r>
          </w:p>
          <w:tbl>
            <w:tblPr>
              <w:tblStyle w:val="1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1417"/>
              <w:gridCol w:w="1534"/>
              <w:gridCol w:w="1358"/>
              <w:gridCol w:w="1358"/>
              <w:gridCol w:w="13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adjustRightInd w:val="0"/>
                    <w:snapToGrid w:val="0"/>
                    <w:spacing w:line="360" w:lineRule="auto"/>
                    <w:jc w:val="center"/>
                    <w:rPr>
                      <w:b/>
                      <w:bCs/>
                      <w:color w:val="auto"/>
                      <w:kern w:val="0"/>
                      <w:sz w:val="18"/>
                      <w:szCs w:val="18"/>
                    </w:rPr>
                  </w:pPr>
                  <w:r>
                    <w:rPr>
                      <w:rFonts w:hint="eastAsia"/>
                      <w:b/>
                      <w:bCs/>
                      <w:color w:val="auto"/>
                      <w:kern w:val="0"/>
                      <w:sz w:val="18"/>
                      <w:szCs w:val="18"/>
                    </w:rPr>
                    <w:t>序号</w:t>
                  </w:r>
                </w:p>
              </w:tc>
              <w:tc>
                <w:tcPr>
                  <w:tcW w:w="1417" w:type="dxa"/>
                  <w:vAlign w:val="center"/>
                </w:tcPr>
                <w:p>
                  <w:pPr>
                    <w:adjustRightInd w:val="0"/>
                    <w:snapToGrid w:val="0"/>
                    <w:spacing w:line="360" w:lineRule="auto"/>
                    <w:jc w:val="center"/>
                    <w:rPr>
                      <w:b/>
                      <w:bCs/>
                      <w:color w:val="auto"/>
                      <w:kern w:val="0"/>
                      <w:sz w:val="18"/>
                      <w:szCs w:val="18"/>
                    </w:rPr>
                  </w:pPr>
                  <w:r>
                    <w:rPr>
                      <w:rFonts w:hint="eastAsia"/>
                      <w:b/>
                      <w:bCs/>
                      <w:color w:val="auto"/>
                      <w:kern w:val="0"/>
                      <w:sz w:val="18"/>
                      <w:szCs w:val="18"/>
                    </w:rPr>
                    <w:t>原料</w:t>
                  </w:r>
                </w:p>
              </w:tc>
              <w:tc>
                <w:tcPr>
                  <w:tcW w:w="1534" w:type="dxa"/>
                  <w:vAlign w:val="center"/>
                </w:tcPr>
                <w:p>
                  <w:pPr>
                    <w:adjustRightInd w:val="0"/>
                    <w:snapToGrid w:val="0"/>
                    <w:spacing w:line="360" w:lineRule="auto"/>
                    <w:jc w:val="center"/>
                    <w:rPr>
                      <w:b/>
                      <w:bCs/>
                      <w:color w:val="auto"/>
                      <w:kern w:val="0"/>
                      <w:sz w:val="18"/>
                      <w:szCs w:val="18"/>
                    </w:rPr>
                  </w:pPr>
                  <w:r>
                    <w:rPr>
                      <w:rFonts w:hint="eastAsia"/>
                      <w:b/>
                      <w:bCs/>
                      <w:color w:val="auto"/>
                      <w:kern w:val="0"/>
                      <w:sz w:val="18"/>
                      <w:szCs w:val="18"/>
                    </w:rPr>
                    <w:t>产品名称</w:t>
                  </w:r>
                </w:p>
              </w:tc>
              <w:tc>
                <w:tcPr>
                  <w:tcW w:w="1358" w:type="dxa"/>
                  <w:vAlign w:val="center"/>
                </w:tcPr>
                <w:p>
                  <w:pPr>
                    <w:adjustRightInd w:val="0"/>
                    <w:snapToGrid w:val="0"/>
                    <w:spacing w:line="360" w:lineRule="auto"/>
                    <w:jc w:val="center"/>
                    <w:rPr>
                      <w:b/>
                      <w:bCs/>
                      <w:color w:val="auto"/>
                      <w:kern w:val="0"/>
                      <w:sz w:val="18"/>
                      <w:szCs w:val="18"/>
                    </w:rPr>
                  </w:pPr>
                  <w:r>
                    <w:rPr>
                      <w:rFonts w:hint="eastAsia"/>
                      <w:b/>
                      <w:bCs/>
                      <w:color w:val="auto"/>
                      <w:kern w:val="0"/>
                      <w:sz w:val="18"/>
                      <w:szCs w:val="18"/>
                    </w:rPr>
                    <w:t>粒径</w:t>
                  </w:r>
                </w:p>
              </w:tc>
              <w:tc>
                <w:tcPr>
                  <w:tcW w:w="1358" w:type="dxa"/>
                  <w:vAlign w:val="center"/>
                </w:tcPr>
                <w:p>
                  <w:pPr>
                    <w:adjustRightInd w:val="0"/>
                    <w:snapToGrid w:val="0"/>
                    <w:spacing w:line="360" w:lineRule="auto"/>
                    <w:jc w:val="center"/>
                    <w:rPr>
                      <w:b/>
                      <w:bCs/>
                      <w:color w:val="auto"/>
                      <w:kern w:val="0"/>
                      <w:sz w:val="18"/>
                      <w:szCs w:val="18"/>
                    </w:rPr>
                  </w:pPr>
                  <w:r>
                    <w:rPr>
                      <w:rFonts w:hint="eastAsia"/>
                      <w:b/>
                      <w:bCs/>
                      <w:color w:val="auto"/>
                      <w:kern w:val="0"/>
                      <w:sz w:val="18"/>
                      <w:szCs w:val="18"/>
                    </w:rPr>
                    <w:t>单位</w:t>
                  </w:r>
                </w:p>
              </w:tc>
              <w:tc>
                <w:tcPr>
                  <w:tcW w:w="1359" w:type="dxa"/>
                  <w:vAlign w:val="center"/>
                </w:tcPr>
                <w:p>
                  <w:pPr>
                    <w:adjustRightInd w:val="0"/>
                    <w:snapToGrid w:val="0"/>
                    <w:spacing w:line="360" w:lineRule="auto"/>
                    <w:jc w:val="center"/>
                    <w:rPr>
                      <w:b/>
                      <w:bCs/>
                      <w:color w:val="auto"/>
                      <w:kern w:val="0"/>
                      <w:sz w:val="18"/>
                      <w:szCs w:val="18"/>
                    </w:rPr>
                  </w:pPr>
                  <w:r>
                    <w:rPr>
                      <w:rFonts w:hint="eastAsia"/>
                      <w:b/>
                      <w:bCs/>
                      <w:color w:val="auto"/>
                      <w:kern w:val="0"/>
                      <w:sz w:val="18"/>
                      <w:szCs w:val="18"/>
                    </w:rPr>
                    <w:t>产量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1</w:t>
                  </w:r>
                </w:p>
              </w:tc>
              <w:tc>
                <w:tcPr>
                  <w:tcW w:w="1417" w:type="dxa"/>
                  <w:vMerge w:val="restart"/>
                  <w:vAlign w:val="center"/>
                </w:tcPr>
                <w:p>
                  <w:pPr>
                    <w:adjustRightInd w:val="0"/>
                    <w:snapToGrid w:val="0"/>
                    <w:spacing w:line="360" w:lineRule="auto"/>
                    <w:jc w:val="center"/>
                    <w:rPr>
                      <w:color w:val="auto"/>
                      <w:kern w:val="0"/>
                      <w:sz w:val="18"/>
                      <w:szCs w:val="18"/>
                    </w:rPr>
                  </w:pPr>
                  <w:r>
                    <w:rPr>
                      <w:rFonts w:hint="eastAsia"/>
                      <w:color w:val="auto"/>
                      <w:kern w:val="0"/>
                      <w:sz w:val="18"/>
                      <w:szCs w:val="18"/>
                    </w:rPr>
                    <w:t>矿山</w:t>
                  </w:r>
                </w:p>
              </w:tc>
              <w:tc>
                <w:tcPr>
                  <w:tcW w:w="1534" w:type="dxa"/>
                  <w:vAlign w:val="center"/>
                </w:tcPr>
                <w:p>
                  <w:pPr>
                    <w:adjustRightInd w:val="0"/>
                    <w:snapToGrid w:val="0"/>
                    <w:spacing w:line="360" w:lineRule="auto"/>
                    <w:jc w:val="center"/>
                    <w:rPr>
                      <w:color w:val="auto"/>
                      <w:kern w:val="0"/>
                      <w:sz w:val="18"/>
                      <w:szCs w:val="18"/>
                    </w:rPr>
                  </w:pPr>
                  <w:r>
                    <w:rPr>
                      <w:bCs/>
                      <w:color w:val="auto"/>
                      <w:sz w:val="18"/>
                      <w:szCs w:val="18"/>
                    </w:rPr>
                    <w:t>碎石</w:t>
                  </w:r>
                </w:p>
              </w:tc>
              <w:tc>
                <w:tcPr>
                  <w:tcW w:w="1358" w:type="dxa"/>
                  <w:vAlign w:val="center"/>
                </w:tcPr>
                <w:p>
                  <w:pPr>
                    <w:adjustRightInd w:val="0"/>
                    <w:snapToGrid w:val="0"/>
                    <w:spacing w:line="360" w:lineRule="auto"/>
                    <w:jc w:val="center"/>
                    <w:rPr>
                      <w:color w:val="auto"/>
                      <w:kern w:val="0"/>
                      <w:sz w:val="18"/>
                      <w:szCs w:val="18"/>
                    </w:rPr>
                  </w:pPr>
                  <w:r>
                    <w:rPr>
                      <w:bCs/>
                      <w:color w:val="auto"/>
                      <w:sz w:val="18"/>
                      <w:szCs w:val="18"/>
                    </w:rPr>
                    <w:t>20-31.5mm</w:t>
                  </w:r>
                </w:p>
              </w:tc>
              <w:tc>
                <w:tcPr>
                  <w:tcW w:w="135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万吨/年</w:t>
                  </w:r>
                </w:p>
              </w:tc>
              <w:tc>
                <w:tcPr>
                  <w:tcW w:w="1359"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2</w:t>
                  </w:r>
                </w:p>
              </w:tc>
              <w:tc>
                <w:tcPr>
                  <w:tcW w:w="1417" w:type="dxa"/>
                  <w:vMerge w:val="continue"/>
                  <w:vAlign w:val="center"/>
                </w:tcPr>
                <w:p>
                  <w:pPr>
                    <w:adjustRightInd w:val="0"/>
                    <w:snapToGrid w:val="0"/>
                    <w:spacing w:line="360" w:lineRule="auto"/>
                    <w:jc w:val="center"/>
                    <w:rPr>
                      <w:color w:val="auto"/>
                      <w:kern w:val="0"/>
                      <w:sz w:val="18"/>
                      <w:szCs w:val="18"/>
                    </w:rPr>
                  </w:pPr>
                </w:p>
              </w:tc>
              <w:tc>
                <w:tcPr>
                  <w:tcW w:w="1534" w:type="dxa"/>
                  <w:vAlign w:val="center"/>
                </w:tcPr>
                <w:p>
                  <w:pPr>
                    <w:adjustRightInd w:val="0"/>
                    <w:snapToGrid w:val="0"/>
                    <w:spacing w:line="360" w:lineRule="auto"/>
                    <w:jc w:val="center"/>
                    <w:rPr>
                      <w:color w:val="auto"/>
                      <w:kern w:val="0"/>
                      <w:sz w:val="18"/>
                      <w:szCs w:val="18"/>
                    </w:rPr>
                  </w:pPr>
                  <w:r>
                    <w:rPr>
                      <w:bCs/>
                      <w:color w:val="auto"/>
                      <w:sz w:val="18"/>
                      <w:szCs w:val="18"/>
                    </w:rPr>
                    <w:t>碎石</w:t>
                  </w:r>
                </w:p>
              </w:tc>
              <w:tc>
                <w:tcPr>
                  <w:tcW w:w="1358" w:type="dxa"/>
                  <w:vAlign w:val="center"/>
                </w:tcPr>
                <w:p>
                  <w:pPr>
                    <w:adjustRightInd w:val="0"/>
                    <w:snapToGrid w:val="0"/>
                    <w:spacing w:line="360" w:lineRule="auto"/>
                    <w:jc w:val="center"/>
                    <w:rPr>
                      <w:color w:val="auto"/>
                      <w:kern w:val="0"/>
                      <w:sz w:val="18"/>
                      <w:szCs w:val="18"/>
                    </w:rPr>
                  </w:pPr>
                  <w:r>
                    <w:rPr>
                      <w:bCs/>
                      <w:color w:val="auto"/>
                      <w:sz w:val="18"/>
                      <w:szCs w:val="18"/>
                    </w:rPr>
                    <w:t>10~20mm</w:t>
                  </w:r>
                </w:p>
              </w:tc>
              <w:tc>
                <w:tcPr>
                  <w:tcW w:w="135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万吨/年</w:t>
                  </w:r>
                </w:p>
              </w:tc>
              <w:tc>
                <w:tcPr>
                  <w:tcW w:w="1359"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3</w:t>
                  </w:r>
                </w:p>
              </w:tc>
              <w:tc>
                <w:tcPr>
                  <w:tcW w:w="1417" w:type="dxa"/>
                  <w:vMerge w:val="continue"/>
                  <w:vAlign w:val="center"/>
                </w:tcPr>
                <w:p>
                  <w:pPr>
                    <w:adjustRightInd w:val="0"/>
                    <w:snapToGrid w:val="0"/>
                    <w:spacing w:line="360" w:lineRule="auto"/>
                    <w:jc w:val="center"/>
                    <w:rPr>
                      <w:color w:val="auto"/>
                      <w:kern w:val="0"/>
                      <w:sz w:val="18"/>
                      <w:szCs w:val="18"/>
                    </w:rPr>
                  </w:pPr>
                </w:p>
              </w:tc>
              <w:tc>
                <w:tcPr>
                  <w:tcW w:w="1534" w:type="dxa"/>
                  <w:vAlign w:val="center"/>
                </w:tcPr>
                <w:p>
                  <w:pPr>
                    <w:adjustRightInd w:val="0"/>
                    <w:snapToGrid w:val="0"/>
                    <w:spacing w:line="360" w:lineRule="auto"/>
                    <w:jc w:val="center"/>
                    <w:rPr>
                      <w:color w:val="auto"/>
                      <w:kern w:val="0"/>
                      <w:sz w:val="18"/>
                      <w:szCs w:val="18"/>
                    </w:rPr>
                  </w:pPr>
                  <w:r>
                    <w:rPr>
                      <w:bCs/>
                      <w:color w:val="auto"/>
                      <w:sz w:val="18"/>
                      <w:szCs w:val="18"/>
                    </w:rPr>
                    <w:t>米石</w:t>
                  </w:r>
                </w:p>
              </w:tc>
              <w:tc>
                <w:tcPr>
                  <w:tcW w:w="1358" w:type="dxa"/>
                  <w:vAlign w:val="center"/>
                </w:tcPr>
                <w:p>
                  <w:pPr>
                    <w:adjustRightInd w:val="0"/>
                    <w:snapToGrid w:val="0"/>
                    <w:spacing w:line="360" w:lineRule="auto"/>
                    <w:jc w:val="center"/>
                    <w:rPr>
                      <w:color w:val="auto"/>
                      <w:kern w:val="0"/>
                      <w:sz w:val="18"/>
                      <w:szCs w:val="18"/>
                    </w:rPr>
                  </w:pPr>
                  <w:r>
                    <w:rPr>
                      <w:color w:val="auto"/>
                      <w:sz w:val="18"/>
                      <w:szCs w:val="18"/>
                    </w:rPr>
                    <w:t>5</w:t>
                  </w:r>
                  <w:r>
                    <w:rPr>
                      <w:color w:val="auto"/>
                      <w:sz w:val="18"/>
                      <w:szCs w:val="18"/>
                      <w:lang w:val="zh-CN"/>
                    </w:rPr>
                    <w:t>~</w:t>
                  </w:r>
                  <w:r>
                    <w:rPr>
                      <w:color w:val="auto"/>
                      <w:sz w:val="18"/>
                      <w:szCs w:val="18"/>
                    </w:rPr>
                    <w:t>10</w:t>
                  </w:r>
                  <w:r>
                    <w:rPr>
                      <w:bCs/>
                      <w:color w:val="auto"/>
                      <w:sz w:val="18"/>
                      <w:szCs w:val="18"/>
                    </w:rPr>
                    <w:t>mm</w:t>
                  </w:r>
                </w:p>
              </w:tc>
              <w:tc>
                <w:tcPr>
                  <w:tcW w:w="135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万吨/年</w:t>
                  </w:r>
                </w:p>
              </w:tc>
              <w:tc>
                <w:tcPr>
                  <w:tcW w:w="1359"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4</w:t>
                  </w:r>
                </w:p>
              </w:tc>
              <w:tc>
                <w:tcPr>
                  <w:tcW w:w="1417" w:type="dxa"/>
                  <w:vMerge w:val="continue"/>
                  <w:vAlign w:val="center"/>
                </w:tcPr>
                <w:p>
                  <w:pPr>
                    <w:adjustRightInd w:val="0"/>
                    <w:snapToGrid w:val="0"/>
                    <w:spacing w:line="360" w:lineRule="auto"/>
                    <w:jc w:val="center"/>
                    <w:rPr>
                      <w:color w:val="auto"/>
                      <w:kern w:val="0"/>
                      <w:sz w:val="18"/>
                      <w:szCs w:val="18"/>
                    </w:rPr>
                  </w:pPr>
                </w:p>
              </w:tc>
              <w:tc>
                <w:tcPr>
                  <w:tcW w:w="1534" w:type="dxa"/>
                  <w:vAlign w:val="center"/>
                </w:tcPr>
                <w:p>
                  <w:pPr>
                    <w:adjustRightInd w:val="0"/>
                    <w:snapToGrid w:val="0"/>
                    <w:spacing w:line="360" w:lineRule="auto"/>
                    <w:jc w:val="center"/>
                    <w:rPr>
                      <w:color w:val="auto"/>
                      <w:kern w:val="0"/>
                      <w:sz w:val="18"/>
                      <w:szCs w:val="18"/>
                    </w:rPr>
                  </w:pPr>
                  <w:r>
                    <w:rPr>
                      <w:color w:val="auto"/>
                      <w:sz w:val="18"/>
                      <w:szCs w:val="18"/>
                    </w:rPr>
                    <w:t>水洗砂</w:t>
                  </w:r>
                </w:p>
              </w:tc>
              <w:tc>
                <w:tcPr>
                  <w:tcW w:w="1358" w:type="dxa"/>
                  <w:vAlign w:val="center"/>
                </w:tcPr>
                <w:p>
                  <w:pPr>
                    <w:adjustRightInd w:val="0"/>
                    <w:snapToGrid w:val="0"/>
                    <w:spacing w:line="360" w:lineRule="auto"/>
                    <w:jc w:val="center"/>
                    <w:rPr>
                      <w:color w:val="auto"/>
                      <w:kern w:val="0"/>
                      <w:sz w:val="18"/>
                      <w:szCs w:val="18"/>
                    </w:rPr>
                  </w:pPr>
                  <w:r>
                    <w:rPr>
                      <w:color w:val="auto"/>
                      <w:sz w:val="18"/>
                      <w:szCs w:val="18"/>
                      <w:lang w:val="zh-CN"/>
                    </w:rPr>
                    <w:t>0~5</w:t>
                  </w:r>
                  <w:r>
                    <w:rPr>
                      <w:color w:val="auto"/>
                      <w:sz w:val="18"/>
                      <w:szCs w:val="18"/>
                    </w:rPr>
                    <w:t>m</w:t>
                  </w:r>
                  <w:r>
                    <w:rPr>
                      <w:color w:val="auto"/>
                      <w:sz w:val="18"/>
                      <w:szCs w:val="18"/>
                      <w:lang w:val="zh-CN"/>
                    </w:rPr>
                    <w:t>m</w:t>
                  </w:r>
                </w:p>
              </w:tc>
              <w:tc>
                <w:tcPr>
                  <w:tcW w:w="135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万吨/年</w:t>
                  </w:r>
                </w:p>
              </w:tc>
              <w:tc>
                <w:tcPr>
                  <w:tcW w:w="1359"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5</w:t>
                  </w:r>
                </w:p>
              </w:tc>
              <w:tc>
                <w:tcPr>
                  <w:tcW w:w="4309" w:type="dxa"/>
                  <w:gridSpan w:val="3"/>
                  <w:vAlign w:val="center"/>
                </w:tcPr>
                <w:p>
                  <w:pPr>
                    <w:adjustRightInd w:val="0"/>
                    <w:snapToGrid w:val="0"/>
                    <w:spacing w:line="360" w:lineRule="auto"/>
                    <w:jc w:val="center"/>
                    <w:rPr>
                      <w:color w:val="auto"/>
                      <w:kern w:val="0"/>
                      <w:sz w:val="18"/>
                      <w:szCs w:val="18"/>
                    </w:rPr>
                  </w:pPr>
                  <w:r>
                    <w:rPr>
                      <w:rFonts w:hint="eastAsia"/>
                      <w:color w:val="auto"/>
                      <w:kern w:val="0"/>
                      <w:sz w:val="18"/>
                      <w:szCs w:val="18"/>
                    </w:rPr>
                    <w:t>合计</w:t>
                  </w:r>
                </w:p>
              </w:tc>
              <w:tc>
                <w:tcPr>
                  <w:tcW w:w="135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万吨/年</w:t>
                  </w:r>
                </w:p>
              </w:tc>
              <w:tc>
                <w:tcPr>
                  <w:tcW w:w="1359"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49" w:type="dxa"/>
                  <w:gridSpan w:val="6"/>
                  <w:vAlign w:val="center"/>
                </w:tcPr>
                <w:p>
                  <w:pPr>
                    <w:adjustRightInd w:val="0"/>
                    <w:snapToGrid w:val="0"/>
                    <w:spacing w:line="360" w:lineRule="auto"/>
                    <w:rPr>
                      <w:color w:val="auto"/>
                      <w:kern w:val="0"/>
                      <w:sz w:val="18"/>
                      <w:szCs w:val="18"/>
                    </w:rPr>
                  </w:pPr>
                  <w:r>
                    <w:rPr>
                      <w:rFonts w:hint="eastAsia" w:ascii="宋体" w:hAnsi="宋体" w:cs="宋体"/>
                      <w:color w:val="auto"/>
                      <w:sz w:val="18"/>
                      <w:szCs w:val="18"/>
                      <w:lang w:val="zh-CN"/>
                    </w:rPr>
                    <w:t>注：项目各类产品产量由业主提供，具体产品方案需根据市场需求调整。</w:t>
                  </w:r>
                </w:p>
              </w:tc>
            </w:tr>
          </w:tbl>
          <w:p>
            <w:pPr>
              <w:adjustRightInd w:val="0"/>
              <w:snapToGrid w:val="0"/>
              <w:spacing w:line="360" w:lineRule="auto"/>
              <w:ind w:firstLine="422" w:firstLineChars="200"/>
              <w:rPr>
                <w:rFonts w:ascii="宋体" w:hAnsi="宋体" w:cs="宋体"/>
                <w:color w:val="auto"/>
                <w:kern w:val="0"/>
                <w:szCs w:val="21"/>
              </w:rPr>
            </w:pPr>
            <w:r>
              <w:rPr>
                <w:b/>
                <w:bCs/>
                <w:color w:val="auto"/>
              </w:rPr>
              <w:t>产品标准</w:t>
            </w:r>
            <w:r>
              <w:rPr>
                <w:color w:val="auto"/>
              </w:rPr>
              <w:t>：</w:t>
            </w:r>
            <w:r>
              <w:rPr>
                <w:bCs/>
                <w:color w:val="auto"/>
              </w:rPr>
              <w:t>建筑用砂执行《GB/T14684-2011建设用砂》；建筑用碎石执行《GB/T14685-2011建筑用卵石、碎石》。</w:t>
            </w:r>
          </w:p>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四、主要设备及原辅料</w:t>
            </w:r>
          </w:p>
          <w:p>
            <w:pPr>
              <w:adjustRightInd w:val="0"/>
              <w:snapToGrid w:val="0"/>
              <w:spacing w:line="360" w:lineRule="auto"/>
              <w:ind w:firstLine="420" w:firstLineChars="200"/>
              <w:rPr>
                <w:color w:val="auto"/>
              </w:rPr>
            </w:pPr>
            <w:r>
              <w:rPr>
                <w:rFonts w:hint="eastAsia"/>
                <w:color w:val="auto"/>
              </w:rPr>
              <w:t>1、项目主要设备</w:t>
            </w:r>
          </w:p>
          <w:p>
            <w:pPr>
              <w:adjustRightInd w:val="0"/>
              <w:snapToGrid w:val="0"/>
              <w:spacing w:line="360" w:lineRule="auto"/>
              <w:ind w:firstLine="420" w:firstLineChars="200"/>
              <w:rPr>
                <w:rFonts w:ascii="宋体" w:hAnsi="宋体" w:cs="宋体"/>
                <w:color w:val="auto"/>
                <w:kern w:val="0"/>
                <w:szCs w:val="21"/>
              </w:rPr>
            </w:pPr>
            <w:r>
              <w:rPr>
                <w:color w:val="auto"/>
              </w:rPr>
              <w:t>本项目主要设备见下表。</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表2-6 项目主要设备一览表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769"/>
              <w:gridCol w:w="2810"/>
              <w:gridCol w:w="882"/>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auto" w:sz="4" w:space="0"/>
                    <w:left w:val="nil"/>
                    <w:bottom w:val="single" w:color="auto" w:sz="4" w:space="0"/>
                    <w:right w:val="single" w:color="auto" w:sz="4" w:space="0"/>
                  </w:tcBorders>
                  <w:vAlign w:val="center"/>
                </w:tcPr>
                <w:p>
                  <w:pPr>
                    <w:spacing w:line="280" w:lineRule="exact"/>
                    <w:jc w:val="center"/>
                    <w:rPr>
                      <w:b/>
                      <w:color w:val="auto"/>
                      <w:sz w:val="18"/>
                      <w:szCs w:val="18"/>
                    </w:rPr>
                  </w:pPr>
                  <w:r>
                    <w:rPr>
                      <w:b/>
                      <w:color w:val="auto"/>
                      <w:sz w:val="18"/>
                      <w:szCs w:val="18"/>
                    </w:rPr>
                    <w:t>序号</w:t>
                  </w:r>
                </w:p>
              </w:tc>
              <w:tc>
                <w:tcPr>
                  <w:tcW w:w="1698"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color w:val="auto"/>
                      <w:sz w:val="18"/>
                      <w:szCs w:val="18"/>
                    </w:rPr>
                  </w:pPr>
                  <w:r>
                    <w:rPr>
                      <w:b/>
                      <w:color w:val="auto"/>
                      <w:sz w:val="18"/>
                      <w:szCs w:val="18"/>
                    </w:rPr>
                    <w:t>设备配置</w:t>
                  </w:r>
                </w:p>
              </w:tc>
              <w:tc>
                <w:tcPr>
                  <w:tcW w:w="1723"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color w:val="auto"/>
                      <w:sz w:val="18"/>
                      <w:szCs w:val="18"/>
                    </w:rPr>
                  </w:pPr>
                  <w:r>
                    <w:rPr>
                      <w:b/>
                      <w:color w:val="auto"/>
                      <w:sz w:val="18"/>
                      <w:szCs w:val="18"/>
                    </w:rPr>
                    <w:t>规格、型号</w:t>
                  </w:r>
                </w:p>
              </w:tc>
              <w:tc>
                <w:tcPr>
                  <w:tcW w:w="541"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b/>
                      <w:color w:val="auto"/>
                      <w:sz w:val="18"/>
                      <w:szCs w:val="18"/>
                    </w:rPr>
                  </w:pPr>
                  <w:r>
                    <w:rPr>
                      <w:b/>
                      <w:color w:val="auto"/>
                      <w:sz w:val="18"/>
                      <w:szCs w:val="18"/>
                    </w:rPr>
                    <w:t>数量</w:t>
                  </w:r>
                </w:p>
              </w:tc>
              <w:tc>
                <w:tcPr>
                  <w:tcW w:w="538" w:type="pct"/>
                  <w:tcBorders>
                    <w:top w:val="single" w:color="auto" w:sz="4" w:space="0"/>
                    <w:left w:val="single" w:color="auto" w:sz="4" w:space="0"/>
                    <w:bottom w:val="single" w:color="auto" w:sz="4" w:space="0"/>
                    <w:right w:val="nil"/>
                  </w:tcBorders>
                  <w:vAlign w:val="center"/>
                </w:tcPr>
                <w:p>
                  <w:pPr>
                    <w:spacing w:line="280" w:lineRule="exact"/>
                    <w:jc w:val="center"/>
                    <w:rPr>
                      <w:b/>
                      <w:color w:val="auto"/>
                      <w:sz w:val="18"/>
                      <w:szCs w:val="18"/>
                    </w:rPr>
                  </w:pPr>
                  <w:r>
                    <w:rPr>
                      <w:b/>
                      <w:color w:val="auto"/>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auto" w:sz="4" w:space="0"/>
                  </w:tcBorders>
                  <w:vAlign w:val="center"/>
                </w:tcPr>
                <w:p>
                  <w:pPr>
                    <w:spacing w:line="280" w:lineRule="exact"/>
                    <w:jc w:val="center"/>
                    <w:rPr>
                      <w:color w:val="auto"/>
                      <w:sz w:val="18"/>
                      <w:szCs w:val="18"/>
                    </w:rPr>
                  </w:pPr>
                  <w:r>
                    <w:rPr>
                      <w:color w:val="auto"/>
                      <w:sz w:val="18"/>
                      <w:szCs w:val="18"/>
                    </w:rPr>
                    <w:t>1</w:t>
                  </w:r>
                </w:p>
              </w:tc>
              <w:tc>
                <w:tcPr>
                  <w:tcW w:w="1698" w:type="pct"/>
                  <w:tcBorders>
                    <w:top w:val="single" w:color="000000" w:sz="4" w:space="0"/>
                    <w:left w:val="single" w:color="auto" w:sz="4" w:space="0"/>
                    <w:bottom w:val="single" w:color="000000" w:sz="4" w:space="0"/>
                    <w:right w:val="single" w:color="auto" w:sz="4" w:space="0"/>
                  </w:tcBorders>
                  <w:vAlign w:val="center"/>
                </w:tcPr>
                <w:p>
                  <w:pPr>
                    <w:spacing w:line="280" w:lineRule="exact"/>
                    <w:jc w:val="center"/>
                    <w:rPr>
                      <w:color w:val="auto"/>
                      <w:sz w:val="18"/>
                      <w:szCs w:val="18"/>
                    </w:rPr>
                  </w:pPr>
                  <w:r>
                    <w:rPr>
                      <w:color w:val="auto"/>
                      <w:sz w:val="18"/>
                      <w:szCs w:val="18"/>
                    </w:rPr>
                    <w:t>潜孔钻机</w:t>
                  </w:r>
                </w:p>
              </w:tc>
              <w:tc>
                <w:tcPr>
                  <w:tcW w:w="1723" w:type="pct"/>
                  <w:tcBorders>
                    <w:top w:val="single" w:color="000000" w:sz="4" w:space="0"/>
                    <w:left w:val="single" w:color="auto" w:sz="4" w:space="0"/>
                    <w:bottom w:val="single" w:color="000000" w:sz="4" w:space="0"/>
                    <w:right w:val="single" w:color="auto" w:sz="4" w:space="0"/>
                  </w:tcBorders>
                  <w:vAlign w:val="center"/>
                </w:tcPr>
                <w:p>
                  <w:pPr>
                    <w:spacing w:line="280" w:lineRule="exact"/>
                    <w:jc w:val="center"/>
                    <w:rPr>
                      <w:color w:val="auto"/>
                      <w:sz w:val="18"/>
                      <w:szCs w:val="18"/>
                    </w:rPr>
                  </w:pPr>
                  <w:r>
                    <w:rPr>
                      <w:color w:val="auto"/>
                      <w:sz w:val="18"/>
                      <w:szCs w:val="18"/>
                    </w:rPr>
                    <w:t xml:space="preserve">ZGF-100型 </w:t>
                  </w:r>
                </w:p>
              </w:tc>
              <w:tc>
                <w:tcPr>
                  <w:tcW w:w="541" w:type="pct"/>
                  <w:tcBorders>
                    <w:top w:val="single" w:color="000000" w:sz="4" w:space="0"/>
                    <w:left w:val="single" w:color="auto" w:sz="4" w:space="0"/>
                    <w:bottom w:val="single" w:color="000000" w:sz="4" w:space="0"/>
                    <w:right w:val="single" w:color="auto" w:sz="4" w:space="0"/>
                  </w:tcBorders>
                  <w:vAlign w:val="center"/>
                </w:tcPr>
                <w:p>
                  <w:pPr>
                    <w:spacing w:line="280" w:lineRule="exact"/>
                    <w:jc w:val="center"/>
                    <w:rPr>
                      <w:color w:val="auto"/>
                      <w:sz w:val="18"/>
                      <w:szCs w:val="18"/>
                    </w:rPr>
                  </w:pPr>
                  <w:r>
                    <w:rPr>
                      <w:rFonts w:hint="eastAsia"/>
                      <w:color w:val="auto"/>
                      <w:sz w:val="18"/>
                      <w:szCs w:val="18"/>
                    </w:rPr>
                    <w:t>2</w:t>
                  </w:r>
                </w:p>
              </w:tc>
              <w:tc>
                <w:tcPr>
                  <w:tcW w:w="538" w:type="pct"/>
                  <w:tcBorders>
                    <w:top w:val="single" w:color="000000" w:sz="4" w:space="0"/>
                    <w:left w:val="single" w:color="auto"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2</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kern w:val="0"/>
                      <w:sz w:val="18"/>
                      <w:szCs w:val="18"/>
                    </w:rPr>
                  </w:pPr>
                  <w:r>
                    <w:rPr>
                      <w:color w:val="auto"/>
                      <w:kern w:val="0"/>
                      <w:sz w:val="18"/>
                      <w:szCs w:val="18"/>
                    </w:rPr>
                    <w:t>凿岩机</w:t>
                  </w:r>
                </w:p>
              </w:tc>
              <w:tc>
                <w:tcPr>
                  <w:tcW w:w="1723"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kern w:val="0"/>
                      <w:sz w:val="18"/>
                      <w:szCs w:val="18"/>
                    </w:rPr>
                    <w:t>Y-19型</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kern w:val="0"/>
                      <w:sz w:val="18"/>
                      <w:szCs w:val="18"/>
                    </w:rPr>
                  </w:pPr>
                  <w:r>
                    <w:rPr>
                      <w:rFonts w:hint="eastAsia"/>
                      <w:color w:val="auto"/>
                      <w:kern w:val="0"/>
                      <w:sz w:val="18"/>
                      <w:szCs w:val="18"/>
                    </w:rPr>
                    <w:t>4</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kern w:val="0"/>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3</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液压挖掘机</w:t>
                  </w:r>
                </w:p>
              </w:tc>
              <w:tc>
                <w:tcPr>
                  <w:tcW w:w="1723"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卡特313</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3</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4</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kern w:val="0"/>
                      <w:sz w:val="18"/>
                      <w:szCs w:val="18"/>
                    </w:rPr>
                  </w:pPr>
                  <w:r>
                    <w:rPr>
                      <w:color w:val="auto"/>
                      <w:kern w:val="0"/>
                      <w:sz w:val="18"/>
                      <w:szCs w:val="18"/>
                    </w:rPr>
                    <w:t>轮式装载机</w:t>
                  </w:r>
                </w:p>
              </w:tc>
              <w:tc>
                <w:tcPr>
                  <w:tcW w:w="1723"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kern w:val="0"/>
                      <w:sz w:val="18"/>
                      <w:szCs w:val="18"/>
                    </w:rPr>
                    <w:t>LW350K</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kern w:val="0"/>
                      <w:sz w:val="18"/>
                      <w:szCs w:val="18"/>
                    </w:rPr>
                  </w:pPr>
                  <w:r>
                    <w:rPr>
                      <w:rFonts w:hint="eastAsia"/>
                      <w:color w:val="auto"/>
                      <w:kern w:val="0"/>
                      <w:sz w:val="18"/>
                      <w:szCs w:val="18"/>
                    </w:rPr>
                    <w:t>4</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kern w:val="0"/>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5</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液压破碎头</w:t>
                  </w:r>
                </w:p>
              </w:tc>
              <w:tc>
                <w:tcPr>
                  <w:tcW w:w="1723"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3</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6</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运输卡车</w:t>
                  </w:r>
                </w:p>
              </w:tc>
              <w:tc>
                <w:tcPr>
                  <w:tcW w:w="1723"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载重量</w:t>
                  </w:r>
                  <w:r>
                    <w:rPr>
                      <w:rFonts w:hint="eastAsia"/>
                      <w:color w:val="auto"/>
                      <w:sz w:val="18"/>
                      <w:szCs w:val="18"/>
                    </w:rPr>
                    <w:t>35</w:t>
                  </w:r>
                  <w:r>
                    <w:rPr>
                      <w:color w:val="auto"/>
                      <w:sz w:val="18"/>
                      <w:szCs w:val="18"/>
                    </w:rPr>
                    <w:t>t</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11</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7</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ind w:left="-105" w:leftChars="-50" w:right="-105" w:rightChars="-50"/>
                    <w:jc w:val="center"/>
                    <w:rPr>
                      <w:color w:val="auto"/>
                      <w:kern w:val="0"/>
                      <w:sz w:val="18"/>
                      <w:szCs w:val="18"/>
                    </w:rPr>
                  </w:pPr>
                  <w:r>
                    <w:rPr>
                      <w:color w:val="auto"/>
                      <w:kern w:val="0"/>
                      <w:sz w:val="18"/>
                      <w:szCs w:val="18"/>
                    </w:rPr>
                    <w:t>皮卡车</w:t>
                  </w:r>
                </w:p>
              </w:tc>
              <w:tc>
                <w:tcPr>
                  <w:tcW w:w="1723"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ind w:left="-105" w:leftChars="-50" w:right="-105" w:rightChars="-50"/>
                    <w:jc w:val="center"/>
                    <w:rPr>
                      <w:color w:val="auto"/>
                      <w:kern w:val="0"/>
                      <w:sz w:val="18"/>
                      <w:szCs w:val="18"/>
                    </w:rPr>
                  </w:pPr>
                  <w:r>
                    <w:rPr>
                      <w:color w:val="auto"/>
                      <w:kern w:val="0"/>
                      <w:sz w:val="18"/>
                      <w:szCs w:val="18"/>
                    </w:rPr>
                    <w:t>2</w:t>
                  </w:r>
                </w:p>
              </w:tc>
              <w:tc>
                <w:tcPr>
                  <w:tcW w:w="538" w:type="pct"/>
                  <w:tcBorders>
                    <w:top w:val="single" w:color="000000" w:sz="4" w:space="0"/>
                    <w:left w:val="single" w:color="000000" w:sz="4" w:space="0"/>
                    <w:bottom w:val="single" w:color="000000" w:sz="4" w:space="0"/>
                    <w:right w:val="nil"/>
                  </w:tcBorders>
                  <w:vAlign w:val="center"/>
                </w:tcPr>
                <w:p>
                  <w:pPr>
                    <w:spacing w:line="280" w:lineRule="exact"/>
                    <w:ind w:left="-105" w:leftChars="-50" w:right="-105" w:rightChars="-50"/>
                    <w:jc w:val="center"/>
                    <w:rPr>
                      <w:color w:val="auto"/>
                      <w:kern w:val="0"/>
                      <w:sz w:val="18"/>
                      <w:szCs w:val="18"/>
                    </w:rPr>
                  </w:pPr>
                  <w:r>
                    <w:rPr>
                      <w:color w:val="auto"/>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8</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ind w:left="-105" w:leftChars="-50" w:right="-105" w:rightChars="-50"/>
                    <w:jc w:val="center"/>
                    <w:rPr>
                      <w:color w:val="auto"/>
                      <w:kern w:val="0"/>
                      <w:sz w:val="18"/>
                      <w:szCs w:val="18"/>
                    </w:rPr>
                  </w:pPr>
                  <w:r>
                    <w:rPr>
                      <w:color w:val="auto"/>
                      <w:kern w:val="0"/>
                      <w:sz w:val="18"/>
                      <w:szCs w:val="18"/>
                    </w:rPr>
                    <w:t>空压机（矿山）</w:t>
                  </w:r>
                </w:p>
              </w:tc>
              <w:tc>
                <w:tcPr>
                  <w:tcW w:w="172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80" w:lineRule="exact"/>
                    <w:ind w:left="-105" w:leftChars="-50" w:right="-105" w:rightChars="-50"/>
                    <w:jc w:val="center"/>
                    <w:rPr>
                      <w:color w:val="auto"/>
                      <w:sz w:val="18"/>
                      <w:szCs w:val="18"/>
                    </w:rPr>
                  </w:pPr>
                  <w:r>
                    <w:rPr>
                      <w:color w:val="auto"/>
                      <w:sz w:val="18"/>
                      <w:szCs w:val="18"/>
                    </w:rPr>
                    <w:t>6m</w:t>
                  </w:r>
                  <w:r>
                    <w:rPr>
                      <w:color w:val="auto"/>
                      <w:sz w:val="18"/>
                      <w:szCs w:val="18"/>
                      <w:vertAlign w:val="superscript"/>
                    </w:rPr>
                    <w:t>3</w:t>
                  </w:r>
                  <w:r>
                    <w:rPr>
                      <w:color w:val="auto"/>
                      <w:sz w:val="18"/>
                      <w:szCs w:val="18"/>
                    </w:rPr>
                    <w:t>/</w:t>
                  </w:r>
                  <w:r>
                    <w:rPr>
                      <w:rFonts w:hint="eastAsia"/>
                      <w:color w:val="auto"/>
                      <w:sz w:val="18"/>
                      <w:szCs w:val="18"/>
                    </w:rPr>
                    <w:t>h</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2</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9</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ind w:left="-105" w:leftChars="-50" w:right="-105" w:rightChars="-50"/>
                    <w:jc w:val="center"/>
                    <w:rPr>
                      <w:color w:val="auto"/>
                      <w:kern w:val="0"/>
                      <w:sz w:val="18"/>
                      <w:szCs w:val="18"/>
                    </w:rPr>
                  </w:pPr>
                  <w:r>
                    <w:rPr>
                      <w:color w:val="auto"/>
                      <w:kern w:val="0"/>
                      <w:sz w:val="18"/>
                      <w:szCs w:val="18"/>
                    </w:rPr>
                    <w:t>洒水车</w:t>
                  </w:r>
                </w:p>
              </w:tc>
              <w:tc>
                <w:tcPr>
                  <w:tcW w:w="172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80" w:lineRule="exact"/>
                    <w:ind w:left="-105" w:leftChars="-50" w:right="-105" w:rightChars="-50"/>
                    <w:jc w:val="center"/>
                    <w:rPr>
                      <w:color w:val="auto"/>
                      <w:sz w:val="18"/>
                      <w:szCs w:val="18"/>
                    </w:rPr>
                  </w:pP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kern w:val="0"/>
                      <w:sz w:val="18"/>
                      <w:szCs w:val="18"/>
                    </w:rPr>
                    <w:t>3</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kern w:val="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10</w:t>
                  </w:r>
                </w:p>
              </w:tc>
              <w:tc>
                <w:tcPr>
                  <w:tcW w:w="1698" w:type="pct"/>
                  <w:tcBorders>
                    <w:top w:val="single" w:color="000000" w:sz="4" w:space="0"/>
                    <w:left w:val="single" w:color="000000" w:sz="4" w:space="0"/>
                    <w:bottom w:val="single" w:color="000000" w:sz="4" w:space="0"/>
                    <w:right w:val="single" w:color="000000" w:sz="4" w:space="0"/>
                  </w:tcBorders>
                </w:tcPr>
                <w:p>
                  <w:pPr>
                    <w:spacing w:line="280" w:lineRule="exact"/>
                    <w:ind w:left="-105" w:leftChars="-50" w:right="-105" w:rightChars="-50"/>
                    <w:jc w:val="center"/>
                    <w:rPr>
                      <w:color w:val="auto"/>
                      <w:kern w:val="0"/>
                      <w:sz w:val="18"/>
                      <w:szCs w:val="18"/>
                    </w:rPr>
                  </w:pPr>
                  <w:r>
                    <w:rPr>
                      <w:rFonts w:hint="eastAsia"/>
                      <w:color w:val="auto"/>
                      <w:sz w:val="18"/>
                      <w:szCs w:val="18"/>
                    </w:rPr>
                    <w:t>喂料机</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color w:val="auto"/>
                      <w:sz w:val="18"/>
                      <w:szCs w:val="18"/>
                    </w:rPr>
                    <w:t>1500t/h</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ind w:left="-105" w:leftChars="-50" w:right="-105" w:rightChars="-50"/>
                    <w:jc w:val="center"/>
                    <w:rPr>
                      <w:color w:val="auto"/>
                      <w:kern w:val="0"/>
                      <w:sz w:val="18"/>
                      <w:szCs w:val="18"/>
                    </w:rPr>
                  </w:pPr>
                  <w:r>
                    <w:rPr>
                      <w:color w:val="auto"/>
                      <w:sz w:val="18"/>
                      <w:szCs w:val="18"/>
                    </w:rPr>
                    <w:t>1</w:t>
                  </w:r>
                </w:p>
              </w:tc>
              <w:tc>
                <w:tcPr>
                  <w:tcW w:w="538" w:type="pct"/>
                  <w:tcBorders>
                    <w:top w:val="single" w:color="000000" w:sz="4" w:space="0"/>
                    <w:left w:val="single" w:color="000000" w:sz="4" w:space="0"/>
                    <w:bottom w:val="single" w:color="000000" w:sz="4" w:space="0"/>
                    <w:right w:val="nil"/>
                  </w:tcBorders>
                  <w:vAlign w:val="center"/>
                </w:tcPr>
                <w:p>
                  <w:pPr>
                    <w:spacing w:line="280" w:lineRule="exact"/>
                    <w:ind w:left="-105" w:leftChars="-50" w:right="-105" w:rightChars="-50"/>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11</w:t>
                  </w:r>
                </w:p>
              </w:tc>
              <w:tc>
                <w:tcPr>
                  <w:tcW w:w="1698"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rPr>
                    <w:t>颚式破碎机</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color w:val="auto"/>
                      <w:sz w:val="18"/>
                      <w:szCs w:val="18"/>
                    </w:rPr>
                    <w:t>1500t/h</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12</w:t>
                  </w:r>
                </w:p>
              </w:tc>
              <w:tc>
                <w:tcPr>
                  <w:tcW w:w="1698"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rPr>
                    <w:t>圆锥式破碎机(粗碎)</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color w:val="auto"/>
                      <w:sz w:val="18"/>
                      <w:szCs w:val="18"/>
                    </w:rPr>
                    <w:t>1400t/h</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13</w:t>
                  </w:r>
                </w:p>
              </w:tc>
              <w:tc>
                <w:tcPr>
                  <w:tcW w:w="1698"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lang w:val="zh-CN"/>
                    </w:rPr>
                    <w:t>圆振动筛（废土筛）</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rPr>
                    <w:t>处理量800t/h</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14</w:t>
                  </w:r>
                </w:p>
              </w:tc>
              <w:tc>
                <w:tcPr>
                  <w:tcW w:w="1698"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lang w:val="zh-CN"/>
                    </w:rPr>
                    <w:t>圆锥式破碎机(细碎)</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rPr>
                    <w:t>840t/h</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2</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15</w:t>
                  </w:r>
                </w:p>
              </w:tc>
              <w:tc>
                <w:tcPr>
                  <w:tcW w:w="1698"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lang w:val="zh-CN"/>
                    </w:rPr>
                    <w:t>圆振动筛（预筛分）</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rPr>
                    <w:t>处理量1000t/h</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2</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16</w:t>
                  </w:r>
                </w:p>
              </w:tc>
              <w:tc>
                <w:tcPr>
                  <w:tcW w:w="1698"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lang w:val="zh-CN"/>
                    </w:rPr>
                    <w:t>圆振动筛（成品筛分）</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rPr>
                    <w:t>处理量1000t/h</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2</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17</w:t>
                  </w:r>
                </w:p>
              </w:tc>
              <w:tc>
                <w:tcPr>
                  <w:tcW w:w="1698"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lang w:val="zh-CN"/>
                    </w:rPr>
                    <w:t>压滤机</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rPr>
                    <w:t>BY1500*1500-1000</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3</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18</w:t>
                  </w:r>
                </w:p>
              </w:tc>
              <w:tc>
                <w:tcPr>
                  <w:tcW w:w="1698"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rPr>
                    <w:t>洗砂机</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color w:val="auto"/>
                      <w:sz w:val="18"/>
                      <w:szCs w:val="18"/>
                    </w:rPr>
                    <w:t>LX1500</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2</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19</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洗砂机</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rFonts w:hint="eastAsia"/>
                      <w:color w:val="auto"/>
                      <w:sz w:val="18"/>
                      <w:szCs w:val="18"/>
                    </w:rPr>
                    <w:t>2</w:t>
                  </w:r>
                  <w:r>
                    <w:rPr>
                      <w:color w:val="auto"/>
                      <w:sz w:val="18"/>
                      <w:szCs w:val="18"/>
                    </w:rPr>
                    <w:t>LX1500</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2</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20</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kern w:val="0"/>
                      <w:sz w:val="18"/>
                      <w:szCs w:val="18"/>
                    </w:rPr>
                    <w:t>尾砂回收机</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color w:val="auto"/>
                      <w:sz w:val="18"/>
                      <w:szCs w:val="18"/>
                    </w:rPr>
                    <w:t>HS1530</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2</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21</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kern w:val="0"/>
                      <w:sz w:val="18"/>
                      <w:szCs w:val="18"/>
                    </w:rPr>
                  </w:pPr>
                  <w:r>
                    <w:rPr>
                      <w:rFonts w:hint="eastAsia"/>
                      <w:color w:val="auto"/>
                      <w:kern w:val="0"/>
                      <w:sz w:val="18"/>
                      <w:szCs w:val="18"/>
                    </w:rPr>
                    <w:t>尾砂回收机</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color w:val="auto"/>
                      <w:sz w:val="18"/>
                      <w:szCs w:val="18"/>
                    </w:rPr>
                    <w:t>HS1838</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rFonts w:hint="eastAsia"/>
                      <w:color w:val="auto"/>
                      <w:sz w:val="18"/>
                      <w:szCs w:val="18"/>
                    </w:rPr>
                    <w:t>2</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22</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kern w:val="0"/>
                      <w:sz w:val="18"/>
                      <w:szCs w:val="18"/>
                    </w:rPr>
                  </w:pPr>
                  <w:r>
                    <w:rPr>
                      <w:color w:val="auto"/>
                      <w:kern w:val="0"/>
                      <w:sz w:val="18"/>
                      <w:szCs w:val="18"/>
                    </w:rPr>
                    <w:t>板框压滤机</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color w:val="auto"/>
                      <w:sz w:val="18"/>
                      <w:szCs w:val="18"/>
                    </w:rPr>
                    <w:t>250m</w:t>
                  </w:r>
                  <w:r>
                    <w:rPr>
                      <w:color w:val="auto"/>
                      <w:sz w:val="18"/>
                      <w:szCs w:val="18"/>
                      <w:vertAlign w:val="superscript"/>
                    </w:rPr>
                    <w:t>2</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23</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kern w:val="0"/>
                      <w:sz w:val="18"/>
                      <w:szCs w:val="18"/>
                    </w:rPr>
                  </w:pPr>
                  <w:r>
                    <w:rPr>
                      <w:color w:val="auto"/>
                      <w:kern w:val="0"/>
                      <w:sz w:val="18"/>
                      <w:szCs w:val="18"/>
                    </w:rPr>
                    <w:t>板框压滤机</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color w:val="auto"/>
                      <w:sz w:val="18"/>
                      <w:szCs w:val="18"/>
                    </w:rPr>
                    <w:t>500m</w:t>
                  </w:r>
                  <w:r>
                    <w:rPr>
                      <w:color w:val="auto"/>
                      <w:sz w:val="18"/>
                      <w:szCs w:val="18"/>
                      <w:vertAlign w:val="superscript"/>
                    </w:rPr>
                    <w:t>2</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2</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24</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kern w:val="0"/>
                      <w:sz w:val="18"/>
                      <w:szCs w:val="18"/>
                    </w:rPr>
                  </w:pPr>
                  <w:r>
                    <w:rPr>
                      <w:color w:val="auto"/>
                      <w:kern w:val="0"/>
                      <w:sz w:val="18"/>
                      <w:szCs w:val="18"/>
                    </w:rPr>
                    <w:t>废水收集池</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color w:val="auto"/>
                      <w:sz w:val="18"/>
                      <w:szCs w:val="18"/>
                    </w:rPr>
                    <w:t>250m</w:t>
                  </w:r>
                  <w:r>
                    <w:rPr>
                      <w:color w:val="auto"/>
                      <w:sz w:val="18"/>
                      <w:szCs w:val="18"/>
                      <w:vertAlign w:val="superscript"/>
                    </w:rPr>
                    <w:t>3</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tcPr>
                <w:p>
                  <w:pPr>
                    <w:spacing w:line="280" w:lineRule="exact"/>
                    <w:jc w:val="center"/>
                    <w:rPr>
                      <w:color w:val="auto"/>
                      <w:sz w:val="18"/>
                      <w:szCs w:val="18"/>
                    </w:rPr>
                  </w:pPr>
                  <w:r>
                    <w:rPr>
                      <w:color w:val="auto"/>
                      <w:sz w:val="18"/>
                      <w:szCs w:val="18"/>
                    </w:rPr>
                    <w:t>25</w:t>
                  </w:r>
                </w:p>
              </w:tc>
              <w:tc>
                <w:tcPr>
                  <w:tcW w:w="1698" w:type="pct"/>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rPr>
                      <w:color w:val="auto"/>
                      <w:kern w:val="0"/>
                      <w:sz w:val="18"/>
                      <w:szCs w:val="18"/>
                    </w:rPr>
                  </w:pPr>
                  <w:r>
                    <w:rPr>
                      <w:color w:val="auto"/>
                      <w:kern w:val="0"/>
                      <w:sz w:val="18"/>
                      <w:szCs w:val="18"/>
                    </w:rPr>
                    <w:t>废水处理罐</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color w:val="auto"/>
                      <w:sz w:val="18"/>
                      <w:szCs w:val="18"/>
                    </w:rPr>
                    <w:t>600m</w:t>
                  </w:r>
                  <w:r>
                    <w:rPr>
                      <w:color w:val="auto"/>
                      <w:sz w:val="18"/>
                      <w:szCs w:val="18"/>
                      <w:vertAlign w:val="superscript"/>
                    </w:rPr>
                    <w:t>3</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top w:val="single" w:color="000000" w:sz="4" w:space="0"/>
                    <w:left w:val="nil"/>
                    <w:bottom w:val="single" w:color="000000" w:sz="4" w:space="0"/>
                    <w:right w:val="single" w:color="000000" w:sz="4" w:space="0"/>
                  </w:tcBorders>
                </w:tcPr>
                <w:p>
                  <w:pPr>
                    <w:spacing w:line="280" w:lineRule="exact"/>
                    <w:jc w:val="center"/>
                    <w:rPr>
                      <w:color w:val="auto"/>
                      <w:sz w:val="18"/>
                      <w:szCs w:val="18"/>
                    </w:rPr>
                  </w:pPr>
                  <w:r>
                    <w:rPr>
                      <w:color w:val="auto"/>
                      <w:sz w:val="18"/>
                      <w:szCs w:val="18"/>
                    </w:rPr>
                    <w:t>26</w:t>
                  </w:r>
                </w:p>
              </w:tc>
              <w:tc>
                <w:tcPr>
                  <w:tcW w:w="1698"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kern w:val="0"/>
                      <w:sz w:val="18"/>
                      <w:szCs w:val="18"/>
                    </w:rPr>
                  </w:pPr>
                  <w:r>
                    <w:rPr>
                      <w:color w:val="auto"/>
                      <w:kern w:val="0"/>
                      <w:sz w:val="18"/>
                      <w:szCs w:val="18"/>
                    </w:rPr>
                    <w:t>清水罐</w:t>
                  </w:r>
                </w:p>
              </w:tc>
              <w:tc>
                <w:tcPr>
                  <w:tcW w:w="1723" w:type="pct"/>
                  <w:tcBorders>
                    <w:top w:val="single" w:color="000000" w:sz="4" w:space="0"/>
                    <w:left w:val="single" w:color="000000" w:sz="4" w:space="0"/>
                    <w:bottom w:val="single" w:color="000000" w:sz="4" w:space="0"/>
                    <w:right w:val="single" w:color="000000" w:sz="4" w:space="0"/>
                  </w:tcBorders>
                </w:tcPr>
                <w:p>
                  <w:pPr>
                    <w:spacing w:line="280" w:lineRule="exact"/>
                    <w:jc w:val="center"/>
                    <w:rPr>
                      <w:color w:val="auto"/>
                      <w:sz w:val="18"/>
                      <w:szCs w:val="18"/>
                    </w:rPr>
                  </w:pPr>
                  <w:r>
                    <w:rPr>
                      <w:color w:val="auto"/>
                      <w:sz w:val="18"/>
                      <w:szCs w:val="18"/>
                    </w:rPr>
                    <w:t>300m</w:t>
                  </w:r>
                  <w:r>
                    <w:rPr>
                      <w:color w:val="auto"/>
                      <w:sz w:val="18"/>
                      <w:szCs w:val="18"/>
                      <w:vertAlign w:val="superscript"/>
                    </w:rPr>
                    <w:t>3</w:t>
                  </w:r>
                </w:p>
              </w:tc>
              <w:tc>
                <w:tcPr>
                  <w:tcW w:w="541" w:type="pct"/>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color w:val="auto"/>
                      <w:sz w:val="18"/>
                      <w:szCs w:val="18"/>
                    </w:rPr>
                  </w:pPr>
                  <w:r>
                    <w:rPr>
                      <w:color w:val="auto"/>
                      <w:sz w:val="18"/>
                      <w:szCs w:val="18"/>
                    </w:rPr>
                    <w:t>1</w:t>
                  </w:r>
                </w:p>
              </w:tc>
              <w:tc>
                <w:tcPr>
                  <w:tcW w:w="538" w:type="pct"/>
                  <w:tcBorders>
                    <w:top w:val="single" w:color="000000" w:sz="4" w:space="0"/>
                    <w:left w:val="single" w:color="000000" w:sz="4" w:space="0"/>
                    <w:bottom w:val="single" w:color="000000" w:sz="4" w:space="0"/>
                    <w:right w:val="nil"/>
                  </w:tcBorders>
                  <w:vAlign w:val="center"/>
                </w:tcPr>
                <w:p>
                  <w:pPr>
                    <w:spacing w:line="280" w:lineRule="exact"/>
                    <w:jc w:val="center"/>
                    <w:rPr>
                      <w:color w:val="auto"/>
                      <w:sz w:val="18"/>
                      <w:szCs w:val="18"/>
                    </w:rPr>
                  </w:pPr>
                  <w:r>
                    <w:rPr>
                      <w:color w:val="auto"/>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left w:val="nil"/>
                  </w:tcBorders>
                </w:tcPr>
                <w:p>
                  <w:pPr>
                    <w:spacing w:line="280" w:lineRule="exact"/>
                    <w:jc w:val="center"/>
                    <w:rPr>
                      <w:color w:val="auto"/>
                      <w:sz w:val="18"/>
                      <w:szCs w:val="18"/>
                    </w:rPr>
                  </w:pPr>
                  <w:r>
                    <w:rPr>
                      <w:color w:val="auto"/>
                      <w:sz w:val="18"/>
                      <w:szCs w:val="18"/>
                    </w:rPr>
                    <w:t>27</w:t>
                  </w:r>
                </w:p>
              </w:tc>
              <w:tc>
                <w:tcPr>
                  <w:tcW w:w="1698" w:type="pct"/>
                  <w:vAlign w:val="center"/>
                </w:tcPr>
                <w:p>
                  <w:pPr>
                    <w:spacing w:line="280" w:lineRule="exact"/>
                    <w:jc w:val="center"/>
                    <w:rPr>
                      <w:color w:val="auto"/>
                      <w:kern w:val="0"/>
                      <w:sz w:val="18"/>
                      <w:szCs w:val="18"/>
                    </w:rPr>
                  </w:pPr>
                  <w:r>
                    <w:rPr>
                      <w:color w:val="auto"/>
                      <w:kern w:val="0"/>
                      <w:sz w:val="18"/>
                      <w:szCs w:val="18"/>
                    </w:rPr>
                    <w:t>加药设备</w:t>
                  </w:r>
                </w:p>
              </w:tc>
              <w:tc>
                <w:tcPr>
                  <w:tcW w:w="1723" w:type="pct"/>
                </w:tcPr>
                <w:p>
                  <w:pPr>
                    <w:spacing w:line="280" w:lineRule="exact"/>
                    <w:jc w:val="center"/>
                    <w:rPr>
                      <w:color w:val="auto"/>
                      <w:sz w:val="18"/>
                      <w:szCs w:val="18"/>
                    </w:rPr>
                  </w:pPr>
                </w:p>
              </w:tc>
              <w:tc>
                <w:tcPr>
                  <w:tcW w:w="541" w:type="pct"/>
                  <w:vAlign w:val="center"/>
                </w:tcPr>
                <w:p>
                  <w:pPr>
                    <w:spacing w:line="280" w:lineRule="exact"/>
                    <w:jc w:val="center"/>
                    <w:rPr>
                      <w:color w:val="auto"/>
                      <w:sz w:val="18"/>
                      <w:szCs w:val="18"/>
                    </w:rPr>
                  </w:pPr>
                  <w:r>
                    <w:rPr>
                      <w:color w:val="auto"/>
                      <w:sz w:val="18"/>
                      <w:szCs w:val="18"/>
                    </w:rPr>
                    <w:t>1</w:t>
                  </w:r>
                </w:p>
              </w:tc>
              <w:tc>
                <w:tcPr>
                  <w:tcW w:w="538" w:type="pct"/>
                  <w:tcBorders>
                    <w:right w:val="nil"/>
                  </w:tcBorders>
                  <w:vAlign w:val="center"/>
                </w:tcPr>
                <w:p>
                  <w:pPr>
                    <w:spacing w:line="280" w:lineRule="exact"/>
                    <w:jc w:val="center"/>
                    <w:rPr>
                      <w:color w:val="auto"/>
                      <w:sz w:val="18"/>
                      <w:szCs w:val="18"/>
                    </w:rPr>
                  </w:pPr>
                  <w:r>
                    <w:rPr>
                      <w:color w:val="auto"/>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left w:val="nil"/>
                  </w:tcBorders>
                </w:tcPr>
                <w:p>
                  <w:pPr>
                    <w:spacing w:line="280" w:lineRule="exact"/>
                    <w:jc w:val="center"/>
                    <w:rPr>
                      <w:color w:val="auto"/>
                      <w:sz w:val="18"/>
                      <w:szCs w:val="18"/>
                    </w:rPr>
                  </w:pPr>
                  <w:r>
                    <w:rPr>
                      <w:color w:val="auto"/>
                      <w:sz w:val="18"/>
                      <w:szCs w:val="18"/>
                    </w:rPr>
                    <w:t>28</w:t>
                  </w:r>
                </w:p>
              </w:tc>
              <w:tc>
                <w:tcPr>
                  <w:tcW w:w="1698" w:type="pct"/>
                  <w:vAlign w:val="center"/>
                </w:tcPr>
                <w:p>
                  <w:pPr>
                    <w:spacing w:line="280" w:lineRule="exact"/>
                    <w:jc w:val="center"/>
                    <w:rPr>
                      <w:color w:val="auto"/>
                      <w:kern w:val="0"/>
                      <w:sz w:val="18"/>
                      <w:szCs w:val="18"/>
                    </w:rPr>
                  </w:pPr>
                  <w:r>
                    <w:rPr>
                      <w:color w:val="auto"/>
                      <w:kern w:val="0"/>
                      <w:sz w:val="18"/>
                      <w:szCs w:val="18"/>
                    </w:rPr>
                    <w:t>水泵</w:t>
                  </w:r>
                </w:p>
              </w:tc>
              <w:tc>
                <w:tcPr>
                  <w:tcW w:w="1723" w:type="pct"/>
                </w:tcPr>
                <w:p>
                  <w:pPr>
                    <w:spacing w:line="280" w:lineRule="exact"/>
                    <w:jc w:val="center"/>
                    <w:rPr>
                      <w:color w:val="auto"/>
                      <w:sz w:val="18"/>
                      <w:szCs w:val="18"/>
                    </w:rPr>
                  </w:pPr>
                </w:p>
              </w:tc>
              <w:tc>
                <w:tcPr>
                  <w:tcW w:w="541" w:type="pct"/>
                  <w:vAlign w:val="center"/>
                </w:tcPr>
                <w:p>
                  <w:pPr>
                    <w:spacing w:line="280" w:lineRule="exact"/>
                    <w:jc w:val="center"/>
                    <w:rPr>
                      <w:color w:val="auto"/>
                      <w:sz w:val="18"/>
                      <w:szCs w:val="18"/>
                    </w:rPr>
                  </w:pPr>
                  <w:r>
                    <w:rPr>
                      <w:color w:val="auto"/>
                      <w:sz w:val="18"/>
                      <w:szCs w:val="18"/>
                    </w:rPr>
                    <w:t>10</w:t>
                  </w:r>
                </w:p>
              </w:tc>
              <w:tc>
                <w:tcPr>
                  <w:tcW w:w="538" w:type="pct"/>
                  <w:tcBorders>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left w:val="nil"/>
                  </w:tcBorders>
                </w:tcPr>
                <w:p>
                  <w:pPr>
                    <w:spacing w:line="280" w:lineRule="exact"/>
                    <w:jc w:val="center"/>
                    <w:rPr>
                      <w:color w:val="auto"/>
                      <w:sz w:val="18"/>
                      <w:szCs w:val="18"/>
                    </w:rPr>
                  </w:pPr>
                  <w:r>
                    <w:rPr>
                      <w:color w:val="auto"/>
                      <w:sz w:val="18"/>
                      <w:szCs w:val="18"/>
                    </w:rPr>
                    <w:t>29</w:t>
                  </w:r>
                </w:p>
              </w:tc>
              <w:tc>
                <w:tcPr>
                  <w:tcW w:w="1698" w:type="pct"/>
                  <w:vAlign w:val="center"/>
                </w:tcPr>
                <w:p>
                  <w:pPr>
                    <w:widowControl/>
                    <w:spacing w:line="280" w:lineRule="exact"/>
                    <w:jc w:val="center"/>
                    <w:rPr>
                      <w:color w:val="auto"/>
                      <w:kern w:val="0"/>
                      <w:sz w:val="18"/>
                      <w:szCs w:val="18"/>
                    </w:rPr>
                  </w:pPr>
                  <w:r>
                    <w:rPr>
                      <w:color w:val="auto"/>
                      <w:kern w:val="0"/>
                      <w:sz w:val="18"/>
                      <w:szCs w:val="18"/>
                    </w:rPr>
                    <w:t>污泥泵</w:t>
                  </w:r>
                </w:p>
              </w:tc>
              <w:tc>
                <w:tcPr>
                  <w:tcW w:w="1723" w:type="pct"/>
                </w:tcPr>
                <w:p>
                  <w:pPr>
                    <w:spacing w:line="280" w:lineRule="exact"/>
                    <w:jc w:val="center"/>
                    <w:rPr>
                      <w:color w:val="auto"/>
                      <w:sz w:val="18"/>
                      <w:szCs w:val="18"/>
                    </w:rPr>
                  </w:pPr>
                </w:p>
              </w:tc>
              <w:tc>
                <w:tcPr>
                  <w:tcW w:w="541" w:type="pct"/>
                  <w:vAlign w:val="center"/>
                </w:tcPr>
                <w:p>
                  <w:pPr>
                    <w:spacing w:line="280" w:lineRule="exact"/>
                    <w:jc w:val="center"/>
                    <w:rPr>
                      <w:color w:val="auto"/>
                      <w:sz w:val="18"/>
                      <w:szCs w:val="18"/>
                    </w:rPr>
                  </w:pPr>
                  <w:r>
                    <w:rPr>
                      <w:color w:val="auto"/>
                      <w:sz w:val="18"/>
                      <w:szCs w:val="18"/>
                    </w:rPr>
                    <w:t>3</w:t>
                  </w:r>
                </w:p>
              </w:tc>
              <w:tc>
                <w:tcPr>
                  <w:tcW w:w="538" w:type="pct"/>
                  <w:tcBorders>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left w:val="nil"/>
                  </w:tcBorders>
                </w:tcPr>
                <w:p>
                  <w:pPr>
                    <w:spacing w:line="280" w:lineRule="exact"/>
                    <w:jc w:val="center"/>
                    <w:rPr>
                      <w:color w:val="auto"/>
                      <w:sz w:val="18"/>
                      <w:szCs w:val="18"/>
                    </w:rPr>
                  </w:pPr>
                  <w:r>
                    <w:rPr>
                      <w:color w:val="auto"/>
                      <w:sz w:val="18"/>
                      <w:szCs w:val="18"/>
                    </w:rPr>
                    <w:t>30</w:t>
                  </w:r>
                </w:p>
              </w:tc>
              <w:tc>
                <w:tcPr>
                  <w:tcW w:w="1698" w:type="pct"/>
                  <w:vAlign w:val="center"/>
                </w:tcPr>
                <w:p>
                  <w:pPr>
                    <w:spacing w:line="280" w:lineRule="exact"/>
                    <w:jc w:val="center"/>
                    <w:rPr>
                      <w:color w:val="auto"/>
                      <w:kern w:val="0"/>
                      <w:sz w:val="18"/>
                      <w:szCs w:val="18"/>
                    </w:rPr>
                  </w:pPr>
                  <w:r>
                    <w:rPr>
                      <w:color w:val="auto"/>
                      <w:sz w:val="18"/>
                      <w:szCs w:val="18"/>
                    </w:rPr>
                    <w:t>空压机（加工区）</w:t>
                  </w:r>
                </w:p>
              </w:tc>
              <w:tc>
                <w:tcPr>
                  <w:tcW w:w="1723" w:type="pct"/>
                </w:tcPr>
                <w:p>
                  <w:pPr>
                    <w:spacing w:line="280" w:lineRule="exact"/>
                    <w:jc w:val="center"/>
                    <w:rPr>
                      <w:color w:val="auto"/>
                      <w:sz w:val="18"/>
                      <w:szCs w:val="18"/>
                    </w:rPr>
                  </w:pPr>
                  <w:r>
                    <w:rPr>
                      <w:color w:val="auto"/>
                      <w:sz w:val="18"/>
                      <w:szCs w:val="18"/>
                    </w:rPr>
                    <w:t>3m</w:t>
                  </w:r>
                  <w:r>
                    <w:rPr>
                      <w:color w:val="auto"/>
                      <w:sz w:val="18"/>
                      <w:szCs w:val="18"/>
                      <w:vertAlign w:val="superscript"/>
                    </w:rPr>
                    <w:t>3</w:t>
                  </w:r>
                  <w:r>
                    <w:rPr>
                      <w:color w:val="auto"/>
                      <w:sz w:val="18"/>
                      <w:szCs w:val="18"/>
                    </w:rPr>
                    <w:t>/</w:t>
                  </w:r>
                  <w:r>
                    <w:rPr>
                      <w:rFonts w:hint="eastAsia"/>
                      <w:color w:val="auto"/>
                      <w:sz w:val="18"/>
                      <w:szCs w:val="18"/>
                    </w:rPr>
                    <w:t>h</w:t>
                  </w:r>
                </w:p>
              </w:tc>
              <w:tc>
                <w:tcPr>
                  <w:tcW w:w="541" w:type="pct"/>
                  <w:vAlign w:val="center"/>
                </w:tcPr>
                <w:p>
                  <w:pPr>
                    <w:spacing w:line="280" w:lineRule="exact"/>
                    <w:jc w:val="center"/>
                    <w:rPr>
                      <w:color w:val="auto"/>
                      <w:sz w:val="18"/>
                      <w:szCs w:val="18"/>
                    </w:rPr>
                  </w:pPr>
                  <w:r>
                    <w:rPr>
                      <w:color w:val="auto"/>
                      <w:sz w:val="18"/>
                      <w:szCs w:val="18"/>
                    </w:rPr>
                    <w:t>1</w:t>
                  </w:r>
                </w:p>
              </w:tc>
              <w:tc>
                <w:tcPr>
                  <w:tcW w:w="538" w:type="pct"/>
                  <w:tcBorders>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00" w:type="pct"/>
                  <w:tcBorders>
                    <w:left w:val="nil"/>
                  </w:tcBorders>
                </w:tcPr>
                <w:p>
                  <w:pPr>
                    <w:spacing w:line="280" w:lineRule="exact"/>
                    <w:jc w:val="center"/>
                    <w:rPr>
                      <w:color w:val="auto"/>
                      <w:sz w:val="18"/>
                      <w:szCs w:val="18"/>
                    </w:rPr>
                  </w:pPr>
                  <w:r>
                    <w:rPr>
                      <w:color w:val="auto"/>
                      <w:sz w:val="18"/>
                      <w:szCs w:val="18"/>
                    </w:rPr>
                    <w:t>31</w:t>
                  </w:r>
                </w:p>
              </w:tc>
              <w:tc>
                <w:tcPr>
                  <w:tcW w:w="1698" w:type="pct"/>
                  <w:vAlign w:val="center"/>
                </w:tcPr>
                <w:p>
                  <w:pPr>
                    <w:spacing w:line="280" w:lineRule="exact"/>
                    <w:jc w:val="center"/>
                    <w:rPr>
                      <w:color w:val="auto"/>
                      <w:sz w:val="18"/>
                      <w:szCs w:val="18"/>
                    </w:rPr>
                  </w:pPr>
                  <w:r>
                    <w:rPr>
                      <w:color w:val="auto"/>
                      <w:sz w:val="18"/>
                      <w:szCs w:val="18"/>
                    </w:rPr>
                    <w:t>地磅</w:t>
                  </w:r>
                </w:p>
              </w:tc>
              <w:tc>
                <w:tcPr>
                  <w:tcW w:w="1723" w:type="pct"/>
                </w:tcPr>
                <w:p>
                  <w:pPr>
                    <w:spacing w:line="280" w:lineRule="exact"/>
                    <w:jc w:val="center"/>
                    <w:rPr>
                      <w:color w:val="auto"/>
                      <w:sz w:val="18"/>
                      <w:szCs w:val="18"/>
                    </w:rPr>
                  </w:pPr>
                  <w:r>
                    <w:rPr>
                      <w:color w:val="auto"/>
                      <w:sz w:val="18"/>
                      <w:szCs w:val="18"/>
                    </w:rPr>
                    <w:t>100T</w:t>
                  </w:r>
                </w:p>
              </w:tc>
              <w:tc>
                <w:tcPr>
                  <w:tcW w:w="541" w:type="pct"/>
                  <w:vAlign w:val="center"/>
                </w:tcPr>
                <w:p>
                  <w:pPr>
                    <w:spacing w:line="280" w:lineRule="exact"/>
                    <w:jc w:val="center"/>
                    <w:rPr>
                      <w:color w:val="auto"/>
                      <w:sz w:val="18"/>
                      <w:szCs w:val="18"/>
                    </w:rPr>
                  </w:pPr>
                  <w:r>
                    <w:rPr>
                      <w:color w:val="auto"/>
                      <w:sz w:val="18"/>
                      <w:szCs w:val="18"/>
                    </w:rPr>
                    <w:t>2</w:t>
                  </w:r>
                </w:p>
              </w:tc>
              <w:tc>
                <w:tcPr>
                  <w:tcW w:w="538" w:type="pct"/>
                  <w:tcBorders>
                    <w:right w:val="nil"/>
                  </w:tcBorders>
                  <w:vAlign w:val="center"/>
                </w:tcPr>
                <w:p>
                  <w:pPr>
                    <w:spacing w:line="280" w:lineRule="exact"/>
                    <w:jc w:val="center"/>
                    <w:rPr>
                      <w:color w:val="auto"/>
                      <w:sz w:val="18"/>
                      <w:szCs w:val="18"/>
                    </w:rPr>
                  </w:pPr>
                  <w:r>
                    <w:rPr>
                      <w:color w:val="auto"/>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00" w:type="pct"/>
                  <w:tcBorders>
                    <w:left w:val="nil"/>
                  </w:tcBorders>
                </w:tcPr>
                <w:p>
                  <w:pPr>
                    <w:spacing w:line="280" w:lineRule="exact"/>
                    <w:jc w:val="center"/>
                    <w:rPr>
                      <w:color w:val="auto"/>
                      <w:sz w:val="18"/>
                      <w:szCs w:val="18"/>
                    </w:rPr>
                  </w:pPr>
                  <w:r>
                    <w:rPr>
                      <w:color w:val="auto"/>
                      <w:sz w:val="18"/>
                      <w:szCs w:val="18"/>
                    </w:rPr>
                    <w:t>32</w:t>
                  </w:r>
                </w:p>
              </w:tc>
              <w:tc>
                <w:tcPr>
                  <w:tcW w:w="1698" w:type="pct"/>
                  <w:vAlign w:val="center"/>
                </w:tcPr>
                <w:p>
                  <w:pPr>
                    <w:spacing w:line="280" w:lineRule="exact"/>
                    <w:jc w:val="center"/>
                    <w:rPr>
                      <w:color w:val="auto"/>
                      <w:sz w:val="18"/>
                      <w:szCs w:val="18"/>
                    </w:rPr>
                  </w:pPr>
                  <w:r>
                    <w:rPr>
                      <w:rFonts w:hint="eastAsia"/>
                      <w:color w:val="auto"/>
                      <w:sz w:val="18"/>
                      <w:szCs w:val="18"/>
                    </w:rPr>
                    <w:t>皮带输送机</w:t>
                  </w:r>
                </w:p>
              </w:tc>
              <w:tc>
                <w:tcPr>
                  <w:tcW w:w="1723" w:type="pct"/>
                </w:tcPr>
                <w:p>
                  <w:pPr>
                    <w:spacing w:line="280" w:lineRule="exact"/>
                    <w:jc w:val="center"/>
                    <w:rPr>
                      <w:color w:val="auto"/>
                      <w:sz w:val="18"/>
                      <w:szCs w:val="18"/>
                    </w:rPr>
                  </w:pPr>
                  <w:r>
                    <w:rPr>
                      <w:rFonts w:hint="eastAsia"/>
                      <w:color w:val="auto"/>
                      <w:sz w:val="18"/>
                      <w:szCs w:val="18"/>
                    </w:rPr>
                    <w:t>/</w:t>
                  </w:r>
                </w:p>
              </w:tc>
              <w:tc>
                <w:tcPr>
                  <w:tcW w:w="541" w:type="pct"/>
                  <w:vAlign w:val="center"/>
                </w:tcPr>
                <w:p>
                  <w:pPr>
                    <w:spacing w:line="280" w:lineRule="exact"/>
                    <w:jc w:val="center"/>
                    <w:rPr>
                      <w:color w:val="auto"/>
                      <w:sz w:val="18"/>
                      <w:szCs w:val="18"/>
                    </w:rPr>
                  </w:pPr>
                  <w:r>
                    <w:rPr>
                      <w:rFonts w:hint="eastAsia"/>
                      <w:color w:val="auto"/>
                      <w:sz w:val="18"/>
                      <w:szCs w:val="18"/>
                    </w:rPr>
                    <w:t>25</w:t>
                  </w:r>
                </w:p>
              </w:tc>
              <w:tc>
                <w:tcPr>
                  <w:tcW w:w="538" w:type="pct"/>
                  <w:tcBorders>
                    <w:right w:val="nil"/>
                  </w:tcBorders>
                  <w:vAlign w:val="center"/>
                </w:tcPr>
                <w:p>
                  <w:pPr>
                    <w:spacing w:line="280" w:lineRule="exact"/>
                    <w:jc w:val="center"/>
                    <w:rPr>
                      <w:color w:val="auto"/>
                      <w:sz w:val="18"/>
                      <w:szCs w:val="18"/>
                    </w:rPr>
                  </w:pPr>
                  <w:r>
                    <w:rPr>
                      <w:rFonts w:hint="eastAsia"/>
                      <w:color w:val="auto"/>
                      <w:sz w:val="18"/>
                      <w:szCs w:val="18"/>
                    </w:rPr>
                    <w:t>条</w:t>
                  </w:r>
                </w:p>
              </w:tc>
            </w:tr>
          </w:tbl>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2、原辅材料及能源消耗表</w:t>
            </w:r>
          </w:p>
          <w:p>
            <w:pPr>
              <w:adjustRightInd w:val="0"/>
              <w:snapToGrid w:val="0"/>
              <w:spacing w:line="360" w:lineRule="auto"/>
              <w:ind w:firstLine="420" w:firstLineChars="200"/>
              <w:rPr>
                <w:rFonts w:ascii="宋体" w:hAnsi="宋体" w:cs="宋体"/>
                <w:color w:val="auto"/>
                <w:kern w:val="0"/>
                <w:szCs w:val="21"/>
              </w:rPr>
            </w:pPr>
            <w:r>
              <w:rPr>
                <w:color w:val="auto"/>
              </w:rPr>
              <w:t>根据类比同类项目，生产过程中原料和能源的消耗</w:t>
            </w:r>
            <w:r>
              <w:rPr>
                <w:rFonts w:hint="eastAsia"/>
                <w:color w:val="auto"/>
              </w:rPr>
              <w:t>由</w:t>
            </w:r>
            <w:r>
              <w:rPr>
                <w:color w:val="auto"/>
              </w:rPr>
              <w:t>经验系数</w:t>
            </w:r>
            <w:r>
              <w:rPr>
                <w:rFonts w:hint="eastAsia"/>
                <w:color w:val="auto"/>
              </w:rPr>
              <w:t>计算</w:t>
            </w:r>
            <w:r>
              <w:rPr>
                <w:color w:val="auto"/>
              </w:rPr>
              <w:t>得</w:t>
            </w:r>
            <w:r>
              <w:rPr>
                <w:rFonts w:hint="eastAsia"/>
                <w:color w:val="auto"/>
              </w:rPr>
              <w:t>到</w:t>
            </w:r>
            <w:r>
              <w:rPr>
                <w:color w:val="auto"/>
              </w:rPr>
              <w:t>。营运期</w:t>
            </w:r>
            <w:r>
              <w:rPr>
                <w:bCs/>
                <w:color w:val="auto"/>
                <w:lang w:val="zh-CN"/>
              </w:rPr>
              <w:t>原辅材料及能源消耗详见下表。</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表2-7 项目主要原辅材料及能源消耗统计表</w:t>
            </w:r>
          </w:p>
          <w:tbl>
            <w:tblPr>
              <w:tblStyle w:val="14"/>
              <w:tblW w:w="79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799"/>
              <w:gridCol w:w="1513"/>
              <w:gridCol w:w="1735"/>
              <w:gridCol w:w="1399"/>
              <w:gridCol w:w="16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9" w:type="dxa"/>
                  <w:vAlign w:val="center"/>
                </w:tcPr>
                <w:p>
                  <w:pPr>
                    <w:spacing w:line="280" w:lineRule="exact"/>
                    <w:ind w:left="-53" w:leftChars="-25" w:right="-53" w:rightChars="-25"/>
                    <w:jc w:val="center"/>
                    <w:rPr>
                      <w:b/>
                      <w:color w:val="auto"/>
                      <w:sz w:val="18"/>
                      <w:szCs w:val="18"/>
                    </w:rPr>
                  </w:pPr>
                  <w:r>
                    <w:rPr>
                      <w:b/>
                      <w:color w:val="auto"/>
                      <w:sz w:val="18"/>
                      <w:szCs w:val="18"/>
                    </w:rPr>
                    <w:t>分类</w:t>
                  </w:r>
                </w:p>
              </w:tc>
              <w:tc>
                <w:tcPr>
                  <w:tcW w:w="2312" w:type="dxa"/>
                  <w:gridSpan w:val="2"/>
                  <w:vAlign w:val="center"/>
                </w:tcPr>
                <w:p>
                  <w:pPr>
                    <w:spacing w:line="280" w:lineRule="exact"/>
                    <w:ind w:left="-53" w:leftChars="-25" w:right="-53" w:rightChars="-25"/>
                    <w:jc w:val="center"/>
                    <w:rPr>
                      <w:b/>
                      <w:color w:val="auto"/>
                      <w:sz w:val="18"/>
                      <w:szCs w:val="18"/>
                    </w:rPr>
                  </w:pPr>
                  <w:r>
                    <w:rPr>
                      <w:b/>
                      <w:color w:val="auto"/>
                      <w:sz w:val="18"/>
                      <w:szCs w:val="18"/>
                    </w:rPr>
                    <w:t>物料名称</w:t>
                  </w:r>
                </w:p>
              </w:tc>
              <w:tc>
                <w:tcPr>
                  <w:tcW w:w="1735" w:type="dxa"/>
                  <w:vAlign w:val="center"/>
                </w:tcPr>
                <w:p>
                  <w:pPr>
                    <w:spacing w:line="280" w:lineRule="exact"/>
                    <w:jc w:val="center"/>
                    <w:rPr>
                      <w:b/>
                      <w:color w:val="auto"/>
                      <w:sz w:val="18"/>
                      <w:szCs w:val="18"/>
                    </w:rPr>
                  </w:pPr>
                  <w:r>
                    <w:rPr>
                      <w:b/>
                      <w:color w:val="auto"/>
                      <w:sz w:val="18"/>
                      <w:szCs w:val="18"/>
                    </w:rPr>
                    <w:t>单位消耗量</w:t>
                  </w:r>
                </w:p>
              </w:tc>
              <w:tc>
                <w:tcPr>
                  <w:tcW w:w="1399" w:type="dxa"/>
                  <w:vAlign w:val="center"/>
                </w:tcPr>
                <w:p>
                  <w:pPr>
                    <w:spacing w:line="280" w:lineRule="exact"/>
                    <w:ind w:left="-53" w:leftChars="-25" w:right="-53" w:rightChars="-25"/>
                    <w:jc w:val="center"/>
                    <w:rPr>
                      <w:b/>
                      <w:color w:val="auto"/>
                      <w:sz w:val="18"/>
                      <w:szCs w:val="18"/>
                    </w:rPr>
                  </w:pPr>
                  <w:r>
                    <w:rPr>
                      <w:b/>
                      <w:color w:val="auto"/>
                      <w:sz w:val="18"/>
                      <w:szCs w:val="18"/>
                    </w:rPr>
                    <w:t>年消耗量</w:t>
                  </w:r>
                </w:p>
              </w:tc>
              <w:tc>
                <w:tcPr>
                  <w:tcW w:w="1633" w:type="dxa"/>
                  <w:vAlign w:val="center"/>
                </w:tcPr>
                <w:p>
                  <w:pPr>
                    <w:spacing w:line="280" w:lineRule="exact"/>
                    <w:ind w:left="-53" w:leftChars="-25" w:right="-53" w:rightChars="-25"/>
                    <w:jc w:val="center"/>
                    <w:rPr>
                      <w:b/>
                      <w:color w:val="auto"/>
                      <w:sz w:val="18"/>
                      <w:szCs w:val="18"/>
                    </w:rPr>
                  </w:pPr>
                  <w:r>
                    <w:rPr>
                      <w:b/>
                      <w:color w:val="auto"/>
                      <w:sz w:val="18"/>
                      <w:szCs w:val="18"/>
                    </w:rPr>
                    <w:t>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9" w:type="dxa"/>
                  <w:vMerge w:val="restart"/>
                  <w:vAlign w:val="center"/>
                </w:tcPr>
                <w:p>
                  <w:pPr>
                    <w:spacing w:line="280" w:lineRule="exact"/>
                    <w:ind w:left="-53" w:leftChars="-25" w:right="-53" w:rightChars="-25"/>
                    <w:jc w:val="center"/>
                    <w:rPr>
                      <w:color w:val="auto"/>
                      <w:sz w:val="18"/>
                      <w:szCs w:val="18"/>
                    </w:rPr>
                  </w:pPr>
                  <w:r>
                    <w:rPr>
                      <w:color w:val="auto"/>
                      <w:sz w:val="18"/>
                      <w:szCs w:val="18"/>
                    </w:rPr>
                    <w:t>原辅材料</w:t>
                  </w:r>
                </w:p>
              </w:tc>
              <w:tc>
                <w:tcPr>
                  <w:tcW w:w="2312" w:type="dxa"/>
                  <w:gridSpan w:val="2"/>
                  <w:vAlign w:val="center"/>
                </w:tcPr>
                <w:p>
                  <w:pPr>
                    <w:spacing w:line="280" w:lineRule="exact"/>
                    <w:jc w:val="center"/>
                    <w:rPr>
                      <w:color w:val="auto"/>
                      <w:sz w:val="18"/>
                      <w:szCs w:val="18"/>
                    </w:rPr>
                  </w:pPr>
                  <w:r>
                    <w:rPr>
                      <w:rFonts w:hint="eastAsia"/>
                      <w:color w:val="auto"/>
                      <w:sz w:val="18"/>
                      <w:szCs w:val="18"/>
                    </w:rPr>
                    <w:t>矿石</w:t>
                  </w:r>
                </w:p>
              </w:tc>
              <w:tc>
                <w:tcPr>
                  <w:tcW w:w="1735" w:type="dxa"/>
                  <w:vAlign w:val="center"/>
                </w:tcPr>
                <w:p>
                  <w:pPr>
                    <w:spacing w:line="280" w:lineRule="exact"/>
                    <w:jc w:val="center"/>
                    <w:rPr>
                      <w:color w:val="auto"/>
                      <w:sz w:val="18"/>
                      <w:szCs w:val="18"/>
                    </w:rPr>
                  </w:pPr>
                  <w:r>
                    <w:rPr>
                      <w:rFonts w:hint="eastAsia"/>
                      <w:color w:val="auto"/>
                      <w:sz w:val="18"/>
                      <w:szCs w:val="18"/>
                    </w:rPr>
                    <w:t>/</w:t>
                  </w:r>
                </w:p>
              </w:tc>
              <w:tc>
                <w:tcPr>
                  <w:tcW w:w="1399" w:type="dxa"/>
                  <w:vAlign w:val="center"/>
                </w:tcPr>
                <w:p>
                  <w:pPr>
                    <w:spacing w:line="280" w:lineRule="exact"/>
                    <w:jc w:val="center"/>
                    <w:rPr>
                      <w:color w:val="auto"/>
                      <w:sz w:val="18"/>
                      <w:szCs w:val="18"/>
                    </w:rPr>
                  </w:pPr>
                  <w:r>
                    <w:rPr>
                      <w:rFonts w:hint="eastAsia"/>
                      <w:color w:val="auto"/>
                      <w:sz w:val="18"/>
                      <w:szCs w:val="18"/>
                    </w:rPr>
                    <w:t>2</w:t>
                  </w:r>
                  <w:r>
                    <w:rPr>
                      <w:color w:val="auto"/>
                      <w:sz w:val="18"/>
                      <w:szCs w:val="18"/>
                    </w:rPr>
                    <w:t>50.16</w:t>
                  </w:r>
                  <w:r>
                    <w:rPr>
                      <w:rFonts w:hint="eastAsia"/>
                      <w:color w:val="auto"/>
                      <w:sz w:val="18"/>
                      <w:szCs w:val="18"/>
                    </w:rPr>
                    <w:t>万吨</w:t>
                  </w:r>
                </w:p>
              </w:tc>
              <w:tc>
                <w:tcPr>
                  <w:tcW w:w="1633" w:type="dxa"/>
                  <w:vAlign w:val="center"/>
                </w:tcPr>
                <w:p>
                  <w:pPr>
                    <w:spacing w:line="280" w:lineRule="exact"/>
                    <w:ind w:left="-53" w:leftChars="-25" w:right="-53" w:rightChars="-25"/>
                    <w:jc w:val="center"/>
                    <w:rPr>
                      <w:color w:val="auto"/>
                      <w:sz w:val="18"/>
                      <w:szCs w:val="18"/>
                    </w:rPr>
                  </w:pPr>
                  <w:r>
                    <w:rPr>
                      <w:rFonts w:hint="eastAsia"/>
                      <w:color w:val="auto"/>
                      <w:sz w:val="18"/>
                      <w:szCs w:val="18"/>
                    </w:rPr>
                    <w:t>项目矿区开采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9" w:type="dxa"/>
                  <w:vMerge w:val="continue"/>
                  <w:vAlign w:val="center"/>
                </w:tcPr>
                <w:p>
                  <w:pPr>
                    <w:spacing w:line="280" w:lineRule="exact"/>
                    <w:ind w:left="-53" w:leftChars="-25" w:right="-53" w:rightChars="-25"/>
                    <w:jc w:val="center"/>
                    <w:rPr>
                      <w:color w:val="auto"/>
                      <w:sz w:val="18"/>
                      <w:szCs w:val="18"/>
                    </w:rPr>
                  </w:pPr>
                </w:p>
              </w:tc>
              <w:tc>
                <w:tcPr>
                  <w:tcW w:w="2312" w:type="dxa"/>
                  <w:gridSpan w:val="2"/>
                  <w:vAlign w:val="center"/>
                </w:tcPr>
                <w:p>
                  <w:pPr>
                    <w:spacing w:line="280" w:lineRule="exact"/>
                    <w:jc w:val="center"/>
                    <w:rPr>
                      <w:color w:val="auto"/>
                      <w:sz w:val="18"/>
                      <w:szCs w:val="18"/>
                    </w:rPr>
                  </w:pPr>
                  <w:r>
                    <w:rPr>
                      <w:color w:val="auto"/>
                      <w:sz w:val="18"/>
                      <w:szCs w:val="18"/>
                    </w:rPr>
                    <w:t>炸  药</w:t>
                  </w:r>
                </w:p>
              </w:tc>
              <w:tc>
                <w:tcPr>
                  <w:tcW w:w="1735" w:type="dxa"/>
                  <w:vAlign w:val="center"/>
                </w:tcPr>
                <w:p>
                  <w:pPr>
                    <w:spacing w:line="280" w:lineRule="exact"/>
                    <w:jc w:val="center"/>
                    <w:rPr>
                      <w:color w:val="auto"/>
                      <w:sz w:val="18"/>
                      <w:szCs w:val="18"/>
                    </w:rPr>
                  </w:pPr>
                  <w:r>
                    <w:rPr>
                      <w:color w:val="auto"/>
                      <w:sz w:val="18"/>
                      <w:szCs w:val="18"/>
                    </w:rPr>
                    <w:t>0.136kg/t</w:t>
                  </w:r>
                </w:p>
              </w:tc>
              <w:tc>
                <w:tcPr>
                  <w:tcW w:w="1399" w:type="dxa"/>
                  <w:vAlign w:val="center"/>
                </w:tcPr>
                <w:p>
                  <w:pPr>
                    <w:spacing w:line="280" w:lineRule="exact"/>
                    <w:jc w:val="center"/>
                    <w:rPr>
                      <w:color w:val="auto"/>
                      <w:sz w:val="18"/>
                      <w:szCs w:val="18"/>
                    </w:rPr>
                  </w:pPr>
                  <w:r>
                    <w:rPr>
                      <w:rFonts w:hint="eastAsia"/>
                      <w:color w:val="auto"/>
                      <w:sz w:val="18"/>
                      <w:szCs w:val="18"/>
                    </w:rPr>
                    <w:t>300</w:t>
                  </w:r>
                  <w:r>
                    <w:rPr>
                      <w:color w:val="auto"/>
                      <w:sz w:val="18"/>
                      <w:szCs w:val="18"/>
                    </w:rPr>
                    <w:t>t</w:t>
                  </w:r>
                </w:p>
              </w:tc>
              <w:tc>
                <w:tcPr>
                  <w:tcW w:w="1633" w:type="dxa"/>
                  <w:vAlign w:val="center"/>
                </w:tcPr>
                <w:p>
                  <w:pPr>
                    <w:spacing w:line="280" w:lineRule="exact"/>
                    <w:ind w:left="-53" w:leftChars="-25" w:right="-53" w:rightChars="-25"/>
                    <w:jc w:val="center"/>
                    <w:rPr>
                      <w:color w:val="auto"/>
                      <w:sz w:val="18"/>
                      <w:szCs w:val="18"/>
                    </w:rPr>
                  </w:pPr>
                  <w:r>
                    <w:rPr>
                      <w:color w:val="auto"/>
                      <w:sz w:val="18"/>
                      <w:szCs w:val="18"/>
                    </w:rPr>
                    <w:t>当地市场购买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9" w:type="dxa"/>
                  <w:vMerge w:val="continue"/>
                  <w:vAlign w:val="center"/>
                </w:tcPr>
                <w:p>
                  <w:pPr>
                    <w:spacing w:line="280" w:lineRule="exact"/>
                    <w:ind w:left="-53" w:leftChars="-25" w:right="-53" w:rightChars="-25"/>
                    <w:jc w:val="center"/>
                    <w:rPr>
                      <w:color w:val="auto"/>
                      <w:sz w:val="18"/>
                      <w:szCs w:val="18"/>
                    </w:rPr>
                  </w:pPr>
                </w:p>
              </w:tc>
              <w:tc>
                <w:tcPr>
                  <w:tcW w:w="2312" w:type="dxa"/>
                  <w:gridSpan w:val="2"/>
                  <w:vAlign w:val="center"/>
                </w:tcPr>
                <w:p>
                  <w:pPr>
                    <w:spacing w:line="280" w:lineRule="exact"/>
                    <w:jc w:val="center"/>
                    <w:rPr>
                      <w:color w:val="auto"/>
                      <w:sz w:val="18"/>
                      <w:szCs w:val="18"/>
                    </w:rPr>
                  </w:pPr>
                  <w:r>
                    <w:rPr>
                      <w:color w:val="auto"/>
                      <w:sz w:val="18"/>
                      <w:szCs w:val="18"/>
                    </w:rPr>
                    <w:t>雷  管</w:t>
                  </w:r>
                </w:p>
              </w:tc>
              <w:tc>
                <w:tcPr>
                  <w:tcW w:w="1735" w:type="dxa"/>
                  <w:vAlign w:val="center"/>
                </w:tcPr>
                <w:p>
                  <w:pPr>
                    <w:spacing w:line="280" w:lineRule="exact"/>
                    <w:jc w:val="center"/>
                    <w:rPr>
                      <w:color w:val="auto"/>
                      <w:sz w:val="18"/>
                      <w:szCs w:val="18"/>
                    </w:rPr>
                  </w:pPr>
                  <w:r>
                    <w:rPr>
                      <w:color w:val="auto"/>
                      <w:sz w:val="18"/>
                      <w:szCs w:val="18"/>
                    </w:rPr>
                    <w:t>0.01发/t</w:t>
                  </w:r>
                </w:p>
              </w:tc>
              <w:tc>
                <w:tcPr>
                  <w:tcW w:w="1399" w:type="dxa"/>
                  <w:vAlign w:val="center"/>
                </w:tcPr>
                <w:p>
                  <w:pPr>
                    <w:spacing w:line="280" w:lineRule="exact"/>
                    <w:jc w:val="center"/>
                    <w:rPr>
                      <w:color w:val="auto"/>
                      <w:sz w:val="18"/>
                      <w:szCs w:val="18"/>
                    </w:rPr>
                  </w:pPr>
                  <w:r>
                    <w:rPr>
                      <w:rFonts w:hint="eastAsia"/>
                      <w:color w:val="auto"/>
                      <w:sz w:val="18"/>
                      <w:szCs w:val="18"/>
                    </w:rPr>
                    <w:t>25000</w:t>
                  </w:r>
                  <w:r>
                    <w:rPr>
                      <w:color w:val="auto"/>
                      <w:sz w:val="18"/>
                      <w:szCs w:val="18"/>
                    </w:rPr>
                    <w:t>发</w:t>
                  </w:r>
                </w:p>
              </w:tc>
              <w:tc>
                <w:tcPr>
                  <w:tcW w:w="1633" w:type="dxa"/>
                  <w:vAlign w:val="center"/>
                </w:tcPr>
                <w:p>
                  <w:pPr>
                    <w:spacing w:line="280" w:lineRule="exact"/>
                    <w:ind w:left="-53" w:leftChars="-25" w:right="-53" w:rightChars="-25"/>
                    <w:jc w:val="center"/>
                    <w:rPr>
                      <w:color w:val="auto"/>
                      <w:sz w:val="18"/>
                      <w:szCs w:val="18"/>
                    </w:rPr>
                  </w:pPr>
                  <w:r>
                    <w:rPr>
                      <w:color w:val="auto"/>
                      <w:sz w:val="18"/>
                      <w:szCs w:val="18"/>
                    </w:rPr>
                    <w:t>当地市场购买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9" w:type="dxa"/>
                  <w:vMerge w:val="continue"/>
                  <w:vAlign w:val="center"/>
                </w:tcPr>
                <w:p>
                  <w:pPr>
                    <w:spacing w:line="280" w:lineRule="exact"/>
                    <w:ind w:left="-53" w:leftChars="-25" w:right="-53" w:rightChars="-25"/>
                    <w:jc w:val="center"/>
                    <w:rPr>
                      <w:color w:val="auto"/>
                      <w:sz w:val="18"/>
                      <w:szCs w:val="18"/>
                    </w:rPr>
                  </w:pPr>
                </w:p>
              </w:tc>
              <w:tc>
                <w:tcPr>
                  <w:tcW w:w="2312" w:type="dxa"/>
                  <w:gridSpan w:val="2"/>
                  <w:vAlign w:val="center"/>
                </w:tcPr>
                <w:p>
                  <w:pPr>
                    <w:spacing w:line="280" w:lineRule="exact"/>
                    <w:jc w:val="center"/>
                    <w:rPr>
                      <w:color w:val="auto"/>
                      <w:sz w:val="18"/>
                      <w:szCs w:val="18"/>
                    </w:rPr>
                  </w:pPr>
                  <w:r>
                    <w:rPr>
                      <w:color w:val="auto"/>
                      <w:sz w:val="18"/>
                      <w:szCs w:val="18"/>
                    </w:rPr>
                    <w:t>钻杆（Φ75mm/1m）</w:t>
                  </w:r>
                </w:p>
              </w:tc>
              <w:tc>
                <w:tcPr>
                  <w:tcW w:w="1735" w:type="dxa"/>
                  <w:vAlign w:val="center"/>
                </w:tcPr>
                <w:p>
                  <w:pPr>
                    <w:spacing w:line="280" w:lineRule="exact"/>
                    <w:jc w:val="center"/>
                    <w:rPr>
                      <w:color w:val="auto"/>
                      <w:sz w:val="18"/>
                      <w:szCs w:val="18"/>
                    </w:rPr>
                  </w:pPr>
                  <w:r>
                    <w:rPr>
                      <w:color w:val="auto"/>
                      <w:sz w:val="18"/>
                      <w:szCs w:val="18"/>
                    </w:rPr>
                    <w:t>1根/万t</w:t>
                  </w:r>
                </w:p>
              </w:tc>
              <w:tc>
                <w:tcPr>
                  <w:tcW w:w="1399" w:type="dxa"/>
                  <w:vAlign w:val="center"/>
                </w:tcPr>
                <w:p>
                  <w:pPr>
                    <w:spacing w:line="280" w:lineRule="exact"/>
                    <w:jc w:val="center"/>
                    <w:rPr>
                      <w:color w:val="auto"/>
                      <w:sz w:val="18"/>
                      <w:szCs w:val="18"/>
                    </w:rPr>
                  </w:pPr>
                  <w:r>
                    <w:rPr>
                      <w:rFonts w:hint="eastAsia"/>
                      <w:color w:val="auto"/>
                      <w:sz w:val="18"/>
                      <w:szCs w:val="18"/>
                    </w:rPr>
                    <w:t>250</w:t>
                  </w:r>
                  <w:r>
                    <w:rPr>
                      <w:color w:val="auto"/>
                      <w:sz w:val="18"/>
                      <w:szCs w:val="18"/>
                    </w:rPr>
                    <w:t>根</w:t>
                  </w:r>
                </w:p>
              </w:tc>
              <w:tc>
                <w:tcPr>
                  <w:tcW w:w="1633" w:type="dxa"/>
                  <w:vAlign w:val="center"/>
                </w:tcPr>
                <w:p>
                  <w:pPr>
                    <w:spacing w:line="280" w:lineRule="exact"/>
                    <w:ind w:left="-53" w:leftChars="-25" w:right="-53" w:rightChars="-25"/>
                    <w:jc w:val="center"/>
                    <w:rPr>
                      <w:color w:val="auto"/>
                      <w:sz w:val="18"/>
                      <w:szCs w:val="18"/>
                    </w:rPr>
                  </w:pPr>
                  <w:r>
                    <w:rPr>
                      <w:color w:val="auto"/>
                      <w:sz w:val="18"/>
                      <w:szCs w:val="18"/>
                    </w:rPr>
                    <w:t>当地市场购买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9" w:type="dxa"/>
                  <w:vMerge w:val="continue"/>
                  <w:vAlign w:val="center"/>
                </w:tcPr>
                <w:p>
                  <w:pPr>
                    <w:spacing w:line="280" w:lineRule="exact"/>
                    <w:ind w:left="-53" w:leftChars="-25" w:right="-53" w:rightChars="-25"/>
                    <w:jc w:val="center"/>
                    <w:rPr>
                      <w:color w:val="auto"/>
                      <w:sz w:val="18"/>
                      <w:szCs w:val="18"/>
                    </w:rPr>
                  </w:pPr>
                </w:p>
              </w:tc>
              <w:tc>
                <w:tcPr>
                  <w:tcW w:w="2312" w:type="dxa"/>
                  <w:gridSpan w:val="2"/>
                  <w:vAlign w:val="center"/>
                </w:tcPr>
                <w:p>
                  <w:pPr>
                    <w:spacing w:line="280" w:lineRule="exact"/>
                    <w:jc w:val="center"/>
                    <w:rPr>
                      <w:color w:val="auto"/>
                      <w:sz w:val="18"/>
                      <w:szCs w:val="18"/>
                    </w:rPr>
                  </w:pPr>
                  <w:r>
                    <w:rPr>
                      <w:color w:val="auto"/>
                      <w:sz w:val="18"/>
                      <w:szCs w:val="18"/>
                    </w:rPr>
                    <w:t>钻头（Φ110mm）</w:t>
                  </w:r>
                </w:p>
              </w:tc>
              <w:tc>
                <w:tcPr>
                  <w:tcW w:w="1735" w:type="dxa"/>
                  <w:vAlign w:val="center"/>
                </w:tcPr>
                <w:p>
                  <w:pPr>
                    <w:spacing w:line="280" w:lineRule="exact"/>
                    <w:jc w:val="center"/>
                    <w:rPr>
                      <w:color w:val="auto"/>
                      <w:sz w:val="18"/>
                      <w:szCs w:val="18"/>
                    </w:rPr>
                  </w:pPr>
                  <w:r>
                    <w:rPr>
                      <w:color w:val="auto"/>
                      <w:sz w:val="18"/>
                      <w:szCs w:val="18"/>
                    </w:rPr>
                    <w:t>5个/万t</w:t>
                  </w:r>
                </w:p>
              </w:tc>
              <w:tc>
                <w:tcPr>
                  <w:tcW w:w="1399" w:type="dxa"/>
                  <w:vAlign w:val="center"/>
                </w:tcPr>
                <w:p>
                  <w:pPr>
                    <w:spacing w:line="280" w:lineRule="exact"/>
                    <w:jc w:val="center"/>
                    <w:rPr>
                      <w:color w:val="auto"/>
                      <w:sz w:val="18"/>
                      <w:szCs w:val="18"/>
                    </w:rPr>
                  </w:pPr>
                  <w:r>
                    <w:rPr>
                      <w:rFonts w:hint="eastAsia"/>
                      <w:color w:val="auto"/>
                      <w:sz w:val="18"/>
                      <w:szCs w:val="18"/>
                    </w:rPr>
                    <w:t>1250</w:t>
                  </w:r>
                  <w:r>
                    <w:rPr>
                      <w:color w:val="auto"/>
                      <w:sz w:val="18"/>
                      <w:szCs w:val="18"/>
                    </w:rPr>
                    <w:t>个</w:t>
                  </w:r>
                </w:p>
              </w:tc>
              <w:tc>
                <w:tcPr>
                  <w:tcW w:w="1633" w:type="dxa"/>
                  <w:vAlign w:val="center"/>
                </w:tcPr>
                <w:p>
                  <w:pPr>
                    <w:spacing w:line="280" w:lineRule="exact"/>
                    <w:ind w:left="-53" w:leftChars="-25" w:right="-53" w:rightChars="-25"/>
                    <w:jc w:val="center"/>
                    <w:rPr>
                      <w:color w:val="auto"/>
                      <w:sz w:val="18"/>
                      <w:szCs w:val="18"/>
                    </w:rPr>
                  </w:pPr>
                  <w:r>
                    <w:rPr>
                      <w:color w:val="auto"/>
                      <w:sz w:val="18"/>
                      <w:szCs w:val="18"/>
                    </w:rPr>
                    <w:t>当地市场购买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9" w:type="dxa"/>
                  <w:vMerge w:val="continue"/>
                  <w:vAlign w:val="center"/>
                </w:tcPr>
                <w:p>
                  <w:pPr>
                    <w:spacing w:line="280" w:lineRule="exact"/>
                    <w:ind w:left="-53" w:leftChars="-25" w:right="-53" w:rightChars="-25"/>
                    <w:jc w:val="center"/>
                    <w:rPr>
                      <w:color w:val="auto"/>
                      <w:sz w:val="18"/>
                      <w:szCs w:val="18"/>
                    </w:rPr>
                  </w:pPr>
                </w:p>
              </w:tc>
              <w:tc>
                <w:tcPr>
                  <w:tcW w:w="2312" w:type="dxa"/>
                  <w:gridSpan w:val="2"/>
                  <w:vAlign w:val="center"/>
                </w:tcPr>
                <w:p>
                  <w:pPr>
                    <w:spacing w:line="280" w:lineRule="exact"/>
                    <w:jc w:val="center"/>
                    <w:rPr>
                      <w:color w:val="auto"/>
                      <w:sz w:val="18"/>
                      <w:szCs w:val="18"/>
                    </w:rPr>
                  </w:pPr>
                  <w:r>
                    <w:rPr>
                      <w:color w:val="auto"/>
                      <w:sz w:val="18"/>
                      <w:szCs w:val="18"/>
                    </w:rPr>
                    <w:t>絮凝剂</w:t>
                  </w:r>
                </w:p>
              </w:tc>
              <w:tc>
                <w:tcPr>
                  <w:tcW w:w="1735" w:type="dxa"/>
                  <w:vAlign w:val="center"/>
                </w:tcPr>
                <w:p>
                  <w:pPr>
                    <w:spacing w:line="280" w:lineRule="exact"/>
                    <w:jc w:val="center"/>
                    <w:rPr>
                      <w:color w:val="auto"/>
                      <w:sz w:val="18"/>
                      <w:szCs w:val="18"/>
                    </w:rPr>
                  </w:pPr>
                  <w:r>
                    <w:rPr>
                      <w:color w:val="auto"/>
                      <w:sz w:val="18"/>
                      <w:szCs w:val="18"/>
                    </w:rPr>
                    <w:t>0.1kg/t-废水</w:t>
                  </w:r>
                </w:p>
              </w:tc>
              <w:tc>
                <w:tcPr>
                  <w:tcW w:w="1399" w:type="dxa"/>
                  <w:vAlign w:val="center"/>
                </w:tcPr>
                <w:p>
                  <w:pPr>
                    <w:spacing w:line="280" w:lineRule="exact"/>
                    <w:jc w:val="center"/>
                    <w:rPr>
                      <w:color w:val="auto"/>
                      <w:sz w:val="18"/>
                      <w:szCs w:val="18"/>
                    </w:rPr>
                  </w:pPr>
                  <w:r>
                    <w:rPr>
                      <w:color w:val="auto"/>
                      <w:sz w:val="18"/>
                      <w:szCs w:val="18"/>
                    </w:rPr>
                    <w:t>77.56t</w:t>
                  </w:r>
                </w:p>
              </w:tc>
              <w:tc>
                <w:tcPr>
                  <w:tcW w:w="1633" w:type="dxa"/>
                  <w:vAlign w:val="center"/>
                </w:tcPr>
                <w:p>
                  <w:pPr>
                    <w:spacing w:line="280" w:lineRule="exact"/>
                    <w:ind w:left="-53" w:leftChars="-25" w:right="-53" w:rightChars="-25"/>
                    <w:jc w:val="center"/>
                    <w:rPr>
                      <w:color w:val="auto"/>
                      <w:sz w:val="18"/>
                      <w:szCs w:val="18"/>
                    </w:rPr>
                  </w:pPr>
                  <w:r>
                    <w:rPr>
                      <w:color w:val="auto"/>
                      <w:sz w:val="18"/>
                      <w:szCs w:val="18"/>
                    </w:rPr>
                    <w:t>当地市场购买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9" w:type="dxa"/>
                  <w:vMerge w:val="restart"/>
                  <w:vAlign w:val="center"/>
                </w:tcPr>
                <w:p>
                  <w:pPr>
                    <w:spacing w:line="280" w:lineRule="exact"/>
                    <w:ind w:left="-53" w:leftChars="-25" w:right="-53" w:rightChars="-25"/>
                    <w:jc w:val="center"/>
                    <w:rPr>
                      <w:color w:val="auto"/>
                      <w:sz w:val="18"/>
                      <w:szCs w:val="18"/>
                    </w:rPr>
                  </w:pPr>
                  <w:r>
                    <w:rPr>
                      <w:color w:val="auto"/>
                      <w:sz w:val="18"/>
                      <w:szCs w:val="18"/>
                    </w:rPr>
                    <w:t>能源消耗</w:t>
                  </w:r>
                </w:p>
              </w:tc>
              <w:tc>
                <w:tcPr>
                  <w:tcW w:w="2312" w:type="dxa"/>
                  <w:gridSpan w:val="2"/>
                  <w:vAlign w:val="center"/>
                </w:tcPr>
                <w:p>
                  <w:pPr>
                    <w:spacing w:line="280" w:lineRule="exact"/>
                    <w:ind w:left="-53" w:leftChars="-25" w:right="-53" w:rightChars="-25"/>
                    <w:jc w:val="center"/>
                    <w:rPr>
                      <w:color w:val="auto"/>
                      <w:sz w:val="18"/>
                      <w:szCs w:val="18"/>
                    </w:rPr>
                  </w:pPr>
                  <w:r>
                    <w:rPr>
                      <w:color w:val="auto"/>
                      <w:sz w:val="18"/>
                      <w:szCs w:val="18"/>
                    </w:rPr>
                    <w:t>电</w:t>
                  </w:r>
                </w:p>
              </w:tc>
              <w:tc>
                <w:tcPr>
                  <w:tcW w:w="1735" w:type="dxa"/>
                  <w:vAlign w:val="center"/>
                </w:tcPr>
                <w:p>
                  <w:pPr>
                    <w:spacing w:line="280" w:lineRule="exact"/>
                    <w:jc w:val="center"/>
                    <w:rPr>
                      <w:color w:val="auto"/>
                      <w:sz w:val="18"/>
                      <w:szCs w:val="18"/>
                    </w:rPr>
                  </w:pPr>
                  <w:r>
                    <w:rPr>
                      <w:color w:val="auto"/>
                      <w:sz w:val="18"/>
                      <w:szCs w:val="18"/>
                    </w:rPr>
                    <w:t>1.56kwh/t</w:t>
                  </w:r>
                </w:p>
              </w:tc>
              <w:tc>
                <w:tcPr>
                  <w:tcW w:w="1399" w:type="dxa"/>
                  <w:vAlign w:val="center"/>
                </w:tcPr>
                <w:p>
                  <w:pPr>
                    <w:spacing w:line="280" w:lineRule="exact"/>
                    <w:jc w:val="center"/>
                    <w:rPr>
                      <w:color w:val="auto"/>
                      <w:sz w:val="18"/>
                      <w:szCs w:val="18"/>
                    </w:rPr>
                  </w:pPr>
                  <w:r>
                    <w:rPr>
                      <w:rFonts w:hint="eastAsia"/>
                      <w:color w:val="auto"/>
                      <w:sz w:val="18"/>
                      <w:szCs w:val="18"/>
                    </w:rPr>
                    <w:t>390万</w:t>
                  </w:r>
                  <w:r>
                    <w:rPr>
                      <w:color w:val="auto"/>
                      <w:sz w:val="18"/>
                      <w:szCs w:val="18"/>
                    </w:rPr>
                    <w:t>kwh</w:t>
                  </w:r>
                </w:p>
              </w:tc>
              <w:tc>
                <w:tcPr>
                  <w:tcW w:w="1633" w:type="dxa"/>
                  <w:vAlign w:val="center"/>
                </w:tcPr>
                <w:p>
                  <w:pPr>
                    <w:spacing w:line="280" w:lineRule="exact"/>
                    <w:ind w:left="-53" w:leftChars="-25" w:right="-53" w:rightChars="-25"/>
                    <w:jc w:val="center"/>
                    <w:rPr>
                      <w:color w:val="auto"/>
                      <w:sz w:val="18"/>
                      <w:szCs w:val="18"/>
                    </w:rPr>
                  </w:pPr>
                  <w:r>
                    <w:rPr>
                      <w:color w:val="auto"/>
                      <w:sz w:val="18"/>
                      <w:szCs w:val="18"/>
                    </w:rPr>
                    <w:t>附近电网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9" w:type="dxa"/>
                  <w:vMerge w:val="continue"/>
                  <w:vAlign w:val="center"/>
                </w:tcPr>
                <w:p>
                  <w:pPr>
                    <w:spacing w:line="280" w:lineRule="exact"/>
                    <w:ind w:left="-53" w:leftChars="-25" w:right="-53" w:rightChars="-25"/>
                    <w:jc w:val="center"/>
                    <w:rPr>
                      <w:color w:val="auto"/>
                      <w:sz w:val="18"/>
                      <w:szCs w:val="18"/>
                    </w:rPr>
                  </w:pPr>
                </w:p>
              </w:tc>
              <w:tc>
                <w:tcPr>
                  <w:tcW w:w="2312" w:type="dxa"/>
                  <w:gridSpan w:val="2"/>
                  <w:vAlign w:val="center"/>
                </w:tcPr>
                <w:p>
                  <w:pPr>
                    <w:spacing w:line="280" w:lineRule="exact"/>
                    <w:ind w:left="-53" w:leftChars="-25" w:right="-53" w:rightChars="-25"/>
                    <w:jc w:val="center"/>
                    <w:rPr>
                      <w:color w:val="auto"/>
                      <w:sz w:val="18"/>
                      <w:szCs w:val="18"/>
                    </w:rPr>
                  </w:pPr>
                  <w:r>
                    <w:rPr>
                      <w:color w:val="auto"/>
                      <w:sz w:val="18"/>
                      <w:szCs w:val="18"/>
                    </w:rPr>
                    <w:t>0#柴油</w:t>
                  </w:r>
                </w:p>
              </w:tc>
              <w:tc>
                <w:tcPr>
                  <w:tcW w:w="1735" w:type="dxa"/>
                  <w:vAlign w:val="center"/>
                </w:tcPr>
                <w:p>
                  <w:pPr>
                    <w:spacing w:line="280" w:lineRule="exact"/>
                    <w:jc w:val="center"/>
                    <w:rPr>
                      <w:color w:val="auto"/>
                      <w:sz w:val="18"/>
                      <w:szCs w:val="18"/>
                    </w:rPr>
                  </w:pPr>
                  <w:r>
                    <w:rPr>
                      <w:color w:val="auto"/>
                      <w:sz w:val="18"/>
                      <w:szCs w:val="18"/>
                    </w:rPr>
                    <w:t>0.35L/t</w:t>
                  </w:r>
                </w:p>
              </w:tc>
              <w:tc>
                <w:tcPr>
                  <w:tcW w:w="1399" w:type="dxa"/>
                  <w:vAlign w:val="center"/>
                </w:tcPr>
                <w:p>
                  <w:pPr>
                    <w:spacing w:line="280" w:lineRule="exact"/>
                    <w:jc w:val="center"/>
                    <w:rPr>
                      <w:color w:val="auto"/>
                      <w:sz w:val="18"/>
                      <w:szCs w:val="18"/>
                    </w:rPr>
                  </w:pPr>
                  <w:r>
                    <w:rPr>
                      <w:rFonts w:hint="eastAsia"/>
                      <w:color w:val="auto"/>
                      <w:sz w:val="18"/>
                      <w:szCs w:val="18"/>
                    </w:rPr>
                    <w:t>87.5万</w:t>
                  </w:r>
                  <w:r>
                    <w:rPr>
                      <w:color w:val="auto"/>
                      <w:sz w:val="18"/>
                      <w:szCs w:val="18"/>
                    </w:rPr>
                    <w:t>L</w:t>
                  </w:r>
                </w:p>
              </w:tc>
              <w:tc>
                <w:tcPr>
                  <w:tcW w:w="1633" w:type="dxa"/>
                  <w:vAlign w:val="center"/>
                </w:tcPr>
                <w:p>
                  <w:pPr>
                    <w:spacing w:line="280" w:lineRule="exact"/>
                    <w:ind w:left="-53" w:leftChars="-25" w:right="-53" w:rightChars="-25"/>
                    <w:jc w:val="center"/>
                    <w:rPr>
                      <w:color w:val="auto"/>
                      <w:sz w:val="18"/>
                      <w:szCs w:val="18"/>
                    </w:rPr>
                  </w:pPr>
                  <w:r>
                    <w:rPr>
                      <w:color w:val="auto"/>
                      <w:sz w:val="18"/>
                      <w:szCs w:val="18"/>
                    </w:rPr>
                    <w:t>当地加油站采购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9" w:type="dxa"/>
                  <w:vMerge w:val="continue"/>
                  <w:vAlign w:val="center"/>
                </w:tcPr>
                <w:p>
                  <w:pPr>
                    <w:spacing w:line="280" w:lineRule="exact"/>
                    <w:ind w:left="-53" w:leftChars="-25" w:right="-53" w:rightChars="-25"/>
                    <w:jc w:val="center"/>
                    <w:rPr>
                      <w:color w:val="auto"/>
                      <w:sz w:val="18"/>
                      <w:szCs w:val="18"/>
                    </w:rPr>
                  </w:pPr>
                </w:p>
              </w:tc>
              <w:tc>
                <w:tcPr>
                  <w:tcW w:w="799" w:type="dxa"/>
                  <w:vMerge w:val="restart"/>
                  <w:vAlign w:val="center"/>
                </w:tcPr>
                <w:p>
                  <w:pPr>
                    <w:spacing w:line="280" w:lineRule="exact"/>
                    <w:ind w:left="-53" w:leftChars="-25" w:right="-53" w:rightChars="-25"/>
                    <w:jc w:val="center"/>
                    <w:rPr>
                      <w:color w:val="auto"/>
                      <w:sz w:val="18"/>
                      <w:szCs w:val="18"/>
                    </w:rPr>
                  </w:pPr>
                  <w:r>
                    <w:rPr>
                      <w:color w:val="auto"/>
                      <w:sz w:val="18"/>
                      <w:szCs w:val="18"/>
                    </w:rPr>
                    <w:t>水</w:t>
                  </w:r>
                </w:p>
              </w:tc>
              <w:tc>
                <w:tcPr>
                  <w:tcW w:w="1513" w:type="dxa"/>
                  <w:vMerge w:val="restart"/>
                  <w:vAlign w:val="center"/>
                </w:tcPr>
                <w:p>
                  <w:pPr>
                    <w:spacing w:line="280" w:lineRule="exact"/>
                    <w:ind w:left="-53" w:leftChars="-25" w:right="-53" w:rightChars="-25"/>
                    <w:jc w:val="center"/>
                    <w:rPr>
                      <w:color w:val="auto"/>
                      <w:sz w:val="18"/>
                      <w:szCs w:val="18"/>
                    </w:rPr>
                  </w:pPr>
                  <w:r>
                    <w:rPr>
                      <w:color w:val="auto"/>
                      <w:sz w:val="18"/>
                      <w:szCs w:val="18"/>
                    </w:rPr>
                    <w:t>生产用水</w:t>
                  </w:r>
                </w:p>
              </w:tc>
              <w:tc>
                <w:tcPr>
                  <w:tcW w:w="1735" w:type="dxa"/>
                  <w:vAlign w:val="center"/>
                </w:tcPr>
                <w:p>
                  <w:pPr>
                    <w:spacing w:line="280" w:lineRule="exact"/>
                    <w:jc w:val="center"/>
                    <w:rPr>
                      <w:color w:val="auto"/>
                      <w:sz w:val="18"/>
                      <w:szCs w:val="18"/>
                    </w:rPr>
                  </w:pPr>
                  <w:r>
                    <w:rPr>
                      <w:color w:val="auto"/>
                      <w:sz w:val="18"/>
                      <w:szCs w:val="18"/>
                    </w:rPr>
                    <w:t>5925.61m</w:t>
                  </w:r>
                  <w:r>
                    <w:rPr>
                      <w:color w:val="auto"/>
                      <w:sz w:val="18"/>
                      <w:szCs w:val="18"/>
                      <w:vertAlign w:val="superscript"/>
                    </w:rPr>
                    <w:t>3</w:t>
                  </w:r>
                  <w:r>
                    <w:rPr>
                      <w:color w:val="auto"/>
                      <w:sz w:val="18"/>
                      <w:szCs w:val="18"/>
                    </w:rPr>
                    <w:t>/d</w:t>
                  </w:r>
                </w:p>
              </w:tc>
              <w:tc>
                <w:tcPr>
                  <w:tcW w:w="1399" w:type="dxa"/>
                  <w:vAlign w:val="center"/>
                </w:tcPr>
                <w:p>
                  <w:pPr>
                    <w:spacing w:line="280" w:lineRule="exact"/>
                    <w:ind w:left="-53" w:leftChars="-25" w:right="-53" w:rightChars="-25"/>
                    <w:jc w:val="center"/>
                    <w:rPr>
                      <w:color w:val="auto"/>
                      <w:sz w:val="18"/>
                      <w:szCs w:val="18"/>
                    </w:rPr>
                  </w:pPr>
                  <w:r>
                    <w:rPr>
                      <w:color w:val="auto"/>
                      <w:sz w:val="18"/>
                      <w:szCs w:val="18"/>
                    </w:rPr>
                    <w:t>1777683m</w:t>
                  </w:r>
                  <w:r>
                    <w:rPr>
                      <w:color w:val="auto"/>
                      <w:sz w:val="18"/>
                      <w:szCs w:val="18"/>
                      <w:vertAlign w:val="superscript"/>
                    </w:rPr>
                    <w:t>3</w:t>
                  </w:r>
                  <w:r>
                    <w:rPr>
                      <w:color w:val="auto"/>
                      <w:sz w:val="18"/>
                      <w:szCs w:val="18"/>
                    </w:rPr>
                    <w:t>/a</w:t>
                  </w:r>
                </w:p>
              </w:tc>
              <w:tc>
                <w:tcPr>
                  <w:tcW w:w="1633" w:type="dxa"/>
                  <w:vAlign w:val="center"/>
                </w:tcPr>
                <w:p>
                  <w:pPr>
                    <w:spacing w:line="280" w:lineRule="exact"/>
                    <w:ind w:left="-53" w:leftChars="-25" w:right="-53" w:rightChars="-25"/>
                    <w:jc w:val="center"/>
                    <w:rPr>
                      <w:color w:val="auto"/>
                      <w:sz w:val="18"/>
                      <w:szCs w:val="18"/>
                    </w:rPr>
                  </w:pPr>
                  <w:r>
                    <w:rPr>
                      <w:color w:val="auto"/>
                      <w:sz w:val="18"/>
                      <w:szCs w:val="18"/>
                    </w:rPr>
                    <w:t>大气降雨、</w:t>
                  </w:r>
                  <w:r>
                    <w:rPr>
                      <w:rFonts w:hint="eastAsia"/>
                      <w:color w:val="auto"/>
                      <w:sz w:val="18"/>
                      <w:szCs w:val="18"/>
                    </w:rPr>
                    <w:t>石溪河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9" w:type="dxa"/>
                  <w:vMerge w:val="continue"/>
                  <w:vAlign w:val="center"/>
                </w:tcPr>
                <w:p>
                  <w:pPr>
                    <w:spacing w:line="280" w:lineRule="exact"/>
                    <w:ind w:left="-53" w:leftChars="-25" w:right="-53" w:rightChars="-25"/>
                    <w:jc w:val="center"/>
                    <w:rPr>
                      <w:color w:val="auto"/>
                      <w:sz w:val="18"/>
                      <w:szCs w:val="18"/>
                    </w:rPr>
                  </w:pPr>
                </w:p>
              </w:tc>
              <w:tc>
                <w:tcPr>
                  <w:tcW w:w="799" w:type="dxa"/>
                  <w:vMerge w:val="continue"/>
                  <w:vAlign w:val="center"/>
                </w:tcPr>
                <w:p>
                  <w:pPr>
                    <w:spacing w:line="280" w:lineRule="exact"/>
                    <w:ind w:left="-53" w:leftChars="-25" w:right="-53" w:rightChars="-25"/>
                    <w:jc w:val="center"/>
                    <w:rPr>
                      <w:color w:val="auto"/>
                      <w:sz w:val="18"/>
                      <w:szCs w:val="18"/>
                    </w:rPr>
                  </w:pPr>
                </w:p>
              </w:tc>
              <w:tc>
                <w:tcPr>
                  <w:tcW w:w="1513" w:type="dxa"/>
                  <w:vMerge w:val="continue"/>
                  <w:vAlign w:val="center"/>
                </w:tcPr>
                <w:p>
                  <w:pPr>
                    <w:spacing w:line="280" w:lineRule="exact"/>
                    <w:ind w:left="-53" w:leftChars="-25" w:right="-53" w:rightChars="-25"/>
                    <w:jc w:val="center"/>
                    <w:rPr>
                      <w:color w:val="auto"/>
                      <w:sz w:val="18"/>
                      <w:szCs w:val="18"/>
                    </w:rPr>
                  </w:pPr>
                </w:p>
              </w:tc>
              <w:tc>
                <w:tcPr>
                  <w:tcW w:w="1735" w:type="dxa"/>
                  <w:vAlign w:val="center"/>
                </w:tcPr>
                <w:p>
                  <w:pPr>
                    <w:spacing w:line="280" w:lineRule="exact"/>
                    <w:jc w:val="center"/>
                    <w:rPr>
                      <w:color w:val="auto"/>
                      <w:sz w:val="18"/>
                      <w:szCs w:val="18"/>
                    </w:rPr>
                  </w:pPr>
                  <w:r>
                    <w:rPr>
                      <w:color w:val="auto"/>
                      <w:sz w:val="18"/>
                      <w:szCs w:val="18"/>
                    </w:rPr>
                    <w:t>5844.85m</w:t>
                  </w:r>
                  <w:r>
                    <w:rPr>
                      <w:color w:val="auto"/>
                      <w:sz w:val="18"/>
                      <w:szCs w:val="18"/>
                      <w:vertAlign w:val="superscript"/>
                    </w:rPr>
                    <w:t>3</w:t>
                  </w:r>
                  <w:r>
                    <w:rPr>
                      <w:color w:val="auto"/>
                      <w:sz w:val="18"/>
                      <w:szCs w:val="18"/>
                    </w:rPr>
                    <w:t>/d</w:t>
                  </w:r>
                </w:p>
              </w:tc>
              <w:tc>
                <w:tcPr>
                  <w:tcW w:w="1399" w:type="dxa"/>
                  <w:vAlign w:val="center"/>
                </w:tcPr>
                <w:p>
                  <w:pPr>
                    <w:spacing w:line="280" w:lineRule="exact"/>
                    <w:ind w:left="-53" w:leftChars="-25" w:right="-53" w:rightChars="-25"/>
                    <w:jc w:val="center"/>
                    <w:rPr>
                      <w:color w:val="auto"/>
                      <w:sz w:val="18"/>
                      <w:szCs w:val="18"/>
                    </w:rPr>
                  </w:pPr>
                  <w:r>
                    <w:rPr>
                      <w:color w:val="auto"/>
                      <w:sz w:val="18"/>
                      <w:szCs w:val="18"/>
                    </w:rPr>
                    <w:t>1753455m</w:t>
                  </w:r>
                  <w:r>
                    <w:rPr>
                      <w:color w:val="auto"/>
                      <w:sz w:val="18"/>
                      <w:szCs w:val="18"/>
                      <w:vertAlign w:val="superscript"/>
                    </w:rPr>
                    <w:t>3</w:t>
                  </w:r>
                  <w:r>
                    <w:rPr>
                      <w:color w:val="auto"/>
                      <w:sz w:val="18"/>
                      <w:szCs w:val="18"/>
                    </w:rPr>
                    <w:t>/a</w:t>
                  </w:r>
                </w:p>
              </w:tc>
              <w:tc>
                <w:tcPr>
                  <w:tcW w:w="1633" w:type="dxa"/>
                  <w:vAlign w:val="center"/>
                </w:tcPr>
                <w:p>
                  <w:pPr>
                    <w:spacing w:line="280" w:lineRule="exact"/>
                    <w:ind w:left="-53" w:leftChars="-25" w:right="-53" w:rightChars="-25"/>
                    <w:jc w:val="center"/>
                    <w:rPr>
                      <w:color w:val="auto"/>
                      <w:sz w:val="18"/>
                      <w:szCs w:val="18"/>
                    </w:rPr>
                  </w:pPr>
                  <w:r>
                    <w:rPr>
                      <w:color w:val="auto"/>
                      <w:sz w:val="18"/>
                      <w:szCs w:val="18"/>
                    </w:rPr>
                    <w:t>循环用水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79" w:type="dxa"/>
                  <w:vMerge w:val="continue"/>
                  <w:vAlign w:val="center"/>
                </w:tcPr>
                <w:p>
                  <w:pPr>
                    <w:spacing w:line="280" w:lineRule="exact"/>
                    <w:ind w:left="-53" w:leftChars="-25" w:right="-53" w:rightChars="-25"/>
                    <w:jc w:val="center"/>
                    <w:rPr>
                      <w:color w:val="auto"/>
                      <w:sz w:val="18"/>
                      <w:szCs w:val="18"/>
                    </w:rPr>
                  </w:pPr>
                </w:p>
              </w:tc>
              <w:tc>
                <w:tcPr>
                  <w:tcW w:w="799" w:type="dxa"/>
                  <w:vMerge w:val="continue"/>
                  <w:vAlign w:val="center"/>
                </w:tcPr>
                <w:p>
                  <w:pPr>
                    <w:spacing w:line="280" w:lineRule="exact"/>
                    <w:ind w:left="-53" w:leftChars="-25" w:right="-53" w:rightChars="-25"/>
                    <w:jc w:val="center"/>
                    <w:rPr>
                      <w:color w:val="auto"/>
                      <w:sz w:val="18"/>
                      <w:szCs w:val="18"/>
                    </w:rPr>
                  </w:pPr>
                </w:p>
              </w:tc>
              <w:tc>
                <w:tcPr>
                  <w:tcW w:w="1513" w:type="dxa"/>
                  <w:vAlign w:val="center"/>
                </w:tcPr>
                <w:p>
                  <w:pPr>
                    <w:spacing w:line="280" w:lineRule="exact"/>
                    <w:ind w:left="-53" w:leftChars="-25" w:right="-53" w:rightChars="-25"/>
                    <w:jc w:val="center"/>
                    <w:rPr>
                      <w:color w:val="auto"/>
                      <w:sz w:val="18"/>
                      <w:szCs w:val="18"/>
                    </w:rPr>
                  </w:pPr>
                  <w:r>
                    <w:rPr>
                      <w:color w:val="auto"/>
                      <w:sz w:val="18"/>
                      <w:szCs w:val="18"/>
                    </w:rPr>
                    <w:t>生活用水</w:t>
                  </w:r>
                </w:p>
              </w:tc>
              <w:tc>
                <w:tcPr>
                  <w:tcW w:w="1735" w:type="dxa"/>
                  <w:vAlign w:val="center"/>
                </w:tcPr>
                <w:p>
                  <w:pPr>
                    <w:spacing w:line="280" w:lineRule="exact"/>
                    <w:jc w:val="center"/>
                    <w:rPr>
                      <w:color w:val="auto"/>
                      <w:sz w:val="18"/>
                      <w:szCs w:val="18"/>
                    </w:rPr>
                  </w:pPr>
                  <w:r>
                    <w:rPr>
                      <w:color w:val="auto"/>
                      <w:sz w:val="18"/>
                      <w:szCs w:val="18"/>
                    </w:rPr>
                    <w:t>9.8m</w:t>
                  </w:r>
                  <w:r>
                    <w:rPr>
                      <w:color w:val="auto"/>
                      <w:sz w:val="18"/>
                      <w:szCs w:val="18"/>
                      <w:vertAlign w:val="superscript"/>
                    </w:rPr>
                    <w:t>3</w:t>
                  </w:r>
                  <w:r>
                    <w:rPr>
                      <w:color w:val="auto"/>
                      <w:sz w:val="18"/>
                      <w:szCs w:val="18"/>
                    </w:rPr>
                    <w:t>/d</w:t>
                  </w:r>
                </w:p>
              </w:tc>
              <w:tc>
                <w:tcPr>
                  <w:tcW w:w="1399" w:type="dxa"/>
                  <w:vAlign w:val="center"/>
                </w:tcPr>
                <w:p>
                  <w:pPr>
                    <w:spacing w:line="280" w:lineRule="exact"/>
                    <w:ind w:left="-53" w:leftChars="-25" w:right="-53" w:rightChars="-25"/>
                    <w:jc w:val="center"/>
                    <w:rPr>
                      <w:color w:val="auto"/>
                      <w:sz w:val="18"/>
                      <w:szCs w:val="18"/>
                    </w:rPr>
                  </w:pPr>
                  <w:r>
                    <w:rPr>
                      <w:color w:val="auto"/>
                      <w:sz w:val="18"/>
                      <w:szCs w:val="18"/>
                    </w:rPr>
                    <w:t>2940m</w:t>
                  </w:r>
                  <w:r>
                    <w:rPr>
                      <w:color w:val="auto"/>
                      <w:sz w:val="18"/>
                      <w:szCs w:val="18"/>
                      <w:vertAlign w:val="superscript"/>
                    </w:rPr>
                    <w:t>3</w:t>
                  </w:r>
                  <w:r>
                    <w:rPr>
                      <w:color w:val="auto"/>
                      <w:sz w:val="18"/>
                      <w:szCs w:val="18"/>
                    </w:rPr>
                    <w:t>/a</w:t>
                  </w:r>
                </w:p>
              </w:tc>
              <w:tc>
                <w:tcPr>
                  <w:tcW w:w="1633" w:type="dxa"/>
                  <w:vAlign w:val="center"/>
                </w:tcPr>
                <w:p>
                  <w:pPr>
                    <w:spacing w:line="280" w:lineRule="exact"/>
                    <w:ind w:left="-53" w:leftChars="-25" w:right="-53" w:rightChars="-25"/>
                    <w:jc w:val="center"/>
                    <w:rPr>
                      <w:color w:val="auto"/>
                      <w:sz w:val="18"/>
                      <w:szCs w:val="18"/>
                    </w:rPr>
                  </w:pPr>
                  <w:r>
                    <w:rPr>
                      <w:rFonts w:hint="eastAsia"/>
                      <w:color w:val="auto"/>
                      <w:sz w:val="18"/>
                      <w:szCs w:val="18"/>
                    </w:rPr>
                    <w:t>山泉水</w:t>
                  </w:r>
                </w:p>
              </w:tc>
            </w:tr>
          </w:tbl>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五、物料平衡及水平衡分析</w:t>
            </w:r>
          </w:p>
          <w:p>
            <w:pPr>
              <w:adjustRightInd w:val="0"/>
              <w:snapToGrid w:val="0"/>
              <w:spacing w:line="360" w:lineRule="auto"/>
              <w:ind w:firstLine="420" w:firstLineChars="200"/>
              <w:rPr>
                <w:color w:val="auto"/>
                <w:kern w:val="0"/>
                <w:szCs w:val="21"/>
              </w:rPr>
            </w:pPr>
            <w:r>
              <w:rPr>
                <w:rFonts w:hint="eastAsia"/>
                <w:color w:val="auto"/>
                <w:kern w:val="0"/>
                <w:szCs w:val="21"/>
              </w:rPr>
              <w:t>1、物料平衡</w:t>
            </w:r>
          </w:p>
          <w:p>
            <w:pPr>
              <w:adjustRightInd w:val="0"/>
              <w:snapToGrid w:val="0"/>
              <w:spacing w:line="360" w:lineRule="auto"/>
              <w:ind w:firstLine="420" w:firstLineChars="200"/>
              <w:rPr>
                <w:rFonts w:ascii="宋体" w:hAnsi="宋体" w:cs="宋体"/>
                <w:color w:val="auto"/>
                <w:kern w:val="0"/>
                <w:szCs w:val="21"/>
              </w:rPr>
            </w:pPr>
            <w:r>
              <w:rPr>
                <w:rFonts w:hint="eastAsia"/>
                <w:color w:val="auto"/>
                <w:kern w:val="0"/>
                <w:szCs w:val="21"/>
              </w:rPr>
              <w:t>本项目</w:t>
            </w:r>
            <w:r>
              <w:rPr>
                <w:color w:val="auto"/>
                <w:kern w:val="0"/>
                <w:szCs w:val="21"/>
              </w:rPr>
              <w:t>营运期物料平衡见下表</w:t>
            </w:r>
            <w:r>
              <w:rPr>
                <w:rFonts w:hint="eastAsia"/>
                <w:color w:val="auto"/>
                <w:kern w:val="0"/>
                <w:szCs w:val="21"/>
              </w:rPr>
              <w:t>。</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表2-8 营运期物料平衡表</w:t>
            </w:r>
          </w:p>
          <w:tbl>
            <w:tblPr>
              <w:tblStyle w:val="14"/>
              <w:tblW w:w="789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5"/>
              <w:gridCol w:w="2012"/>
              <w:gridCol w:w="2285"/>
              <w:gridCol w:w="17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77" w:type="dxa"/>
                  <w:gridSpan w:val="2"/>
                  <w:vAlign w:val="center"/>
                </w:tcPr>
                <w:p>
                  <w:pPr>
                    <w:spacing w:line="280" w:lineRule="exact"/>
                    <w:jc w:val="center"/>
                    <w:rPr>
                      <w:b/>
                      <w:bCs/>
                      <w:color w:val="auto"/>
                      <w:sz w:val="18"/>
                      <w:szCs w:val="18"/>
                    </w:rPr>
                  </w:pPr>
                  <w:r>
                    <w:rPr>
                      <w:b/>
                      <w:bCs/>
                      <w:color w:val="auto"/>
                      <w:kern w:val="0"/>
                      <w:sz w:val="18"/>
                      <w:szCs w:val="18"/>
                      <w:lang w:val="zh-CN"/>
                    </w:rPr>
                    <w:t xml:space="preserve">投 </w:t>
                  </w:r>
                  <w:r>
                    <w:rPr>
                      <w:b/>
                      <w:bCs/>
                      <w:color w:val="auto"/>
                      <w:sz w:val="18"/>
                      <w:szCs w:val="18"/>
                    </w:rPr>
                    <w:t>入</w:t>
                  </w:r>
                </w:p>
              </w:tc>
              <w:tc>
                <w:tcPr>
                  <w:tcW w:w="4022" w:type="dxa"/>
                  <w:gridSpan w:val="2"/>
                  <w:vAlign w:val="center"/>
                </w:tcPr>
                <w:p>
                  <w:pPr>
                    <w:spacing w:line="280" w:lineRule="exact"/>
                    <w:jc w:val="center"/>
                    <w:rPr>
                      <w:b/>
                      <w:bCs/>
                      <w:color w:val="auto"/>
                      <w:sz w:val="18"/>
                      <w:szCs w:val="18"/>
                    </w:rPr>
                  </w:pPr>
                  <w:r>
                    <w:rPr>
                      <w:b/>
                      <w:bCs/>
                      <w:color w:val="auto"/>
                      <w:sz w:val="18"/>
                      <w:szCs w:val="18"/>
                    </w:rPr>
                    <w:t>产 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65" w:type="dxa"/>
                  <w:vAlign w:val="center"/>
                </w:tcPr>
                <w:p>
                  <w:pPr>
                    <w:spacing w:line="280" w:lineRule="exact"/>
                    <w:jc w:val="center"/>
                    <w:rPr>
                      <w:b/>
                      <w:bCs/>
                      <w:color w:val="auto"/>
                      <w:sz w:val="18"/>
                      <w:szCs w:val="18"/>
                    </w:rPr>
                  </w:pPr>
                  <w:r>
                    <w:rPr>
                      <w:b/>
                      <w:bCs/>
                      <w:color w:val="auto"/>
                      <w:sz w:val="18"/>
                      <w:szCs w:val="18"/>
                    </w:rPr>
                    <w:t>名称</w:t>
                  </w:r>
                </w:p>
              </w:tc>
              <w:tc>
                <w:tcPr>
                  <w:tcW w:w="2012" w:type="dxa"/>
                  <w:vAlign w:val="center"/>
                </w:tcPr>
                <w:p>
                  <w:pPr>
                    <w:spacing w:line="280" w:lineRule="exact"/>
                    <w:jc w:val="center"/>
                    <w:rPr>
                      <w:b/>
                      <w:bCs/>
                      <w:color w:val="auto"/>
                      <w:sz w:val="18"/>
                      <w:szCs w:val="18"/>
                    </w:rPr>
                  </w:pPr>
                  <w:r>
                    <w:rPr>
                      <w:b/>
                      <w:bCs/>
                      <w:color w:val="auto"/>
                      <w:sz w:val="18"/>
                      <w:szCs w:val="18"/>
                    </w:rPr>
                    <w:t>年用量（t）</w:t>
                  </w:r>
                </w:p>
              </w:tc>
              <w:tc>
                <w:tcPr>
                  <w:tcW w:w="2285" w:type="dxa"/>
                  <w:vAlign w:val="center"/>
                </w:tcPr>
                <w:p>
                  <w:pPr>
                    <w:spacing w:line="280" w:lineRule="exact"/>
                    <w:jc w:val="center"/>
                    <w:rPr>
                      <w:b/>
                      <w:bCs/>
                      <w:color w:val="auto"/>
                      <w:sz w:val="18"/>
                      <w:szCs w:val="18"/>
                    </w:rPr>
                  </w:pPr>
                  <w:r>
                    <w:rPr>
                      <w:b/>
                      <w:bCs/>
                      <w:color w:val="auto"/>
                      <w:sz w:val="18"/>
                      <w:szCs w:val="18"/>
                    </w:rPr>
                    <w:t>名称</w:t>
                  </w:r>
                </w:p>
              </w:tc>
              <w:tc>
                <w:tcPr>
                  <w:tcW w:w="1737" w:type="dxa"/>
                  <w:vAlign w:val="center"/>
                </w:tcPr>
                <w:p>
                  <w:pPr>
                    <w:spacing w:line="280" w:lineRule="exact"/>
                    <w:jc w:val="center"/>
                    <w:rPr>
                      <w:b/>
                      <w:bCs/>
                      <w:color w:val="auto"/>
                      <w:sz w:val="18"/>
                      <w:szCs w:val="18"/>
                    </w:rPr>
                  </w:pPr>
                  <w:r>
                    <w:rPr>
                      <w:b/>
                      <w:bCs/>
                      <w:color w:val="auto"/>
                      <w:sz w:val="18"/>
                      <w:szCs w:val="18"/>
                    </w:rPr>
                    <w:t>年产生量（t）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65" w:type="dxa"/>
                  <w:vAlign w:val="center"/>
                </w:tcPr>
                <w:p>
                  <w:pPr>
                    <w:pStyle w:val="50"/>
                    <w:spacing w:line="280" w:lineRule="exact"/>
                    <w:ind w:firstLine="0" w:firstLineChars="0"/>
                    <w:jc w:val="center"/>
                    <w:rPr>
                      <w:color w:val="auto"/>
                      <w:sz w:val="18"/>
                      <w:szCs w:val="18"/>
                    </w:rPr>
                  </w:pPr>
                  <w:bookmarkStart w:id="34" w:name="_Hlk458022497"/>
                  <w:bookmarkStart w:id="35" w:name="_Hlk524104972"/>
                  <w:r>
                    <w:rPr>
                      <w:color w:val="auto"/>
                      <w:sz w:val="18"/>
                      <w:szCs w:val="18"/>
                    </w:rPr>
                    <w:t>矿石原料</w:t>
                  </w:r>
                </w:p>
              </w:tc>
              <w:tc>
                <w:tcPr>
                  <w:tcW w:w="2012" w:type="dxa"/>
                  <w:vAlign w:val="center"/>
                </w:tcPr>
                <w:p>
                  <w:pPr>
                    <w:autoSpaceDE w:val="0"/>
                    <w:autoSpaceDN w:val="0"/>
                    <w:spacing w:line="280" w:lineRule="exact"/>
                    <w:jc w:val="center"/>
                    <w:rPr>
                      <w:color w:val="auto"/>
                      <w:sz w:val="18"/>
                      <w:szCs w:val="18"/>
                    </w:rPr>
                  </w:pPr>
                  <w:r>
                    <w:rPr>
                      <w:color w:val="auto"/>
                      <w:sz w:val="18"/>
                      <w:szCs w:val="18"/>
                    </w:rPr>
                    <w:t>2501237.5</w:t>
                  </w:r>
                </w:p>
              </w:tc>
              <w:tc>
                <w:tcPr>
                  <w:tcW w:w="2285" w:type="dxa"/>
                  <w:vAlign w:val="center"/>
                </w:tcPr>
                <w:p>
                  <w:pPr>
                    <w:autoSpaceDE w:val="0"/>
                    <w:autoSpaceDN w:val="0"/>
                    <w:adjustRightInd w:val="0"/>
                    <w:spacing w:line="280" w:lineRule="exact"/>
                    <w:ind w:left="-53" w:leftChars="-25" w:right="-53" w:rightChars="-25"/>
                    <w:jc w:val="center"/>
                    <w:rPr>
                      <w:bCs/>
                      <w:color w:val="auto"/>
                      <w:sz w:val="18"/>
                      <w:szCs w:val="18"/>
                    </w:rPr>
                  </w:pPr>
                  <w:r>
                    <w:rPr>
                      <w:bCs/>
                      <w:color w:val="auto"/>
                      <w:sz w:val="18"/>
                      <w:szCs w:val="18"/>
                    </w:rPr>
                    <w:t>20-31.5mm碎石</w:t>
                  </w:r>
                </w:p>
              </w:tc>
              <w:tc>
                <w:tcPr>
                  <w:tcW w:w="1737" w:type="dxa"/>
                  <w:vAlign w:val="center"/>
                </w:tcPr>
                <w:p>
                  <w:pPr>
                    <w:autoSpaceDE w:val="0"/>
                    <w:autoSpaceDN w:val="0"/>
                    <w:spacing w:line="280" w:lineRule="exact"/>
                    <w:jc w:val="center"/>
                    <w:rPr>
                      <w:color w:val="auto"/>
                      <w:sz w:val="18"/>
                      <w:szCs w:val="18"/>
                    </w:rPr>
                  </w:pPr>
                  <w:r>
                    <w:rPr>
                      <w:rFonts w:hint="eastAsia"/>
                      <w:color w:val="auto"/>
                      <w:sz w:val="18"/>
                      <w:szCs w:val="18"/>
                    </w:rPr>
                    <w:t>75</w:t>
                  </w:r>
                  <w:r>
                    <w:rPr>
                      <w:color w:val="auto"/>
                      <w:sz w:val="18"/>
                      <w:szCs w:val="18"/>
                    </w:rPr>
                    <w:t>0000</w:t>
                  </w:r>
                </w:p>
              </w:tc>
            </w:tr>
            <w:bookmarkEnd w:id="34"/>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65" w:type="dxa"/>
                  <w:vAlign w:val="center"/>
                </w:tcPr>
                <w:p>
                  <w:pPr>
                    <w:pStyle w:val="50"/>
                    <w:spacing w:line="280" w:lineRule="exact"/>
                    <w:ind w:firstLine="0" w:firstLineChars="0"/>
                    <w:jc w:val="center"/>
                    <w:rPr>
                      <w:color w:val="auto"/>
                      <w:sz w:val="18"/>
                      <w:szCs w:val="18"/>
                    </w:rPr>
                  </w:pPr>
                </w:p>
              </w:tc>
              <w:tc>
                <w:tcPr>
                  <w:tcW w:w="2012" w:type="dxa"/>
                  <w:vAlign w:val="center"/>
                </w:tcPr>
                <w:p>
                  <w:pPr>
                    <w:autoSpaceDE w:val="0"/>
                    <w:autoSpaceDN w:val="0"/>
                    <w:spacing w:line="280" w:lineRule="exact"/>
                    <w:jc w:val="center"/>
                    <w:rPr>
                      <w:color w:val="auto"/>
                      <w:sz w:val="18"/>
                      <w:szCs w:val="18"/>
                    </w:rPr>
                  </w:pPr>
                </w:p>
              </w:tc>
              <w:tc>
                <w:tcPr>
                  <w:tcW w:w="2285" w:type="dxa"/>
                  <w:vAlign w:val="center"/>
                </w:tcPr>
                <w:p>
                  <w:pPr>
                    <w:autoSpaceDE w:val="0"/>
                    <w:autoSpaceDN w:val="0"/>
                    <w:adjustRightInd w:val="0"/>
                    <w:spacing w:line="280" w:lineRule="exact"/>
                    <w:ind w:left="-53" w:leftChars="-25" w:right="-53" w:rightChars="-25"/>
                    <w:jc w:val="center"/>
                    <w:rPr>
                      <w:bCs/>
                      <w:color w:val="auto"/>
                      <w:sz w:val="18"/>
                      <w:szCs w:val="18"/>
                    </w:rPr>
                  </w:pPr>
                  <w:r>
                    <w:rPr>
                      <w:bCs/>
                      <w:color w:val="auto"/>
                      <w:sz w:val="18"/>
                      <w:szCs w:val="18"/>
                    </w:rPr>
                    <w:t>10~20mm碎石</w:t>
                  </w:r>
                </w:p>
              </w:tc>
              <w:tc>
                <w:tcPr>
                  <w:tcW w:w="1737" w:type="dxa"/>
                  <w:vAlign w:val="center"/>
                </w:tcPr>
                <w:p>
                  <w:pPr>
                    <w:autoSpaceDE w:val="0"/>
                    <w:autoSpaceDN w:val="0"/>
                    <w:spacing w:line="280" w:lineRule="exact"/>
                    <w:jc w:val="center"/>
                    <w:rPr>
                      <w:color w:val="auto"/>
                      <w:sz w:val="18"/>
                      <w:szCs w:val="18"/>
                    </w:rPr>
                  </w:pPr>
                  <w:r>
                    <w:rPr>
                      <w:rFonts w:hint="eastAsia"/>
                      <w:color w:val="auto"/>
                      <w:sz w:val="18"/>
                      <w:szCs w:val="18"/>
                    </w:rPr>
                    <w:t>50</w:t>
                  </w:r>
                  <w:r>
                    <w:rPr>
                      <w:color w:val="auto"/>
                      <w:sz w:val="18"/>
                      <w:szCs w:val="18"/>
                    </w:rPr>
                    <w:t>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65" w:type="dxa"/>
                  <w:vAlign w:val="center"/>
                </w:tcPr>
                <w:p>
                  <w:pPr>
                    <w:pStyle w:val="50"/>
                    <w:spacing w:line="280" w:lineRule="exact"/>
                    <w:ind w:firstLine="0" w:firstLineChars="0"/>
                    <w:jc w:val="center"/>
                    <w:rPr>
                      <w:color w:val="auto"/>
                      <w:sz w:val="18"/>
                      <w:szCs w:val="18"/>
                    </w:rPr>
                  </w:pPr>
                </w:p>
              </w:tc>
              <w:tc>
                <w:tcPr>
                  <w:tcW w:w="2012" w:type="dxa"/>
                  <w:vAlign w:val="center"/>
                </w:tcPr>
                <w:p>
                  <w:pPr>
                    <w:autoSpaceDE w:val="0"/>
                    <w:autoSpaceDN w:val="0"/>
                    <w:spacing w:line="280" w:lineRule="exact"/>
                    <w:jc w:val="center"/>
                    <w:rPr>
                      <w:color w:val="auto"/>
                      <w:sz w:val="18"/>
                      <w:szCs w:val="18"/>
                    </w:rPr>
                  </w:pPr>
                </w:p>
              </w:tc>
              <w:tc>
                <w:tcPr>
                  <w:tcW w:w="2285" w:type="dxa"/>
                  <w:vAlign w:val="center"/>
                </w:tcPr>
                <w:p>
                  <w:pPr>
                    <w:autoSpaceDE w:val="0"/>
                    <w:autoSpaceDN w:val="0"/>
                    <w:adjustRightInd w:val="0"/>
                    <w:spacing w:line="280" w:lineRule="exact"/>
                    <w:ind w:left="-53" w:leftChars="-25" w:right="-53" w:rightChars="-25"/>
                    <w:jc w:val="center"/>
                    <w:rPr>
                      <w:color w:val="auto"/>
                      <w:sz w:val="18"/>
                      <w:szCs w:val="18"/>
                    </w:rPr>
                  </w:pPr>
                  <w:r>
                    <w:rPr>
                      <w:color w:val="auto"/>
                      <w:sz w:val="18"/>
                      <w:szCs w:val="18"/>
                    </w:rPr>
                    <w:t>5</w:t>
                  </w:r>
                  <w:r>
                    <w:rPr>
                      <w:color w:val="auto"/>
                      <w:sz w:val="18"/>
                      <w:szCs w:val="18"/>
                      <w:lang w:val="zh-CN"/>
                    </w:rPr>
                    <w:t>~</w:t>
                  </w:r>
                  <w:r>
                    <w:rPr>
                      <w:color w:val="auto"/>
                      <w:sz w:val="18"/>
                      <w:szCs w:val="18"/>
                    </w:rPr>
                    <w:t>10</w:t>
                  </w:r>
                  <w:r>
                    <w:rPr>
                      <w:bCs/>
                      <w:color w:val="auto"/>
                      <w:sz w:val="18"/>
                      <w:szCs w:val="18"/>
                    </w:rPr>
                    <w:t>mm米石</w:t>
                  </w:r>
                </w:p>
              </w:tc>
              <w:tc>
                <w:tcPr>
                  <w:tcW w:w="1737" w:type="dxa"/>
                  <w:vAlign w:val="center"/>
                </w:tcPr>
                <w:p>
                  <w:pPr>
                    <w:autoSpaceDE w:val="0"/>
                    <w:autoSpaceDN w:val="0"/>
                    <w:spacing w:line="280" w:lineRule="exact"/>
                    <w:jc w:val="center"/>
                    <w:rPr>
                      <w:color w:val="auto"/>
                      <w:sz w:val="18"/>
                      <w:szCs w:val="18"/>
                    </w:rPr>
                  </w:pPr>
                  <w:r>
                    <w:rPr>
                      <w:rFonts w:hint="eastAsia"/>
                      <w:color w:val="auto"/>
                      <w:sz w:val="18"/>
                      <w:szCs w:val="18"/>
                    </w:rPr>
                    <w:t>50</w:t>
                  </w:r>
                  <w:r>
                    <w:rPr>
                      <w:color w:val="auto"/>
                      <w:sz w:val="18"/>
                      <w:szCs w:val="18"/>
                    </w:rPr>
                    <w:t>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65" w:type="dxa"/>
                  <w:vAlign w:val="center"/>
                </w:tcPr>
                <w:p>
                  <w:pPr>
                    <w:pStyle w:val="50"/>
                    <w:spacing w:line="280" w:lineRule="exact"/>
                    <w:ind w:firstLine="0" w:firstLineChars="0"/>
                    <w:jc w:val="center"/>
                    <w:rPr>
                      <w:color w:val="auto"/>
                      <w:sz w:val="18"/>
                      <w:szCs w:val="18"/>
                    </w:rPr>
                  </w:pPr>
                </w:p>
              </w:tc>
              <w:tc>
                <w:tcPr>
                  <w:tcW w:w="2012" w:type="dxa"/>
                  <w:vAlign w:val="center"/>
                </w:tcPr>
                <w:p>
                  <w:pPr>
                    <w:autoSpaceDE w:val="0"/>
                    <w:autoSpaceDN w:val="0"/>
                    <w:spacing w:line="280" w:lineRule="exact"/>
                    <w:jc w:val="center"/>
                    <w:rPr>
                      <w:color w:val="auto"/>
                      <w:sz w:val="18"/>
                      <w:szCs w:val="18"/>
                    </w:rPr>
                  </w:pPr>
                </w:p>
              </w:tc>
              <w:tc>
                <w:tcPr>
                  <w:tcW w:w="2285" w:type="dxa"/>
                  <w:vAlign w:val="center"/>
                </w:tcPr>
                <w:p>
                  <w:pPr>
                    <w:autoSpaceDE w:val="0"/>
                    <w:autoSpaceDN w:val="0"/>
                    <w:adjustRightInd w:val="0"/>
                    <w:spacing w:line="280" w:lineRule="exact"/>
                    <w:ind w:left="-53" w:leftChars="-25" w:right="-53" w:rightChars="-25"/>
                    <w:jc w:val="center"/>
                    <w:rPr>
                      <w:color w:val="auto"/>
                      <w:sz w:val="18"/>
                      <w:szCs w:val="18"/>
                    </w:rPr>
                  </w:pPr>
                  <w:r>
                    <w:rPr>
                      <w:color w:val="auto"/>
                      <w:sz w:val="18"/>
                      <w:szCs w:val="18"/>
                    </w:rPr>
                    <w:t>0~5mm机制砂</w:t>
                  </w:r>
                </w:p>
              </w:tc>
              <w:tc>
                <w:tcPr>
                  <w:tcW w:w="1737" w:type="dxa"/>
                  <w:vAlign w:val="center"/>
                </w:tcPr>
                <w:p>
                  <w:pPr>
                    <w:autoSpaceDE w:val="0"/>
                    <w:autoSpaceDN w:val="0"/>
                    <w:spacing w:line="280" w:lineRule="exact"/>
                    <w:jc w:val="center"/>
                    <w:rPr>
                      <w:color w:val="auto"/>
                      <w:sz w:val="18"/>
                      <w:szCs w:val="18"/>
                    </w:rPr>
                  </w:pPr>
                  <w:r>
                    <w:rPr>
                      <w:rFonts w:hint="eastAsia"/>
                      <w:color w:val="auto"/>
                      <w:sz w:val="18"/>
                      <w:szCs w:val="18"/>
                    </w:rPr>
                    <w:t>75</w:t>
                  </w:r>
                  <w:r>
                    <w:rPr>
                      <w:color w:val="auto"/>
                      <w:sz w:val="18"/>
                      <w:szCs w:val="18"/>
                    </w:rPr>
                    <w:t>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65" w:type="dxa"/>
                  <w:vAlign w:val="center"/>
                </w:tcPr>
                <w:p>
                  <w:pPr>
                    <w:pStyle w:val="50"/>
                    <w:spacing w:line="280" w:lineRule="exact"/>
                    <w:ind w:firstLine="0" w:firstLineChars="0"/>
                    <w:jc w:val="center"/>
                    <w:rPr>
                      <w:color w:val="auto"/>
                      <w:sz w:val="18"/>
                      <w:szCs w:val="18"/>
                    </w:rPr>
                  </w:pPr>
                </w:p>
              </w:tc>
              <w:tc>
                <w:tcPr>
                  <w:tcW w:w="2012" w:type="dxa"/>
                  <w:vAlign w:val="center"/>
                </w:tcPr>
                <w:p>
                  <w:pPr>
                    <w:autoSpaceDE w:val="0"/>
                    <w:autoSpaceDN w:val="0"/>
                    <w:spacing w:line="280" w:lineRule="exact"/>
                    <w:jc w:val="center"/>
                    <w:rPr>
                      <w:color w:val="auto"/>
                      <w:sz w:val="18"/>
                      <w:szCs w:val="18"/>
                    </w:rPr>
                  </w:pPr>
                </w:p>
              </w:tc>
              <w:tc>
                <w:tcPr>
                  <w:tcW w:w="2285" w:type="dxa"/>
                  <w:vAlign w:val="center"/>
                </w:tcPr>
                <w:p>
                  <w:pPr>
                    <w:pStyle w:val="50"/>
                    <w:spacing w:line="280" w:lineRule="exact"/>
                    <w:ind w:firstLine="0" w:firstLineChars="0"/>
                    <w:jc w:val="center"/>
                    <w:rPr>
                      <w:color w:val="auto"/>
                      <w:sz w:val="18"/>
                      <w:szCs w:val="18"/>
                    </w:rPr>
                  </w:pPr>
                  <w:r>
                    <w:rPr>
                      <w:color w:val="auto"/>
                      <w:sz w:val="18"/>
                      <w:szCs w:val="18"/>
                    </w:rPr>
                    <w:t>泥饼</w:t>
                  </w:r>
                </w:p>
              </w:tc>
              <w:tc>
                <w:tcPr>
                  <w:tcW w:w="1737" w:type="dxa"/>
                  <w:vAlign w:val="center"/>
                </w:tcPr>
                <w:p>
                  <w:pPr>
                    <w:autoSpaceDE w:val="0"/>
                    <w:autoSpaceDN w:val="0"/>
                    <w:spacing w:line="280" w:lineRule="exact"/>
                    <w:jc w:val="center"/>
                    <w:rPr>
                      <w:color w:val="auto"/>
                      <w:sz w:val="18"/>
                      <w:szCs w:val="18"/>
                    </w:rPr>
                  </w:pPr>
                  <w:r>
                    <w:rPr>
                      <w:color w:val="auto"/>
                      <w:sz w:val="18"/>
                      <w:szCs w:val="18"/>
                    </w:rPr>
                    <w:t>1237.5</w:t>
                  </w:r>
                </w:p>
              </w:tc>
            </w:tr>
            <w:bookmarkEnd w:id="35"/>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865" w:type="dxa"/>
                  <w:vAlign w:val="center"/>
                </w:tcPr>
                <w:p>
                  <w:pPr>
                    <w:autoSpaceDE w:val="0"/>
                    <w:autoSpaceDN w:val="0"/>
                    <w:spacing w:line="280" w:lineRule="exact"/>
                    <w:jc w:val="center"/>
                    <w:rPr>
                      <w:color w:val="auto"/>
                      <w:spacing w:val="22"/>
                      <w:sz w:val="18"/>
                      <w:szCs w:val="18"/>
                    </w:rPr>
                  </w:pPr>
                  <w:r>
                    <w:rPr>
                      <w:color w:val="auto"/>
                      <w:sz w:val="18"/>
                      <w:szCs w:val="18"/>
                    </w:rPr>
                    <w:t>合  计</w:t>
                  </w:r>
                </w:p>
              </w:tc>
              <w:tc>
                <w:tcPr>
                  <w:tcW w:w="2012" w:type="dxa"/>
                  <w:vAlign w:val="center"/>
                </w:tcPr>
                <w:p>
                  <w:pPr>
                    <w:spacing w:line="280" w:lineRule="exact"/>
                    <w:jc w:val="center"/>
                    <w:rPr>
                      <w:color w:val="auto"/>
                      <w:sz w:val="18"/>
                      <w:szCs w:val="18"/>
                    </w:rPr>
                  </w:pPr>
                  <w:r>
                    <w:rPr>
                      <w:color w:val="auto"/>
                      <w:sz w:val="18"/>
                      <w:szCs w:val="18"/>
                    </w:rPr>
                    <w:t>2501237.5</w:t>
                  </w:r>
                </w:p>
              </w:tc>
              <w:tc>
                <w:tcPr>
                  <w:tcW w:w="2285" w:type="dxa"/>
                  <w:vAlign w:val="center"/>
                </w:tcPr>
                <w:p>
                  <w:pPr>
                    <w:spacing w:line="280" w:lineRule="exact"/>
                    <w:jc w:val="center"/>
                    <w:rPr>
                      <w:color w:val="auto"/>
                      <w:sz w:val="18"/>
                      <w:szCs w:val="18"/>
                    </w:rPr>
                  </w:pPr>
                  <w:r>
                    <w:rPr>
                      <w:color w:val="auto"/>
                      <w:sz w:val="18"/>
                      <w:szCs w:val="18"/>
                    </w:rPr>
                    <w:t>合  计</w:t>
                  </w:r>
                </w:p>
              </w:tc>
              <w:tc>
                <w:tcPr>
                  <w:tcW w:w="1737" w:type="dxa"/>
                  <w:vAlign w:val="center"/>
                </w:tcPr>
                <w:p>
                  <w:pPr>
                    <w:spacing w:line="280" w:lineRule="exact"/>
                    <w:jc w:val="center"/>
                    <w:rPr>
                      <w:color w:val="auto"/>
                      <w:sz w:val="18"/>
                      <w:szCs w:val="18"/>
                    </w:rPr>
                  </w:pPr>
                  <w:r>
                    <w:rPr>
                      <w:color w:val="auto"/>
                      <w:sz w:val="18"/>
                      <w:szCs w:val="18"/>
                    </w:rPr>
                    <w:t>2501237.5</w:t>
                  </w:r>
                </w:p>
              </w:tc>
            </w:tr>
          </w:tbl>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2、水平衡分析</w:t>
            </w:r>
          </w:p>
          <w:p>
            <w:pPr>
              <w:autoSpaceDE w:val="0"/>
              <w:autoSpaceDN w:val="0"/>
              <w:adjustRightInd w:val="0"/>
              <w:snapToGrid w:val="0"/>
              <w:spacing w:line="400" w:lineRule="exact"/>
              <w:ind w:firstLine="420" w:firstLineChars="200"/>
              <w:jc w:val="left"/>
              <w:rPr>
                <w:color w:val="auto"/>
                <w:kern w:val="0"/>
                <w:szCs w:val="21"/>
              </w:rPr>
            </w:pPr>
            <w:r>
              <w:rPr>
                <w:color w:val="auto"/>
                <w:kern w:val="0"/>
                <w:szCs w:val="21"/>
              </w:rPr>
              <w:t>项目用水分为矿山生产用水和加工区生产用水。矿山用水主要有钻孔爆破防尘用水、开采工作面防尘用水、道路防尘喷雾洒水、运输车辆冲洗用水，用水水源主要为雨水池收集的雨水，不足时由洒水车从加工区运送补给。加工区用水环节主要有生产用水、防尘用水、车辆冲洗用水以及生活用水等，用水水源为收集的雨水、</w:t>
            </w:r>
            <w:r>
              <w:rPr>
                <w:rFonts w:hint="eastAsia"/>
                <w:color w:val="auto"/>
                <w:kern w:val="0"/>
                <w:szCs w:val="21"/>
              </w:rPr>
              <w:t>石溪河</w:t>
            </w:r>
            <w:r>
              <w:rPr>
                <w:color w:val="auto"/>
                <w:kern w:val="0"/>
                <w:szCs w:val="21"/>
              </w:rPr>
              <w:t>水、</w:t>
            </w:r>
            <w:r>
              <w:rPr>
                <w:rFonts w:hint="eastAsia"/>
                <w:color w:val="auto"/>
                <w:kern w:val="0"/>
                <w:szCs w:val="21"/>
              </w:rPr>
              <w:t>山泉</w:t>
            </w:r>
            <w:r>
              <w:rPr>
                <w:color w:val="auto"/>
                <w:kern w:val="0"/>
                <w:szCs w:val="21"/>
              </w:rPr>
              <w:t>水。</w:t>
            </w:r>
          </w:p>
          <w:p>
            <w:pPr>
              <w:autoSpaceDE w:val="0"/>
              <w:autoSpaceDN w:val="0"/>
              <w:adjustRightInd w:val="0"/>
              <w:snapToGrid w:val="0"/>
              <w:spacing w:line="400" w:lineRule="exact"/>
              <w:ind w:firstLine="420" w:firstLineChars="200"/>
              <w:jc w:val="left"/>
              <w:rPr>
                <w:color w:val="auto"/>
                <w:kern w:val="0"/>
                <w:szCs w:val="21"/>
              </w:rPr>
            </w:pPr>
            <w:r>
              <w:rPr>
                <w:color w:val="auto"/>
                <w:kern w:val="0"/>
                <w:szCs w:val="21"/>
              </w:rPr>
              <w:t>①钻孔爆破防尘用水：钻机在工作时与岩石摩擦产生热量，需进行湿式作业进行冷却降温，避免钻头因温度升高而损坏；爆破作业时会产生大量的粉尘，爆破后需采用高压喷水枪或雾炮机抑制扬尘污染。根据项目单次爆破量估算，爆破前矿体钻孔和爆破后的爆破面洒水降尘用水量按10m</w:t>
            </w:r>
            <w:r>
              <w:rPr>
                <w:color w:val="auto"/>
                <w:kern w:val="0"/>
                <w:szCs w:val="21"/>
                <w:vertAlign w:val="superscript"/>
              </w:rPr>
              <w:t>3</w:t>
            </w:r>
            <w:r>
              <w:rPr>
                <w:color w:val="auto"/>
                <w:kern w:val="0"/>
                <w:szCs w:val="21"/>
              </w:rPr>
              <w:t>/次。根据设计资料，本项目年开采</w:t>
            </w:r>
            <w:r>
              <w:rPr>
                <w:rFonts w:hint="eastAsia"/>
                <w:color w:val="auto"/>
                <w:kern w:val="0"/>
                <w:szCs w:val="21"/>
              </w:rPr>
              <w:t>加工</w:t>
            </w:r>
            <w:r>
              <w:rPr>
                <w:color w:val="auto"/>
                <w:kern w:val="0"/>
                <w:szCs w:val="21"/>
              </w:rPr>
              <w:t>250万吨（8333t/d），每次爆破矿石量为4万吨，则需要爆破63次，平均5天爆破一次。则钻孔爆破防尘用水量为630.0m</w:t>
            </w:r>
            <w:r>
              <w:rPr>
                <w:color w:val="auto"/>
                <w:kern w:val="0"/>
                <w:szCs w:val="21"/>
                <w:vertAlign w:val="superscript"/>
              </w:rPr>
              <w:t>3</w:t>
            </w:r>
            <w:r>
              <w:rPr>
                <w:color w:val="auto"/>
                <w:kern w:val="0"/>
                <w:szCs w:val="21"/>
              </w:rPr>
              <w:t>/a（2.1m</w:t>
            </w:r>
            <w:r>
              <w:rPr>
                <w:color w:val="auto"/>
                <w:kern w:val="0"/>
                <w:szCs w:val="21"/>
                <w:vertAlign w:val="superscript"/>
              </w:rPr>
              <w:t>3</w:t>
            </w:r>
            <w:r>
              <w:rPr>
                <w:color w:val="auto"/>
                <w:kern w:val="0"/>
                <w:szCs w:val="21"/>
              </w:rPr>
              <w:t>/d）。矿山防尘用水进入矿石或渗透消耗，不会形成废水流。</w:t>
            </w:r>
          </w:p>
          <w:p>
            <w:pPr>
              <w:autoSpaceDE w:val="0"/>
              <w:autoSpaceDN w:val="0"/>
              <w:adjustRightInd w:val="0"/>
              <w:snapToGrid w:val="0"/>
              <w:spacing w:line="400" w:lineRule="exact"/>
              <w:ind w:firstLine="420" w:firstLineChars="200"/>
              <w:jc w:val="left"/>
              <w:rPr>
                <w:color w:val="auto"/>
                <w:kern w:val="0"/>
                <w:szCs w:val="21"/>
              </w:rPr>
            </w:pPr>
            <w:r>
              <w:rPr>
                <w:color w:val="auto"/>
                <w:kern w:val="0"/>
                <w:szCs w:val="21"/>
              </w:rPr>
              <w:t>②开采工作面防尘用水：通过水泵输送至各开采工作面喷雾降尘，不会对同一部位进行大量的冲水。类比同类矿山开采区的实际用水量，约10L/t-矿石，项目平均每天开采8333t矿石，则开采工作面为用水量为83.3m</w:t>
            </w:r>
            <w:r>
              <w:rPr>
                <w:color w:val="auto"/>
                <w:kern w:val="0"/>
                <w:szCs w:val="21"/>
                <w:vertAlign w:val="superscript"/>
              </w:rPr>
              <w:t>3</w:t>
            </w:r>
            <w:r>
              <w:rPr>
                <w:color w:val="auto"/>
                <w:kern w:val="0"/>
                <w:szCs w:val="21"/>
              </w:rPr>
              <w:t>/d，喷雾水经渗透、蒸发、附着，全部损耗，不会形成废水流。</w:t>
            </w:r>
          </w:p>
          <w:p>
            <w:pPr>
              <w:autoSpaceDE w:val="0"/>
              <w:autoSpaceDN w:val="0"/>
              <w:adjustRightInd w:val="0"/>
              <w:snapToGrid w:val="0"/>
              <w:spacing w:line="400" w:lineRule="exact"/>
              <w:ind w:firstLine="420" w:firstLineChars="200"/>
              <w:jc w:val="left"/>
              <w:rPr>
                <w:color w:val="auto"/>
                <w:kern w:val="0"/>
                <w:szCs w:val="21"/>
              </w:rPr>
            </w:pPr>
            <w:r>
              <w:rPr>
                <w:color w:val="auto"/>
                <w:kern w:val="0"/>
                <w:szCs w:val="21"/>
              </w:rPr>
              <w:t>③场内道路、地面防尘喷雾洒水用水量约为</w:t>
            </w:r>
            <w:r>
              <w:rPr>
                <w:rFonts w:hint="eastAsia"/>
                <w:color w:val="auto"/>
                <w:kern w:val="0"/>
                <w:szCs w:val="21"/>
              </w:rPr>
              <w:t>4</w:t>
            </w:r>
            <w:r>
              <w:rPr>
                <w:color w:val="auto"/>
                <w:kern w:val="0"/>
                <w:szCs w:val="21"/>
              </w:rPr>
              <w:t>.0m</w:t>
            </w:r>
            <w:r>
              <w:rPr>
                <w:color w:val="auto"/>
                <w:kern w:val="0"/>
                <w:szCs w:val="21"/>
                <w:vertAlign w:val="superscript"/>
              </w:rPr>
              <w:t>3</w:t>
            </w:r>
            <w:r>
              <w:rPr>
                <w:color w:val="auto"/>
                <w:kern w:val="0"/>
                <w:szCs w:val="21"/>
              </w:rPr>
              <w:t>/d，由于无生产环节，地面防尘主要为道路洒水降尘，喷洒的防尘水分散在不同的路面等，全部由蒸发消耗，不会形成废水流。</w:t>
            </w:r>
          </w:p>
          <w:p>
            <w:pPr>
              <w:autoSpaceDE w:val="0"/>
              <w:autoSpaceDN w:val="0"/>
              <w:adjustRightInd w:val="0"/>
              <w:snapToGrid w:val="0"/>
              <w:spacing w:line="400" w:lineRule="exact"/>
              <w:ind w:firstLine="420" w:firstLineChars="200"/>
              <w:jc w:val="left"/>
              <w:rPr>
                <w:color w:val="auto"/>
                <w:kern w:val="0"/>
                <w:szCs w:val="21"/>
              </w:rPr>
            </w:pPr>
            <w:r>
              <w:rPr>
                <w:color w:val="auto"/>
                <w:kern w:val="0"/>
                <w:szCs w:val="21"/>
              </w:rPr>
              <w:t>④矿区车辆冲洗用水：运矿车辆进出场地时需对车身及轮胎进行冲洗，拟在大门处设置一个车辆冲洗台，对驶出项目区的车辆轮胎进行冲洗，冲洗用水按60L/辆·次计算，平均每天进出车辆约240辆·次，则冲洗轮胎耗水为14.4m</w:t>
            </w:r>
            <w:r>
              <w:rPr>
                <w:color w:val="auto"/>
                <w:kern w:val="0"/>
                <w:szCs w:val="21"/>
                <w:vertAlign w:val="superscript"/>
              </w:rPr>
              <w:t>3</w:t>
            </w:r>
            <w:r>
              <w:rPr>
                <w:color w:val="auto"/>
                <w:kern w:val="0"/>
                <w:szCs w:val="21"/>
              </w:rPr>
              <w:t>/d（4320m</w:t>
            </w:r>
            <w:r>
              <w:rPr>
                <w:color w:val="auto"/>
                <w:kern w:val="0"/>
                <w:szCs w:val="21"/>
                <w:vertAlign w:val="superscript"/>
              </w:rPr>
              <w:t>3</w:t>
            </w:r>
            <w:r>
              <w:rPr>
                <w:color w:val="auto"/>
                <w:kern w:val="0"/>
                <w:szCs w:val="21"/>
              </w:rPr>
              <w:t>/a），冲洗废水产生系数按80%计，产生量为11.52m</w:t>
            </w:r>
            <w:r>
              <w:rPr>
                <w:color w:val="auto"/>
                <w:kern w:val="0"/>
                <w:szCs w:val="21"/>
                <w:vertAlign w:val="superscript"/>
              </w:rPr>
              <w:t>3</w:t>
            </w:r>
            <w:r>
              <w:rPr>
                <w:color w:val="auto"/>
                <w:kern w:val="0"/>
                <w:szCs w:val="21"/>
              </w:rPr>
              <w:t>/d（3456m</w:t>
            </w:r>
            <w:r>
              <w:rPr>
                <w:color w:val="auto"/>
                <w:kern w:val="0"/>
                <w:szCs w:val="21"/>
                <w:vertAlign w:val="superscript"/>
              </w:rPr>
              <w:t>3</w:t>
            </w:r>
            <w:r>
              <w:rPr>
                <w:color w:val="auto"/>
                <w:kern w:val="0"/>
                <w:szCs w:val="21"/>
              </w:rPr>
              <w:t>/a）。</w:t>
            </w:r>
          </w:p>
          <w:p>
            <w:pPr>
              <w:autoSpaceDE w:val="0"/>
              <w:autoSpaceDN w:val="0"/>
              <w:adjustRightInd w:val="0"/>
              <w:snapToGrid w:val="0"/>
              <w:spacing w:line="400" w:lineRule="exact"/>
              <w:ind w:firstLine="420" w:firstLineChars="200"/>
              <w:jc w:val="left"/>
              <w:rPr>
                <w:color w:val="auto"/>
                <w:kern w:val="0"/>
                <w:szCs w:val="21"/>
              </w:rPr>
            </w:pPr>
            <w:r>
              <w:rPr>
                <w:color w:val="auto"/>
                <w:kern w:val="0"/>
                <w:szCs w:val="21"/>
              </w:rPr>
              <w:t>⑤加工区防尘用水：包括车间内各生产环节防尘用水，厂区进出道路及场地防尘用水。车间防尘采用高效喷雾装置防尘，厂区进出道路及场地防尘安排专人适时洒水防尘。根据类比分析，本项目防尘用水量取4.0m</w:t>
            </w:r>
            <w:r>
              <w:rPr>
                <w:color w:val="auto"/>
                <w:kern w:val="0"/>
                <w:szCs w:val="21"/>
                <w:vertAlign w:val="superscript"/>
              </w:rPr>
              <w:t>3</w:t>
            </w:r>
            <w:r>
              <w:rPr>
                <w:color w:val="auto"/>
                <w:kern w:val="0"/>
                <w:szCs w:val="21"/>
              </w:rPr>
              <w:t>/d（1200.0m</w:t>
            </w:r>
            <w:r>
              <w:rPr>
                <w:color w:val="auto"/>
                <w:kern w:val="0"/>
                <w:szCs w:val="21"/>
                <w:vertAlign w:val="superscript"/>
              </w:rPr>
              <w:t>3</w:t>
            </w:r>
            <w:r>
              <w:rPr>
                <w:color w:val="auto"/>
                <w:kern w:val="0"/>
                <w:szCs w:val="21"/>
              </w:rPr>
              <w:t>/a）。喷雾洒水不会对同一部位进行大量的冲水，喷雾水经渗透、蒸发，全部消耗，不会形成废水流。</w:t>
            </w:r>
          </w:p>
          <w:p>
            <w:pPr>
              <w:autoSpaceDE w:val="0"/>
              <w:autoSpaceDN w:val="0"/>
              <w:adjustRightInd w:val="0"/>
              <w:snapToGrid w:val="0"/>
              <w:spacing w:line="400" w:lineRule="exact"/>
              <w:ind w:firstLine="420" w:firstLineChars="200"/>
              <w:rPr>
                <w:color w:val="auto"/>
                <w:kern w:val="0"/>
                <w:szCs w:val="21"/>
              </w:rPr>
            </w:pPr>
            <w:r>
              <w:rPr>
                <w:color w:val="auto"/>
                <w:kern w:val="0"/>
                <w:szCs w:val="21"/>
              </w:rPr>
              <w:t>⑥生产用水：主要为</w:t>
            </w:r>
            <w:r>
              <w:rPr>
                <w:rFonts w:hint="eastAsia"/>
                <w:color w:val="auto"/>
                <w:kern w:val="0"/>
                <w:szCs w:val="21"/>
              </w:rPr>
              <w:t>筛分机</w:t>
            </w:r>
            <w:r>
              <w:rPr>
                <w:color w:val="auto"/>
                <w:kern w:val="0"/>
                <w:szCs w:val="21"/>
              </w:rPr>
              <w:t>生产</w:t>
            </w:r>
            <w:r>
              <w:rPr>
                <w:rFonts w:hint="eastAsia"/>
                <w:color w:val="auto"/>
                <w:kern w:val="0"/>
                <w:szCs w:val="21"/>
              </w:rPr>
              <w:t>时的大量冲洗</w:t>
            </w:r>
            <w:r>
              <w:rPr>
                <w:color w:val="auto"/>
                <w:kern w:val="0"/>
                <w:szCs w:val="21"/>
              </w:rPr>
              <w:t>用水，根据类比同类项目，</w:t>
            </w:r>
            <w:r>
              <w:rPr>
                <w:rFonts w:hint="eastAsia"/>
                <w:color w:val="auto"/>
                <w:kern w:val="0"/>
                <w:szCs w:val="21"/>
              </w:rPr>
              <w:t>生产</w:t>
            </w:r>
            <w:r>
              <w:rPr>
                <w:color w:val="auto"/>
                <w:kern w:val="0"/>
                <w:szCs w:val="21"/>
              </w:rPr>
              <w:t>筛分环节冲水量约1m</w:t>
            </w:r>
            <w:r>
              <w:rPr>
                <w:color w:val="auto"/>
                <w:kern w:val="0"/>
                <w:szCs w:val="21"/>
                <w:vertAlign w:val="superscript"/>
              </w:rPr>
              <w:t>3</w:t>
            </w:r>
            <w:r>
              <w:rPr>
                <w:color w:val="auto"/>
                <w:kern w:val="0"/>
                <w:szCs w:val="21"/>
              </w:rPr>
              <w:t>/</w:t>
            </w:r>
            <w:r>
              <w:rPr>
                <w:rFonts w:hint="eastAsia"/>
                <w:color w:val="auto"/>
                <w:kern w:val="0"/>
                <w:szCs w:val="21"/>
              </w:rPr>
              <w:t>t</w:t>
            </w:r>
            <w:r>
              <w:rPr>
                <w:color w:val="auto"/>
                <w:kern w:val="0"/>
                <w:szCs w:val="21"/>
              </w:rPr>
              <w:t>-产品，</w:t>
            </w:r>
            <w:r>
              <w:rPr>
                <w:rFonts w:hint="eastAsia"/>
                <w:color w:val="auto"/>
                <w:kern w:val="0"/>
                <w:szCs w:val="21"/>
              </w:rPr>
              <w:t>项目设计生产量为</w:t>
            </w:r>
            <w:r>
              <w:rPr>
                <w:color w:val="auto"/>
                <w:kern w:val="0"/>
                <w:szCs w:val="21"/>
              </w:rPr>
              <w:t>250</w:t>
            </w:r>
            <w:r>
              <w:rPr>
                <w:rFonts w:hint="eastAsia"/>
                <w:color w:val="auto"/>
                <w:kern w:val="0"/>
                <w:szCs w:val="21"/>
              </w:rPr>
              <w:t>万t/a（用水量为</w:t>
            </w:r>
            <w:r>
              <w:rPr>
                <w:color w:val="auto"/>
                <w:kern w:val="0"/>
                <w:szCs w:val="21"/>
              </w:rPr>
              <w:t>250万</w:t>
            </w:r>
            <w:r>
              <w:rPr>
                <w:rFonts w:hint="eastAsia"/>
                <w:color w:val="auto"/>
                <w:kern w:val="0"/>
                <w:szCs w:val="21"/>
              </w:rPr>
              <w:t>m³</w:t>
            </w:r>
            <w:r>
              <w:rPr>
                <w:color w:val="auto"/>
                <w:kern w:val="0"/>
                <w:szCs w:val="21"/>
              </w:rPr>
              <w:t>/a</w:t>
            </w:r>
            <w:r>
              <w:rPr>
                <w:rFonts w:hint="eastAsia"/>
                <w:color w:val="auto"/>
                <w:kern w:val="0"/>
                <w:szCs w:val="21"/>
              </w:rPr>
              <w:t>，</w:t>
            </w:r>
            <w:r>
              <w:rPr>
                <w:color w:val="auto"/>
                <w:kern w:val="0"/>
                <w:szCs w:val="21"/>
              </w:rPr>
              <w:t>平均8333.33m³/d），预计最大生产用水量为8333.33m</w:t>
            </w:r>
            <w:r>
              <w:rPr>
                <w:color w:val="auto"/>
                <w:kern w:val="0"/>
                <w:szCs w:val="21"/>
                <w:vertAlign w:val="superscript"/>
              </w:rPr>
              <w:t>3</w:t>
            </w:r>
            <w:r>
              <w:rPr>
                <w:color w:val="auto"/>
                <w:kern w:val="0"/>
                <w:szCs w:val="21"/>
              </w:rPr>
              <w:t>/d。其中随产品、泥沙带走及蒸发损耗量约占30%，产生的废水及产品堆放的渗滤液约占70%。则生产废水量为5833.33m</w:t>
            </w:r>
            <w:r>
              <w:rPr>
                <w:color w:val="auto"/>
                <w:kern w:val="0"/>
                <w:szCs w:val="21"/>
                <w:vertAlign w:val="superscript"/>
              </w:rPr>
              <w:t>3</w:t>
            </w:r>
            <w:r>
              <w:rPr>
                <w:color w:val="auto"/>
                <w:kern w:val="0"/>
                <w:szCs w:val="21"/>
              </w:rPr>
              <w:t>/d（1749999m</w:t>
            </w:r>
            <w:r>
              <w:rPr>
                <w:color w:val="auto"/>
                <w:kern w:val="0"/>
                <w:szCs w:val="21"/>
                <w:vertAlign w:val="superscript"/>
              </w:rPr>
              <w:t>3</w:t>
            </w:r>
            <w:r>
              <w:rPr>
                <w:color w:val="auto"/>
                <w:kern w:val="0"/>
                <w:szCs w:val="21"/>
              </w:rPr>
              <w:t>/a）。</w:t>
            </w:r>
          </w:p>
          <w:p>
            <w:pPr>
              <w:autoSpaceDE w:val="0"/>
              <w:autoSpaceDN w:val="0"/>
              <w:adjustRightInd w:val="0"/>
              <w:snapToGrid w:val="0"/>
              <w:spacing w:line="400" w:lineRule="exact"/>
              <w:ind w:firstLine="420" w:firstLineChars="200"/>
              <w:jc w:val="left"/>
              <w:rPr>
                <w:color w:val="auto"/>
                <w:kern w:val="0"/>
                <w:szCs w:val="21"/>
              </w:rPr>
            </w:pPr>
            <w:r>
              <w:rPr>
                <w:color w:val="auto"/>
                <w:kern w:val="0"/>
                <w:szCs w:val="21"/>
              </w:rPr>
              <w:t>⑦生产区车辆冲洗用水：本项目产品均依靠汽车运输，单车运载能力取35t，年生产300天，则运输作业平均240辆·次/天，原矿运输车辆约240辆·次/d。根据经验数据，车辆冲洗用水约60L/车·次，则车辆冲洗用水量为28.8m</w:t>
            </w:r>
            <w:r>
              <w:rPr>
                <w:color w:val="auto"/>
                <w:kern w:val="0"/>
                <w:szCs w:val="21"/>
                <w:vertAlign w:val="superscript"/>
              </w:rPr>
              <w:t>3</w:t>
            </w:r>
            <w:r>
              <w:rPr>
                <w:color w:val="auto"/>
                <w:kern w:val="0"/>
                <w:szCs w:val="21"/>
              </w:rPr>
              <w:t>/d，冲洗废水产生系数按80%计，产生量为23.04m</w:t>
            </w:r>
            <w:r>
              <w:rPr>
                <w:color w:val="auto"/>
                <w:kern w:val="0"/>
                <w:szCs w:val="21"/>
                <w:vertAlign w:val="superscript"/>
              </w:rPr>
              <w:t>3</w:t>
            </w:r>
            <w:r>
              <w:rPr>
                <w:color w:val="auto"/>
                <w:kern w:val="0"/>
                <w:szCs w:val="21"/>
              </w:rPr>
              <w:t>/d（6912m</w:t>
            </w:r>
            <w:r>
              <w:rPr>
                <w:color w:val="auto"/>
                <w:kern w:val="0"/>
                <w:szCs w:val="21"/>
                <w:vertAlign w:val="superscript"/>
              </w:rPr>
              <w:t>3</w:t>
            </w:r>
            <w:r>
              <w:rPr>
                <w:color w:val="auto"/>
                <w:kern w:val="0"/>
                <w:szCs w:val="21"/>
              </w:rPr>
              <w:t>/a）。</w:t>
            </w:r>
          </w:p>
          <w:p>
            <w:pPr>
              <w:adjustRightInd w:val="0"/>
              <w:snapToGrid w:val="0"/>
              <w:spacing w:line="360" w:lineRule="auto"/>
              <w:ind w:firstLine="420" w:firstLineChars="200"/>
              <w:rPr>
                <w:rFonts w:ascii="宋体" w:hAnsi="宋体" w:cs="宋体"/>
                <w:color w:val="auto"/>
                <w:kern w:val="0"/>
                <w:szCs w:val="21"/>
              </w:rPr>
            </w:pPr>
            <w:r>
              <w:rPr>
                <w:color w:val="auto"/>
                <w:kern w:val="0"/>
                <w:szCs w:val="21"/>
              </w:rPr>
              <w:t>⑧生活用水：项目建成后矿山工作人员40人，加工区工作人员58人，厂区设有员工食堂和住宿。职工生活用水按《四川省用水定额》（川府函〔2021〕8号）中的用水定额，项目员工生活用水按100L/人·d计算，则生活用水9.8m</w:t>
            </w:r>
            <w:r>
              <w:rPr>
                <w:color w:val="auto"/>
                <w:kern w:val="0"/>
                <w:szCs w:val="21"/>
                <w:vertAlign w:val="superscript"/>
              </w:rPr>
              <w:t>3</w:t>
            </w:r>
            <w:r>
              <w:rPr>
                <w:color w:val="auto"/>
                <w:kern w:val="0"/>
                <w:szCs w:val="21"/>
              </w:rPr>
              <w:t>/d，按废水排放系数取80%，生活污水产生量为7.84m</w:t>
            </w:r>
            <w:r>
              <w:rPr>
                <w:color w:val="auto"/>
                <w:kern w:val="0"/>
                <w:szCs w:val="21"/>
                <w:vertAlign w:val="superscript"/>
              </w:rPr>
              <w:t>3</w:t>
            </w:r>
            <w:r>
              <w:rPr>
                <w:color w:val="auto"/>
                <w:kern w:val="0"/>
                <w:szCs w:val="21"/>
              </w:rPr>
              <w:t>/d。</w:t>
            </w:r>
          </w:p>
          <w:p>
            <w:pPr>
              <w:adjustRightInd w:val="0"/>
              <w:snapToGrid w:val="0"/>
              <w:spacing w:line="360" w:lineRule="auto"/>
              <w:jc w:val="center"/>
              <w:rPr>
                <w:rFonts w:ascii="宋体" w:hAnsi="宋体" w:cs="宋体"/>
                <w:color w:val="auto"/>
                <w:kern w:val="0"/>
                <w:szCs w:val="21"/>
              </w:rPr>
            </w:pPr>
            <w:r>
              <w:rPr>
                <w:rFonts w:ascii="宋体" w:hAnsi="宋体" w:cs="宋体"/>
                <w:color w:val="auto"/>
                <w:kern w:val="0"/>
                <w:szCs w:val="21"/>
              </w:rPr>
              <w:drawing>
                <wp:inline distT="0" distB="0" distL="0" distR="0">
                  <wp:extent cx="4500245" cy="434467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28692" cy="4371950"/>
                          </a:xfrm>
                          <a:prstGeom prst="rect">
                            <a:avLst/>
                          </a:prstGeom>
                          <a:noFill/>
                        </pic:spPr>
                      </pic:pic>
                    </a:graphicData>
                  </a:graphic>
                </wp:inline>
              </w:drawing>
            </w:r>
          </w:p>
          <w:p>
            <w:pPr>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表2</w:t>
            </w:r>
            <w:r>
              <w:rPr>
                <w:rFonts w:ascii="宋体" w:hAnsi="宋体" w:cs="宋体"/>
                <w:b/>
                <w:color w:val="auto"/>
                <w:kern w:val="0"/>
                <w:sz w:val="18"/>
                <w:szCs w:val="18"/>
              </w:rPr>
              <w:t xml:space="preserve">-1 </w:t>
            </w:r>
            <w:r>
              <w:rPr>
                <w:rFonts w:hint="eastAsia" w:ascii="宋体" w:hAnsi="宋体" w:cs="宋体"/>
                <w:b/>
                <w:color w:val="auto"/>
                <w:kern w:val="0"/>
                <w:sz w:val="18"/>
                <w:szCs w:val="18"/>
              </w:rPr>
              <w:t>项目厂区水平衡图（单位：m³/d）</w:t>
            </w:r>
          </w:p>
          <w:p>
            <w:pPr>
              <w:adjustRightInd w:val="0"/>
              <w:snapToGrid w:val="0"/>
              <w:spacing w:line="360" w:lineRule="auto"/>
              <w:ind w:firstLine="420" w:firstLineChars="200"/>
              <w:rPr>
                <w:rFonts w:ascii="宋体" w:hAnsi="宋体" w:cs="宋体"/>
                <w:color w:val="auto"/>
                <w:kern w:val="0"/>
                <w:szCs w:val="21"/>
              </w:rPr>
            </w:pPr>
          </w:p>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六、项目矿区开采方式及开采范围</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1、开采方式</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矿区白云岩、灰岩矿赋存于三叠系下统嘉陵江组三段地层中，矿层分布于整个矿区，属厚大含矿层；矿层沿走向较稳定，两端延伸出勘查区范围外，走向北西南东向，含矿地层真厚度 175.5m～194.9m以上；岩性主要为浅灰－灰色中厚－块状白云质灰岩夹灰岩、生物碎屑灰岩砾屑灰岩和灰色白云岩、灰质白云岩等。</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矿区圈定了3个矿层，3个矿层横穿矿区延伸至区外，呈层状产出。呈北西－南东向展布，区内走向长约 800m，出露宽度约 450m，出露标高+1369～+1124m。矿层倾向 24～36°，倾角 24～34°。矿体控制标高+1369～+1166m，在矿区内最大埋深 199m，最小埋深 0m。</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依据矿体赋存条件（矿体出露地表）、开采技术条件，本次设计确定开采方式为露天开采。</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2、开采范围及开采对象</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本次设计开采范围为采矿权范围内及资源储量估算范围内+1369～+1170m 标高的建筑石料用灰岩矿、建筑用白云岩矿。</w:t>
            </w:r>
          </w:p>
          <w:p>
            <w:pPr>
              <w:adjustRightInd w:val="0"/>
              <w:snapToGrid w:val="0"/>
              <w:spacing w:line="360" w:lineRule="auto"/>
              <w:ind w:firstLine="420" w:firstLineChars="200"/>
              <w:rPr>
                <w:rFonts w:ascii="宋体" w:hAnsi="宋体" w:cs="宋体"/>
                <w:color w:val="auto"/>
                <w:kern w:val="0"/>
                <w:szCs w:val="21"/>
              </w:rPr>
            </w:pPr>
          </w:p>
          <w:p>
            <w:pPr>
              <w:adjustRightInd w:val="0"/>
              <w:snapToGrid w:val="0"/>
              <w:spacing w:line="360" w:lineRule="auto"/>
              <w:ind w:firstLine="420" w:firstLineChars="200"/>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710" w:type="dxa"/>
            <w:vAlign w:val="center"/>
          </w:tcPr>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总平面及现场布置</w:t>
            </w:r>
          </w:p>
        </w:tc>
        <w:tc>
          <w:tcPr>
            <w:tcW w:w="8380" w:type="dxa"/>
            <w:vAlign w:val="center"/>
          </w:tcPr>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一、项目总平面布置合理性分析</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本项目主要由露天采场、运输道路、废料弃土场地、现场办公及维修场地、破碎加工区（含矿石生产场地及制砂生产场地）、办公生活区及辅助设施等组成。</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1、总体布置原则</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（1）根据采矿的工艺要求，按照设计规范，充分利用现在的地形地貌状况进行总体布置，力求布置紧凑、生产管理方便，经济合理。</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（2）充分利用现有设施，节省投资。</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（3）破碎加工区、工业场地及废料弃土场地等应结合采矿工艺流程，将其场地就近露天采场布置，使运输方便、经济，减少投资。</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（4）外部供电线路尽可能短，水源充分利用当地水文条件。</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（5）保护当地自然环境，减少对周边环境及村庄的影响。</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（6）工业场地、破碎加工区及办公生活区须布置在最终爆破安全警戒线外。</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2、总体布置</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（1）露天采场</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露天采场位于矿区范围内（西08线～东07线）、+1369m～+1170m标高，主要由露天采场、运输道路等组成。</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（2）废料弃土场地</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废料弃土场地位于矿区西北侧，西08线附近，紧邻露天采场西侧，主要由废料弃土场地、挡渣坝、截排水沟等组成。</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（3）破碎加工区（含矿石生产场地及制砂生产场地）</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新建破碎加工区位于露天采场北侧最终爆破警戒线范围外，破碎站卸料平台标高+1170m，矿石加工区场地标高+930m～+980m。</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（4）现场办公及维修场地</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现场办公及维修场地位于矿区北侧最终爆破警戒线范围外，破碎加工区西侧，场地标高+930m。</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（5）办公生活区</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办公生活区位于破碎加工区北侧，场地标高+920m。</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3、总平面图及竖向布置</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（1）总平面布置</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1）露天采场</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露天采场位于矿区范围内+1170m 标高以上，主要由露天采场、运输道路等组成。</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露天采场最高开采台阶标高+1350m，最低开采台阶标高+1170m；采场上口尺：（长×宽）=800×（380～450）m；下口尺寸：（长×宽）=660×（253～332）m。露天采场最终境界占地面积 521 亩。</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2）废料弃土场地</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废料弃土场地设置在采场西北侧。堆排总高度约 45m，最高堆排标高+1230m，最低堆排标高+1185m，设计容积约</w:t>
            </w:r>
            <w:r>
              <w:rPr>
                <w:rFonts w:ascii="宋体" w:hAnsi="宋体" w:cs="宋体"/>
                <w:color w:val="auto"/>
                <w:kern w:val="0"/>
                <w:szCs w:val="21"/>
              </w:rPr>
              <w:t>14</w:t>
            </w:r>
            <w:r>
              <w:rPr>
                <w:rFonts w:hint="eastAsia" w:ascii="宋体" w:hAnsi="宋体" w:cs="宋体"/>
                <w:color w:val="auto"/>
                <w:kern w:val="0"/>
                <w:szCs w:val="21"/>
              </w:rPr>
              <w:t>万m</w:t>
            </w:r>
            <w:r>
              <w:rPr>
                <w:rFonts w:hint="eastAsia" w:ascii="宋体" w:hAnsi="宋体" w:cs="宋体"/>
                <w:color w:val="auto"/>
                <w:kern w:val="0"/>
                <w:szCs w:val="21"/>
                <w:vertAlign w:val="superscript"/>
              </w:rPr>
              <w:t>3</w:t>
            </w:r>
            <w:r>
              <w:rPr>
                <w:rFonts w:hint="eastAsia" w:ascii="宋体" w:hAnsi="宋体" w:cs="宋体"/>
                <w:color w:val="auto"/>
                <w:kern w:val="0"/>
                <w:szCs w:val="21"/>
              </w:rPr>
              <w:t>。矿山剥离的表土层少部分堆放至废料弃土场地内，用于矿山边坡复绿及复垦使用。废料弃土场地占地面积约24亩。</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3）现场办公及维修场地</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现场办公及维修场地位于矿区北侧最终爆破警戒线范围外，破碎加工区西侧，场地标高+930m，占地面积约1.5亩。主要由现场办公室、休息室、简易维修间及仓库等组成。</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4）破碎加工区</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新建破碎加工区位于露天采场北侧爆破警戒线范围外，破碎站卸料平台标高+1070m，矿石加工区标高+930m～+980m。破碎加工区包含矿石生产场地、废料弃土场地、制砂生产场地等，占地面积共约176亩。</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5）办公生活区</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矿山办公生活区布置在破碎加工区北侧，场地标高+920m，办公生活区占地面积约17 亩；主要由矿山办公楼、中控室、职工宿舍、食堂及变配电室等组成。</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（2）竖向布置</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1）竖向设计</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新建工业场地、破碎加工区等位于矿区北侧爆破安全警戒线外的场地平整地带，场地标高均高于当地防洪标准的洪水位 0.5m以上。</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2）场地排水</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结合平面布置，破碎加工区雨水采用明沟排水方式，场地用水及场坪雨水采用排水沟自流排入沉淀池，经沉淀达标后循环利用。生活污水经净化处理后用于附近植被浇灌。</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4、内部运输</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（1）矿石与废石运输</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设计矿山采用公路开拓-汽车运输方案，采场采出的矿石运输至采场北侧破碎加工区进行破碎加工；剥离的表土部分利用，部分运输至废料弃土场地内；剥离的废石综合利用。</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本次设计运输汽车选用 MT50 型（载重量 35t）的矿用自卸式汽车，经计算运输汽车共需 11 辆，其中 10 辆用于运输矿石，1 辆用于运输剥离物</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（2）辅助运输</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辅助运输主要包括采场所需的爆破器材、设备配件和材料等，其中爆破器材由爆破公司统一配送，材料及设备配件等利用皮卡车运输。</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5、矿区道路</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（1）运矿道路</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露天开采时，从破碎加工卸料平台+1070m 标高沿矿区北侧修筑运输道路至采场入口+1170m 标高。采场内运输道路从入口+1170m 标高沿矿区内部延伸至采场+1335m、+1320m 首采工作面及+1305m 台阶。</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（2）运废道路</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本次设计剥离的表土层，部分堆放至废料弃土场地内。废料弃土场地离矿区较近,沿矿山主要运输道路修联络道路至废料弃土场地。</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6、外部运输</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矿山外部运输采用外包运输方式，运输车辆由地方运输力量承担。</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矿山外运车辆运出的成品矿石应当采用封闭运输，破碎加工区出口处设置车辆冲洗台，车辆驶出矿区时应冲洗干净。</w:t>
            </w:r>
          </w:p>
          <w:p>
            <w:pPr>
              <w:adjustRightInd w:val="0"/>
              <w:snapToGrid w:val="0"/>
              <w:spacing w:line="400" w:lineRule="exact"/>
              <w:ind w:left="-53" w:leftChars="-25" w:right="-53" w:rightChars="-25" w:firstLine="420" w:firstLineChars="200"/>
              <w:rPr>
                <w:color w:val="auto"/>
                <w:szCs w:val="20"/>
              </w:rPr>
            </w:pPr>
            <w:r>
              <w:rPr>
                <w:color w:val="auto"/>
                <w:szCs w:val="20"/>
              </w:rPr>
              <w:t>本项目在进行平面布置时，充分考虑到地形条件、地质情况和周围环境状况。通过优化布局，将废水收集设施布置在地势较低处，便于废水收集；办公生活设施与采场保持合适距离，生产和生活互不干扰；各功能区布局协调有序。</w:t>
            </w:r>
          </w:p>
          <w:p>
            <w:pPr>
              <w:adjustRightInd w:val="0"/>
              <w:snapToGrid w:val="0"/>
              <w:spacing w:line="400" w:lineRule="exact"/>
              <w:ind w:left="-53" w:leftChars="-25" w:right="-53" w:rightChars="-25" w:firstLine="420" w:firstLineChars="200"/>
              <w:rPr>
                <w:color w:val="auto"/>
                <w:szCs w:val="20"/>
              </w:rPr>
            </w:pPr>
            <w:r>
              <w:rPr>
                <w:color w:val="auto"/>
                <w:kern w:val="0"/>
                <w:szCs w:val="21"/>
                <w:lang w:val="zh-CN"/>
              </w:rPr>
              <w:t>评价认为，项目平面布置合理紧凑，充分利用了周围自然地形、地势，生产场地功能分区明确，便于生产、运输和管理，总体布局合理可行。</w:t>
            </w:r>
          </w:p>
          <w:p>
            <w:pPr>
              <w:adjustRightInd w:val="0"/>
              <w:snapToGrid w:val="0"/>
              <w:spacing w:line="360" w:lineRule="auto"/>
              <w:ind w:firstLine="420"/>
              <w:rPr>
                <w:rFonts w:ascii="宋体" w:hAnsi="宋体" w:cs="宋体"/>
                <w:color w:val="auto"/>
                <w:kern w:val="0"/>
                <w:szCs w:val="21"/>
              </w:rPr>
            </w:pPr>
          </w:p>
          <w:p>
            <w:pPr>
              <w:adjustRightInd w:val="0"/>
              <w:snapToGrid w:val="0"/>
              <w:spacing w:line="360" w:lineRule="auto"/>
              <w:ind w:firstLine="420"/>
              <w:rPr>
                <w:rFonts w:ascii="宋体" w:hAnsi="宋体" w:cs="宋体"/>
                <w:color w:val="auto"/>
                <w:kern w:val="0"/>
                <w:szCs w:val="21"/>
              </w:rPr>
            </w:pPr>
          </w:p>
          <w:p>
            <w:pPr>
              <w:adjustRightInd w:val="0"/>
              <w:snapToGrid w:val="0"/>
              <w:spacing w:line="360" w:lineRule="auto"/>
              <w:ind w:firstLine="420"/>
              <w:rPr>
                <w:rFonts w:ascii="宋体" w:hAnsi="宋体" w:cs="宋体"/>
                <w:color w:val="auto"/>
                <w:kern w:val="0"/>
                <w:szCs w:val="21"/>
              </w:rPr>
            </w:pPr>
          </w:p>
          <w:p>
            <w:pPr>
              <w:adjustRightInd w:val="0"/>
              <w:snapToGrid w:val="0"/>
              <w:spacing w:line="360" w:lineRule="auto"/>
              <w:ind w:firstLine="420"/>
              <w:rPr>
                <w:rFonts w:ascii="宋体" w:hAnsi="宋体" w:cs="宋体"/>
                <w:color w:val="auto"/>
                <w:kern w:val="0"/>
                <w:szCs w:val="21"/>
              </w:rPr>
            </w:pPr>
          </w:p>
          <w:p>
            <w:pPr>
              <w:adjustRightInd w:val="0"/>
              <w:snapToGrid w:val="0"/>
              <w:spacing w:line="360" w:lineRule="auto"/>
              <w:ind w:firstLine="420"/>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710" w:type="dxa"/>
            <w:vAlign w:val="center"/>
          </w:tcPr>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施工方案</w:t>
            </w:r>
          </w:p>
        </w:tc>
        <w:tc>
          <w:tcPr>
            <w:tcW w:w="8380" w:type="dxa"/>
            <w:vAlign w:val="center"/>
          </w:tcPr>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一、施工期工艺流程</w:t>
            </w:r>
          </w:p>
          <w:p>
            <w:pPr>
              <w:adjustRightInd w:val="0"/>
              <w:snapToGrid w:val="0"/>
              <w:spacing w:line="360" w:lineRule="auto"/>
              <w:ind w:firstLine="422" w:firstLineChars="200"/>
              <w:rPr>
                <w:rFonts w:ascii="宋体" w:hAnsi="宋体" w:cs="宋体"/>
                <w:b/>
                <w:bCs/>
                <w:color w:val="auto"/>
                <w:kern w:val="0"/>
                <w:szCs w:val="21"/>
              </w:rPr>
            </w:pPr>
            <w:r>
              <w:rPr>
                <w:rFonts w:hint="eastAsia" w:ascii="宋体" w:hAnsi="宋体" w:cs="宋体"/>
                <w:b/>
                <w:bCs/>
                <w:color w:val="auto"/>
                <w:kern w:val="0"/>
                <w:szCs w:val="21"/>
              </w:rPr>
              <w:t>1、施工工艺流程图</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项目矿山施工期主要是进出道路和至初始开采平台的道路、办公生活设施的建设。项目施工期工艺流程及产污环节图如下。</w:t>
            </w:r>
          </w:p>
          <w:p>
            <w:pPr>
              <w:adjustRightInd w:val="0"/>
              <w:snapToGrid w:val="0"/>
              <w:spacing w:line="360" w:lineRule="auto"/>
              <w:rPr>
                <w:rFonts w:ascii="宋体" w:hAnsi="宋体" w:cs="宋体"/>
                <w:color w:val="auto"/>
                <w:kern w:val="0"/>
                <w:szCs w:val="21"/>
              </w:rPr>
            </w:pPr>
            <w:r>
              <w:rPr>
                <w:color w:val="auto"/>
              </w:rPr>
              <w:pict>
                <v:group id="组合 13" o:spid="_x0000_s1040" o:spt="203" style="height:75.35pt;width:384.4pt;" coordorigin="45,6192" coordsize="60,13">
                  <o:lock v:ext="edit"/>
                  <v:rect id="矩形 918" o:spid="_x0000_s1041" o:spt="1" style="position:absolute;left:45;top:6192;height:7;width:18;"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">
                    <v:path/>
                    <v:fill on="f" focussize="0,0"/>
                    <v:stroke color="#FFFFFF" dashstyle="1 1" endcap="round"/>
                    <v:imagedata o:title=""/>
                    <o:lock v:ext="edit"/>
                    <v:textbox>
                      <w:txbxContent>
                        <w:p>
                          <w:pPr>
                            <w:jc w:val="center"/>
                            <w:rPr>
                              <w:sz w:val="18"/>
                              <w:szCs w:val="18"/>
                            </w:rPr>
                          </w:pPr>
                          <w:r>
                            <w:rPr>
                              <w:rFonts w:hint="eastAsia"/>
                              <w:sz w:val="18"/>
                              <w:szCs w:val="18"/>
                            </w:rPr>
                            <w:t>废气、废水、噪声、固废、水土流失</w:t>
                          </w:r>
                        </w:p>
                      </w:txbxContent>
                    </v:textbox>
                  </v:rect>
                  <v:rect id="Rectangle 6762" o:spid="_x0000_s1042" o:spt="1" style="position:absolute;left:62;top:6192;height:7;width:17;"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">
                    <v:path/>
                    <v:fill on="f" focussize="0,0"/>
                    <v:stroke color="#FFFFFF" dashstyle="1 1" endcap="round"/>
                    <v:imagedata o:title=""/>
                    <o:lock v:ext="edit"/>
                    <v:textbox>
                      <w:txbxContent>
                        <w:p>
                          <w:pPr>
                            <w:jc w:val="center"/>
                            <w:rPr>
                              <w:sz w:val="18"/>
                              <w:szCs w:val="18"/>
                            </w:rPr>
                          </w:pPr>
                          <w:r>
                            <w:rPr>
                              <w:rFonts w:hint="eastAsia"/>
                              <w:sz w:val="18"/>
                              <w:szCs w:val="18"/>
                            </w:rPr>
                            <w:t>废气、噪声、废水、</w:t>
                          </w:r>
                        </w:p>
                        <w:p>
                          <w:pPr>
                            <w:jc w:val="center"/>
                            <w:rPr>
                              <w:sz w:val="18"/>
                              <w:szCs w:val="18"/>
                            </w:rPr>
                          </w:pPr>
                          <w:r>
                            <w:rPr>
                              <w:rFonts w:hint="eastAsia"/>
                              <w:sz w:val="18"/>
                              <w:szCs w:val="18"/>
                            </w:rPr>
                            <w:t>固废、水土流失</w:t>
                          </w:r>
                        </w:p>
                      </w:txbxContent>
                    </v:textbox>
                  </v:rect>
                  <v:line id="直线 917" o:spid="_x0000_s1043" o:spt="20" style="position:absolute;left:54;top:6198;flip:x y;height:3;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">
                    <v:path arrowok="t"/>
                    <v:fill focussize="0,0"/>
                    <v:stroke dashstyle="dash" endarrow="block"/>
                    <v:imagedata o:title=""/>
                    <o:lock v:ext="edit"/>
                  </v:line>
                  <v:line id="直线 917" o:spid="_x0000_s1044" o:spt="20" style="position:absolute;left:72;top:6198;flip:x y;height:3;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">
                    <v:path arrowok="t"/>
                    <v:fill focussize="0,0"/>
                    <v:stroke dashstyle="dash" endarrow="block"/>
                    <v:imagedata o:title=""/>
                    <o:lock v:ext="edit"/>
                  </v:line>
                  <v:rect id="矩形 915" o:spid="_x0000_s1045" o:spt="1" style="position:absolute;left:47;top:6201;height:5;width:1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path/>
                    <v:fill focussize="0,0"/>
                    <v:stroke/>
                    <v:imagedata o:title=""/>
                    <o:lock v:ext="edit"/>
                    <v:textbox>
                      <w:txbxContent>
                        <w:p>
                          <w:pPr>
                            <w:ind w:left="-105" w:leftChars="-50" w:right="-105" w:rightChars="-50"/>
                            <w:jc w:val="center"/>
                            <w:rPr>
                              <w:szCs w:val="21"/>
                            </w:rPr>
                          </w:pPr>
                          <w:r>
                            <w:rPr>
                              <w:rFonts w:hint="eastAsia"/>
                              <w:szCs w:val="21"/>
                            </w:rPr>
                            <w:t>辅助设施建设</w:t>
                          </w:r>
                        </w:p>
                      </w:txbxContent>
                    </v:textbox>
                  </v:rect>
                  <v:line id="直线 745" o:spid="_x0000_s1046" o:spt="20" style="position:absolute;left:61;top:6203;height:0;width:4;"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path arrowok="t"/>
                    <v:fill focussize="0,0"/>
                    <v:stroke endarrow="block"/>
                    <v:imagedata o:title=""/>
                    <o:lock v:ext="edit"/>
                  </v:line>
                  <v:rect id="矩形 915" o:spid="_x0000_s1047" o:spt="1" style="position:absolute;left:65;top:6201;height:5;width:1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path/>
                    <v:fill focussize="0,0"/>
                    <v:stroke/>
                    <v:imagedata o:title=""/>
                    <o:lock v:ext="edit"/>
                    <v:textbox>
                      <w:txbxContent>
                        <w:p>
                          <w:pPr>
                            <w:ind w:left="-105" w:leftChars="-50" w:right="-105" w:rightChars="-50"/>
                            <w:jc w:val="center"/>
                            <w:rPr>
                              <w:szCs w:val="21"/>
                            </w:rPr>
                          </w:pPr>
                          <w:r>
                            <w:rPr>
                              <w:rFonts w:hint="eastAsia"/>
                              <w:szCs w:val="21"/>
                            </w:rPr>
                            <w:t>采场道路修建</w:t>
                          </w:r>
                        </w:p>
                      </w:txbxContent>
                    </v:textbox>
                  </v:rect>
                  <v:line id="直线 745" o:spid="_x0000_s1048" o:spt="20" style="position:absolute;left:79;top:6203;height:0;width:3;"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path arrowok="t"/>
                    <v:fill focussize="0,0"/>
                    <v:stroke endarrow="block"/>
                    <v:imagedata o:title=""/>
                    <o:lock v:ext="edit"/>
                  </v:line>
                  <v:rect id="矩形 915" o:spid="_x0000_s1049" o:spt="1" style="position:absolute;left:96;top:6201;height:5;width: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path/>
                    <v:fill focussize="0,0"/>
                    <v:stroke/>
                    <v:imagedata o:title=""/>
                    <o:lock v:ext="edit"/>
                    <v:textbox>
                      <w:txbxContent>
                        <w:p>
                          <w:pPr>
                            <w:ind w:left="-105" w:leftChars="-50" w:right="-105" w:rightChars="-50"/>
                            <w:jc w:val="center"/>
                            <w:rPr>
                              <w:szCs w:val="21"/>
                            </w:rPr>
                          </w:pPr>
                          <w:r>
                            <w:rPr>
                              <w:rFonts w:hint="eastAsia"/>
                              <w:szCs w:val="21"/>
                            </w:rPr>
                            <w:t>投入生产</w:t>
                          </w:r>
                        </w:p>
                      </w:txbxContent>
                    </v:textbox>
                  </v:rect>
                  <v:rect id="矩形 915" o:spid="_x0000_s1050" o:spt="1" style="position:absolute;left:82;top:6201;height:5;width: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ofxQAAANwAAAAPAAAAZHJzL2Rvd25yZXYueG1sRI9Ba8JA&#10;FITvBf/D8gq9NZumWG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ARpwofxQAAANwAAAAP&#10;AAAAAAAAAAAAAAAAAAcCAABkcnMvZG93bnJldi54bWxQSwUGAAAAAAMAAwC3AAAA+QIAAAAA&#10;">
                    <v:path/>
                    <v:fill focussize="0,0"/>
                    <v:stroke/>
                    <v:imagedata o:title=""/>
                    <o:lock v:ext="edit"/>
                    <v:textbox>
                      <w:txbxContent>
                        <w:p>
                          <w:pPr>
                            <w:ind w:left="-105" w:leftChars="-50" w:right="-105" w:rightChars="-50"/>
                            <w:jc w:val="center"/>
                            <w:rPr>
                              <w:szCs w:val="21"/>
                            </w:rPr>
                          </w:pPr>
                          <w:r>
                            <w:rPr>
                              <w:rFonts w:hint="eastAsia"/>
                              <w:szCs w:val="21"/>
                            </w:rPr>
                            <w:t>地表剥离</w:t>
                          </w:r>
                        </w:p>
                      </w:txbxContent>
                    </v:textbox>
                  </v:rect>
                  <v:line id="直线 917" o:spid="_x0000_s1051" o:spt="20" style="position:absolute;left:87;top:6197;flip:x y;height:4;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">
                    <v:path arrowok="t"/>
                    <v:fill focussize="0,0"/>
                    <v:stroke dashstyle="dash" endarrow="block"/>
                    <v:imagedata o:title=""/>
                    <o:lock v:ext="edit"/>
                  </v:line>
                  <v:rect id="Rectangle 6762" o:spid="_x0000_s1052" o:spt="1" style="position:absolute;left:77;top:6192;height:7;width:17;"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">
                    <v:path/>
                    <v:fill on="f" focussize="0,0"/>
                    <v:stroke color="#FFFFFF" dashstyle="1 1" endcap="round"/>
                    <v:imagedata o:title=""/>
                    <o:lock v:ext="edit"/>
                    <v:textbox>
                      <w:txbxContent>
                        <w:p>
                          <w:pPr>
                            <w:jc w:val="center"/>
                            <w:rPr>
                              <w:sz w:val="18"/>
                              <w:szCs w:val="18"/>
                            </w:rPr>
                          </w:pPr>
                          <w:r>
                            <w:rPr>
                              <w:rFonts w:hint="eastAsia"/>
                              <w:sz w:val="18"/>
                              <w:szCs w:val="18"/>
                            </w:rPr>
                            <w:t>扬尘、噪声、固废、水土流失</w:t>
                          </w:r>
                        </w:p>
                      </w:txbxContent>
                    </v:textbox>
                  </v:rect>
                  <v:line id="直线 745" o:spid="_x0000_s1053" o:spt="20" style="position:absolute;left:92;top:6203;height:0;width:4;"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path arrowok="t"/>
                    <v:fill focussize="0,0"/>
                    <v:stroke endarrow="block"/>
                    <v:imagedata o:title=""/>
                    <o:lock v:ext="edit"/>
                  </v:line>
                  <w10:wrap type="none"/>
                  <w10:anchorlock/>
                </v:group>
              </w:pic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图2-2 矿山施工期工艺流程及产污环节图</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2、工艺简述</w:t>
            </w:r>
          </w:p>
          <w:p>
            <w:pPr>
              <w:widowControl/>
              <w:shd w:val="clear" w:color="auto" w:fill="FFFFFF"/>
              <w:spacing w:line="360" w:lineRule="auto"/>
              <w:ind w:left="-53" w:leftChars="-25" w:right="-53" w:rightChars="-25" w:firstLine="420" w:firstLineChars="200"/>
              <w:jc w:val="left"/>
              <w:rPr>
                <w:color w:val="auto"/>
                <w:kern w:val="0"/>
                <w:szCs w:val="21"/>
              </w:rPr>
            </w:pPr>
            <w:r>
              <w:rPr>
                <w:rFonts w:hint="eastAsia" w:ascii="宋体" w:hAnsi="宋体" w:cs="宋体"/>
                <w:color w:val="auto"/>
                <w:kern w:val="0"/>
                <w:szCs w:val="21"/>
              </w:rPr>
              <w:t>①</w:t>
            </w:r>
            <w:r>
              <w:rPr>
                <w:color w:val="auto"/>
                <w:kern w:val="0"/>
                <w:szCs w:val="21"/>
              </w:rPr>
              <w:t>辅助设施建设：包括矿区管理用地搭建、用水设施、供电设施、截排水管沟、废水沉淀池等。施工用水，修建蓄水池收集雨水；供电设施将由附近场镇电网引入一条供电线路，配套建设变压器等，同时供水、供电设施按照营运期的用电需求建设。</w:t>
            </w:r>
          </w:p>
          <w:p>
            <w:pPr>
              <w:widowControl/>
              <w:shd w:val="clear" w:color="auto" w:fill="FFFFFF"/>
              <w:spacing w:line="360" w:lineRule="auto"/>
              <w:ind w:left="-53" w:leftChars="-25" w:right="-53" w:rightChars="-25" w:firstLine="420" w:firstLineChars="200"/>
              <w:jc w:val="left"/>
              <w:rPr>
                <w:color w:val="auto"/>
                <w:kern w:val="0"/>
                <w:szCs w:val="21"/>
              </w:rPr>
            </w:pPr>
            <w:r>
              <w:rPr>
                <w:rFonts w:hint="eastAsia" w:ascii="宋体" w:hAnsi="宋体" w:cs="宋体"/>
                <w:color w:val="auto"/>
                <w:kern w:val="0"/>
                <w:szCs w:val="21"/>
              </w:rPr>
              <w:t>②</w:t>
            </w:r>
            <w:r>
              <w:rPr>
                <w:color w:val="auto"/>
                <w:kern w:val="0"/>
                <w:szCs w:val="21"/>
              </w:rPr>
              <w:t>采场道路修建：根据设计，本项目</w:t>
            </w:r>
            <w:r>
              <w:rPr>
                <w:rFonts w:hint="eastAsia"/>
                <w:color w:val="auto"/>
                <w:kern w:val="0"/>
                <w:szCs w:val="21"/>
              </w:rPr>
              <w:t>建设矿区道路全长 4.19 km。S202-生产区路线长 3.0 km，道路等级：四级公路；路面宽度 3.5 米，路基宽度4.5 米，设计速度 20km/h，混凝土路面。生产区-矿区路线长 1.19 km，道路等级：四级公路（Ⅱ类）；路面宽度 3.5 米，路基宽度 4.5 米，设计速度 15km/h，土路基。</w:t>
            </w:r>
          </w:p>
          <w:p>
            <w:pPr>
              <w:adjustRightInd w:val="0"/>
              <w:snapToGrid w:val="0"/>
              <w:spacing w:line="360" w:lineRule="auto"/>
              <w:ind w:firstLine="420" w:firstLineChars="200"/>
              <w:rPr>
                <w:color w:val="auto"/>
                <w:kern w:val="0"/>
                <w:szCs w:val="21"/>
              </w:rPr>
            </w:pPr>
            <w:r>
              <w:rPr>
                <w:rFonts w:hint="eastAsia" w:ascii="宋体" w:hAnsi="宋体" w:cs="宋体"/>
                <w:color w:val="auto"/>
                <w:kern w:val="0"/>
                <w:szCs w:val="21"/>
              </w:rPr>
              <w:t>③</w:t>
            </w:r>
            <w:r>
              <w:rPr>
                <w:color w:val="auto"/>
                <w:kern w:val="0"/>
                <w:szCs w:val="21"/>
              </w:rPr>
              <w:t>地表剥离：主要为地表植被及表层土的剥离，使待开采的矿体出露，为营运期矿石开采做准备。地表剥离主要采用挖掘机、装载机等工程机械进行，产生的植被</w:t>
            </w:r>
            <w:r>
              <w:rPr>
                <w:rFonts w:hint="eastAsia"/>
                <w:color w:val="auto"/>
                <w:kern w:val="0"/>
                <w:szCs w:val="21"/>
              </w:rPr>
              <w:t>枝丫</w:t>
            </w:r>
            <w:r>
              <w:rPr>
                <w:color w:val="auto"/>
                <w:kern w:val="0"/>
                <w:szCs w:val="21"/>
              </w:rPr>
              <w:t>和剥离表土送至表土临时堆场堆存。</w:t>
            </w:r>
          </w:p>
          <w:p>
            <w:pPr>
              <w:adjustRightInd w:val="0"/>
              <w:snapToGrid w:val="0"/>
              <w:spacing w:line="360" w:lineRule="auto"/>
              <w:ind w:firstLine="420" w:firstLineChars="200"/>
              <w:rPr>
                <w:color w:val="auto"/>
                <w:kern w:val="0"/>
                <w:szCs w:val="21"/>
              </w:rPr>
            </w:pPr>
            <w:r>
              <w:rPr>
                <w:color w:val="auto"/>
                <w:kern w:val="0"/>
                <w:szCs w:val="21"/>
              </w:rPr>
              <w:t>项目加工区施工期主要包括场地平整及硬化、废水收集池建设、构筑物建设以及设备安装等。加工区施工期的产污工艺流程及产污位置如下图。</w:t>
            </w:r>
          </w:p>
          <w:p>
            <w:pPr>
              <w:adjustRightInd w:val="0"/>
              <w:snapToGrid w:val="0"/>
              <w:spacing w:line="360" w:lineRule="auto"/>
              <w:jc w:val="center"/>
              <w:rPr>
                <w:color w:val="auto"/>
                <w:kern w:val="0"/>
                <w:szCs w:val="21"/>
              </w:rPr>
            </w:pPr>
            <w:r>
              <w:rPr>
                <w:color w:val="auto"/>
                <w:kern w:val="0"/>
                <w:szCs w:val="21"/>
              </w:rPr>
              <w:drawing>
                <wp:inline distT="0" distB="0" distL="0" distR="0">
                  <wp:extent cx="4401185" cy="9334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6"/>
                          <a:srcRect/>
                          <a:stretch>
                            <a:fillRect/>
                          </a:stretch>
                        </pic:blipFill>
                        <pic:spPr>
                          <a:xfrm>
                            <a:off x="0" y="0"/>
                            <a:ext cx="4401185" cy="933450"/>
                          </a:xfrm>
                          <a:prstGeom prst="rect">
                            <a:avLst/>
                          </a:prstGeom>
                          <a:noFill/>
                          <a:ln w="9525" cmpd="sng">
                            <a:noFill/>
                            <a:miter lim="800000"/>
                            <a:headEnd/>
                            <a:tailEnd/>
                          </a:ln>
                        </pic:spPr>
                      </pic:pic>
                    </a:graphicData>
                  </a:graphic>
                </wp:inline>
              </w:drawing>
            </w:r>
          </w:p>
          <w:p>
            <w:pPr>
              <w:adjustRightInd w:val="0"/>
              <w:snapToGrid w:val="0"/>
              <w:spacing w:line="360" w:lineRule="auto"/>
              <w:jc w:val="center"/>
              <w:rPr>
                <w:b/>
                <w:bCs/>
                <w:color w:val="auto"/>
                <w:kern w:val="0"/>
                <w:sz w:val="18"/>
                <w:szCs w:val="18"/>
              </w:rPr>
            </w:pPr>
            <w:r>
              <w:rPr>
                <w:rFonts w:hint="eastAsia"/>
                <w:b/>
                <w:bCs/>
                <w:color w:val="auto"/>
                <w:kern w:val="0"/>
                <w:sz w:val="18"/>
                <w:szCs w:val="18"/>
              </w:rPr>
              <w:t>图2-3 加工区施工期工艺流程及产污环节图</w:t>
            </w:r>
          </w:p>
          <w:p>
            <w:pPr>
              <w:adjustRightInd w:val="0"/>
              <w:snapToGrid w:val="0"/>
              <w:spacing w:line="360" w:lineRule="auto"/>
              <w:ind w:firstLine="420" w:firstLineChars="200"/>
              <w:rPr>
                <w:color w:val="auto"/>
                <w:kern w:val="0"/>
                <w:szCs w:val="21"/>
              </w:rPr>
            </w:pPr>
            <w:r>
              <w:rPr>
                <w:rFonts w:hint="eastAsia"/>
                <w:color w:val="auto"/>
                <w:kern w:val="0"/>
                <w:szCs w:val="21"/>
              </w:rPr>
              <w:t>（3）产污环节</w:t>
            </w:r>
          </w:p>
          <w:p>
            <w:pPr>
              <w:adjustRightInd w:val="0"/>
              <w:snapToGrid w:val="0"/>
              <w:spacing w:line="360" w:lineRule="auto"/>
              <w:ind w:firstLine="420" w:firstLineChars="200"/>
              <w:rPr>
                <w:color w:val="auto"/>
                <w:kern w:val="0"/>
                <w:szCs w:val="21"/>
              </w:rPr>
            </w:pPr>
            <w:r>
              <w:rPr>
                <w:rFonts w:hint="eastAsia"/>
                <w:color w:val="auto"/>
                <w:kern w:val="0"/>
                <w:szCs w:val="21"/>
              </w:rPr>
              <w:t>废气：主要为粉（扬）尘、施工机械和设备的燃油废气。</w:t>
            </w:r>
          </w:p>
          <w:p>
            <w:pPr>
              <w:adjustRightInd w:val="0"/>
              <w:snapToGrid w:val="0"/>
              <w:spacing w:line="360" w:lineRule="auto"/>
              <w:ind w:firstLine="420" w:firstLineChars="200"/>
              <w:rPr>
                <w:color w:val="auto"/>
                <w:kern w:val="0"/>
                <w:szCs w:val="21"/>
              </w:rPr>
            </w:pPr>
            <w:r>
              <w:rPr>
                <w:rFonts w:hint="eastAsia"/>
                <w:color w:val="auto"/>
                <w:kern w:val="0"/>
                <w:szCs w:val="21"/>
              </w:rPr>
              <w:t>废水：主要为施工废水、降雨导致的散料、泥浆漫流和少量生活污水。</w:t>
            </w:r>
          </w:p>
          <w:p>
            <w:pPr>
              <w:adjustRightInd w:val="0"/>
              <w:snapToGrid w:val="0"/>
              <w:spacing w:line="360" w:lineRule="auto"/>
              <w:ind w:firstLine="420" w:firstLineChars="200"/>
              <w:rPr>
                <w:color w:val="auto"/>
                <w:kern w:val="0"/>
                <w:szCs w:val="21"/>
              </w:rPr>
            </w:pPr>
            <w:r>
              <w:rPr>
                <w:rFonts w:hint="eastAsia"/>
                <w:color w:val="auto"/>
                <w:kern w:val="0"/>
                <w:szCs w:val="21"/>
              </w:rPr>
              <w:t>噪声：主要为施工机械运行产生的设备噪声、材料运输作业的交通噪声。</w:t>
            </w:r>
          </w:p>
          <w:p>
            <w:pPr>
              <w:adjustRightInd w:val="0"/>
              <w:snapToGrid w:val="0"/>
              <w:spacing w:line="360" w:lineRule="auto"/>
              <w:ind w:firstLine="420" w:firstLineChars="200"/>
              <w:rPr>
                <w:color w:val="auto"/>
                <w:kern w:val="0"/>
                <w:szCs w:val="21"/>
              </w:rPr>
            </w:pPr>
            <w:r>
              <w:rPr>
                <w:rFonts w:hint="eastAsia"/>
                <w:color w:val="auto"/>
                <w:kern w:val="0"/>
                <w:szCs w:val="21"/>
              </w:rPr>
              <w:t>固体废物：包括地表剥离产生的植被枝丫和剥离表土、场地平整的土石方、施工作业产生的建筑垃圾以及施工人员的生活垃圾。</w:t>
            </w:r>
          </w:p>
          <w:p>
            <w:pPr>
              <w:adjustRightInd w:val="0"/>
              <w:snapToGrid w:val="0"/>
              <w:spacing w:line="360" w:lineRule="auto"/>
              <w:ind w:firstLine="420" w:firstLineChars="200"/>
              <w:rPr>
                <w:color w:val="auto"/>
                <w:kern w:val="0"/>
                <w:szCs w:val="21"/>
              </w:rPr>
            </w:pPr>
            <w:r>
              <w:rPr>
                <w:rFonts w:hint="eastAsia"/>
                <w:color w:val="auto"/>
                <w:kern w:val="0"/>
                <w:szCs w:val="21"/>
              </w:rPr>
              <w:t>生态影响：主要体现在地表开挖等会破坏土壤结构、表层植被，使表土松散，造成地表裸露，从而减弱土层的稳定性。在雨季，雨水冲刷松散表土，会加强水力切割，增加小范围的水土流失量。表土剥离使表土松散，地表裸露，增加小范围的水土流失量。</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（4）施工时序</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矿区：上山道路→场地平整→材料运输→供水供电设施→采场道路修建→弃土堆场拦渣坝等建设→地表剥离→工程验收→投运生产。</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加工区：场地整理→材料运输→设备基础→设备安装→工程验收→投运生产。</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（5）建设周期</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根据设计资料，本项目整个建设工期为12个月，计划于2024年5月开工建设，预计2025年5月投入生产。</w:t>
            </w:r>
          </w:p>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一、营运期工艺流程</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1、矿山营运期工艺流程及产污环节</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（1）工艺流程图</w:t>
            </w:r>
          </w:p>
          <w:p>
            <w:pPr>
              <w:adjustRightInd w:val="0"/>
              <w:snapToGrid w:val="0"/>
              <w:spacing w:line="360" w:lineRule="auto"/>
              <w:jc w:val="center"/>
              <w:rPr>
                <w:rFonts w:ascii="宋体" w:hAnsi="宋体" w:cs="宋体"/>
                <w:color w:val="auto"/>
                <w:kern w:val="0"/>
                <w:szCs w:val="21"/>
              </w:rPr>
            </w:pPr>
            <w:r>
              <w:rPr>
                <w:color w:val="auto"/>
                <w:kern w:val="0"/>
                <w:szCs w:val="21"/>
              </w:rPr>
              <w:drawing>
                <wp:inline distT="0" distB="0" distL="0" distR="0">
                  <wp:extent cx="3667125" cy="3676650"/>
                  <wp:effectExtent l="1905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7"/>
                          <a:srcRect/>
                          <a:stretch>
                            <a:fillRect/>
                          </a:stretch>
                        </pic:blipFill>
                        <pic:spPr>
                          <a:xfrm>
                            <a:off x="0" y="0"/>
                            <a:ext cx="3667125" cy="3676650"/>
                          </a:xfrm>
                          <a:prstGeom prst="rect">
                            <a:avLst/>
                          </a:prstGeom>
                          <a:noFill/>
                          <a:ln w="9525" cmpd="sng">
                            <a:noFill/>
                            <a:miter lim="800000"/>
                            <a:headEnd/>
                            <a:tailEnd/>
                          </a:ln>
                        </pic:spPr>
                      </pic:pic>
                    </a:graphicData>
                  </a:graphic>
                </wp:inline>
              </w:drawing>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图2-4 矿山开采工艺流程及产污环节图</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（2）工艺说明</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项目矿山采用露天开采，按台阶采段将上部覆盖的表土及风氧化层以及围岩进行剥离，再开采矿石资源，上一台阶开采完毕后立即进行生态覆土和植被恢复，再进行下一台阶的开采。矿山采用公路运输方式开拓，组合台阶采矿，中深孔震动爆破落矿和机械开矿。</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①植被清理、表土剥离：矿山开采前，需将地表生长的植被全部清理，岩石表面表层土壤剥离，剥离产生的表土设表土临时堆场堆存，并采取遮盖、防流失等措施妥善处置，用于后期矿山生态环境修复治理。</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②凿岩、打孔：对剥离表土之后的矿山进行凿岩钻孔，本项目采用机械钻孔的方式。选用潜孔凿岩机2台，钻孔直径90～120mm，配套动力为移动式螺杆空压机。</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③填药、矿体爆破：根据矿山生产规模及生产台阶高度、矿区地形条件等灵活进行炮孔布置，确定，设计采用中深孔微差爆破、非电雷管起爆（导爆索或导爆管）方式爆破。爆破时深孔装药为连续装药，炸药装完后用岩渣和黄泥填塞炮孔，矿山用导爆管起爆。爆破作业工序严格按照下述环节循序进行：穿孔、炮位验收、药包加工、装药、堵塞、起爆和爆后检查。</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项目爆破作业委托专业公司进行，爆破准备工作应事先了解天气情况，禁止黄昏、夜间、雷雨和大雾天气进行爆破作业。爆破前做好炮孔检查，查看有无堵孔、卡孔、积水，及时调整装药量。在进行爆破工作时必须视爆破方法、爆破规模、地形等因素，根据爆破安全规程划定爆破危险区边界，做好警戒工作，确保人员和财产等安全。</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④原矿剥离、分选：爆破后，采用液压挖掘机（斗容1.5m</w:t>
            </w:r>
            <w:r>
              <w:rPr>
                <w:rFonts w:hint="eastAsia" w:ascii="宋体" w:hAnsi="宋体" w:cs="宋体"/>
                <w:color w:val="auto"/>
                <w:kern w:val="0"/>
                <w:szCs w:val="21"/>
                <w:vertAlign w:val="superscript"/>
              </w:rPr>
              <w:t>3</w:t>
            </w:r>
            <w:r>
              <w:rPr>
                <w:rFonts w:hint="eastAsia" w:ascii="宋体" w:hAnsi="宋体" w:cs="宋体"/>
                <w:color w:val="auto"/>
                <w:kern w:val="0"/>
                <w:szCs w:val="21"/>
              </w:rPr>
              <w:t>）进行矿石采装工作，对已松动的原矿进行剥离，同时配置轮式装载机进行辅助生产和集堆，大块石料采用挖掘机配液压破碎锤在各工作阶段平台上进行机械破碎。</w:t>
            </w:r>
          </w:p>
          <w:p>
            <w:pPr>
              <w:adjustRightInd w:val="0"/>
              <w:snapToGrid w:val="0"/>
              <w:spacing w:line="360" w:lineRule="auto"/>
              <w:jc w:val="center"/>
              <w:rPr>
                <w:rFonts w:ascii="宋体" w:hAnsi="宋体" w:cs="宋体"/>
                <w:color w:val="auto"/>
                <w:kern w:val="0"/>
                <w:szCs w:val="21"/>
              </w:rPr>
            </w:pPr>
            <w:r>
              <w:rPr>
                <w:color w:val="auto"/>
                <w:kern w:val="0"/>
                <w:szCs w:val="21"/>
              </w:rPr>
              <w:drawing>
                <wp:inline distT="0" distB="0" distL="0" distR="0">
                  <wp:extent cx="3924300" cy="2257425"/>
                  <wp:effectExtent l="19050" t="0" r="0" b="0"/>
                  <wp:docPr id="13" name="图片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999"/>
                          <pic:cNvPicPr>
                            <a:picLocks noChangeAspect="1" noChangeArrowheads="1"/>
                          </pic:cNvPicPr>
                        </pic:nvPicPr>
                        <pic:blipFill>
                          <a:blip r:embed="rId18"/>
                          <a:srcRect l="1102" r="-2074" b="1987"/>
                          <a:stretch>
                            <a:fillRect/>
                          </a:stretch>
                        </pic:blipFill>
                        <pic:spPr>
                          <a:xfrm>
                            <a:off x="0" y="0"/>
                            <a:ext cx="3924300" cy="2257425"/>
                          </a:xfrm>
                          <a:prstGeom prst="rect">
                            <a:avLst/>
                          </a:prstGeom>
                          <a:noFill/>
                          <a:ln w="9525" cmpd="sng">
                            <a:noFill/>
                            <a:miter lim="800000"/>
                            <a:headEnd/>
                            <a:tailEnd/>
                          </a:ln>
                        </pic:spPr>
                      </pic:pic>
                    </a:graphicData>
                  </a:graphic>
                </wp:inline>
              </w:drawing>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图2-5 运营期开采工艺示意图</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⑤装车外运：矿区内采用公路开拓汽车运输，采出矿石采用挖掘机铲装，装入汽车后直接从开采工作面运至配套的加工生产区。为保证运输过程中的安全，装车的矿石块度应控制在500mm以下。</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（3）产污环节</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废气：主要为开采工作面凿岩、爆破、矿石采选过程中产生的粉（扬）尘、表土临时堆场扬尘、汽车运输的道路扬尘、爆破废气、燃油废气及生活区食堂产生的油烟等。</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废水：主要为采场初期雨水、车辆冲洗废水以及员工办公生活的生活污水。</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噪声：主要来自潜孔钻机、挖掘机、空压机等产生的设备噪声以及爆破噪声；另外地面运输活动也会产生交通噪声，源强在80～85dB(A)之间。</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固体废物：主要包括剥离的植被枝丫和表土、沉淀池的沉淀底泥、机械设备维护产生的废矿物油及办公生活区的生活垃圾等。</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生态影响：主要体现在矿山开采破坏了原有的景观特征，对陆生生态的动植物生境造成破坏，对区域生物多样性及生态系统的稳定性造成破坏。</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2加工区生产流程及产污环节</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（1）工艺流程图</w:t>
            </w:r>
          </w:p>
          <w:p>
            <w:pPr>
              <w:adjustRightInd w:val="0"/>
              <w:snapToGrid w:val="0"/>
              <w:spacing w:line="360" w:lineRule="auto"/>
              <w:jc w:val="center"/>
              <w:rPr>
                <w:rFonts w:ascii="宋体" w:hAnsi="宋体" w:cs="宋体"/>
                <w:color w:val="auto"/>
                <w:kern w:val="0"/>
                <w:szCs w:val="21"/>
              </w:rPr>
            </w:pPr>
            <w:r>
              <w:rPr>
                <w:color w:val="auto"/>
              </w:rPr>
              <w:drawing>
                <wp:inline distT="0" distB="0" distL="0" distR="0">
                  <wp:extent cx="4467225" cy="6657975"/>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a:srcRect/>
                          <a:stretch>
                            <a:fillRect/>
                          </a:stretch>
                        </pic:blipFill>
                        <pic:spPr>
                          <a:xfrm>
                            <a:off x="0" y="0"/>
                            <a:ext cx="4467225" cy="6657975"/>
                          </a:xfrm>
                          <a:prstGeom prst="rect">
                            <a:avLst/>
                          </a:prstGeom>
                          <a:noFill/>
                          <a:ln w="9525" cmpd="sng">
                            <a:noFill/>
                            <a:miter lim="800000"/>
                            <a:headEnd/>
                            <a:tailEnd/>
                          </a:ln>
                        </pic:spPr>
                      </pic:pic>
                    </a:graphicData>
                  </a:graphic>
                </wp:inline>
              </w:drawing>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图2-6 营运期加工工艺流程及产污环节图</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（2）工艺介绍</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本项目矿山开采的矿石经汽车运输至生产区的进料仓。生产时原料经给料机下的振动给料机，均匀送入颚破机进行一级破碎，然后经封闭的皮带输送至反击式破碎机进行二级破碎；破碎后再经封闭的皮带输送至一级振动筛分机，进行第一次筛分，一级筛分机后设置一个整形机，根据客户的需要，对碎石进行整形机后再进入后续生产环节，大部分需要进行整形处理。经过一级振动筛后粒径在20-31.5mm的碎石产品输送至产品堆场、粒径在小于20的碎石则输送进入二级筛分机、粒径大于31.5mm的碎石则通过皮带输送回二级破碎机内再次破碎。经皮带输送至二级振动筛的按照各产品规格，筛分出不同规格的碎石（10-20mm）、米石（5-10mm）和细砂（0-5mm）。</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加工区一级、二级筛分机设置冲洗设施，对进入筛分机的碎石进行洗选，同时还在二级筛分机后设置洗砂和尾砂回收设备，增加矿石资源的利用率。经洗选后的砂石（0-5mm）通过螺旋洗砂机进行粗砂收集，废水和尾砂进入细砂回收脱水一体机内，进行尾砂回收。回收后废水则进入废水收集池，收集处理后循环利用。</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（3）产污环节</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废气：主要来自生产过程的粉（扬）尘、运输扬尘、堆场扬尘及食堂油烟。</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废水：主要包括洗选废水、车辆冲洗废水和生活污水。</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噪声：主要为各类生产设备产生的噪声和运输车辆的交通噪声。</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固体废物：主要为干化后的泥饼、生活垃圾。</w:t>
            </w:r>
          </w:p>
          <w:p>
            <w:pPr>
              <w:adjustRightInd w:val="0"/>
              <w:snapToGrid w:val="0"/>
              <w:spacing w:line="360" w:lineRule="auto"/>
              <w:ind w:firstLine="420" w:firstLineChars="200"/>
              <w:rPr>
                <w:rFonts w:ascii="宋体" w:hAnsi="宋体" w:cs="宋体"/>
                <w:color w:val="auto"/>
                <w:kern w:val="0"/>
                <w:szCs w:val="21"/>
              </w:rPr>
            </w:pPr>
          </w:p>
          <w:p>
            <w:pPr>
              <w:adjustRightInd w:val="0"/>
              <w:snapToGrid w:val="0"/>
              <w:spacing w:line="360" w:lineRule="auto"/>
              <w:ind w:firstLine="420" w:firstLineChars="200"/>
              <w:rPr>
                <w:rFonts w:ascii="宋体" w:hAnsi="宋体" w:cs="宋体"/>
                <w:color w:val="auto"/>
                <w:kern w:val="0"/>
                <w:szCs w:val="21"/>
              </w:rPr>
            </w:pPr>
          </w:p>
          <w:p>
            <w:pPr>
              <w:adjustRightInd w:val="0"/>
              <w:snapToGrid w:val="0"/>
              <w:spacing w:line="360" w:lineRule="auto"/>
              <w:ind w:firstLine="420" w:firstLineChars="200"/>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710" w:type="dxa"/>
            <w:vAlign w:val="center"/>
          </w:tcPr>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其他</w:t>
            </w:r>
          </w:p>
        </w:tc>
        <w:tc>
          <w:tcPr>
            <w:tcW w:w="8380" w:type="dxa"/>
            <w:vAlign w:val="center"/>
          </w:tcPr>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无</w:t>
            </w:r>
          </w:p>
        </w:tc>
      </w:tr>
    </w:tbl>
    <w:p>
      <w:pPr>
        <w:pStyle w:val="12"/>
        <w:jc w:val="center"/>
        <w:outlineLvl w:val="0"/>
        <w:rPr>
          <w:rFonts w:ascii="黑体" w:hAnsi="黑体" w:eastAsia="黑体"/>
          <w:snapToGrid w:val="0"/>
          <w:color w:val="auto"/>
          <w:sz w:val="30"/>
          <w:szCs w:val="30"/>
        </w:rPr>
      </w:pPr>
      <w:r>
        <w:rPr>
          <w:rFonts w:eastAsia="仿宋_GB2312"/>
          <w:b/>
          <w:bCs/>
          <w:color w:val="auto"/>
        </w:rPr>
        <w:br w:type="page"/>
      </w:r>
      <w:r>
        <w:rPr>
          <w:rFonts w:hint="eastAsia" w:ascii="黑体" w:hAnsi="黑体" w:eastAsia="黑体"/>
          <w:snapToGrid w:val="0"/>
          <w:color w:val="auto"/>
          <w:sz w:val="30"/>
          <w:szCs w:val="30"/>
        </w:rPr>
        <w:t>三、生态环境现状、保护目标及评价标准</w:t>
      </w:r>
    </w:p>
    <w:tbl>
      <w:tblPr>
        <w:tblStyle w:val="14"/>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83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2" w:hRule="atLeast"/>
          <w:jc w:val="center"/>
        </w:trPr>
        <w:tc>
          <w:tcPr>
            <w:tcW w:w="904" w:type="dxa"/>
            <w:vAlign w:val="center"/>
          </w:tcPr>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生态环境现状</w:t>
            </w:r>
          </w:p>
        </w:tc>
        <w:tc>
          <w:tcPr>
            <w:tcW w:w="8253" w:type="dxa"/>
            <w:vAlign w:val="center"/>
          </w:tcPr>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一、主体功能区规划</w:t>
            </w:r>
          </w:p>
          <w:p>
            <w:pPr>
              <w:adjustRightInd w:val="0"/>
              <w:snapToGrid w:val="0"/>
              <w:spacing w:line="360" w:lineRule="auto"/>
              <w:ind w:firstLine="420" w:firstLineChars="200"/>
              <w:rPr>
                <w:color w:val="auto"/>
                <w:kern w:val="0"/>
              </w:rPr>
            </w:pPr>
            <w:r>
              <w:rPr>
                <w:color w:val="auto"/>
                <w:kern w:val="0"/>
                <w:szCs w:val="21"/>
              </w:rPr>
              <w:t>根据《四川省主体功能区规划》（川府发〔2013〕16号），将四川省国土空间分为以下主体功能区：按开发方式分为重点开发区域、限制开发区域和禁止开发区域。本项目位于</w:t>
            </w:r>
            <w:r>
              <w:rPr>
                <w:rFonts w:hint="eastAsia"/>
                <w:color w:val="auto"/>
                <w:kern w:val="0"/>
                <w:szCs w:val="21"/>
              </w:rPr>
              <w:t>宣汉县漆树土家族乡乘龙村</w:t>
            </w:r>
            <w:r>
              <w:rPr>
                <w:color w:val="auto"/>
                <w:kern w:val="0"/>
                <w:szCs w:val="21"/>
              </w:rPr>
              <w:t>，为国家层面限制开发区域（重点生态功能区）。项目的建设通过采取合理有效的生态保护措施，加强防御外来物种入侵的能力，防止外来有害物种对生态系统的侵害等措施，与《四川省主体功能区规划》（川府发〔2013〕16号）相关要求是相符的。</w:t>
            </w:r>
          </w:p>
          <w:p>
            <w:pPr>
              <w:adjustRightInd w:val="0"/>
              <w:snapToGrid w:val="0"/>
              <w:spacing w:line="360" w:lineRule="auto"/>
              <w:jc w:val="center"/>
              <w:rPr>
                <w:color w:val="auto"/>
                <w:kern w:val="0"/>
              </w:rPr>
            </w:pPr>
            <w:r>
              <w:rPr>
                <w:color w:val="auto"/>
              </w:rPr>
              <w:drawing>
                <wp:inline distT="0" distB="0" distL="0" distR="0">
                  <wp:extent cx="4981575" cy="3752850"/>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0"/>
                          <a:srcRect/>
                          <a:stretch>
                            <a:fillRect/>
                          </a:stretch>
                        </pic:blipFill>
                        <pic:spPr>
                          <a:xfrm>
                            <a:off x="0" y="0"/>
                            <a:ext cx="4981575" cy="3752850"/>
                          </a:xfrm>
                          <a:prstGeom prst="rect">
                            <a:avLst/>
                          </a:prstGeom>
                          <a:noFill/>
                          <a:ln w="9525" cmpd="sng">
                            <a:noFill/>
                            <a:miter lim="800000"/>
                            <a:headEnd/>
                            <a:tailEnd/>
                          </a:ln>
                        </pic:spPr>
                      </pic:pic>
                    </a:graphicData>
                  </a:graphic>
                </wp:inline>
              </w:drawing>
            </w:r>
          </w:p>
          <w:p>
            <w:pPr>
              <w:adjustRightInd w:val="0"/>
              <w:snapToGrid w:val="0"/>
              <w:spacing w:line="360" w:lineRule="auto"/>
              <w:jc w:val="center"/>
              <w:rPr>
                <w:b/>
                <w:color w:val="auto"/>
                <w:kern w:val="0"/>
                <w:sz w:val="18"/>
                <w:szCs w:val="18"/>
              </w:rPr>
            </w:pPr>
            <w:r>
              <w:rPr>
                <w:rFonts w:hint="eastAsia"/>
                <w:b/>
                <w:color w:val="auto"/>
                <w:kern w:val="0"/>
                <w:sz w:val="18"/>
                <w:szCs w:val="18"/>
              </w:rPr>
              <w:t>图</w:t>
            </w:r>
            <w:r>
              <w:rPr>
                <w:b/>
                <w:color w:val="auto"/>
                <w:kern w:val="0"/>
                <w:sz w:val="18"/>
                <w:szCs w:val="18"/>
              </w:rPr>
              <w:t xml:space="preserve">3-1 </w:t>
            </w:r>
            <w:r>
              <w:rPr>
                <w:rFonts w:hint="eastAsia"/>
                <w:b/>
                <w:color w:val="auto"/>
                <w:kern w:val="0"/>
                <w:sz w:val="18"/>
                <w:szCs w:val="18"/>
              </w:rPr>
              <w:t>四川省主体功能区划分图</w:t>
            </w:r>
          </w:p>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二、生态功能区划</w:t>
            </w:r>
          </w:p>
          <w:p>
            <w:pPr>
              <w:adjustRightInd w:val="0"/>
              <w:snapToGrid w:val="0"/>
              <w:spacing w:line="360" w:lineRule="auto"/>
              <w:ind w:firstLine="420" w:firstLineChars="200"/>
              <w:rPr>
                <w:color w:val="auto"/>
                <w:kern w:val="0"/>
              </w:rPr>
            </w:pPr>
            <w:r>
              <w:rPr>
                <w:rFonts w:hint="eastAsia"/>
                <w:color w:val="auto"/>
                <w:kern w:val="0"/>
              </w:rPr>
              <w:t>根据《四川省生态功能区划》，项目所在地属于“I四川盆地亚热带湿润气候生态区—I-3盆北秦巴山地常年阔叶林-针阔混交林生态亚区—I-3-2大巴山水源涵养与土壤保持生态功能区”。</w:t>
            </w:r>
          </w:p>
          <w:p>
            <w:pPr>
              <w:adjustRightInd w:val="0"/>
              <w:snapToGrid w:val="0"/>
              <w:spacing w:line="360" w:lineRule="auto"/>
              <w:ind w:firstLine="420" w:firstLineChars="200"/>
              <w:rPr>
                <w:color w:val="auto"/>
                <w:kern w:val="0"/>
              </w:rPr>
            </w:pPr>
            <w:r>
              <w:rPr>
                <w:rFonts w:hint="eastAsia"/>
                <w:color w:val="auto"/>
                <w:kern w:val="0"/>
              </w:rPr>
              <w:t>区域主要生态特征：中山地貌，并有岩溶地貌发育。年均气温14.7~16.7℃，≥10℃活动积湿5300℃左右，年均降水量1160毫米左右。河流主要属渠江水系。森林植被类型主要为常绿阔叶林、针一阔混交林和亚高山常绿针叶林。生物多样性丰富。</w:t>
            </w:r>
          </w:p>
          <w:p>
            <w:pPr>
              <w:adjustRightInd w:val="0"/>
              <w:snapToGrid w:val="0"/>
              <w:spacing w:line="360" w:lineRule="auto"/>
              <w:ind w:firstLine="420" w:firstLineChars="200"/>
              <w:rPr>
                <w:color w:val="auto"/>
                <w:kern w:val="0"/>
              </w:rPr>
            </w:pPr>
            <w:r>
              <w:rPr>
                <w:rFonts w:hint="eastAsia"/>
                <w:color w:val="auto"/>
                <w:kern w:val="0"/>
              </w:rPr>
              <w:t>主要生态问题：多洪灾，滑坡崩塌强烈发育，水土流失严重。</w:t>
            </w:r>
          </w:p>
          <w:p>
            <w:pPr>
              <w:adjustRightInd w:val="0"/>
              <w:snapToGrid w:val="0"/>
              <w:spacing w:line="360" w:lineRule="auto"/>
              <w:ind w:firstLine="420" w:firstLineChars="200"/>
              <w:rPr>
                <w:color w:val="auto"/>
                <w:kern w:val="0"/>
              </w:rPr>
            </w:pPr>
            <w:r>
              <w:rPr>
                <w:rFonts w:hint="eastAsia"/>
                <w:color w:val="auto"/>
                <w:kern w:val="0"/>
              </w:rPr>
              <w:t>生态环境敏感性：土壤侵蚀极敏感，野生动物生境高度敏感生物多样性保护功能。</w:t>
            </w:r>
          </w:p>
          <w:p>
            <w:pPr>
              <w:adjustRightInd w:val="0"/>
              <w:snapToGrid w:val="0"/>
              <w:spacing w:line="360" w:lineRule="auto"/>
              <w:ind w:firstLine="420" w:firstLineChars="200"/>
              <w:rPr>
                <w:color w:val="auto"/>
                <w:kern w:val="0"/>
              </w:rPr>
            </w:pPr>
            <w:r>
              <w:rPr>
                <w:rFonts w:hint="eastAsia"/>
                <w:color w:val="auto"/>
                <w:kern w:val="0"/>
              </w:rPr>
              <w:t>主要生态服务功能：水源涵养功能，土壤保持功能，生物多样性保护功能。</w:t>
            </w:r>
          </w:p>
          <w:p>
            <w:pPr>
              <w:adjustRightInd w:val="0"/>
              <w:snapToGrid w:val="0"/>
              <w:spacing w:line="360" w:lineRule="auto"/>
              <w:ind w:firstLine="420" w:firstLineChars="200"/>
              <w:rPr>
                <w:color w:val="auto"/>
                <w:kern w:val="0"/>
              </w:rPr>
            </w:pPr>
            <w:r>
              <w:rPr>
                <w:rFonts w:hint="eastAsia"/>
                <w:color w:val="auto"/>
                <w:kern w:val="0"/>
              </w:rPr>
              <w:t>生态保护与发展方向：保护森林植被和生物多样性，巩固长江上游防护林建设、天然林保护和退耕还林成果。合理开发和利用自然资源，发展特色农业，绿色和有机农产品。拓展生态农业产业链，培育新的经济增长点。规范和严格管理矿产、水电、生物资源的开发，防止对生态环境和生态系统的不利影响。</w:t>
            </w:r>
          </w:p>
          <w:p>
            <w:pPr>
              <w:adjustRightInd w:val="0"/>
              <w:snapToGrid w:val="0"/>
              <w:spacing w:line="360" w:lineRule="auto"/>
              <w:ind w:firstLine="420" w:firstLineChars="200"/>
              <w:rPr>
                <w:color w:val="auto"/>
                <w:kern w:val="0"/>
              </w:rPr>
            </w:pPr>
            <w:r>
              <w:rPr>
                <w:rFonts w:hint="eastAsia"/>
                <w:color w:val="auto"/>
                <w:kern w:val="0"/>
              </w:rPr>
              <w:t>本项目为灰岩矿露天开采项目，与《四川省生态功能区划》是相协调的，但在矿山开采工程中，要规范和严格管理矿产资源的开发，严格控制环境污染。</w:t>
            </w:r>
          </w:p>
          <w:p>
            <w:pPr>
              <w:adjustRightInd w:val="0"/>
              <w:snapToGrid w:val="0"/>
              <w:spacing w:line="360" w:lineRule="auto"/>
              <w:jc w:val="center"/>
              <w:rPr>
                <w:color w:val="auto"/>
                <w:kern w:val="0"/>
              </w:rPr>
            </w:pPr>
            <w:r>
              <w:rPr>
                <w:color w:val="auto"/>
              </w:rPr>
              <w:drawing>
                <wp:inline distT="0" distB="0" distL="0" distR="0">
                  <wp:extent cx="5076825" cy="3486150"/>
                  <wp:effectExtent l="19050" t="0" r="9525"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21"/>
                          <a:srcRect/>
                          <a:stretch>
                            <a:fillRect/>
                          </a:stretch>
                        </pic:blipFill>
                        <pic:spPr>
                          <a:xfrm>
                            <a:off x="0" y="0"/>
                            <a:ext cx="5076825" cy="3486150"/>
                          </a:xfrm>
                          <a:prstGeom prst="rect">
                            <a:avLst/>
                          </a:prstGeom>
                          <a:noFill/>
                          <a:ln w="9525" cmpd="sng">
                            <a:noFill/>
                            <a:miter lim="800000"/>
                            <a:headEnd/>
                            <a:tailEnd/>
                          </a:ln>
                        </pic:spPr>
                      </pic:pic>
                    </a:graphicData>
                  </a:graphic>
                </wp:inline>
              </w:drawing>
            </w:r>
          </w:p>
          <w:p>
            <w:pPr>
              <w:adjustRightInd w:val="0"/>
              <w:snapToGrid w:val="0"/>
              <w:spacing w:line="360" w:lineRule="auto"/>
              <w:jc w:val="center"/>
              <w:rPr>
                <w:color w:val="auto"/>
                <w:kern w:val="0"/>
              </w:rPr>
            </w:pPr>
            <w:r>
              <w:rPr>
                <w:rFonts w:hint="eastAsia"/>
                <w:b/>
                <w:color w:val="auto"/>
                <w:kern w:val="0"/>
                <w:sz w:val="18"/>
                <w:szCs w:val="18"/>
              </w:rPr>
              <w:t>图</w:t>
            </w:r>
            <w:r>
              <w:rPr>
                <w:b/>
                <w:color w:val="auto"/>
                <w:kern w:val="0"/>
                <w:sz w:val="18"/>
                <w:szCs w:val="18"/>
              </w:rPr>
              <w:t xml:space="preserve">3-2 </w:t>
            </w:r>
            <w:r>
              <w:rPr>
                <w:rFonts w:hint="eastAsia"/>
                <w:b/>
                <w:color w:val="auto"/>
                <w:kern w:val="0"/>
                <w:sz w:val="18"/>
                <w:szCs w:val="18"/>
              </w:rPr>
              <w:t>四川省生态功能区划图</w:t>
            </w:r>
          </w:p>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三、生态环境现状</w:t>
            </w:r>
          </w:p>
          <w:p>
            <w:pPr>
              <w:adjustRightInd w:val="0"/>
              <w:snapToGrid w:val="0"/>
              <w:spacing w:line="360" w:lineRule="auto"/>
              <w:ind w:firstLine="420" w:firstLineChars="200"/>
              <w:rPr>
                <w:color w:val="auto"/>
                <w:kern w:val="0"/>
              </w:rPr>
            </w:pPr>
            <w:r>
              <w:rPr>
                <w:rFonts w:hint="eastAsia"/>
                <w:color w:val="auto"/>
                <w:kern w:val="0"/>
              </w:rPr>
              <w:t>1、土地利用类型</w:t>
            </w:r>
          </w:p>
          <w:p>
            <w:pPr>
              <w:adjustRightInd w:val="0"/>
              <w:snapToGrid w:val="0"/>
              <w:spacing w:line="360" w:lineRule="auto"/>
              <w:ind w:firstLine="420" w:firstLineChars="200"/>
              <w:rPr>
                <w:color w:val="auto"/>
                <w:kern w:val="0"/>
              </w:rPr>
            </w:pPr>
            <w:r>
              <w:rPr>
                <w:rFonts w:hint="eastAsia"/>
                <w:color w:val="auto"/>
                <w:kern w:val="0"/>
              </w:rPr>
              <w:t>根据主体资料，并结合实地踏勘情况，本项目总占地面积为47.46hm</w:t>
            </w:r>
            <w:r>
              <w:rPr>
                <w:rFonts w:hint="eastAsia"/>
                <w:color w:val="auto"/>
                <w:kern w:val="0"/>
                <w:vertAlign w:val="superscript"/>
              </w:rPr>
              <w:t>2</w:t>
            </w:r>
            <w:r>
              <w:rPr>
                <w:rFonts w:hint="eastAsia"/>
                <w:color w:val="auto"/>
                <w:kern w:val="0"/>
              </w:rPr>
              <w:t>，全部为永久占地，占地类型主要为耕地、林地、草地、工矿及仓储用地和其他土地。其中采场工程占地面积37.56hm</w:t>
            </w:r>
            <w:r>
              <w:rPr>
                <w:rFonts w:hint="eastAsia"/>
                <w:color w:val="auto"/>
                <w:kern w:val="0"/>
                <w:vertAlign w:val="superscript"/>
              </w:rPr>
              <w:t>2</w:t>
            </w:r>
            <w:r>
              <w:rPr>
                <w:rFonts w:hint="eastAsia"/>
                <w:color w:val="auto"/>
                <w:kern w:val="0"/>
              </w:rPr>
              <w:t>，矿山加工厂工程占地面积 7.02 hm</w:t>
            </w:r>
            <w:r>
              <w:rPr>
                <w:rFonts w:hint="eastAsia"/>
                <w:color w:val="auto"/>
                <w:kern w:val="0"/>
                <w:vertAlign w:val="superscript"/>
              </w:rPr>
              <w:t>2</w:t>
            </w:r>
            <w:r>
              <w:rPr>
                <w:rFonts w:hint="eastAsia"/>
                <w:color w:val="auto"/>
                <w:kern w:val="0"/>
              </w:rPr>
              <w:t>，矿山道路工程占地面积2.88hm</w:t>
            </w:r>
            <w:r>
              <w:rPr>
                <w:rFonts w:hint="eastAsia"/>
                <w:color w:val="auto"/>
                <w:kern w:val="0"/>
                <w:vertAlign w:val="superscript"/>
              </w:rPr>
              <w:t>2</w:t>
            </w:r>
            <w:r>
              <w:rPr>
                <w:rFonts w:hint="eastAsia"/>
                <w:color w:val="auto"/>
                <w:kern w:val="0"/>
              </w:rPr>
              <w:t>。</w:t>
            </w:r>
          </w:p>
          <w:p>
            <w:pPr>
              <w:adjustRightInd w:val="0"/>
              <w:snapToGrid w:val="0"/>
              <w:spacing w:line="360" w:lineRule="auto"/>
              <w:jc w:val="center"/>
              <w:rPr>
                <w:b/>
                <w:color w:val="auto"/>
                <w:kern w:val="0"/>
                <w:sz w:val="18"/>
                <w:szCs w:val="18"/>
              </w:rPr>
            </w:pPr>
            <w:r>
              <w:rPr>
                <w:rFonts w:hint="eastAsia"/>
                <w:b/>
                <w:color w:val="auto"/>
                <w:kern w:val="0"/>
                <w:sz w:val="18"/>
                <w:szCs w:val="18"/>
              </w:rPr>
              <w:t>表3</w:t>
            </w:r>
            <w:r>
              <w:rPr>
                <w:b/>
                <w:color w:val="auto"/>
                <w:kern w:val="0"/>
                <w:sz w:val="18"/>
                <w:szCs w:val="18"/>
              </w:rPr>
              <w:t xml:space="preserve">-1 </w:t>
            </w:r>
            <w:r>
              <w:rPr>
                <w:rFonts w:hint="eastAsia"/>
                <w:b/>
                <w:color w:val="auto"/>
                <w:kern w:val="0"/>
                <w:sz w:val="18"/>
                <w:szCs w:val="18"/>
              </w:rPr>
              <w:t>项目工程占地表</w:t>
            </w:r>
          </w:p>
          <w:tbl>
            <w:tblPr>
              <w:tblStyle w:val="14"/>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842"/>
              <w:gridCol w:w="981"/>
              <w:gridCol w:w="933"/>
              <w:gridCol w:w="1014"/>
              <w:gridCol w:w="1016"/>
              <w:gridCol w:w="1016"/>
              <w:gridCol w:w="10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1" w:type="dxa"/>
                  <w:vMerge w:val="restart"/>
                  <w:vAlign w:val="center"/>
                </w:tcPr>
                <w:p>
                  <w:pPr>
                    <w:adjustRightInd w:val="0"/>
                    <w:snapToGrid w:val="0"/>
                    <w:spacing w:line="360" w:lineRule="auto"/>
                    <w:jc w:val="center"/>
                    <w:rPr>
                      <w:color w:val="auto"/>
                      <w:kern w:val="0"/>
                      <w:sz w:val="18"/>
                      <w:szCs w:val="18"/>
                    </w:rPr>
                  </w:pPr>
                  <w:r>
                    <w:rPr>
                      <w:rFonts w:hint="eastAsia"/>
                      <w:color w:val="auto"/>
                      <w:kern w:val="0"/>
                      <w:sz w:val="18"/>
                      <w:szCs w:val="18"/>
                    </w:rPr>
                    <w:t>项目组成</w:t>
                  </w:r>
                </w:p>
              </w:tc>
              <w:tc>
                <w:tcPr>
                  <w:tcW w:w="4844" w:type="dxa"/>
                  <w:gridSpan w:val="5"/>
                  <w:vAlign w:val="center"/>
                </w:tcPr>
                <w:p>
                  <w:pPr>
                    <w:adjustRightInd w:val="0"/>
                    <w:snapToGrid w:val="0"/>
                    <w:spacing w:line="360" w:lineRule="auto"/>
                    <w:jc w:val="center"/>
                    <w:rPr>
                      <w:color w:val="auto"/>
                      <w:kern w:val="0"/>
                      <w:sz w:val="18"/>
                      <w:szCs w:val="18"/>
                    </w:rPr>
                  </w:pPr>
                  <w:r>
                    <w:rPr>
                      <w:rFonts w:hint="eastAsia"/>
                      <w:color w:val="auto"/>
                      <w:kern w:val="0"/>
                      <w:sz w:val="18"/>
                      <w:szCs w:val="18"/>
                    </w:rPr>
                    <w:t>占地类型</w:t>
                  </w:r>
                </w:p>
              </w:tc>
              <w:tc>
                <w:tcPr>
                  <w:tcW w:w="1028" w:type="dxa"/>
                  <w:vMerge w:val="restart"/>
                  <w:vAlign w:val="center"/>
                </w:tcPr>
                <w:p>
                  <w:pPr>
                    <w:adjustRightInd w:val="0"/>
                    <w:snapToGrid w:val="0"/>
                    <w:spacing w:line="360" w:lineRule="auto"/>
                    <w:jc w:val="center"/>
                    <w:rPr>
                      <w:color w:val="auto"/>
                      <w:kern w:val="0"/>
                      <w:sz w:val="18"/>
                      <w:szCs w:val="18"/>
                    </w:rPr>
                  </w:pPr>
                  <w:r>
                    <w:rPr>
                      <w:rFonts w:hint="eastAsia"/>
                      <w:color w:val="auto"/>
                      <w:kern w:val="0"/>
                      <w:sz w:val="18"/>
                      <w:szCs w:val="18"/>
                    </w:rPr>
                    <w:t>小计</w:t>
                  </w:r>
                </w:p>
                <w:p>
                  <w:pPr>
                    <w:adjustRightInd w:val="0"/>
                    <w:snapToGrid w:val="0"/>
                    <w:spacing w:line="360" w:lineRule="auto"/>
                    <w:jc w:val="center"/>
                    <w:rPr>
                      <w:color w:val="auto"/>
                      <w:kern w:val="0"/>
                      <w:sz w:val="18"/>
                      <w:szCs w:val="18"/>
                    </w:rPr>
                  </w:pPr>
                  <w:r>
                    <w:rPr>
                      <w:color w:val="auto"/>
                      <w:kern w:val="0"/>
                      <w:sz w:val="18"/>
                      <w:szCs w:val="18"/>
                    </w:rPr>
                    <w:t>hm</w:t>
                  </w:r>
                  <w:r>
                    <w:rPr>
                      <w:color w:val="auto"/>
                      <w:kern w:val="0"/>
                      <w:sz w:val="18"/>
                      <w:szCs w:val="18"/>
                      <w:vertAlign w:val="superscript"/>
                    </w:rPr>
                    <w:t>2</w:t>
                  </w:r>
                </w:p>
              </w:tc>
              <w:tc>
                <w:tcPr>
                  <w:tcW w:w="1028" w:type="dxa"/>
                  <w:vMerge w:val="restart"/>
                  <w:vAlign w:val="center"/>
                </w:tcPr>
                <w:p>
                  <w:pPr>
                    <w:adjustRightInd w:val="0"/>
                    <w:snapToGrid w:val="0"/>
                    <w:spacing w:line="360" w:lineRule="auto"/>
                    <w:jc w:val="center"/>
                    <w:rPr>
                      <w:color w:val="auto"/>
                      <w:kern w:val="0"/>
                      <w:sz w:val="18"/>
                      <w:szCs w:val="18"/>
                    </w:rPr>
                  </w:pPr>
                  <w:r>
                    <w:rPr>
                      <w:rFonts w:hint="eastAsia"/>
                      <w:color w:val="auto"/>
                      <w:kern w:val="0"/>
                      <w:sz w:val="18"/>
                      <w:szCs w:val="18"/>
                    </w:rPr>
                    <w:t>占地性质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1" w:type="dxa"/>
                  <w:vMerge w:val="continue"/>
                  <w:vAlign w:val="center"/>
                </w:tcPr>
                <w:p>
                  <w:pPr>
                    <w:adjustRightInd w:val="0"/>
                    <w:snapToGrid w:val="0"/>
                    <w:spacing w:line="360" w:lineRule="auto"/>
                    <w:jc w:val="center"/>
                    <w:rPr>
                      <w:color w:val="auto"/>
                      <w:kern w:val="0"/>
                      <w:sz w:val="18"/>
                      <w:szCs w:val="18"/>
                    </w:rPr>
                  </w:pPr>
                </w:p>
              </w:tc>
              <w:tc>
                <w:tcPr>
                  <w:tcW w:w="851"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耕地</w:t>
                  </w:r>
                </w:p>
              </w:tc>
              <w:tc>
                <w:tcPr>
                  <w:tcW w:w="992"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林地</w:t>
                  </w:r>
                </w:p>
              </w:tc>
              <w:tc>
                <w:tcPr>
                  <w:tcW w:w="945"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草地</w:t>
                  </w: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工矿及仓储用地</w:t>
                  </w: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其他土地</w:t>
                  </w:r>
                </w:p>
              </w:tc>
              <w:tc>
                <w:tcPr>
                  <w:tcW w:w="1028" w:type="dxa"/>
                  <w:vMerge w:val="continue"/>
                  <w:vAlign w:val="center"/>
                </w:tcPr>
                <w:p>
                  <w:pPr>
                    <w:adjustRightInd w:val="0"/>
                    <w:snapToGrid w:val="0"/>
                    <w:spacing w:line="360" w:lineRule="auto"/>
                    <w:jc w:val="center"/>
                    <w:rPr>
                      <w:color w:val="auto"/>
                      <w:kern w:val="0"/>
                      <w:sz w:val="18"/>
                      <w:szCs w:val="18"/>
                    </w:rPr>
                  </w:pPr>
                </w:p>
              </w:tc>
              <w:tc>
                <w:tcPr>
                  <w:tcW w:w="1028" w:type="dxa"/>
                  <w:vMerge w:val="continue"/>
                  <w:vAlign w:val="center"/>
                </w:tcPr>
                <w:p>
                  <w:pPr>
                    <w:adjustRightInd w:val="0"/>
                    <w:snapToGrid w:val="0"/>
                    <w:spacing w:line="360" w:lineRule="auto"/>
                    <w:jc w:val="center"/>
                    <w:rPr>
                      <w:color w:val="auto"/>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采场工程</w:t>
                  </w:r>
                </w:p>
              </w:tc>
              <w:tc>
                <w:tcPr>
                  <w:tcW w:w="851"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1</w:t>
                  </w:r>
                  <w:r>
                    <w:rPr>
                      <w:color w:val="auto"/>
                      <w:kern w:val="0"/>
                      <w:sz w:val="18"/>
                      <w:szCs w:val="18"/>
                    </w:rPr>
                    <w:t>.35</w:t>
                  </w:r>
                </w:p>
              </w:tc>
              <w:tc>
                <w:tcPr>
                  <w:tcW w:w="992"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2</w:t>
                  </w:r>
                  <w:r>
                    <w:rPr>
                      <w:color w:val="auto"/>
                      <w:kern w:val="0"/>
                      <w:sz w:val="18"/>
                      <w:szCs w:val="18"/>
                    </w:rPr>
                    <w:t>2.45</w:t>
                  </w:r>
                </w:p>
              </w:tc>
              <w:tc>
                <w:tcPr>
                  <w:tcW w:w="945" w:type="dxa"/>
                  <w:vAlign w:val="center"/>
                </w:tcPr>
                <w:p>
                  <w:pPr>
                    <w:adjustRightInd w:val="0"/>
                    <w:snapToGrid w:val="0"/>
                    <w:spacing w:line="360" w:lineRule="auto"/>
                    <w:jc w:val="center"/>
                    <w:rPr>
                      <w:color w:val="auto"/>
                      <w:kern w:val="0"/>
                      <w:sz w:val="18"/>
                      <w:szCs w:val="18"/>
                    </w:rPr>
                  </w:pP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0</w:t>
                  </w:r>
                  <w:r>
                    <w:rPr>
                      <w:color w:val="auto"/>
                      <w:kern w:val="0"/>
                      <w:sz w:val="18"/>
                      <w:szCs w:val="18"/>
                    </w:rPr>
                    <w:t>.23</w:t>
                  </w: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1</w:t>
                  </w:r>
                  <w:r>
                    <w:rPr>
                      <w:color w:val="auto"/>
                      <w:kern w:val="0"/>
                      <w:sz w:val="18"/>
                      <w:szCs w:val="18"/>
                    </w:rPr>
                    <w:t>3.53</w:t>
                  </w: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3</w:t>
                  </w:r>
                  <w:r>
                    <w:rPr>
                      <w:color w:val="auto"/>
                      <w:kern w:val="0"/>
                      <w:sz w:val="18"/>
                      <w:szCs w:val="18"/>
                    </w:rPr>
                    <w:t>7.56</w:t>
                  </w: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永久占地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矿山加工厂</w:t>
                  </w:r>
                </w:p>
              </w:tc>
              <w:tc>
                <w:tcPr>
                  <w:tcW w:w="851"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0</w:t>
                  </w:r>
                  <w:r>
                    <w:rPr>
                      <w:color w:val="auto"/>
                      <w:kern w:val="0"/>
                      <w:sz w:val="18"/>
                      <w:szCs w:val="18"/>
                    </w:rPr>
                    <w:t>.35</w:t>
                  </w:r>
                </w:p>
              </w:tc>
              <w:tc>
                <w:tcPr>
                  <w:tcW w:w="992"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5</w:t>
                  </w:r>
                  <w:r>
                    <w:rPr>
                      <w:color w:val="auto"/>
                      <w:kern w:val="0"/>
                      <w:sz w:val="18"/>
                      <w:szCs w:val="18"/>
                    </w:rPr>
                    <w:t>.02</w:t>
                  </w:r>
                </w:p>
              </w:tc>
              <w:tc>
                <w:tcPr>
                  <w:tcW w:w="945" w:type="dxa"/>
                  <w:vAlign w:val="center"/>
                </w:tcPr>
                <w:p>
                  <w:pPr>
                    <w:adjustRightInd w:val="0"/>
                    <w:snapToGrid w:val="0"/>
                    <w:spacing w:line="360" w:lineRule="auto"/>
                    <w:jc w:val="center"/>
                    <w:rPr>
                      <w:color w:val="auto"/>
                      <w:kern w:val="0"/>
                      <w:sz w:val="18"/>
                      <w:szCs w:val="18"/>
                    </w:rPr>
                  </w:pP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0</w:t>
                  </w:r>
                  <w:r>
                    <w:rPr>
                      <w:color w:val="auto"/>
                      <w:kern w:val="0"/>
                      <w:sz w:val="18"/>
                      <w:szCs w:val="18"/>
                    </w:rPr>
                    <w:t>.33</w:t>
                  </w: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1</w:t>
                  </w:r>
                  <w:r>
                    <w:rPr>
                      <w:color w:val="auto"/>
                      <w:kern w:val="0"/>
                      <w:sz w:val="18"/>
                      <w:szCs w:val="18"/>
                    </w:rPr>
                    <w:t>.32</w:t>
                  </w: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7</w:t>
                  </w:r>
                  <w:r>
                    <w:rPr>
                      <w:color w:val="auto"/>
                      <w:kern w:val="0"/>
                      <w:sz w:val="18"/>
                      <w:szCs w:val="18"/>
                    </w:rPr>
                    <w:t>.02</w:t>
                  </w: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永久占地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矿山道路</w:t>
                  </w:r>
                </w:p>
              </w:tc>
              <w:tc>
                <w:tcPr>
                  <w:tcW w:w="851"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0</w:t>
                  </w:r>
                  <w:r>
                    <w:rPr>
                      <w:color w:val="auto"/>
                      <w:kern w:val="0"/>
                      <w:sz w:val="18"/>
                      <w:szCs w:val="18"/>
                    </w:rPr>
                    <w:t>.18</w:t>
                  </w:r>
                </w:p>
              </w:tc>
              <w:tc>
                <w:tcPr>
                  <w:tcW w:w="992"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1</w:t>
                  </w:r>
                  <w:r>
                    <w:rPr>
                      <w:color w:val="auto"/>
                      <w:kern w:val="0"/>
                      <w:sz w:val="18"/>
                      <w:szCs w:val="18"/>
                    </w:rPr>
                    <w:t>.15</w:t>
                  </w:r>
                </w:p>
              </w:tc>
              <w:tc>
                <w:tcPr>
                  <w:tcW w:w="945"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0</w:t>
                  </w:r>
                  <w:r>
                    <w:rPr>
                      <w:color w:val="auto"/>
                      <w:kern w:val="0"/>
                      <w:sz w:val="18"/>
                      <w:szCs w:val="18"/>
                    </w:rPr>
                    <w:t>.57</w:t>
                  </w: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0</w:t>
                  </w:r>
                  <w:r>
                    <w:rPr>
                      <w:color w:val="auto"/>
                      <w:kern w:val="0"/>
                      <w:sz w:val="18"/>
                      <w:szCs w:val="18"/>
                    </w:rPr>
                    <w:t>.98</w:t>
                  </w:r>
                </w:p>
              </w:tc>
              <w:tc>
                <w:tcPr>
                  <w:tcW w:w="1028" w:type="dxa"/>
                  <w:vAlign w:val="center"/>
                </w:tcPr>
                <w:p>
                  <w:pPr>
                    <w:adjustRightInd w:val="0"/>
                    <w:snapToGrid w:val="0"/>
                    <w:spacing w:line="360" w:lineRule="auto"/>
                    <w:jc w:val="center"/>
                    <w:rPr>
                      <w:color w:val="auto"/>
                      <w:kern w:val="0"/>
                      <w:sz w:val="18"/>
                      <w:szCs w:val="18"/>
                    </w:rPr>
                  </w:pP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2</w:t>
                  </w:r>
                  <w:r>
                    <w:rPr>
                      <w:color w:val="auto"/>
                      <w:kern w:val="0"/>
                      <w:sz w:val="18"/>
                      <w:szCs w:val="18"/>
                    </w:rPr>
                    <w:t>.88</w:t>
                  </w: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永久占地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1"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合计</w:t>
                  </w:r>
                </w:p>
              </w:tc>
              <w:tc>
                <w:tcPr>
                  <w:tcW w:w="851"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1</w:t>
                  </w:r>
                  <w:r>
                    <w:rPr>
                      <w:color w:val="auto"/>
                      <w:kern w:val="0"/>
                      <w:sz w:val="18"/>
                      <w:szCs w:val="18"/>
                    </w:rPr>
                    <w:t>.88</w:t>
                  </w:r>
                </w:p>
              </w:tc>
              <w:tc>
                <w:tcPr>
                  <w:tcW w:w="992"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2</w:t>
                  </w:r>
                  <w:r>
                    <w:rPr>
                      <w:color w:val="auto"/>
                      <w:kern w:val="0"/>
                      <w:sz w:val="18"/>
                      <w:szCs w:val="18"/>
                    </w:rPr>
                    <w:t>8.62</w:t>
                  </w:r>
                </w:p>
              </w:tc>
              <w:tc>
                <w:tcPr>
                  <w:tcW w:w="945"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0</w:t>
                  </w:r>
                  <w:r>
                    <w:rPr>
                      <w:color w:val="auto"/>
                      <w:kern w:val="0"/>
                      <w:sz w:val="18"/>
                      <w:szCs w:val="18"/>
                    </w:rPr>
                    <w:t>.57</w:t>
                  </w: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1</w:t>
                  </w:r>
                  <w:r>
                    <w:rPr>
                      <w:color w:val="auto"/>
                      <w:kern w:val="0"/>
                      <w:sz w:val="18"/>
                      <w:szCs w:val="18"/>
                    </w:rPr>
                    <w:t>.54</w:t>
                  </w: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1</w:t>
                  </w:r>
                  <w:r>
                    <w:rPr>
                      <w:color w:val="auto"/>
                      <w:kern w:val="0"/>
                      <w:sz w:val="18"/>
                      <w:szCs w:val="18"/>
                    </w:rPr>
                    <w:t>4.85</w:t>
                  </w:r>
                </w:p>
              </w:tc>
              <w:tc>
                <w:tcPr>
                  <w:tcW w:w="1028" w:type="dxa"/>
                  <w:vAlign w:val="center"/>
                </w:tcPr>
                <w:p>
                  <w:pPr>
                    <w:adjustRightInd w:val="0"/>
                    <w:snapToGrid w:val="0"/>
                    <w:spacing w:line="360" w:lineRule="auto"/>
                    <w:jc w:val="center"/>
                    <w:rPr>
                      <w:color w:val="auto"/>
                      <w:kern w:val="0"/>
                      <w:sz w:val="18"/>
                      <w:szCs w:val="18"/>
                    </w:rPr>
                  </w:pPr>
                  <w:r>
                    <w:rPr>
                      <w:rFonts w:hint="eastAsia"/>
                      <w:color w:val="auto"/>
                      <w:kern w:val="0"/>
                      <w:sz w:val="18"/>
                      <w:szCs w:val="18"/>
                    </w:rPr>
                    <w:t>4</w:t>
                  </w:r>
                  <w:r>
                    <w:rPr>
                      <w:color w:val="auto"/>
                      <w:kern w:val="0"/>
                      <w:sz w:val="18"/>
                      <w:szCs w:val="18"/>
                    </w:rPr>
                    <w:t>7.46</w:t>
                  </w:r>
                </w:p>
              </w:tc>
              <w:tc>
                <w:tcPr>
                  <w:tcW w:w="1028" w:type="dxa"/>
                  <w:vAlign w:val="center"/>
                </w:tcPr>
                <w:p>
                  <w:pPr>
                    <w:adjustRightInd w:val="0"/>
                    <w:snapToGrid w:val="0"/>
                    <w:spacing w:line="360" w:lineRule="auto"/>
                    <w:jc w:val="center"/>
                    <w:rPr>
                      <w:color w:val="auto"/>
                      <w:kern w:val="0"/>
                      <w:sz w:val="18"/>
                      <w:szCs w:val="18"/>
                    </w:rPr>
                  </w:pPr>
                </w:p>
              </w:tc>
            </w:tr>
          </w:tbl>
          <w:p>
            <w:pPr>
              <w:adjustRightInd w:val="0"/>
              <w:snapToGrid w:val="0"/>
              <w:spacing w:line="360" w:lineRule="auto"/>
              <w:ind w:firstLine="420" w:firstLineChars="200"/>
              <w:rPr>
                <w:color w:val="auto"/>
                <w:kern w:val="0"/>
              </w:rPr>
            </w:pPr>
            <w:r>
              <w:rPr>
                <w:rFonts w:hint="eastAsia"/>
                <w:color w:val="auto"/>
                <w:kern w:val="0"/>
              </w:rPr>
              <w:t>2、植被类型</w:t>
            </w:r>
          </w:p>
          <w:p>
            <w:pPr>
              <w:adjustRightInd w:val="0"/>
              <w:snapToGrid w:val="0"/>
              <w:spacing w:line="360" w:lineRule="auto"/>
              <w:ind w:firstLine="420" w:firstLineChars="200"/>
              <w:rPr>
                <w:color w:val="auto"/>
                <w:kern w:val="0"/>
              </w:rPr>
            </w:pPr>
            <w:r>
              <w:rPr>
                <w:rFonts w:hint="eastAsia"/>
                <w:color w:val="auto"/>
                <w:kern w:val="0"/>
              </w:rPr>
              <w:t>本项目生态环境影响评价区域内主要为林地，地表植被主要为乔木、灌木以及草本等。依据《中国植被》(1980)的植被型、植被亚型和群系分类体系，评价区的自然植被可分为3个植被型组4个植被型，4个植被亚型和6个群系，以及农业植被。评价区域的具体植被分类表见下表。</w:t>
            </w:r>
          </w:p>
          <w:p>
            <w:pPr>
              <w:adjustRightInd w:val="0"/>
              <w:snapToGrid w:val="0"/>
              <w:spacing w:line="360" w:lineRule="auto"/>
              <w:jc w:val="center"/>
              <w:rPr>
                <w:b/>
                <w:color w:val="auto"/>
                <w:kern w:val="0"/>
                <w:sz w:val="18"/>
                <w:szCs w:val="18"/>
              </w:rPr>
            </w:pPr>
            <w:r>
              <w:rPr>
                <w:rFonts w:hint="eastAsia"/>
                <w:b/>
                <w:color w:val="auto"/>
                <w:kern w:val="0"/>
                <w:sz w:val="18"/>
                <w:szCs w:val="18"/>
              </w:rPr>
              <w:t>表3</w:t>
            </w:r>
            <w:r>
              <w:rPr>
                <w:b/>
                <w:color w:val="auto"/>
                <w:kern w:val="0"/>
                <w:sz w:val="18"/>
                <w:szCs w:val="18"/>
              </w:rPr>
              <w:t xml:space="preserve">-2 </w:t>
            </w:r>
            <w:r>
              <w:rPr>
                <w:rFonts w:hint="eastAsia"/>
                <w:b/>
                <w:color w:val="auto"/>
                <w:kern w:val="0"/>
                <w:sz w:val="18"/>
                <w:szCs w:val="18"/>
              </w:rPr>
              <w:t>评价区植被类型</w:t>
            </w:r>
          </w:p>
          <w:tbl>
            <w:tblPr>
              <w:tblStyle w:val="14"/>
              <w:tblW w:w="797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260"/>
              <w:gridCol w:w="1911"/>
              <w:gridCol w:w="1710"/>
              <w:gridCol w:w="22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9" w:hRule="atLeast"/>
                <w:jc w:val="center"/>
              </w:trPr>
              <w:tc>
                <w:tcPr>
                  <w:tcW w:w="808" w:type="dxa"/>
                  <w:vMerge w:val="restart"/>
                  <w:noWrap/>
                  <w:vAlign w:val="center"/>
                </w:tcPr>
                <w:p>
                  <w:pPr>
                    <w:wordWrap w:val="0"/>
                    <w:adjustRightInd w:val="0"/>
                    <w:snapToGrid w:val="0"/>
                    <w:ind w:left="-71" w:leftChars="-34" w:right="-71" w:rightChars="-34"/>
                    <w:jc w:val="center"/>
                    <w:rPr>
                      <w:b/>
                      <w:bCs/>
                      <w:color w:val="auto"/>
                      <w:spacing w:val="-4"/>
                      <w:sz w:val="18"/>
                      <w:szCs w:val="18"/>
                    </w:rPr>
                  </w:pPr>
                  <w:r>
                    <w:rPr>
                      <w:b/>
                      <w:bCs/>
                      <w:color w:val="auto"/>
                      <w:spacing w:val="-4"/>
                      <w:sz w:val="18"/>
                      <w:szCs w:val="18"/>
                    </w:rPr>
                    <w:t>植被型组</w:t>
                  </w:r>
                </w:p>
              </w:tc>
              <w:tc>
                <w:tcPr>
                  <w:tcW w:w="1260" w:type="dxa"/>
                  <w:vMerge w:val="restart"/>
                  <w:noWrap/>
                  <w:vAlign w:val="center"/>
                </w:tcPr>
                <w:p>
                  <w:pPr>
                    <w:wordWrap w:val="0"/>
                    <w:adjustRightInd w:val="0"/>
                    <w:snapToGrid w:val="0"/>
                    <w:ind w:left="-71" w:leftChars="-34" w:right="-71" w:rightChars="-34"/>
                    <w:jc w:val="center"/>
                    <w:rPr>
                      <w:b/>
                      <w:bCs/>
                      <w:color w:val="auto"/>
                      <w:spacing w:val="-4"/>
                      <w:sz w:val="18"/>
                      <w:szCs w:val="18"/>
                    </w:rPr>
                  </w:pPr>
                  <w:r>
                    <w:rPr>
                      <w:b/>
                      <w:bCs/>
                      <w:color w:val="auto"/>
                      <w:spacing w:val="-4"/>
                      <w:sz w:val="18"/>
                      <w:szCs w:val="18"/>
                    </w:rPr>
                    <w:t>植被型</w:t>
                  </w:r>
                </w:p>
              </w:tc>
              <w:tc>
                <w:tcPr>
                  <w:tcW w:w="1911" w:type="dxa"/>
                  <w:vMerge w:val="restart"/>
                  <w:noWrap/>
                  <w:vAlign w:val="center"/>
                </w:tcPr>
                <w:p>
                  <w:pPr>
                    <w:wordWrap w:val="0"/>
                    <w:adjustRightInd w:val="0"/>
                    <w:snapToGrid w:val="0"/>
                    <w:ind w:left="-71" w:leftChars="-34" w:right="-71" w:rightChars="-34"/>
                    <w:jc w:val="center"/>
                    <w:rPr>
                      <w:b/>
                      <w:bCs/>
                      <w:color w:val="auto"/>
                      <w:spacing w:val="-4"/>
                      <w:sz w:val="18"/>
                      <w:szCs w:val="18"/>
                    </w:rPr>
                  </w:pPr>
                  <w:r>
                    <w:rPr>
                      <w:b/>
                      <w:bCs/>
                      <w:color w:val="auto"/>
                      <w:spacing w:val="-4"/>
                      <w:sz w:val="18"/>
                      <w:szCs w:val="18"/>
                    </w:rPr>
                    <w:t>植被亚型</w:t>
                  </w:r>
                </w:p>
              </w:tc>
              <w:tc>
                <w:tcPr>
                  <w:tcW w:w="1710" w:type="dxa"/>
                  <w:vMerge w:val="restart"/>
                  <w:noWrap/>
                  <w:vAlign w:val="center"/>
                </w:tcPr>
                <w:p>
                  <w:pPr>
                    <w:wordWrap w:val="0"/>
                    <w:adjustRightInd w:val="0"/>
                    <w:snapToGrid w:val="0"/>
                    <w:ind w:left="-71" w:leftChars="-34" w:right="-71" w:rightChars="-34"/>
                    <w:jc w:val="center"/>
                    <w:rPr>
                      <w:b/>
                      <w:bCs/>
                      <w:color w:val="auto"/>
                      <w:spacing w:val="-4"/>
                      <w:sz w:val="18"/>
                      <w:szCs w:val="18"/>
                    </w:rPr>
                  </w:pPr>
                  <w:r>
                    <w:rPr>
                      <w:b/>
                      <w:bCs/>
                      <w:color w:val="auto"/>
                      <w:spacing w:val="-4"/>
                      <w:sz w:val="18"/>
                      <w:szCs w:val="18"/>
                    </w:rPr>
                    <w:t>群系</w:t>
                  </w:r>
                </w:p>
              </w:tc>
              <w:tc>
                <w:tcPr>
                  <w:tcW w:w="2289" w:type="dxa"/>
                  <w:vMerge w:val="restart"/>
                  <w:noWrap/>
                  <w:vAlign w:val="center"/>
                </w:tcPr>
                <w:p>
                  <w:pPr>
                    <w:wordWrap w:val="0"/>
                    <w:adjustRightInd w:val="0"/>
                    <w:snapToGrid w:val="0"/>
                    <w:ind w:left="-71" w:leftChars="-34" w:right="-71" w:rightChars="-34"/>
                    <w:jc w:val="center"/>
                    <w:rPr>
                      <w:b/>
                      <w:bCs/>
                      <w:color w:val="auto"/>
                      <w:spacing w:val="-4"/>
                      <w:sz w:val="18"/>
                      <w:szCs w:val="18"/>
                    </w:rPr>
                  </w:pPr>
                  <w:r>
                    <w:rPr>
                      <w:b/>
                      <w:bCs/>
                      <w:color w:val="auto"/>
                      <w:spacing w:val="-4"/>
                      <w:sz w:val="18"/>
                      <w:szCs w:val="18"/>
                    </w:rPr>
                    <w:t>分布区域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08" w:type="dxa"/>
                  <w:vMerge w:val="continue"/>
                  <w:noWrap/>
                  <w:vAlign w:val="center"/>
                </w:tcPr>
                <w:p>
                  <w:pPr>
                    <w:wordWrap w:val="0"/>
                    <w:adjustRightInd w:val="0"/>
                    <w:snapToGrid w:val="0"/>
                    <w:ind w:left="-71" w:leftChars="-34" w:right="-71" w:rightChars="-34"/>
                    <w:jc w:val="center"/>
                    <w:rPr>
                      <w:color w:val="auto"/>
                      <w:spacing w:val="-4"/>
                      <w:sz w:val="18"/>
                      <w:szCs w:val="18"/>
                    </w:rPr>
                  </w:pPr>
                </w:p>
              </w:tc>
              <w:tc>
                <w:tcPr>
                  <w:tcW w:w="1260" w:type="dxa"/>
                  <w:vMerge w:val="continue"/>
                  <w:noWrap/>
                  <w:vAlign w:val="center"/>
                </w:tcPr>
                <w:p>
                  <w:pPr>
                    <w:wordWrap w:val="0"/>
                    <w:adjustRightInd w:val="0"/>
                    <w:snapToGrid w:val="0"/>
                    <w:ind w:left="-71" w:leftChars="-34" w:right="-71" w:rightChars="-34"/>
                    <w:jc w:val="center"/>
                    <w:rPr>
                      <w:color w:val="auto"/>
                      <w:spacing w:val="-4"/>
                      <w:sz w:val="18"/>
                      <w:szCs w:val="18"/>
                    </w:rPr>
                  </w:pPr>
                </w:p>
              </w:tc>
              <w:tc>
                <w:tcPr>
                  <w:tcW w:w="1911" w:type="dxa"/>
                  <w:vMerge w:val="continue"/>
                  <w:noWrap/>
                  <w:vAlign w:val="center"/>
                </w:tcPr>
                <w:p>
                  <w:pPr>
                    <w:wordWrap w:val="0"/>
                    <w:adjustRightInd w:val="0"/>
                    <w:snapToGrid w:val="0"/>
                    <w:ind w:left="-71" w:leftChars="-34" w:right="-71" w:rightChars="-34"/>
                    <w:jc w:val="center"/>
                    <w:rPr>
                      <w:color w:val="auto"/>
                      <w:spacing w:val="-4"/>
                      <w:sz w:val="18"/>
                      <w:szCs w:val="18"/>
                    </w:rPr>
                  </w:pPr>
                </w:p>
              </w:tc>
              <w:tc>
                <w:tcPr>
                  <w:tcW w:w="1710" w:type="dxa"/>
                  <w:vMerge w:val="continue"/>
                  <w:noWrap/>
                  <w:vAlign w:val="center"/>
                </w:tcPr>
                <w:p>
                  <w:pPr>
                    <w:wordWrap w:val="0"/>
                    <w:adjustRightInd w:val="0"/>
                    <w:snapToGrid w:val="0"/>
                    <w:ind w:left="-71" w:leftChars="-34" w:right="-71" w:rightChars="-34"/>
                    <w:jc w:val="center"/>
                    <w:rPr>
                      <w:color w:val="auto"/>
                      <w:spacing w:val="-4"/>
                      <w:sz w:val="18"/>
                      <w:szCs w:val="18"/>
                    </w:rPr>
                  </w:pPr>
                </w:p>
              </w:tc>
              <w:tc>
                <w:tcPr>
                  <w:tcW w:w="2289" w:type="dxa"/>
                  <w:vMerge w:val="continue"/>
                  <w:noWrap/>
                  <w:vAlign w:val="center"/>
                </w:tcPr>
                <w:p>
                  <w:pPr>
                    <w:wordWrap w:val="0"/>
                    <w:adjustRightInd w:val="0"/>
                    <w:snapToGrid w:val="0"/>
                    <w:ind w:left="-71" w:leftChars="-34" w:right="-71" w:rightChars="-34"/>
                    <w:jc w:val="center"/>
                    <w:rPr>
                      <w:color w:val="auto"/>
                      <w:spacing w:val="-4"/>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08" w:type="dxa"/>
                  <w:noWrap/>
                  <w:vAlign w:val="center"/>
                </w:tcPr>
                <w:p>
                  <w:pPr>
                    <w:wordWrap w:val="0"/>
                    <w:adjustRightInd w:val="0"/>
                    <w:snapToGrid w:val="0"/>
                    <w:ind w:left="-71" w:leftChars="-34" w:right="-71" w:rightChars="-34"/>
                    <w:jc w:val="center"/>
                    <w:rPr>
                      <w:color w:val="auto"/>
                      <w:spacing w:val="-4"/>
                      <w:sz w:val="18"/>
                      <w:szCs w:val="18"/>
                    </w:rPr>
                  </w:pPr>
                  <w:bookmarkStart w:id="36" w:name="_Hlk110935177"/>
                  <w:r>
                    <w:rPr>
                      <w:color w:val="auto"/>
                      <w:spacing w:val="-4"/>
                      <w:sz w:val="18"/>
                      <w:szCs w:val="18"/>
                    </w:rPr>
                    <w:t>针叶林</w:t>
                  </w:r>
                </w:p>
              </w:tc>
              <w:tc>
                <w:tcPr>
                  <w:tcW w:w="1260"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暖性针叶林</w:t>
                  </w:r>
                </w:p>
              </w:tc>
              <w:tc>
                <w:tcPr>
                  <w:tcW w:w="1911"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暖性常绿针叶林</w:t>
                  </w:r>
                </w:p>
              </w:tc>
              <w:tc>
                <w:tcPr>
                  <w:tcW w:w="1710" w:type="dxa"/>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马尾松林、柏木林</w:t>
                  </w:r>
                </w:p>
              </w:tc>
              <w:tc>
                <w:tcPr>
                  <w:tcW w:w="2289"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块状镶嵌分布在矿区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08" w:type="dxa"/>
                  <w:vMerge w:val="restart"/>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阔叶林</w:t>
                  </w:r>
                </w:p>
              </w:tc>
              <w:tc>
                <w:tcPr>
                  <w:tcW w:w="1260"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常绿、落叶阔叶混交林</w:t>
                  </w:r>
                </w:p>
              </w:tc>
              <w:tc>
                <w:tcPr>
                  <w:tcW w:w="1911"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山地常绿、落叶阔叶混交林</w:t>
                  </w:r>
                </w:p>
              </w:tc>
              <w:tc>
                <w:tcPr>
                  <w:tcW w:w="1710"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青冈-枫香林</w:t>
                  </w:r>
                </w:p>
              </w:tc>
              <w:tc>
                <w:tcPr>
                  <w:tcW w:w="2289"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主要嵌分布在大部分的矿区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08" w:type="dxa"/>
                  <w:vMerge w:val="continue"/>
                  <w:vAlign w:val="center"/>
                </w:tcPr>
                <w:p>
                  <w:pPr>
                    <w:wordWrap w:val="0"/>
                    <w:adjustRightInd w:val="0"/>
                    <w:snapToGrid w:val="0"/>
                    <w:ind w:left="-71" w:leftChars="-34" w:right="-71" w:rightChars="-34"/>
                    <w:jc w:val="center"/>
                    <w:rPr>
                      <w:color w:val="auto"/>
                      <w:spacing w:val="-4"/>
                      <w:sz w:val="18"/>
                      <w:szCs w:val="18"/>
                    </w:rPr>
                  </w:pPr>
                  <w:bookmarkStart w:id="37" w:name="_Hlk110846839"/>
                </w:p>
              </w:tc>
              <w:tc>
                <w:tcPr>
                  <w:tcW w:w="1260"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竹林</w:t>
                  </w:r>
                </w:p>
              </w:tc>
              <w:tc>
                <w:tcPr>
                  <w:tcW w:w="1911"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暖性竹林</w:t>
                  </w:r>
                </w:p>
              </w:tc>
              <w:tc>
                <w:tcPr>
                  <w:tcW w:w="1710" w:type="dxa"/>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慈竹林</w:t>
                  </w:r>
                </w:p>
              </w:tc>
              <w:tc>
                <w:tcPr>
                  <w:tcW w:w="2289"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零星分布在评价区东北侧的山脚地带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08" w:type="dxa"/>
                  <w:vMerge w:val="restart"/>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灌丛和灌草丛</w:t>
                  </w:r>
                </w:p>
              </w:tc>
              <w:tc>
                <w:tcPr>
                  <w:tcW w:w="1260" w:type="dxa"/>
                  <w:vMerge w:val="restart"/>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落叶阔叶灌丛</w:t>
                  </w:r>
                </w:p>
              </w:tc>
              <w:tc>
                <w:tcPr>
                  <w:tcW w:w="1911" w:type="dxa"/>
                  <w:vMerge w:val="restart"/>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暖性落叶阔叶灌丛</w:t>
                  </w:r>
                </w:p>
              </w:tc>
              <w:tc>
                <w:tcPr>
                  <w:tcW w:w="1710"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白栎-枹栎灌丛</w:t>
                  </w:r>
                </w:p>
              </w:tc>
              <w:tc>
                <w:tcPr>
                  <w:tcW w:w="2289" w:type="dxa"/>
                  <w:vMerge w:val="restart"/>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在山脚地带零星分布；块状镶嵌分布在针叶林中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08" w:type="dxa"/>
                  <w:vMerge w:val="continue"/>
                  <w:vAlign w:val="center"/>
                </w:tcPr>
                <w:p>
                  <w:pPr>
                    <w:wordWrap w:val="0"/>
                    <w:adjustRightInd w:val="0"/>
                    <w:snapToGrid w:val="0"/>
                    <w:ind w:left="-71" w:leftChars="-34" w:right="-71" w:rightChars="-34"/>
                    <w:jc w:val="center"/>
                    <w:rPr>
                      <w:color w:val="auto"/>
                      <w:spacing w:val="-4"/>
                      <w:sz w:val="18"/>
                      <w:szCs w:val="18"/>
                    </w:rPr>
                  </w:pPr>
                </w:p>
              </w:tc>
              <w:tc>
                <w:tcPr>
                  <w:tcW w:w="1260" w:type="dxa"/>
                  <w:vMerge w:val="continue"/>
                  <w:vAlign w:val="center"/>
                </w:tcPr>
                <w:p>
                  <w:pPr>
                    <w:wordWrap w:val="0"/>
                    <w:adjustRightInd w:val="0"/>
                    <w:snapToGrid w:val="0"/>
                    <w:ind w:left="-71" w:leftChars="-34" w:right="-71" w:rightChars="-34"/>
                    <w:jc w:val="center"/>
                    <w:rPr>
                      <w:color w:val="auto"/>
                      <w:spacing w:val="-4"/>
                      <w:sz w:val="18"/>
                      <w:szCs w:val="18"/>
                    </w:rPr>
                  </w:pPr>
                </w:p>
              </w:tc>
              <w:tc>
                <w:tcPr>
                  <w:tcW w:w="1911" w:type="dxa"/>
                  <w:vMerge w:val="continue"/>
                  <w:vAlign w:val="center"/>
                </w:tcPr>
                <w:p>
                  <w:pPr>
                    <w:wordWrap w:val="0"/>
                    <w:adjustRightInd w:val="0"/>
                    <w:snapToGrid w:val="0"/>
                    <w:ind w:left="-71" w:leftChars="-34" w:right="-71" w:rightChars="-34"/>
                    <w:jc w:val="center"/>
                    <w:rPr>
                      <w:color w:val="auto"/>
                      <w:spacing w:val="-4"/>
                      <w:sz w:val="18"/>
                      <w:szCs w:val="18"/>
                    </w:rPr>
                  </w:pPr>
                </w:p>
              </w:tc>
              <w:tc>
                <w:tcPr>
                  <w:tcW w:w="1710"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黄荆-盐麸木灌丛</w:t>
                  </w:r>
                </w:p>
              </w:tc>
              <w:tc>
                <w:tcPr>
                  <w:tcW w:w="2289" w:type="dxa"/>
                  <w:vMerge w:val="continue"/>
                  <w:noWrap/>
                  <w:vAlign w:val="center"/>
                </w:tcPr>
                <w:p>
                  <w:pPr>
                    <w:wordWrap w:val="0"/>
                    <w:adjustRightInd w:val="0"/>
                    <w:snapToGrid w:val="0"/>
                    <w:ind w:left="-71" w:leftChars="-34" w:right="-71" w:rightChars="-34"/>
                    <w:jc w:val="center"/>
                    <w:rPr>
                      <w:color w:val="auto"/>
                      <w:spacing w:val="-4"/>
                      <w:sz w:val="18"/>
                      <w:szCs w:val="18"/>
                    </w:rPr>
                  </w:pPr>
                </w:p>
              </w:tc>
            </w:tr>
            <w:bookmarkEnd w:id="36"/>
            <w:bookmarkEnd w:id="37"/>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08" w:type="dxa"/>
                  <w:vMerge w:val="restart"/>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农业植被</w:t>
                  </w:r>
                </w:p>
              </w:tc>
              <w:tc>
                <w:tcPr>
                  <w:tcW w:w="1260"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农作物</w:t>
                  </w:r>
                </w:p>
              </w:tc>
              <w:tc>
                <w:tcPr>
                  <w:tcW w:w="3621" w:type="dxa"/>
                  <w:gridSpan w:val="2"/>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玉米、土豆、红薯、油菜等</w:t>
                  </w:r>
                </w:p>
              </w:tc>
              <w:tc>
                <w:tcPr>
                  <w:tcW w:w="2289" w:type="dxa"/>
                  <w:vMerge w:val="restart"/>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成片分布在评价区东北侧山脚地带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08" w:type="dxa"/>
                  <w:vMerge w:val="continue"/>
                  <w:vAlign w:val="center"/>
                </w:tcPr>
                <w:p>
                  <w:pPr>
                    <w:wordWrap w:val="0"/>
                    <w:adjustRightInd w:val="0"/>
                    <w:snapToGrid w:val="0"/>
                    <w:ind w:left="-71" w:leftChars="-34" w:right="-71" w:rightChars="-34"/>
                    <w:jc w:val="center"/>
                    <w:rPr>
                      <w:color w:val="auto"/>
                      <w:spacing w:val="-4"/>
                      <w:sz w:val="18"/>
                      <w:szCs w:val="18"/>
                    </w:rPr>
                  </w:pPr>
                </w:p>
              </w:tc>
              <w:tc>
                <w:tcPr>
                  <w:tcW w:w="1260" w:type="dxa"/>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经济作物</w:t>
                  </w:r>
                </w:p>
              </w:tc>
              <w:tc>
                <w:tcPr>
                  <w:tcW w:w="3621" w:type="dxa"/>
                  <w:gridSpan w:val="2"/>
                  <w:noWrap/>
                  <w:vAlign w:val="center"/>
                </w:tcPr>
                <w:p>
                  <w:pPr>
                    <w:wordWrap w:val="0"/>
                    <w:adjustRightInd w:val="0"/>
                    <w:snapToGrid w:val="0"/>
                    <w:ind w:left="-71" w:leftChars="-34" w:right="-71" w:rightChars="-34"/>
                    <w:jc w:val="center"/>
                    <w:rPr>
                      <w:color w:val="auto"/>
                      <w:spacing w:val="-4"/>
                      <w:sz w:val="18"/>
                      <w:szCs w:val="18"/>
                    </w:rPr>
                  </w:pPr>
                  <w:r>
                    <w:rPr>
                      <w:color w:val="auto"/>
                      <w:spacing w:val="-4"/>
                      <w:sz w:val="18"/>
                      <w:szCs w:val="18"/>
                    </w:rPr>
                    <w:t>桃、李、核桃等</w:t>
                  </w:r>
                </w:p>
              </w:tc>
              <w:tc>
                <w:tcPr>
                  <w:tcW w:w="2289" w:type="dxa"/>
                  <w:vMerge w:val="continue"/>
                  <w:noWrap/>
                  <w:vAlign w:val="bottom"/>
                </w:tcPr>
                <w:p>
                  <w:pPr>
                    <w:wordWrap w:val="0"/>
                    <w:adjustRightInd w:val="0"/>
                    <w:snapToGrid w:val="0"/>
                    <w:ind w:left="-71" w:leftChars="-34" w:right="-71" w:rightChars="-34"/>
                    <w:jc w:val="center"/>
                    <w:rPr>
                      <w:color w:val="auto"/>
                      <w:spacing w:val="-4"/>
                      <w:sz w:val="18"/>
                      <w:szCs w:val="18"/>
                    </w:rPr>
                  </w:pPr>
                </w:p>
              </w:tc>
            </w:tr>
          </w:tbl>
          <w:p>
            <w:pPr>
              <w:adjustRightInd w:val="0"/>
              <w:snapToGrid w:val="0"/>
              <w:spacing w:line="360" w:lineRule="auto"/>
              <w:ind w:firstLine="420" w:firstLineChars="200"/>
              <w:rPr>
                <w:color w:val="auto"/>
                <w:kern w:val="0"/>
              </w:rPr>
            </w:pPr>
            <w:r>
              <w:rPr>
                <w:rFonts w:hint="eastAsia"/>
                <w:color w:val="auto"/>
                <w:kern w:val="0"/>
              </w:rPr>
              <w:t>本项目生态影响区域范围无《国家重点保护野生植物名录</w:t>
            </w:r>
            <w:r>
              <w:rPr>
                <w:rFonts w:hint="eastAsia"/>
                <w:color w:val="auto"/>
                <w:kern w:val="0"/>
                <w:lang w:eastAsia="zh-CN"/>
              </w:rPr>
              <w:t>》《</w:t>
            </w:r>
            <w:r>
              <w:rPr>
                <w:rFonts w:hint="eastAsia"/>
                <w:color w:val="auto"/>
                <w:kern w:val="0"/>
              </w:rPr>
              <w:t>四川省重点保护野生植物名录》中所列的物种，评价区域范围内没有挂牌古树名木分布。</w:t>
            </w:r>
          </w:p>
          <w:p>
            <w:pPr>
              <w:adjustRightInd w:val="0"/>
              <w:snapToGrid w:val="0"/>
              <w:spacing w:line="360" w:lineRule="auto"/>
              <w:ind w:firstLine="420" w:firstLineChars="200"/>
              <w:rPr>
                <w:color w:val="auto"/>
                <w:kern w:val="0"/>
              </w:rPr>
            </w:pPr>
            <w:r>
              <w:rPr>
                <w:rFonts w:hint="eastAsia"/>
                <w:color w:val="auto"/>
                <w:kern w:val="0"/>
              </w:rPr>
              <w:t>（3）区域动物现状</w:t>
            </w:r>
          </w:p>
          <w:p>
            <w:pPr>
              <w:adjustRightInd w:val="0"/>
              <w:snapToGrid w:val="0"/>
              <w:spacing w:line="360" w:lineRule="auto"/>
              <w:ind w:firstLine="420" w:firstLineChars="200"/>
              <w:rPr>
                <w:color w:val="auto"/>
                <w:kern w:val="0"/>
              </w:rPr>
            </w:pPr>
            <w:r>
              <w:rPr>
                <w:rFonts w:hint="eastAsia"/>
                <w:color w:val="auto"/>
                <w:kern w:val="0"/>
              </w:rPr>
              <w:t>本项目所在矿区属构造剥蚀为主的浅切割的中低山斜坡地貌，植被以马尾松林、柏木林、青冈-枫香林、黄荆-盐麸木灌丛、白栎-枹栎与草本形成的地带性植被为主。因此野生脊椎动物种类相对较少。评价区内的两栖、爬行动物、兽类的种类和数量均较少；鸟类相对容易观察到。兽类对外界干扰较为敏感，以小型兽类为主，少见大中型兽类实体和痕迹。</w:t>
            </w:r>
          </w:p>
          <w:p>
            <w:pPr>
              <w:adjustRightInd w:val="0"/>
              <w:snapToGrid w:val="0"/>
              <w:spacing w:line="360" w:lineRule="auto"/>
              <w:ind w:firstLine="420" w:firstLineChars="200"/>
              <w:rPr>
                <w:color w:val="auto"/>
                <w:kern w:val="0"/>
              </w:rPr>
            </w:pPr>
            <w:r>
              <w:rPr>
                <w:rFonts w:hint="eastAsia"/>
                <w:color w:val="auto"/>
                <w:kern w:val="0"/>
              </w:rPr>
              <w:t>经实地调查与访问以及收集的资料显示，评价区域共有陆生脊椎动物5目9科19种，其中，两栖动物1目2科3种，爬行动物1目1科2种，鸟类2目5科12种，兽类1目1科2种。无国家重点保护野生鸟类，无国家级保护两栖、爬行动物和兽类。</w:t>
            </w:r>
          </w:p>
          <w:p>
            <w:pPr>
              <w:adjustRightInd w:val="0"/>
              <w:snapToGrid w:val="0"/>
              <w:spacing w:line="360" w:lineRule="auto"/>
              <w:jc w:val="center"/>
              <w:rPr>
                <w:b/>
                <w:color w:val="auto"/>
                <w:kern w:val="0"/>
                <w:sz w:val="18"/>
                <w:szCs w:val="18"/>
              </w:rPr>
            </w:pPr>
            <w:r>
              <w:rPr>
                <w:rFonts w:hint="eastAsia"/>
                <w:b/>
                <w:color w:val="auto"/>
                <w:kern w:val="0"/>
                <w:sz w:val="18"/>
                <w:szCs w:val="18"/>
              </w:rPr>
              <w:t>表</w:t>
            </w:r>
            <w:r>
              <w:rPr>
                <w:b/>
                <w:color w:val="auto"/>
                <w:kern w:val="0"/>
                <w:sz w:val="18"/>
                <w:szCs w:val="18"/>
              </w:rPr>
              <w:t>3-3</w:t>
            </w:r>
            <w:r>
              <w:rPr>
                <w:rFonts w:hint="eastAsia"/>
                <w:b/>
                <w:color w:val="auto"/>
                <w:kern w:val="0"/>
                <w:sz w:val="18"/>
                <w:szCs w:val="18"/>
              </w:rPr>
              <w:t xml:space="preserve"> 评价区域脊椎动物种类统计表</w:t>
            </w:r>
          </w:p>
          <w:tbl>
            <w:tblPr>
              <w:tblStyle w:val="14"/>
              <w:tblW w:w="799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1335"/>
              <w:gridCol w:w="1330"/>
              <w:gridCol w:w="1341"/>
              <w:gridCol w:w="1330"/>
              <w:gridCol w:w="13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3" w:type="pct"/>
                  <w:vMerge w:val="restart"/>
                  <w:vAlign w:val="center"/>
                </w:tcPr>
                <w:p>
                  <w:pPr>
                    <w:jc w:val="center"/>
                    <w:rPr>
                      <w:bCs/>
                      <w:color w:val="auto"/>
                      <w:sz w:val="18"/>
                      <w:szCs w:val="18"/>
                    </w:rPr>
                  </w:pPr>
                  <w:r>
                    <w:rPr>
                      <w:bCs/>
                      <w:color w:val="auto"/>
                      <w:sz w:val="18"/>
                      <w:szCs w:val="18"/>
                    </w:rPr>
                    <w:t>类群</w:t>
                  </w:r>
                </w:p>
              </w:tc>
              <w:tc>
                <w:tcPr>
                  <w:tcW w:w="2504" w:type="pct"/>
                  <w:gridSpan w:val="3"/>
                  <w:vAlign w:val="center"/>
                </w:tcPr>
                <w:p>
                  <w:pPr>
                    <w:jc w:val="center"/>
                    <w:rPr>
                      <w:bCs/>
                      <w:color w:val="auto"/>
                      <w:sz w:val="18"/>
                      <w:szCs w:val="18"/>
                    </w:rPr>
                  </w:pPr>
                  <w:r>
                    <w:rPr>
                      <w:bCs/>
                      <w:color w:val="auto"/>
                      <w:sz w:val="18"/>
                      <w:szCs w:val="18"/>
                    </w:rPr>
                    <w:t>物种丰富度</w:t>
                  </w:r>
                </w:p>
              </w:tc>
              <w:tc>
                <w:tcPr>
                  <w:tcW w:w="1662" w:type="pct"/>
                  <w:gridSpan w:val="2"/>
                  <w:vAlign w:val="center"/>
                </w:tcPr>
                <w:p>
                  <w:pPr>
                    <w:jc w:val="center"/>
                    <w:rPr>
                      <w:bCs/>
                      <w:color w:val="auto"/>
                      <w:sz w:val="18"/>
                      <w:szCs w:val="18"/>
                    </w:rPr>
                  </w:pPr>
                  <w:r>
                    <w:rPr>
                      <w:bCs/>
                      <w:color w:val="auto"/>
                      <w:sz w:val="18"/>
                      <w:szCs w:val="18"/>
                    </w:rPr>
                    <w:t>国家重点保护种数(种)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3" w:type="pct"/>
                  <w:vMerge w:val="continue"/>
                  <w:vAlign w:val="center"/>
                </w:tcPr>
                <w:p>
                  <w:pPr>
                    <w:widowControl/>
                    <w:jc w:val="center"/>
                    <w:rPr>
                      <w:bCs/>
                      <w:color w:val="auto"/>
                      <w:sz w:val="18"/>
                      <w:szCs w:val="18"/>
                    </w:rPr>
                  </w:pPr>
                </w:p>
              </w:tc>
              <w:tc>
                <w:tcPr>
                  <w:tcW w:w="835" w:type="pct"/>
                  <w:vAlign w:val="center"/>
                </w:tcPr>
                <w:p>
                  <w:pPr>
                    <w:jc w:val="center"/>
                    <w:rPr>
                      <w:bCs/>
                      <w:color w:val="auto"/>
                      <w:sz w:val="18"/>
                      <w:szCs w:val="18"/>
                    </w:rPr>
                  </w:pPr>
                  <w:r>
                    <w:rPr>
                      <w:bCs/>
                      <w:color w:val="auto"/>
                      <w:sz w:val="18"/>
                      <w:szCs w:val="18"/>
                    </w:rPr>
                    <w:t>目数</w:t>
                  </w:r>
                </w:p>
              </w:tc>
              <w:tc>
                <w:tcPr>
                  <w:tcW w:w="831" w:type="pct"/>
                  <w:vAlign w:val="center"/>
                </w:tcPr>
                <w:p>
                  <w:pPr>
                    <w:jc w:val="center"/>
                    <w:rPr>
                      <w:bCs/>
                      <w:color w:val="auto"/>
                      <w:sz w:val="18"/>
                      <w:szCs w:val="18"/>
                    </w:rPr>
                  </w:pPr>
                  <w:r>
                    <w:rPr>
                      <w:bCs/>
                      <w:color w:val="auto"/>
                      <w:sz w:val="18"/>
                      <w:szCs w:val="18"/>
                    </w:rPr>
                    <w:t>科数</w:t>
                  </w:r>
                </w:p>
              </w:tc>
              <w:tc>
                <w:tcPr>
                  <w:tcW w:w="837" w:type="pct"/>
                  <w:vAlign w:val="center"/>
                </w:tcPr>
                <w:p>
                  <w:pPr>
                    <w:jc w:val="center"/>
                    <w:rPr>
                      <w:bCs/>
                      <w:color w:val="auto"/>
                      <w:sz w:val="18"/>
                      <w:szCs w:val="18"/>
                    </w:rPr>
                  </w:pPr>
                  <w:r>
                    <w:rPr>
                      <w:bCs/>
                      <w:color w:val="auto"/>
                      <w:sz w:val="18"/>
                      <w:szCs w:val="18"/>
                    </w:rPr>
                    <w:t>种数</w:t>
                  </w:r>
                </w:p>
              </w:tc>
              <w:tc>
                <w:tcPr>
                  <w:tcW w:w="831" w:type="pct"/>
                  <w:vAlign w:val="center"/>
                </w:tcPr>
                <w:p>
                  <w:pPr>
                    <w:jc w:val="center"/>
                    <w:rPr>
                      <w:bCs/>
                      <w:color w:val="auto"/>
                      <w:sz w:val="18"/>
                      <w:szCs w:val="18"/>
                    </w:rPr>
                  </w:pPr>
                  <w:r>
                    <w:rPr>
                      <w:bCs/>
                      <w:color w:val="auto"/>
                      <w:sz w:val="18"/>
                      <w:szCs w:val="18"/>
                    </w:rPr>
                    <w:t>国家Ⅰ级</w:t>
                  </w:r>
                </w:p>
              </w:tc>
              <w:tc>
                <w:tcPr>
                  <w:tcW w:w="830" w:type="pct"/>
                  <w:vAlign w:val="center"/>
                </w:tcPr>
                <w:p>
                  <w:pPr>
                    <w:jc w:val="center"/>
                    <w:rPr>
                      <w:bCs/>
                      <w:color w:val="auto"/>
                      <w:sz w:val="18"/>
                      <w:szCs w:val="18"/>
                    </w:rPr>
                  </w:pPr>
                  <w:r>
                    <w:rPr>
                      <w:bCs/>
                      <w:color w:val="auto"/>
                      <w:sz w:val="18"/>
                      <w:szCs w:val="18"/>
                    </w:rPr>
                    <w:t>国家Ⅱ级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3" w:type="pct"/>
                  <w:vAlign w:val="center"/>
                </w:tcPr>
                <w:p>
                  <w:pPr>
                    <w:widowControl/>
                    <w:adjustRightInd w:val="0"/>
                    <w:snapToGrid w:val="0"/>
                    <w:jc w:val="center"/>
                    <w:rPr>
                      <w:bCs/>
                      <w:color w:val="auto"/>
                      <w:kern w:val="0"/>
                      <w:sz w:val="18"/>
                      <w:szCs w:val="18"/>
                    </w:rPr>
                  </w:pPr>
                  <w:r>
                    <w:rPr>
                      <w:bCs/>
                      <w:color w:val="auto"/>
                      <w:kern w:val="0"/>
                      <w:sz w:val="18"/>
                      <w:szCs w:val="18"/>
                    </w:rPr>
                    <w:t>两栖类</w:t>
                  </w:r>
                </w:p>
              </w:tc>
              <w:tc>
                <w:tcPr>
                  <w:tcW w:w="835" w:type="pct"/>
                  <w:vAlign w:val="center"/>
                </w:tcPr>
                <w:p>
                  <w:pPr>
                    <w:widowControl/>
                    <w:adjustRightInd w:val="0"/>
                    <w:snapToGrid w:val="0"/>
                    <w:jc w:val="center"/>
                    <w:rPr>
                      <w:color w:val="auto"/>
                      <w:kern w:val="0"/>
                      <w:sz w:val="18"/>
                      <w:szCs w:val="18"/>
                    </w:rPr>
                  </w:pPr>
                  <w:r>
                    <w:rPr>
                      <w:color w:val="auto"/>
                      <w:kern w:val="0"/>
                      <w:sz w:val="18"/>
                      <w:szCs w:val="18"/>
                    </w:rPr>
                    <w:t>1</w:t>
                  </w:r>
                </w:p>
              </w:tc>
              <w:tc>
                <w:tcPr>
                  <w:tcW w:w="831" w:type="pct"/>
                  <w:vAlign w:val="center"/>
                </w:tcPr>
                <w:p>
                  <w:pPr>
                    <w:widowControl/>
                    <w:adjustRightInd w:val="0"/>
                    <w:snapToGrid w:val="0"/>
                    <w:jc w:val="center"/>
                    <w:rPr>
                      <w:color w:val="auto"/>
                      <w:kern w:val="0"/>
                      <w:sz w:val="18"/>
                      <w:szCs w:val="18"/>
                    </w:rPr>
                  </w:pPr>
                  <w:r>
                    <w:rPr>
                      <w:color w:val="auto"/>
                      <w:kern w:val="0"/>
                      <w:sz w:val="18"/>
                      <w:szCs w:val="18"/>
                    </w:rPr>
                    <w:t>2</w:t>
                  </w:r>
                </w:p>
              </w:tc>
              <w:tc>
                <w:tcPr>
                  <w:tcW w:w="837" w:type="pct"/>
                  <w:vAlign w:val="center"/>
                </w:tcPr>
                <w:p>
                  <w:pPr>
                    <w:widowControl/>
                    <w:adjustRightInd w:val="0"/>
                    <w:snapToGrid w:val="0"/>
                    <w:jc w:val="center"/>
                    <w:rPr>
                      <w:color w:val="auto"/>
                      <w:kern w:val="0"/>
                      <w:sz w:val="18"/>
                      <w:szCs w:val="18"/>
                    </w:rPr>
                  </w:pPr>
                  <w:r>
                    <w:rPr>
                      <w:color w:val="auto"/>
                      <w:kern w:val="0"/>
                      <w:sz w:val="18"/>
                      <w:szCs w:val="18"/>
                    </w:rPr>
                    <w:t>3</w:t>
                  </w:r>
                </w:p>
              </w:tc>
              <w:tc>
                <w:tcPr>
                  <w:tcW w:w="831" w:type="pct"/>
                  <w:vAlign w:val="center"/>
                </w:tcPr>
                <w:p>
                  <w:pPr>
                    <w:jc w:val="center"/>
                    <w:rPr>
                      <w:color w:val="auto"/>
                      <w:sz w:val="18"/>
                      <w:szCs w:val="18"/>
                    </w:rPr>
                  </w:pPr>
                  <w:r>
                    <w:rPr>
                      <w:color w:val="auto"/>
                      <w:sz w:val="18"/>
                      <w:szCs w:val="18"/>
                    </w:rPr>
                    <w:t>/</w:t>
                  </w:r>
                </w:p>
              </w:tc>
              <w:tc>
                <w:tcPr>
                  <w:tcW w:w="830" w:type="pct"/>
                  <w:vAlign w:val="center"/>
                </w:tcPr>
                <w:p>
                  <w:pPr>
                    <w:widowControl/>
                    <w:adjustRightInd w:val="0"/>
                    <w:snapToGrid w:val="0"/>
                    <w:jc w:val="center"/>
                    <w:rPr>
                      <w:color w:val="auto"/>
                      <w:kern w:val="0"/>
                      <w:sz w:val="18"/>
                      <w:szCs w:val="18"/>
                    </w:rPr>
                  </w:pPr>
                  <w:r>
                    <w:rPr>
                      <w:color w:val="auto"/>
                      <w:kern w:val="0"/>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3" w:type="pct"/>
                  <w:vAlign w:val="center"/>
                </w:tcPr>
                <w:p>
                  <w:pPr>
                    <w:widowControl/>
                    <w:adjustRightInd w:val="0"/>
                    <w:snapToGrid w:val="0"/>
                    <w:jc w:val="center"/>
                    <w:rPr>
                      <w:bCs/>
                      <w:color w:val="auto"/>
                      <w:kern w:val="0"/>
                      <w:sz w:val="18"/>
                      <w:szCs w:val="18"/>
                    </w:rPr>
                  </w:pPr>
                  <w:r>
                    <w:rPr>
                      <w:bCs/>
                      <w:color w:val="auto"/>
                      <w:kern w:val="0"/>
                      <w:sz w:val="18"/>
                      <w:szCs w:val="18"/>
                    </w:rPr>
                    <w:t>爬行类</w:t>
                  </w:r>
                </w:p>
              </w:tc>
              <w:tc>
                <w:tcPr>
                  <w:tcW w:w="835" w:type="pct"/>
                  <w:vAlign w:val="center"/>
                </w:tcPr>
                <w:p>
                  <w:pPr>
                    <w:widowControl/>
                    <w:adjustRightInd w:val="0"/>
                    <w:snapToGrid w:val="0"/>
                    <w:jc w:val="center"/>
                    <w:rPr>
                      <w:color w:val="auto"/>
                      <w:kern w:val="0"/>
                      <w:sz w:val="18"/>
                      <w:szCs w:val="18"/>
                    </w:rPr>
                  </w:pPr>
                  <w:r>
                    <w:rPr>
                      <w:color w:val="auto"/>
                      <w:kern w:val="0"/>
                      <w:sz w:val="18"/>
                      <w:szCs w:val="18"/>
                    </w:rPr>
                    <w:t>1</w:t>
                  </w:r>
                </w:p>
              </w:tc>
              <w:tc>
                <w:tcPr>
                  <w:tcW w:w="831" w:type="pct"/>
                  <w:vAlign w:val="center"/>
                </w:tcPr>
                <w:p>
                  <w:pPr>
                    <w:widowControl/>
                    <w:adjustRightInd w:val="0"/>
                    <w:snapToGrid w:val="0"/>
                    <w:jc w:val="center"/>
                    <w:rPr>
                      <w:color w:val="auto"/>
                      <w:kern w:val="0"/>
                      <w:sz w:val="18"/>
                      <w:szCs w:val="18"/>
                    </w:rPr>
                  </w:pPr>
                  <w:r>
                    <w:rPr>
                      <w:color w:val="auto"/>
                      <w:kern w:val="0"/>
                      <w:sz w:val="18"/>
                      <w:szCs w:val="18"/>
                    </w:rPr>
                    <w:t>1</w:t>
                  </w:r>
                </w:p>
              </w:tc>
              <w:tc>
                <w:tcPr>
                  <w:tcW w:w="837" w:type="pct"/>
                  <w:vAlign w:val="center"/>
                </w:tcPr>
                <w:p>
                  <w:pPr>
                    <w:widowControl/>
                    <w:adjustRightInd w:val="0"/>
                    <w:snapToGrid w:val="0"/>
                    <w:jc w:val="center"/>
                    <w:rPr>
                      <w:color w:val="auto"/>
                      <w:kern w:val="0"/>
                      <w:sz w:val="18"/>
                      <w:szCs w:val="18"/>
                    </w:rPr>
                  </w:pPr>
                  <w:r>
                    <w:rPr>
                      <w:color w:val="auto"/>
                      <w:kern w:val="0"/>
                      <w:sz w:val="18"/>
                      <w:szCs w:val="18"/>
                    </w:rPr>
                    <w:t>2</w:t>
                  </w:r>
                </w:p>
              </w:tc>
              <w:tc>
                <w:tcPr>
                  <w:tcW w:w="831" w:type="pct"/>
                  <w:vAlign w:val="center"/>
                </w:tcPr>
                <w:p>
                  <w:pPr>
                    <w:jc w:val="center"/>
                    <w:rPr>
                      <w:color w:val="auto"/>
                      <w:sz w:val="18"/>
                      <w:szCs w:val="18"/>
                    </w:rPr>
                  </w:pPr>
                  <w:r>
                    <w:rPr>
                      <w:color w:val="auto"/>
                      <w:sz w:val="18"/>
                      <w:szCs w:val="18"/>
                    </w:rPr>
                    <w:t>/</w:t>
                  </w:r>
                </w:p>
              </w:tc>
              <w:tc>
                <w:tcPr>
                  <w:tcW w:w="830" w:type="pct"/>
                  <w:vAlign w:val="center"/>
                </w:tcPr>
                <w:p>
                  <w:pPr>
                    <w:widowControl/>
                    <w:adjustRightInd w:val="0"/>
                    <w:snapToGrid w:val="0"/>
                    <w:jc w:val="center"/>
                    <w:rPr>
                      <w:color w:val="auto"/>
                      <w:kern w:val="0"/>
                      <w:sz w:val="18"/>
                      <w:szCs w:val="18"/>
                    </w:rPr>
                  </w:pPr>
                  <w:r>
                    <w:rPr>
                      <w:color w:val="auto"/>
                      <w:kern w:val="0"/>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3" w:type="pct"/>
                  <w:vAlign w:val="center"/>
                </w:tcPr>
                <w:p>
                  <w:pPr>
                    <w:widowControl/>
                    <w:adjustRightInd w:val="0"/>
                    <w:snapToGrid w:val="0"/>
                    <w:jc w:val="center"/>
                    <w:rPr>
                      <w:bCs/>
                      <w:color w:val="auto"/>
                      <w:kern w:val="0"/>
                      <w:sz w:val="18"/>
                      <w:szCs w:val="18"/>
                    </w:rPr>
                  </w:pPr>
                  <w:r>
                    <w:rPr>
                      <w:bCs/>
                      <w:color w:val="auto"/>
                      <w:kern w:val="0"/>
                      <w:sz w:val="18"/>
                      <w:szCs w:val="18"/>
                    </w:rPr>
                    <w:t>鸟类</w:t>
                  </w:r>
                </w:p>
              </w:tc>
              <w:tc>
                <w:tcPr>
                  <w:tcW w:w="835" w:type="pct"/>
                  <w:vAlign w:val="center"/>
                </w:tcPr>
                <w:p>
                  <w:pPr>
                    <w:widowControl/>
                    <w:adjustRightInd w:val="0"/>
                    <w:snapToGrid w:val="0"/>
                    <w:jc w:val="center"/>
                    <w:rPr>
                      <w:color w:val="auto"/>
                      <w:kern w:val="0"/>
                      <w:sz w:val="18"/>
                      <w:szCs w:val="18"/>
                    </w:rPr>
                  </w:pPr>
                  <w:r>
                    <w:rPr>
                      <w:color w:val="auto"/>
                      <w:kern w:val="0"/>
                      <w:sz w:val="18"/>
                      <w:szCs w:val="18"/>
                    </w:rPr>
                    <w:t>2</w:t>
                  </w:r>
                </w:p>
              </w:tc>
              <w:tc>
                <w:tcPr>
                  <w:tcW w:w="831" w:type="pct"/>
                  <w:vAlign w:val="center"/>
                </w:tcPr>
                <w:p>
                  <w:pPr>
                    <w:widowControl/>
                    <w:adjustRightInd w:val="0"/>
                    <w:snapToGrid w:val="0"/>
                    <w:jc w:val="center"/>
                    <w:rPr>
                      <w:color w:val="auto"/>
                      <w:kern w:val="0"/>
                      <w:sz w:val="18"/>
                      <w:szCs w:val="18"/>
                    </w:rPr>
                  </w:pPr>
                  <w:r>
                    <w:rPr>
                      <w:color w:val="auto"/>
                      <w:kern w:val="0"/>
                      <w:sz w:val="18"/>
                      <w:szCs w:val="18"/>
                    </w:rPr>
                    <w:t>5</w:t>
                  </w:r>
                </w:p>
              </w:tc>
              <w:tc>
                <w:tcPr>
                  <w:tcW w:w="837" w:type="pct"/>
                  <w:vAlign w:val="center"/>
                </w:tcPr>
                <w:p>
                  <w:pPr>
                    <w:widowControl/>
                    <w:adjustRightInd w:val="0"/>
                    <w:snapToGrid w:val="0"/>
                    <w:jc w:val="center"/>
                    <w:rPr>
                      <w:color w:val="auto"/>
                      <w:kern w:val="0"/>
                      <w:sz w:val="18"/>
                      <w:szCs w:val="18"/>
                    </w:rPr>
                  </w:pPr>
                  <w:r>
                    <w:rPr>
                      <w:color w:val="auto"/>
                      <w:kern w:val="0"/>
                      <w:sz w:val="18"/>
                      <w:szCs w:val="18"/>
                    </w:rPr>
                    <w:t>12</w:t>
                  </w:r>
                </w:p>
              </w:tc>
              <w:tc>
                <w:tcPr>
                  <w:tcW w:w="831" w:type="pct"/>
                  <w:vAlign w:val="center"/>
                </w:tcPr>
                <w:p>
                  <w:pPr>
                    <w:jc w:val="center"/>
                    <w:rPr>
                      <w:color w:val="auto"/>
                      <w:sz w:val="18"/>
                      <w:szCs w:val="18"/>
                    </w:rPr>
                  </w:pPr>
                  <w:r>
                    <w:rPr>
                      <w:color w:val="auto"/>
                      <w:sz w:val="18"/>
                      <w:szCs w:val="18"/>
                    </w:rPr>
                    <w:t>/</w:t>
                  </w:r>
                </w:p>
              </w:tc>
              <w:tc>
                <w:tcPr>
                  <w:tcW w:w="830" w:type="pct"/>
                  <w:vAlign w:val="center"/>
                </w:tcPr>
                <w:p>
                  <w:pPr>
                    <w:widowControl/>
                    <w:adjustRightInd w:val="0"/>
                    <w:snapToGrid w:val="0"/>
                    <w:jc w:val="center"/>
                    <w:rPr>
                      <w:color w:val="auto"/>
                      <w:kern w:val="0"/>
                      <w:sz w:val="18"/>
                      <w:szCs w:val="18"/>
                    </w:rPr>
                  </w:pPr>
                  <w:r>
                    <w:rPr>
                      <w:color w:val="auto"/>
                      <w:kern w:val="0"/>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3" w:type="pct"/>
                  <w:vAlign w:val="center"/>
                </w:tcPr>
                <w:p>
                  <w:pPr>
                    <w:widowControl/>
                    <w:adjustRightInd w:val="0"/>
                    <w:snapToGrid w:val="0"/>
                    <w:jc w:val="center"/>
                    <w:rPr>
                      <w:bCs/>
                      <w:color w:val="auto"/>
                      <w:kern w:val="0"/>
                      <w:sz w:val="18"/>
                      <w:szCs w:val="18"/>
                    </w:rPr>
                  </w:pPr>
                  <w:r>
                    <w:rPr>
                      <w:bCs/>
                      <w:color w:val="auto"/>
                      <w:kern w:val="0"/>
                      <w:sz w:val="18"/>
                      <w:szCs w:val="18"/>
                    </w:rPr>
                    <w:t>兽类</w:t>
                  </w:r>
                </w:p>
              </w:tc>
              <w:tc>
                <w:tcPr>
                  <w:tcW w:w="835" w:type="pct"/>
                  <w:vAlign w:val="center"/>
                </w:tcPr>
                <w:p>
                  <w:pPr>
                    <w:widowControl/>
                    <w:adjustRightInd w:val="0"/>
                    <w:snapToGrid w:val="0"/>
                    <w:jc w:val="center"/>
                    <w:rPr>
                      <w:color w:val="auto"/>
                      <w:kern w:val="0"/>
                      <w:sz w:val="18"/>
                      <w:szCs w:val="18"/>
                    </w:rPr>
                  </w:pPr>
                  <w:r>
                    <w:rPr>
                      <w:color w:val="auto"/>
                      <w:kern w:val="0"/>
                      <w:sz w:val="18"/>
                      <w:szCs w:val="18"/>
                    </w:rPr>
                    <w:t>1</w:t>
                  </w:r>
                </w:p>
              </w:tc>
              <w:tc>
                <w:tcPr>
                  <w:tcW w:w="831" w:type="pct"/>
                  <w:vAlign w:val="center"/>
                </w:tcPr>
                <w:p>
                  <w:pPr>
                    <w:widowControl/>
                    <w:adjustRightInd w:val="0"/>
                    <w:snapToGrid w:val="0"/>
                    <w:jc w:val="center"/>
                    <w:rPr>
                      <w:color w:val="auto"/>
                      <w:kern w:val="0"/>
                      <w:sz w:val="18"/>
                      <w:szCs w:val="18"/>
                    </w:rPr>
                  </w:pPr>
                  <w:r>
                    <w:rPr>
                      <w:color w:val="auto"/>
                      <w:kern w:val="0"/>
                      <w:sz w:val="18"/>
                      <w:szCs w:val="18"/>
                    </w:rPr>
                    <w:t>1</w:t>
                  </w:r>
                </w:p>
              </w:tc>
              <w:tc>
                <w:tcPr>
                  <w:tcW w:w="837" w:type="pct"/>
                  <w:vAlign w:val="center"/>
                </w:tcPr>
                <w:p>
                  <w:pPr>
                    <w:widowControl/>
                    <w:adjustRightInd w:val="0"/>
                    <w:snapToGrid w:val="0"/>
                    <w:jc w:val="center"/>
                    <w:rPr>
                      <w:color w:val="auto"/>
                      <w:kern w:val="0"/>
                      <w:sz w:val="18"/>
                      <w:szCs w:val="18"/>
                    </w:rPr>
                  </w:pPr>
                  <w:r>
                    <w:rPr>
                      <w:color w:val="auto"/>
                      <w:kern w:val="0"/>
                      <w:sz w:val="18"/>
                      <w:szCs w:val="18"/>
                    </w:rPr>
                    <w:t>2</w:t>
                  </w:r>
                </w:p>
              </w:tc>
              <w:tc>
                <w:tcPr>
                  <w:tcW w:w="831" w:type="pct"/>
                  <w:vAlign w:val="center"/>
                </w:tcPr>
                <w:p>
                  <w:pPr>
                    <w:jc w:val="center"/>
                    <w:rPr>
                      <w:color w:val="auto"/>
                      <w:sz w:val="18"/>
                      <w:szCs w:val="18"/>
                    </w:rPr>
                  </w:pPr>
                  <w:r>
                    <w:rPr>
                      <w:color w:val="auto"/>
                      <w:sz w:val="18"/>
                      <w:szCs w:val="18"/>
                    </w:rPr>
                    <w:t>/</w:t>
                  </w:r>
                </w:p>
              </w:tc>
              <w:tc>
                <w:tcPr>
                  <w:tcW w:w="830" w:type="pct"/>
                  <w:vAlign w:val="center"/>
                </w:tcPr>
                <w:p>
                  <w:pPr>
                    <w:widowControl/>
                    <w:adjustRightInd w:val="0"/>
                    <w:snapToGrid w:val="0"/>
                    <w:jc w:val="center"/>
                    <w:rPr>
                      <w:color w:val="auto"/>
                      <w:kern w:val="0"/>
                      <w:sz w:val="18"/>
                      <w:szCs w:val="18"/>
                    </w:rPr>
                  </w:pPr>
                  <w:r>
                    <w:rPr>
                      <w:color w:val="auto"/>
                      <w:kern w:val="0"/>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33" w:type="pct"/>
                  <w:vAlign w:val="center"/>
                </w:tcPr>
                <w:p>
                  <w:pPr>
                    <w:widowControl/>
                    <w:adjustRightInd w:val="0"/>
                    <w:snapToGrid w:val="0"/>
                    <w:jc w:val="center"/>
                    <w:rPr>
                      <w:bCs/>
                      <w:color w:val="auto"/>
                      <w:kern w:val="0"/>
                      <w:sz w:val="18"/>
                      <w:szCs w:val="18"/>
                    </w:rPr>
                  </w:pPr>
                  <w:r>
                    <w:rPr>
                      <w:bCs/>
                      <w:color w:val="auto"/>
                      <w:kern w:val="0"/>
                      <w:sz w:val="18"/>
                      <w:szCs w:val="18"/>
                    </w:rPr>
                    <w:t>合计</w:t>
                  </w:r>
                </w:p>
              </w:tc>
              <w:tc>
                <w:tcPr>
                  <w:tcW w:w="835" w:type="pct"/>
                  <w:vAlign w:val="center"/>
                </w:tcPr>
                <w:p>
                  <w:pPr>
                    <w:widowControl/>
                    <w:adjustRightInd w:val="0"/>
                    <w:snapToGrid w:val="0"/>
                    <w:jc w:val="center"/>
                    <w:rPr>
                      <w:color w:val="auto"/>
                      <w:kern w:val="0"/>
                      <w:sz w:val="18"/>
                      <w:szCs w:val="18"/>
                    </w:rPr>
                  </w:pPr>
                  <w:r>
                    <w:rPr>
                      <w:color w:val="auto"/>
                      <w:kern w:val="0"/>
                      <w:sz w:val="18"/>
                      <w:szCs w:val="18"/>
                    </w:rPr>
                    <w:t>5</w:t>
                  </w:r>
                </w:p>
              </w:tc>
              <w:tc>
                <w:tcPr>
                  <w:tcW w:w="831" w:type="pct"/>
                  <w:vAlign w:val="center"/>
                </w:tcPr>
                <w:p>
                  <w:pPr>
                    <w:widowControl/>
                    <w:adjustRightInd w:val="0"/>
                    <w:snapToGrid w:val="0"/>
                    <w:jc w:val="center"/>
                    <w:rPr>
                      <w:color w:val="auto"/>
                      <w:kern w:val="0"/>
                      <w:sz w:val="18"/>
                      <w:szCs w:val="18"/>
                    </w:rPr>
                  </w:pPr>
                  <w:r>
                    <w:rPr>
                      <w:color w:val="auto"/>
                      <w:kern w:val="0"/>
                      <w:sz w:val="18"/>
                      <w:szCs w:val="18"/>
                    </w:rPr>
                    <w:t>9</w:t>
                  </w:r>
                </w:p>
              </w:tc>
              <w:tc>
                <w:tcPr>
                  <w:tcW w:w="837" w:type="pct"/>
                  <w:vAlign w:val="center"/>
                </w:tcPr>
                <w:p>
                  <w:pPr>
                    <w:widowControl/>
                    <w:adjustRightInd w:val="0"/>
                    <w:snapToGrid w:val="0"/>
                    <w:jc w:val="center"/>
                    <w:rPr>
                      <w:color w:val="auto"/>
                      <w:kern w:val="0"/>
                      <w:sz w:val="18"/>
                      <w:szCs w:val="18"/>
                    </w:rPr>
                  </w:pPr>
                  <w:r>
                    <w:rPr>
                      <w:color w:val="auto"/>
                      <w:kern w:val="0"/>
                      <w:sz w:val="18"/>
                      <w:szCs w:val="18"/>
                    </w:rPr>
                    <w:t>19</w:t>
                  </w:r>
                </w:p>
              </w:tc>
              <w:tc>
                <w:tcPr>
                  <w:tcW w:w="831" w:type="pct"/>
                  <w:vAlign w:val="center"/>
                </w:tcPr>
                <w:p>
                  <w:pPr>
                    <w:jc w:val="center"/>
                    <w:rPr>
                      <w:color w:val="auto"/>
                      <w:sz w:val="18"/>
                      <w:szCs w:val="18"/>
                    </w:rPr>
                  </w:pPr>
                  <w:r>
                    <w:rPr>
                      <w:color w:val="auto"/>
                      <w:sz w:val="18"/>
                      <w:szCs w:val="18"/>
                    </w:rPr>
                    <w:t>/</w:t>
                  </w:r>
                </w:p>
              </w:tc>
              <w:tc>
                <w:tcPr>
                  <w:tcW w:w="830" w:type="pct"/>
                  <w:vAlign w:val="center"/>
                </w:tcPr>
                <w:p>
                  <w:pPr>
                    <w:widowControl/>
                    <w:adjustRightInd w:val="0"/>
                    <w:snapToGrid w:val="0"/>
                    <w:jc w:val="center"/>
                    <w:rPr>
                      <w:color w:val="auto"/>
                      <w:kern w:val="0"/>
                      <w:sz w:val="18"/>
                      <w:szCs w:val="18"/>
                    </w:rPr>
                  </w:pPr>
                  <w:r>
                    <w:rPr>
                      <w:color w:val="auto"/>
                      <w:kern w:val="0"/>
                      <w:sz w:val="18"/>
                      <w:szCs w:val="18"/>
                    </w:rPr>
                    <w:t>0</w:t>
                  </w:r>
                </w:p>
              </w:tc>
            </w:tr>
          </w:tbl>
          <w:p>
            <w:pPr>
              <w:adjustRightInd w:val="0"/>
              <w:snapToGrid w:val="0"/>
              <w:spacing w:line="360" w:lineRule="auto"/>
              <w:ind w:firstLine="420" w:firstLineChars="200"/>
              <w:rPr>
                <w:color w:val="auto"/>
                <w:kern w:val="0"/>
              </w:rPr>
            </w:pPr>
            <w:r>
              <w:rPr>
                <w:rFonts w:hint="eastAsia"/>
                <w:color w:val="auto"/>
                <w:kern w:val="0"/>
              </w:rPr>
              <w:t>通过查阅资料及走访调查，项目矿区野生脊椎动物共有7种，无国家重要野生动物、濒危动物分布。</w:t>
            </w:r>
          </w:p>
          <w:p>
            <w:pPr>
              <w:adjustRightInd w:val="0"/>
              <w:snapToGrid w:val="0"/>
              <w:spacing w:line="360" w:lineRule="auto"/>
              <w:ind w:firstLine="420" w:firstLineChars="200"/>
              <w:rPr>
                <w:color w:val="auto"/>
                <w:kern w:val="0"/>
              </w:rPr>
            </w:pPr>
            <w:r>
              <w:rPr>
                <w:rFonts w:hint="eastAsia"/>
                <w:color w:val="auto"/>
                <w:kern w:val="0"/>
              </w:rPr>
              <w:t>（4）区域生态环境现状评价</w:t>
            </w:r>
          </w:p>
          <w:p>
            <w:pPr>
              <w:adjustRightInd w:val="0"/>
              <w:snapToGrid w:val="0"/>
              <w:spacing w:line="360" w:lineRule="auto"/>
              <w:ind w:firstLine="420" w:firstLineChars="200"/>
              <w:rPr>
                <w:color w:val="auto"/>
                <w:kern w:val="0"/>
              </w:rPr>
            </w:pPr>
            <w:r>
              <w:rPr>
                <w:rFonts w:hint="eastAsia"/>
                <w:color w:val="auto"/>
                <w:kern w:val="0"/>
              </w:rPr>
              <w:t>项目所在地位于</w:t>
            </w:r>
            <w:r>
              <w:rPr>
                <w:rFonts w:hint="eastAsia" w:ascii="宋体" w:hAnsi="宋体" w:cs="宋体"/>
                <w:color w:val="auto"/>
                <w:szCs w:val="21"/>
              </w:rPr>
              <w:t>达州市宣汉县漆树土家族乡乘龙村</w:t>
            </w:r>
            <w:r>
              <w:rPr>
                <w:rFonts w:hint="eastAsia"/>
                <w:color w:val="auto"/>
                <w:kern w:val="0"/>
              </w:rPr>
              <w:t>，矿区一带总体地形为东高西低的单斜顺向坡。根据调查，通过遥感数据解析和野外实地勘察，评价区域内主要生态类型有：森林生态系统、灌丛生态系统、湿地生态系统和农田生态系统，以及城镇生态系统等。</w:t>
            </w:r>
          </w:p>
          <w:p>
            <w:pPr>
              <w:adjustRightInd w:val="0"/>
              <w:snapToGrid w:val="0"/>
              <w:spacing w:line="360" w:lineRule="auto"/>
              <w:ind w:firstLine="420" w:firstLineChars="200"/>
              <w:rPr>
                <w:color w:val="auto"/>
                <w:kern w:val="0"/>
              </w:rPr>
            </w:pPr>
            <w:r>
              <w:rPr>
                <w:rFonts w:hint="eastAsia"/>
                <w:color w:val="auto"/>
                <w:kern w:val="0"/>
              </w:rPr>
              <w:t>就生态系统结构与功能完整性而言，评价区域的地貌类型以低山丘陵地貌为主，矿区所在的山坡地形较陡，沟谷大多垂直山脉走向分布。山脚地段受人为干扰较大，属于村落聚居区，植被以农田植被为主，散生有四旁林。由于评价区属低山丘陵地貌，植被多为次生林，不具垂直地带性。评价区植被特点为针、阔混交，乔、灌相间，荆棘杂草共生，具有一定的生境多样性，涵盖了马尾松林、柏木林、青冈-枫香林、慈竹林、白栎-枹栎灌丛、黄荆-盐麸木灌丛等多种群系，其物种多样性、建群种种群的年龄结构等都较为稳定。因此评价区的生态系统结构和功能的完整性尚好。</w:t>
            </w:r>
          </w:p>
          <w:p>
            <w:pPr>
              <w:adjustRightInd w:val="0"/>
              <w:snapToGrid w:val="0"/>
              <w:spacing w:line="360" w:lineRule="auto"/>
              <w:ind w:firstLine="420" w:firstLineChars="200"/>
              <w:rPr>
                <w:color w:val="auto"/>
                <w:kern w:val="0"/>
              </w:rPr>
            </w:pPr>
            <w:r>
              <w:rPr>
                <w:rFonts w:hint="eastAsia"/>
                <w:color w:val="auto"/>
                <w:kern w:val="0"/>
              </w:rPr>
              <w:t>就生态过程的完整性而言，评价区内水热条件优越，土壤微生物过程和凋落物分解都非常迅速，水热同步性好、植被的光温潜力较大，生态系统热量生产力、水分生产力在我省处于较高水平，地表生态过程和土壤特性都有利于评价区生态系统的物质循环和能量流动。评价区内生态系统的抗干扰及恢复能力、自组织能力较强。</w:t>
            </w:r>
          </w:p>
          <w:p>
            <w:pPr>
              <w:adjustRightInd w:val="0"/>
              <w:snapToGrid w:val="0"/>
              <w:spacing w:line="360" w:lineRule="auto"/>
              <w:ind w:firstLine="420" w:firstLineChars="200"/>
              <w:rPr>
                <w:color w:val="auto"/>
                <w:kern w:val="0"/>
              </w:rPr>
            </w:pPr>
            <w:r>
              <w:rPr>
                <w:rFonts w:hint="eastAsia"/>
                <w:color w:val="auto"/>
                <w:kern w:val="0"/>
              </w:rPr>
              <w:t>评价区内涵盖了森林生态系统、灌丛生态系统、湿地生态系统和农田生态系统等，可以基本满足当地社会经济发展和群众生产生活</w:t>
            </w:r>
            <w:r>
              <w:rPr>
                <w:rFonts w:hint="eastAsia"/>
                <w:color w:val="auto"/>
                <w:kern w:val="0"/>
                <w:lang w:eastAsia="zh-CN"/>
              </w:rPr>
              <w:t>所必需的</w:t>
            </w:r>
            <w:r>
              <w:rPr>
                <w:rFonts w:hint="eastAsia"/>
                <w:color w:val="auto"/>
                <w:kern w:val="0"/>
              </w:rPr>
              <w:t>物质生产、调节气候、涵养水源、保持水土、净化环境、维持生物多样性、防灾减灾等多功能需求，具备较为完整的生态服务功能。</w:t>
            </w:r>
          </w:p>
          <w:p>
            <w:pPr>
              <w:adjustRightInd w:val="0"/>
              <w:snapToGrid w:val="0"/>
              <w:spacing w:line="360" w:lineRule="auto"/>
              <w:ind w:firstLine="420" w:firstLineChars="200"/>
              <w:rPr>
                <w:color w:val="auto"/>
                <w:kern w:val="0"/>
              </w:rPr>
            </w:pPr>
            <w:r>
              <w:rPr>
                <w:rFonts w:hint="eastAsia"/>
                <w:color w:val="auto"/>
                <w:kern w:val="0"/>
              </w:rPr>
              <w:t>整个评价区的景观格局和生态系统较为完整，项目所在区域生态环境质量现状良好，项目通过及时采取生态恢复措施，对区域生态环境影响很小。</w:t>
            </w:r>
          </w:p>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四、环境空气质量现状</w:t>
            </w:r>
          </w:p>
          <w:p>
            <w:pPr>
              <w:adjustRightInd w:val="0"/>
              <w:snapToGrid w:val="0"/>
              <w:spacing w:line="360" w:lineRule="auto"/>
              <w:ind w:firstLine="420" w:firstLineChars="200"/>
              <w:rPr>
                <w:color w:val="auto"/>
                <w:kern w:val="0"/>
              </w:rPr>
            </w:pPr>
            <w:r>
              <w:rPr>
                <w:rFonts w:hint="eastAsia"/>
                <w:color w:val="auto"/>
                <w:kern w:val="0"/>
              </w:rPr>
              <w:t>1、达标区判定</w:t>
            </w:r>
          </w:p>
          <w:p>
            <w:pPr>
              <w:adjustRightInd w:val="0"/>
              <w:snapToGrid w:val="0"/>
              <w:spacing w:line="360" w:lineRule="auto"/>
              <w:ind w:firstLine="420" w:firstLineChars="200"/>
              <w:rPr>
                <w:color w:val="auto"/>
                <w:kern w:val="0"/>
              </w:rPr>
            </w:pPr>
            <w:r>
              <w:rPr>
                <w:rFonts w:hint="eastAsia"/>
                <w:color w:val="auto"/>
                <w:kern w:val="0"/>
              </w:rPr>
              <w:t>本项目位于达州市宣汉县，项目所在区环境空气功能分区为二类区。根据《环境影响评价技术导则 总纲》（HJ2.1-2016）与《环境影响评价技术导则 大气环境》（HJ2.2-2018）的要求，评价采用达州市生态环境局发布（http://sthjj.dazhou.gov.cn/news-list-hjzl.html）的《达州市2022年环境空气质量状况》中的数据进行评价：</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表3-</w:t>
            </w:r>
            <w:r>
              <w:rPr>
                <w:rFonts w:ascii="宋体" w:hAnsi="宋体" w:cs="宋体"/>
                <w:b/>
                <w:bCs/>
                <w:color w:val="auto"/>
                <w:kern w:val="0"/>
                <w:sz w:val="18"/>
                <w:szCs w:val="18"/>
              </w:rPr>
              <w:t xml:space="preserve">4 </w:t>
            </w:r>
            <w:r>
              <w:rPr>
                <w:rFonts w:hint="eastAsia" w:ascii="宋体" w:hAnsi="宋体" w:cs="宋体"/>
                <w:b/>
                <w:bCs/>
                <w:color w:val="auto"/>
                <w:kern w:val="0"/>
                <w:sz w:val="18"/>
                <w:szCs w:val="18"/>
              </w:rPr>
              <w:t>宣汉县2</w:t>
            </w:r>
            <w:r>
              <w:rPr>
                <w:rFonts w:ascii="宋体" w:hAnsi="宋体" w:cs="宋体"/>
                <w:b/>
                <w:bCs/>
                <w:color w:val="auto"/>
                <w:kern w:val="0"/>
                <w:sz w:val="18"/>
                <w:szCs w:val="18"/>
              </w:rPr>
              <w:t>022</w:t>
            </w:r>
            <w:r>
              <w:rPr>
                <w:rFonts w:hint="eastAsia" w:ascii="宋体" w:hAnsi="宋体" w:cs="宋体"/>
                <w:b/>
                <w:bCs/>
                <w:color w:val="auto"/>
                <w:kern w:val="0"/>
                <w:sz w:val="18"/>
                <w:szCs w:val="18"/>
              </w:rPr>
              <w:t>年环境空气质量统计表</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793"/>
              <w:gridCol w:w="1944"/>
              <w:gridCol w:w="1621"/>
              <w:gridCol w:w="16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6" w:type="pct"/>
                </w:tcPr>
                <w:p>
                  <w:pPr>
                    <w:tabs>
                      <w:tab w:val="left" w:pos="5592"/>
                    </w:tabs>
                    <w:spacing w:before="48" w:after="48" w:line="276" w:lineRule="auto"/>
                    <w:jc w:val="center"/>
                    <w:rPr>
                      <w:bCs/>
                      <w:color w:val="auto"/>
                      <w:sz w:val="18"/>
                      <w:szCs w:val="18"/>
                    </w:rPr>
                  </w:pPr>
                  <w:r>
                    <w:rPr>
                      <w:rFonts w:hint="eastAsia"/>
                      <w:bCs/>
                      <w:color w:val="auto"/>
                      <w:sz w:val="18"/>
                      <w:szCs w:val="18"/>
                    </w:rPr>
                    <w:t>污染物</w:t>
                  </w:r>
                </w:p>
              </w:tc>
              <w:tc>
                <w:tcPr>
                  <w:tcW w:w="1106" w:type="pct"/>
                </w:tcPr>
                <w:p>
                  <w:pPr>
                    <w:tabs>
                      <w:tab w:val="left" w:pos="5592"/>
                    </w:tabs>
                    <w:spacing w:before="48" w:after="48" w:line="276" w:lineRule="auto"/>
                    <w:jc w:val="center"/>
                    <w:rPr>
                      <w:bCs/>
                      <w:color w:val="auto"/>
                      <w:sz w:val="18"/>
                      <w:szCs w:val="18"/>
                    </w:rPr>
                  </w:pPr>
                  <w:r>
                    <w:rPr>
                      <w:rFonts w:hint="eastAsia"/>
                      <w:bCs/>
                      <w:color w:val="auto"/>
                      <w:sz w:val="18"/>
                      <w:szCs w:val="18"/>
                    </w:rPr>
                    <w:t>年评价指标</w:t>
                  </w:r>
                </w:p>
              </w:tc>
              <w:tc>
                <w:tcPr>
                  <w:tcW w:w="1199" w:type="pct"/>
                </w:tcPr>
                <w:p>
                  <w:pPr>
                    <w:tabs>
                      <w:tab w:val="left" w:pos="5592"/>
                    </w:tabs>
                    <w:spacing w:before="48" w:after="48" w:line="276" w:lineRule="auto"/>
                    <w:jc w:val="center"/>
                    <w:rPr>
                      <w:bCs/>
                      <w:color w:val="auto"/>
                      <w:sz w:val="18"/>
                      <w:szCs w:val="18"/>
                    </w:rPr>
                  </w:pPr>
                  <w:r>
                    <w:rPr>
                      <w:rFonts w:hint="eastAsia"/>
                      <w:bCs/>
                      <w:color w:val="auto"/>
                      <w:sz w:val="18"/>
                      <w:szCs w:val="18"/>
                    </w:rPr>
                    <w:t>现状浓度（μg/m</w:t>
                  </w:r>
                  <w:r>
                    <w:rPr>
                      <w:rFonts w:hint="eastAsia"/>
                      <w:bCs/>
                      <w:color w:val="auto"/>
                      <w:sz w:val="18"/>
                      <w:szCs w:val="18"/>
                      <w:vertAlign w:val="superscript"/>
                    </w:rPr>
                    <w:t>3</w:t>
                  </w:r>
                  <w:r>
                    <w:rPr>
                      <w:rFonts w:hint="eastAsia"/>
                      <w:bCs/>
                      <w:color w:val="auto"/>
                      <w:sz w:val="18"/>
                      <w:szCs w:val="18"/>
                    </w:rPr>
                    <w:t>）</w:t>
                  </w:r>
                </w:p>
              </w:tc>
              <w:tc>
                <w:tcPr>
                  <w:tcW w:w="1000" w:type="pct"/>
                </w:tcPr>
                <w:p>
                  <w:pPr>
                    <w:tabs>
                      <w:tab w:val="left" w:pos="5592"/>
                    </w:tabs>
                    <w:spacing w:before="48" w:after="48" w:line="276" w:lineRule="auto"/>
                    <w:jc w:val="center"/>
                    <w:rPr>
                      <w:bCs/>
                      <w:color w:val="auto"/>
                      <w:sz w:val="18"/>
                      <w:szCs w:val="18"/>
                    </w:rPr>
                  </w:pPr>
                  <w:r>
                    <w:rPr>
                      <w:rFonts w:hint="eastAsia"/>
                      <w:bCs/>
                      <w:color w:val="auto"/>
                      <w:sz w:val="18"/>
                      <w:szCs w:val="18"/>
                    </w:rPr>
                    <w:t>标准值</w:t>
                  </w:r>
                </w:p>
              </w:tc>
              <w:tc>
                <w:tcPr>
                  <w:tcW w:w="999" w:type="pct"/>
                </w:tcPr>
                <w:p>
                  <w:pPr>
                    <w:tabs>
                      <w:tab w:val="left" w:pos="5592"/>
                    </w:tabs>
                    <w:spacing w:before="48" w:after="48" w:line="276" w:lineRule="auto"/>
                    <w:jc w:val="center"/>
                    <w:rPr>
                      <w:bCs/>
                      <w:color w:val="auto"/>
                      <w:sz w:val="18"/>
                      <w:szCs w:val="18"/>
                    </w:rPr>
                  </w:pPr>
                  <w:r>
                    <w:rPr>
                      <w:rFonts w:hint="eastAsia"/>
                      <w:bCs/>
                      <w:color w:val="auto"/>
                      <w:sz w:val="18"/>
                      <w:szCs w:val="18"/>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6" w:type="pct"/>
                  <w:vAlign w:val="center"/>
                </w:tcPr>
                <w:p>
                  <w:pPr>
                    <w:pStyle w:val="51"/>
                    <w:rPr>
                      <w:color w:val="auto"/>
                      <w:sz w:val="18"/>
                      <w:szCs w:val="18"/>
                    </w:rPr>
                  </w:pPr>
                  <w:r>
                    <w:rPr>
                      <w:color w:val="auto"/>
                      <w:sz w:val="18"/>
                      <w:szCs w:val="18"/>
                    </w:rPr>
                    <w:t>PM</w:t>
                  </w:r>
                  <w:r>
                    <w:rPr>
                      <w:color w:val="auto"/>
                      <w:sz w:val="18"/>
                      <w:szCs w:val="18"/>
                      <w:vertAlign w:val="subscript"/>
                    </w:rPr>
                    <w:t>10</w:t>
                  </w:r>
                </w:p>
              </w:tc>
              <w:tc>
                <w:tcPr>
                  <w:tcW w:w="1106" w:type="pct"/>
                  <w:vAlign w:val="center"/>
                </w:tcPr>
                <w:p>
                  <w:pPr>
                    <w:pStyle w:val="51"/>
                    <w:rPr>
                      <w:color w:val="auto"/>
                      <w:sz w:val="18"/>
                      <w:szCs w:val="18"/>
                    </w:rPr>
                  </w:pPr>
                  <w:r>
                    <w:rPr>
                      <w:color w:val="auto"/>
                      <w:sz w:val="18"/>
                      <w:szCs w:val="18"/>
                    </w:rPr>
                    <w:t>年平均质量浓度</w:t>
                  </w:r>
                </w:p>
              </w:tc>
              <w:tc>
                <w:tcPr>
                  <w:tcW w:w="1199" w:type="pct"/>
                  <w:vAlign w:val="center"/>
                </w:tcPr>
                <w:p>
                  <w:pPr>
                    <w:pStyle w:val="51"/>
                    <w:rPr>
                      <w:color w:val="auto"/>
                      <w:sz w:val="18"/>
                      <w:szCs w:val="18"/>
                    </w:rPr>
                  </w:pPr>
                  <w:r>
                    <w:rPr>
                      <w:color w:val="auto"/>
                      <w:sz w:val="18"/>
                      <w:szCs w:val="18"/>
                    </w:rPr>
                    <w:t>50</w:t>
                  </w:r>
                </w:p>
              </w:tc>
              <w:tc>
                <w:tcPr>
                  <w:tcW w:w="1000" w:type="pct"/>
                  <w:vAlign w:val="center"/>
                </w:tcPr>
                <w:p>
                  <w:pPr>
                    <w:pStyle w:val="51"/>
                    <w:rPr>
                      <w:color w:val="auto"/>
                      <w:sz w:val="18"/>
                      <w:szCs w:val="18"/>
                    </w:rPr>
                  </w:pPr>
                  <w:r>
                    <w:rPr>
                      <w:color w:val="auto"/>
                      <w:sz w:val="18"/>
                      <w:szCs w:val="18"/>
                    </w:rPr>
                    <w:t>70</w:t>
                  </w:r>
                </w:p>
              </w:tc>
              <w:tc>
                <w:tcPr>
                  <w:tcW w:w="999" w:type="pct"/>
                </w:tcPr>
                <w:p>
                  <w:pPr>
                    <w:tabs>
                      <w:tab w:val="left" w:pos="5592"/>
                    </w:tabs>
                    <w:spacing w:before="48" w:after="48" w:line="276" w:lineRule="auto"/>
                    <w:jc w:val="center"/>
                    <w:rPr>
                      <w:bCs/>
                      <w:color w:val="auto"/>
                      <w:sz w:val="18"/>
                      <w:szCs w:val="18"/>
                    </w:rPr>
                  </w:pPr>
                  <w:r>
                    <w:rPr>
                      <w:rFonts w:hint="eastAsia"/>
                      <w:bCs/>
                      <w:color w:val="auto"/>
                      <w:sz w:val="18"/>
                      <w:szCs w:val="18"/>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6" w:type="pct"/>
                  <w:vAlign w:val="center"/>
                </w:tcPr>
                <w:p>
                  <w:pPr>
                    <w:pStyle w:val="51"/>
                    <w:rPr>
                      <w:color w:val="auto"/>
                      <w:sz w:val="18"/>
                      <w:szCs w:val="18"/>
                    </w:rPr>
                  </w:pPr>
                  <w:r>
                    <w:rPr>
                      <w:color w:val="auto"/>
                      <w:sz w:val="18"/>
                      <w:szCs w:val="18"/>
                    </w:rPr>
                    <w:t>PM</w:t>
                  </w:r>
                  <w:r>
                    <w:rPr>
                      <w:color w:val="auto"/>
                      <w:sz w:val="18"/>
                      <w:szCs w:val="18"/>
                      <w:vertAlign w:val="subscript"/>
                    </w:rPr>
                    <w:t>2.5</w:t>
                  </w:r>
                </w:p>
              </w:tc>
              <w:tc>
                <w:tcPr>
                  <w:tcW w:w="1106" w:type="pct"/>
                  <w:vAlign w:val="center"/>
                </w:tcPr>
                <w:p>
                  <w:pPr>
                    <w:pStyle w:val="51"/>
                    <w:rPr>
                      <w:color w:val="auto"/>
                      <w:sz w:val="18"/>
                      <w:szCs w:val="18"/>
                    </w:rPr>
                  </w:pPr>
                  <w:r>
                    <w:rPr>
                      <w:color w:val="auto"/>
                      <w:sz w:val="18"/>
                      <w:szCs w:val="18"/>
                    </w:rPr>
                    <w:t>年平均质量浓度</w:t>
                  </w:r>
                </w:p>
              </w:tc>
              <w:tc>
                <w:tcPr>
                  <w:tcW w:w="1199" w:type="pct"/>
                  <w:vAlign w:val="center"/>
                </w:tcPr>
                <w:p>
                  <w:pPr>
                    <w:pStyle w:val="51"/>
                    <w:rPr>
                      <w:color w:val="auto"/>
                      <w:sz w:val="18"/>
                      <w:szCs w:val="18"/>
                    </w:rPr>
                  </w:pPr>
                  <w:r>
                    <w:rPr>
                      <w:color w:val="auto"/>
                      <w:sz w:val="18"/>
                      <w:szCs w:val="18"/>
                    </w:rPr>
                    <w:t>27</w:t>
                  </w:r>
                </w:p>
              </w:tc>
              <w:tc>
                <w:tcPr>
                  <w:tcW w:w="1000" w:type="pct"/>
                  <w:vAlign w:val="center"/>
                </w:tcPr>
                <w:p>
                  <w:pPr>
                    <w:pStyle w:val="51"/>
                    <w:rPr>
                      <w:color w:val="auto"/>
                      <w:sz w:val="18"/>
                      <w:szCs w:val="18"/>
                    </w:rPr>
                  </w:pPr>
                  <w:r>
                    <w:rPr>
                      <w:color w:val="auto"/>
                      <w:sz w:val="18"/>
                      <w:szCs w:val="18"/>
                    </w:rPr>
                    <w:t>35</w:t>
                  </w:r>
                </w:p>
              </w:tc>
              <w:tc>
                <w:tcPr>
                  <w:tcW w:w="999" w:type="pct"/>
                </w:tcPr>
                <w:p>
                  <w:pPr>
                    <w:tabs>
                      <w:tab w:val="left" w:pos="5592"/>
                    </w:tabs>
                    <w:spacing w:before="48" w:after="48" w:line="276" w:lineRule="auto"/>
                    <w:jc w:val="center"/>
                    <w:rPr>
                      <w:bCs/>
                      <w:color w:val="auto"/>
                      <w:sz w:val="18"/>
                      <w:szCs w:val="18"/>
                    </w:rPr>
                  </w:pPr>
                  <w:r>
                    <w:rPr>
                      <w:rFonts w:hint="eastAsia"/>
                      <w:bCs/>
                      <w:color w:val="auto"/>
                      <w:sz w:val="18"/>
                      <w:szCs w:val="18"/>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6" w:type="pct"/>
                  <w:vAlign w:val="center"/>
                </w:tcPr>
                <w:p>
                  <w:pPr>
                    <w:pStyle w:val="51"/>
                    <w:rPr>
                      <w:color w:val="auto"/>
                      <w:sz w:val="18"/>
                      <w:szCs w:val="18"/>
                    </w:rPr>
                  </w:pPr>
                  <w:r>
                    <w:rPr>
                      <w:color w:val="auto"/>
                      <w:sz w:val="18"/>
                      <w:szCs w:val="18"/>
                    </w:rPr>
                    <w:t>SO</w:t>
                  </w:r>
                  <w:r>
                    <w:rPr>
                      <w:color w:val="auto"/>
                      <w:sz w:val="18"/>
                      <w:szCs w:val="18"/>
                      <w:vertAlign w:val="subscript"/>
                    </w:rPr>
                    <w:t>2</w:t>
                  </w:r>
                </w:p>
              </w:tc>
              <w:tc>
                <w:tcPr>
                  <w:tcW w:w="1106" w:type="pct"/>
                  <w:vAlign w:val="center"/>
                </w:tcPr>
                <w:p>
                  <w:pPr>
                    <w:pStyle w:val="51"/>
                    <w:rPr>
                      <w:color w:val="auto"/>
                      <w:sz w:val="18"/>
                      <w:szCs w:val="18"/>
                    </w:rPr>
                  </w:pPr>
                  <w:r>
                    <w:rPr>
                      <w:color w:val="auto"/>
                      <w:sz w:val="18"/>
                      <w:szCs w:val="18"/>
                    </w:rPr>
                    <w:t>年平均质量浓度</w:t>
                  </w:r>
                </w:p>
              </w:tc>
              <w:tc>
                <w:tcPr>
                  <w:tcW w:w="1199" w:type="pct"/>
                  <w:vAlign w:val="center"/>
                </w:tcPr>
                <w:p>
                  <w:pPr>
                    <w:pStyle w:val="51"/>
                    <w:rPr>
                      <w:color w:val="auto"/>
                      <w:sz w:val="18"/>
                      <w:szCs w:val="18"/>
                    </w:rPr>
                  </w:pPr>
                  <w:r>
                    <w:rPr>
                      <w:color w:val="auto"/>
                      <w:sz w:val="18"/>
                      <w:szCs w:val="18"/>
                    </w:rPr>
                    <w:t>5</w:t>
                  </w:r>
                </w:p>
              </w:tc>
              <w:tc>
                <w:tcPr>
                  <w:tcW w:w="1000" w:type="pct"/>
                  <w:vAlign w:val="center"/>
                </w:tcPr>
                <w:p>
                  <w:pPr>
                    <w:pStyle w:val="51"/>
                    <w:rPr>
                      <w:color w:val="auto"/>
                      <w:sz w:val="18"/>
                      <w:szCs w:val="18"/>
                    </w:rPr>
                  </w:pPr>
                  <w:r>
                    <w:rPr>
                      <w:color w:val="auto"/>
                      <w:sz w:val="18"/>
                      <w:szCs w:val="18"/>
                    </w:rPr>
                    <w:t>60</w:t>
                  </w:r>
                </w:p>
              </w:tc>
              <w:tc>
                <w:tcPr>
                  <w:tcW w:w="999" w:type="pct"/>
                </w:tcPr>
                <w:p>
                  <w:pPr>
                    <w:tabs>
                      <w:tab w:val="left" w:pos="5592"/>
                    </w:tabs>
                    <w:spacing w:before="48" w:after="48" w:line="276" w:lineRule="auto"/>
                    <w:jc w:val="center"/>
                    <w:rPr>
                      <w:bCs/>
                      <w:color w:val="auto"/>
                      <w:sz w:val="18"/>
                      <w:szCs w:val="18"/>
                    </w:rPr>
                  </w:pPr>
                  <w:r>
                    <w:rPr>
                      <w:rFonts w:hint="eastAsia"/>
                      <w:bCs/>
                      <w:color w:val="auto"/>
                      <w:sz w:val="18"/>
                      <w:szCs w:val="18"/>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6" w:type="pct"/>
                  <w:vAlign w:val="center"/>
                </w:tcPr>
                <w:p>
                  <w:pPr>
                    <w:pStyle w:val="51"/>
                    <w:rPr>
                      <w:color w:val="auto"/>
                      <w:sz w:val="18"/>
                      <w:szCs w:val="18"/>
                    </w:rPr>
                  </w:pPr>
                  <w:r>
                    <w:rPr>
                      <w:color w:val="auto"/>
                      <w:sz w:val="18"/>
                      <w:szCs w:val="18"/>
                    </w:rPr>
                    <w:t>NO</w:t>
                  </w:r>
                  <w:r>
                    <w:rPr>
                      <w:color w:val="auto"/>
                      <w:sz w:val="18"/>
                      <w:szCs w:val="18"/>
                      <w:vertAlign w:val="subscript"/>
                    </w:rPr>
                    <w:t>2</w:t>
                  </w:r>
                </w:p>
              </w:tc>
              <w:tc>
                <w:tcPr>
                  <w:tcW w:w="1106" w:type="pct"/>
                  <w:vAlign w:val="center"/>
                </w:tcPr>
                <w:p>
                  <w:pPr>
                    <w:pStyle w:val="51"/>
                    <w:rPr>
                      <w:color w:val="auto"/>
                      <w:sz w:val="18"/>
                      <w:szCs w:val="18"/>
                    </w:rPr>
                  </w:pPr>
                  <w:r>
                    <w:rPr>
                      <w:color w:val="auto"/>
                      <w:sz w:val="18"/>
                      <w:szCs w:val="18"/>
                    </w:rPr>
                    <w:t>年平均质量浓度</w:t>
                  </w:r>
                </w:p>
              </w:tc>
              <w:tc>
                <w:tcPr>
                  <w:tcW w:w="1199" w:type="pct"/>
                  <w:vAlign w:val="center"/>
                </w:tcPr>
                <w:p>
                  <w:pPr>
                    <w:pStyle w:val="51"/>
                    <w:rPr>
                      <w:color w:val="auto"/>
                      <w:sz w:val="18"/>
                      <w:szCs w:val="18"/>
                    </w:rPr>
                  </w:pPr>
                  <w:r>
                    <w:rPr>
                      <w:color w:val="auto"/>
                      <w:sz w:val="18"/>
                      <w:szCs w:val="18"/>
                    </w:rPr>
                    <w:t>19</w:t>
                  </w:r>
                </w:p>
              </w:tc>
              <w:tc>
                <w:tcPr>
                  <w:tcW w:w="1000" w:type="pct"/>
                  <w:vAlign w:val="center"/>
                </w:tcPr>
                <w:p>
                  <w:pPr>
                    <w:pStyle w:val="51"/>
                    <w:rPr>
                      <w:color w:val="auto"/>
                      <w:sz w:val="18"/>
                      <w:szCs w:val="18"/>
                    </w:rPr>
                  </w:pPr>
                  <w:r>
                    <w:rPr>
                      <w:color w:val="auto"/>
                      <w:sz w:val="18"/>
                      <w:szCs w:val="18"/>
                    </w:rPr>
                    <w:t>40</w:t>
                  </w:r>
                </w:p>
              </w:tc>
              <w:tc>
                <w:tcPr>
                  <w:tcW w:w="999" w:type="pct"/>
                </w:tcPr>
                <w:p>
                  <w:pPr>
                    <w:tabs>
                      <w:tab w:val="left" w:pos="5592"/>
                    </w:tabs>
                    <w:spacing w:before="48" w:after="48" w:line="276" w:lineRule="auto"/>
                    <w:jc w:val="center"/>
                    <w:rPr>
                      <w:bCs/>
                      <w:color w:val="auto"/>
                      <w:sz w:val="18"/>
                      <w:szCs w:val="18"/>
                    </w:rPr>
                  </w:pPr>
                  <w:r>
                    <w:rPr>
                      <w:rFonts w:hint="eastAsia"/>
                      <w:bCs/>
                      <w:color w:val="auto"/>
                      <w:sz w:val="18"/>
                      <w:szCs w:val="18"/>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6" w:type="pct"/>
                  <w:vAlign w:val="center"/>
                </w:tcPr>
                <w:p>
                  <w:pPr>
                    <w:pStyle w:val="51"/>
                    <w:rPr>
                      <w:color w:val="auto"/>
                      <w:sz w:val="18"/>
                      <w:szCs w:val="18"/>
                    </w:rPr>
                  </w:pPr>
                  <w:r>
                    <w:rPr>
                      <w:color w:val="auto"/>
                      <w:sz w:val="18"/>
                      <w:szCs w:val="18"/>
                    </w:rPr>
                    <w:t>CO</w:t>
                  </w:r>
                </w:p>
              </w:tc>
              <w:tc>
                <w:tcPr>
                  <w:tcW w:w="1106" w:type="pct"/>
                  <w:vAlign w:val="center"/>
                </w:tcPr>
                <w:p>
                  <w:pPr>
                    <w:pStyle w:val="51"/>
                    <w:rPr>
                      <w:color w:val="auto"/>
                      <w:sz w:val="18"/>
                      <w:szCs w:val="18"/>
                    </w:rPr>
                  </w:pPr>
                  <w:r>
                    <w:rPr>
                      <w:color w:val="auto"/>
                      <w:sz w:val="18"/>
                      <w:szCs w:val="18"/>
                    </w:rPr>
                    <w:t>95%百分位数24小时平均</w:t>
                  </w:r>
                </w:p>
              </w:tc>
              <w:tc>
                <w:tcPr>
                  <w:tcW w:w="1199" w:type="pct"/>
                  <w:vAlign w:val="center"/>
                </w:tcPr>
                <w:p>
                  <w:pPr>
                    <w:pStyle w:val="51"/>
                    <w:rPr>
                      <w:color w:val="auto"/>
                      <w:sz w:val="18"/>
                      <w:szCs w:val="18"/>
                    </w:rPr>
                  </w:pPr>
                  <w:r>
                    <w:rPr>
                      <w:color w:val="auto"/>
                      <w:sz w:val="18"/>
                      <w:szCs w:val="18"/>
                    </w:rPr>
                    <w:t>1.1mg/m³</w:t>
                  </w:r>
                </w:p>
              </w:tc>
              <w:tc>
                <w:tcPr>
                  <w:tcW w:w="1000" w:type="pct"/>
                  <w:vAlign w:val="center"/>
                </w:tcPr>
                <w:p>
                  <w:pPr>
                    <w:pStyle w:val="51"/>
                    <w:rPr>
                      <w:color w:val="auto"/>
                      <w:sz w:val="18"/>
                      <w:szCs w:val="18"/>
                    </w:rPr>
                  </w:pPr>
                  <w:r>
                    <w:rPr>
                      <w:color w:val="auto"/>
                      <w:sz w:val="18"/>
                      <w:szCs w:val="18"/>
                    </w:rPr>
                    <w:t>4mg/m³</w:t>
                  </w:r>
                </w:p>
              </w:tc>
              <w:tc>
                <w:tcPr>
                  <w:tcW w:w="999" w:type="pct"/>
                </w:tcPr>
                <w:p>
                  <w:pPr>
                    <w:tabs>
                      <w:tab w:val="left" w:pos="5592"/>
                    </w:tabs>
                    <w:spacing w:before="48" w:after="48" w:line="276" w:lineRule="auto"/>
                    <w:jc w:val="center"/>
                    <w:rPr>
                      <w:bCs/>
                      <w:color w:val="auto"/>
                      <w:sz w:val="18"/>
                      <w:szCs w:val="18"/>
                    </w:rPr>
                  </w:pPr>
                  <w:r>
                    <w:rPr>
                      <w:rFonts w:hint="eastAsia"/>
                      <w:bCs/>
                      <w:color w:val="auto"/>
                      <w:sz w:val="18"/>
                      <w:szCs w:val="18"/>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6" w:type="pct"/>
                  <w:vAlign w:val="center"/>
                </w:tcPr>
                <w:p>
                  <w:pPr>
                    <w:pStyle w:val="51"/>
                    <w:rPr>
                      <w:color w:val="auto"/>
                      <w:sz w:val="18"/>
                      <w:szCs w:val="18"/>
                    </w:rPr>
                  </w:pPr>
                  <w:r>
                    <w:rPr>
                      <w:color w:val="auto"/>
                      <w:sz w:val="18"/>
                      <w:szCs w:val="18"/>
                    </w:rPr>
                    <w:t>O</w:t>
                  </w:r>
                  <w:r>
                    <w:rPr>
                      <w:color w:val="auto"/>
                      <w:sz w:val="18"/>
                      <w:szCs w:val="18"/>
                      <w:vertAlign w:val="subscript"/>
                    </w:rPr>
                    <w:t>3</w:t>
                  </w:r>
                </w:p>
              </w:tc>
              <w:tc>
                <w:tcPr>
                  <w:tcW w:w="1106" w:type="pct"/>
                  <w:vAlign w:val="center"/>
                </w:tcPr>
                <w:p>
                  <w:pPr>
                    <w:pStyle w:val="51"/>
                    <w:rPr>
                      <w:color w:val="auto"/>
                      <w:sz w:val="18"/>
                      <w:szCs w:val="18"/>
                    </w:rPr>
                  </w:pPr>
                  <w:r>
                    <w:rPr>
                      <w:color w:val="auto"/>
                      <w:sz w:val="18"/>
                      <w:szCs w:val="18"/>
                    </w:rPr>
                    <w:t>90%百分位数日最大8小时滑动平均</w:t>
                  </w:r>
                </w:p>
              </w:tc>
              <w:tc>
                <w:tcPr>
                  <w:tcW w:w="1199" w:type="pct"/>
                  <w:vAlign w:val="center"/>
                </w:tcPr>
                <w:p>
                  <w:pPr>
                    <w:pStyle w:val="51"/>
                    <w:rPr>
                      <w:color w:val="auto"/>
                      <w:sz w:val="18"/>
                      <w:szCs w:val="18"/>
                    </w:rPr>
                  </w:pPr>
                  <w:r>
                    <w:rPr>
                      <w:color w:val="auto"/>
                      <w:sz w:val="18"/>
                      <w:szCs w:val="18"/>
                    </w:rPr>
                    <w:t>99</w:t>
                  </w:r>
                </w:p>
              </w:tc>
              <w:tc>
                <w:tcPr>
                  <w:tcW w:w="1000" w:type="pct"/>
                  <w:vAlign w:val="center"/>
                </w:tcPr>
                <w:p>
                  <w:pPr>
                    <w:pStyle w:val="51"/>
                    <w:rPr>
                      <w:color w:val="auto"/>
                      <w:sz w:val="18"/>
                      <w:szCs w:val="18"/>
                    </w:rPr>
                  </w:pPr>
                  <w:r>
                    <w:rPr>
                      <w:color w:val="auto"/>
                      <w:sz w:val="18"/>
                      <w:szCs w:val="18"/>
                    </w:rPr>
                    <w:t>160</w:t>
                  </w:r>
                </w:p>
              </w:tc>
              <w:tc>
                <w:tcPr>
                  <w:tcW w:w="999" w:type="pct"/>
                </w:tcPr>
                <w:p>
                  <w:pPr>
                    <w:tabs>
                      <w:tab w:val="left" w:pos="5592"/>
                    </w:tabs>
                    <w:spacing w:before="48" w:after="48" w:line="276" w:lineRule="auto"/>
                    <w:jc w:val="center"/>
                    <w:rPr>
                      <w:bCs/>
                      <w:color w:val="auto"/>
                      <w:sz w:val="18"/>
                      <w:szCs w:val="18"/>
                    </w:rPr>
                  </w:pPr>
                  <w:r>
                    <w:rPr>
                      <w:rFonts w:hint="eastAsia"/>
                      <w:bCs/>
                      <w:color w:val="auto"/>
                      <w:sz w:val="18"/>
                      <w:szCs w:val="18"/>
                    </w:rPr>
                    <w:t>达标</w:t>
                  </w:r>
                </w:p>
              </w:tc>
            </w:tr>
          </w:tbl>
          <w:p>
            <w:pPr>
              <w:adjustRightInd w:val="0"/>
              <w:snapToGrid w:val="0"/>
              <w:spacing w:line="360" w:lineRule="auto"/>
              <w:ind w:firstLine="420" w:firstLineChars="200"/>
              <w:rPr>
                <w:rFonts w:ascii="宋体" w:hAnsi="宋体" w:cs="宋体"/>
                <w:color w:val="auto"/>
                <w:kern w:val="0"/>
                <w:szCs w:val="21"/>
              </w:rPr>
            </w:pPr>
            <w:r>
              <w:rPr>
                <w:color w:val="auto"/>
                <w:kern w:val="0"/>
                <w:szCs w:val="21"/>
              </w:rPr>
              <w:t>根据公告内容，宣汉县2022年度主要污染物SO</w:t>
            </w:r>
            <w:r>
              <w:rPr>
                <w:color w:val="auto"/>
                <w:kern w:val="0"/>
                <w:szCs w:val="21"/>
                <w:vertAlign w:val="subscript"/>
              </w:rPr>
              <w:t>2</w:t>
            </w:r>
            <w:r>
              <w:rPr>
                <w:color w:val="auto"/>
                <w:kern w:val="0"/>
                <w:szCs w:val="21"/>
              </w:rPr>
              <w:t>、NO</w:t>
            </w:r>
            <w:r>
              <w:rPr>
                <w:color w:val="auto"/>
                <w:kern w:val="0"/>
                <w:szCs w:val="21"/>
                <w:vertAlign w:val="subscript"/>
              </w:rPr>
              <w:t>2</w:t>
            </w:r>
            <w:r>
              <w:rPr>
                <w:color w:val="auto"/>
                <w:kern w:val="0"/>
                <w:szCs w:val="21"/>
              </w:rPr>
              <w:t>、PM</w:t>
            </w:r>
            <w:r>
              <w:rPr>
                <w:color w:val="auto"/>
                <w:kern w:val="0"/>
                <w:szCs w:val="21"/>
                <w:vertAlign w:val="subscript"/>
              </w:rPr>
              <w:t>10</w:t>
            </w:r>
            <w:r>
              <w:rPr>
                <w:color w:val="auto"/>
                <w:kern w:val="0"/>
                <w:szCs w:val="21"/>
              </w:rPr>
              <w:t>、PM</w:t>
            </w:r>
            <w:r>
              <w:rPr>
                <w:color w:val="auto"/>
                <w:kern w:val="0"/>
                <w:szCs w:val="21"/>
                <w:vertAlign w:val="subscript"/>
              </w:rPr>
              <w:t>2.5</w:t>
            </w:r>
            <w:r>
              <w:rPr>
                <w:color w:val="auto"/>
                <w:kern w:val="0"/>
                <w:szCs w:val="21"/>
              </w:rPr>
              <w:t>、CO、O</w:t>
            </w:r>
            <w:r>
              <w:rPr>
                <w:color w:val="auto"/>
                <w:kern w:val="0"/>
                <w:szCs w:val="21"/>
                <w:vertAlign w:val="subscript"/>
              </w:rPr>
              <w:t>3</w:t>
            </w:r>
            <w:r>
              <w:rPr>
                <w:color w:val="auto"/>
                <w:kern w:val="0"/>
                <w:szCs w:val="21"/>
              </w:rPr>
              <w:t>均满足《环境空气质量标准》（GB3095-2012）二级标准要求，按《环境影响评价技术导则 大气环境》（HJ2.2-2018）区域达标判断标准，宣汉县2022年度区域环境空气质量为达标区</w:t>
            </w:r>
            <w:r>
              <w:rPr>
                <w:rFonts w:hint="eastAsia" w:ascii="宋体" w:hAnsi="宋体" w:cs="宋体"/>
                <w:color w:val="auto"/>
                <w:kern w:val="0"/>
                <w:szCs w:val="21"/>
              </w:rPr>
              <w:t>。</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2、特征污染物监测</w:t>
            </w:r>
          </w:p>
          <w:p>
            <w:pPr>
              <w:adjustRightInd w:val="0"/>
              <w:snapToGrid w:val="0"/>
              <w:spacing w:line="360" w:lineRule="auto"/>
              <w:ind w:firstLine="420" w:firstLineChars="200"/>
              <w:rPr>
                <w:rFonts w:ascii="宋体" w:hAnsi="宋体" w:cs="宋体"/>
                <w:color w:val="auto"/>
                <w:kern w:val="0"/>
                <w:szCs w:val="21"/>
              </w:rPr>
            </w:pPr>
            <w:r>
              <w:rPr>
                <w:color w:val="auto"/>
                <w:szCs w:val="21"/>
              </w:rPr>
              <w:t>根据项目特点，本次评价对项目区的TSP进行了现场实测，</w:t>
            </w:r>
            <w:r>
              <w:rPr>
                <w:rFonts w:eastAsia="新宋体"/>
                <w:color w:val="auto"/>
                <w:kern w:val="0"/>
                <w:lang w:val="zh-CN"/>
              </w:rPr>
              <w:t>根据</w:t>
            </w:r>
            <w:r>
              <w:rPr>
                <w:color w:val="auto"/>
                <w:szCs w:val="18"/>
              </w:rPr>
              <w:t>达州恒福环境监测服务有限公司</w:t>
            </w:r>
            <w:r>
              <w:rPr>
                <w:rFonts w:eastAsia="新宋体"/>
                <w:color w:val="auto"/>
                <w:kern w:val="0"/>
                <w:lang w:val="zh-CN"/>
              </w:rPr>
              <w:t>于2024年</w:t>
            </w:r>
            <w:r>
              <w:rPr>
                <w:rFonts w:eastAsia="新宋体"/>
                <w:color w:val="auto"/>
                <w:kern w:val="0"/>
              </w:rPr>
              <w:t>2</w:t>
            </w:r>
            <w:r>
              <w:rPr>
                <w:rFonts w:eastAsia="新宋体"/>
                <w:color w:val="auto"/>
                <w:kern w:val="0"/>
                <w:lang w:val="zh-CN"/>
              </w:rPr>
              <w:t>月</w:t>
            </w:r>
            <w:r>
              <w:rPr>
                <w:rFonts w:eastAsia="新宋体"/>
                <w:color w:val="auto"/>
                <w:kern w:val="0"/>
              </w:rPr>
              <w:t>27</w:t>
            </w:r>
            <w:r>
              <w:rPr>
                <w:rFonts w:eastAsia="新宋体"/>
                <w:color w:val="auto"/>
                <w:kern w:val="0"/>
                <w:lang w:val="zh-CN"/>
              </w:rPr>
              <w:t>日~</w:t>
            </w:r>
            <w:r>
              <w:rPr>
                <w:rFonts w:eastAsia="新宋体"/>
                <w:color w:val="auto"/>
                <w:kern w:val="0"/>
              </w:rPr>
              <w:t>29</w:t>
            </w:r>
            <w:r>
              <w:rPr>
                <w:rFonts w:eastAsia="新宋体"/>
                <w:color w:val="auto"/>
                <w:kern w:val="0"/>
                <w:lang w:val="zh-CN"/>
              </w:rPr>
              <w:t>日，对项目区环境空气质量进行了环境本底值监测。监测因子：TSP；监测点位：项目</w:t>
            </w:r>
            <w:r>
              <w:rPr>
                <w:rFonts w:hint="eastAsia" w:eastAsia="新宋体"/>
                <w:color w:val="auto"/>
                <w:kern w:val="0"/>
                <w:lang w:val="zh-CN"/>
              </w:rPr>
              <w:t>所在区域</w:t>
            </w:r>
            <w:r>
              <w:rPr>
                <w:rFonts w:eastAsia="新宋体"/>
                <w:color w:val="auto"/>
                <w:kern w:val="0"/>
                <w:lang w:val="zh-CN"/>
              </w:rPr>
              <w:t>下风向；监测频次：连续</w:t>
            </w:r>
            <w:r>
              <w:rPr>
                <w:rFonts w:hint="eastAsia" w:eastAsia="新宋体"/>
                <w:color w:val="auto"/>
                <w:kern w:val="0"/>
                <w:lang w:val="zh-CN"/>
              </w:rPr>
              <w:t>监测</w:t>
            </w:r>
            <w:r>
              <w:rPr>
                <w:rFonts w:eastAsia="新宋体"/>
                <w:color w:val="auto"/>
                <w:kern w:val="0"/>
                <w:lang w:val="zh-CN"/>
              </w:rPr>
              <w:t>3天，每天采样24h。具体监测结果统计如下表</w:t>
            </w:r>
            <w:r>
              <w:rPr>
                <w:color w:val="auto"/>
                <w:szCs w:val="21"/>
              </w:rPr>
              <w:t>。</w:t>
            </w:r>
          </w:p>
          <w:p>
            <w:pPr>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表3</w:t>
            </w:r>
            <w:r>
              <w:rPr>
                <w:rFonts w:ascii="宋体" w:hAnsi="宋体" w:cs="宋体"/>
                <w:b/>
                <w:color w:val="auto"/>
                <w:kern w:val="0"/>
                <w:sz w:val="18"/>
                <w:szCs w:val="18"/>
              </w:rPr>
              <w:t>-5 TSP</w:t>
            </w:r>
            <w:r>
              <w:rPr>
                <w:rFonts w:hint="eastAsia" w:ascii="宋体" w:hAnsi="宋体" w:cs="宋体"/>
                <w:b/>
                <w:color w:val="auto"/>
                <w:kern w:val="0"/>
                <w:sz w:val="18"/>
                <w:szCs w:val="18"/>
              </w:rPr>
              <w:t>检测及评价结果</w:t>
            </w:r>
          </w:p>
          <w:tbl>
            <w:tblPr>
              <w:tblStyle w:val="14"/>
              <w:tblW w:w="796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943"/>
              <w:gridCol w:w="1145"/>
              <w:gridCol w:w="1627"/>
              <w:gridCol w:w="1114"/>
              <w:gridCol w:w="12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845" w:type="dxa"/>
                  <w:vAlign w:val="center"/>
                </w:tcPr>
                <w:p>
                  <w:pPr>
                    <w:adjustRightInd w:val="0"/>
                    <w:snapToGrid w:val="0"/>
                    <w:spacing w:line="260" w:lineRule="exact"/>
                    <w:ind w:left="-53" w:leftChars="-25" w:right="-53" w:rightChars="-25"/>
                    <w:jc w:val="center"/>
                    <w:rPr>
                      <w:color w:val="auto"/>
                      <w:sz w:val="18"/>
                      <w:szCs w:val="18"/>
                    </w:rPr>
                  </w:pPr>
                  <w:r>
                    <w:rPr>
                      <w:b/>
                      <w:bCs/>
                      <w:color w:val="auto"/>
                      <w:sz w:val="18"/>
                      <w:szCs w:val="18"/>
                    </w:rPr>
                    <w:t>监测点位</w:t>
                  </w:r>
                </w:p>
              </w:tc>
              <w:tc>
                <w:tcPr>
                  <w:tcW w:w="943" w:type="dxa"/>
                  <w:vAlign w:val="center"/>
                </w:tcPr>
                <w:p>
                  <w:pPr>
                    <w:adjustRightInd w:val="0"/>
                    <w:snapToGrid w:val="0"/>
                    <w:spacing w:line="260" w:lineRule="exact"/>
                    <w:ind w:left="-53" w:leftChars="-25" w:right="-53" w:rightChars="-25"/>
                    <w:jc w:val="center"/>
                    <w:rPr>
                      <w:color w:val="auto"/>
                      <w:sz w:val="18"/>
                      <w:szCs w:val="18"/>
                    </w:rPr>
                  </w:pPr>
                  <w:r>
                    <w:rPr>
                      <w:b/>
                      <w:bCs/>
                      <w:color w:val="auto"/>
                      <w:sz w:val="18"/>
                      <w:szCs w:val="18"/>
                    </w:rPr>
                    <w:t>采样日期</w:t>
                  </w:r>
                </w:p>
              </w:tc>
              <w:tc>
                <w:tcPr>
                  <w:tcW w:w="1145" w:type="dxa"/>
                  <w:vAlign w:val="center"/>
                </w:tcPr>
                <w:p>
                  <w:pPr>
                    <w:spacing w:line="260" w:lineRule="exact"/>
                    <w:ind w:left="-53" w:leftChars="-25" w:right="-53" w:rightChars="-25"/>
                    <w:jc w:val="center"/>
                    <w:rPr>
                      <w:b/>
                      <w:color w:val="auto"/>
                      <w:sz w:val="18"/>
                      <w:szCs w:val="18"/>
                    </w:rPr>
                  </w:pPr>
                  <w:r>
                    <w:rPr>
                      <w:b/>
                      <w:bCs/>
                      <w:color w:val="auto"/>
                      <w:sz w:val="18"/>
                      <w:szCs w:val="18"/>
                    </w:rPr>
                    <w:t>监测结果</w:t>
                  </w:r>
                </w:p>
              </w:tc>
              <w:tc>
                <w:tcPr>
                  <w:tcW w:w="1627" w:type="dxa"/>
                  <w:vAlign w:val="center"/>
                </w:tcPr>
                <w:p>
                  <w:pPr>
                    <w:adjustRightInd w:val="0"/>
                    <w:snapToGrid w:val="0"/>
                    <w:spacing w:line="260" w:lineRule="exact"/>
                    <w:ind w:left="-53" w:leftChars="-25" w:right="-53" w:rightChars="-25"/>
                    <w:jc w:val="center"/>
                    <w:rPr>
                      <w:b/>
                      <w:bCs/>
                      <w:color w:val="auto"/>
                      <w:sz w:val="18"/>
                      <w:szCs w:val="18"/>
                    </w:rPr>
                  </w:pPr>
                  <w:r>
                    <w:rPr>
                      <w:b/>
                      <w:bCs/>
                      <w:color w:val="auto"/>
                      <w:sz w:val="18"/>
                      <w:szCs w:val="18"/>
                    </w:rPr>
                    <w:t>标准值（日均值）</w:t>
                  </w:r>
                </w:p>
              </w:tc>
              <w:tc>
                <w:tcPr>
                  <w:tcW w:w="1114" w:type="dxa"/>
                  <w:vAlign w:val="center"/>
                </w:tcPr>
                <w:p>
                  <w:pPr>
                    <w:adjustRightInd w:val="0"/>
                    <w:snapToGrid w:val="0"/>
                    <w:spacing w:line="260" w:lineRule="exact"/>
                    <w:ind w:left="-53" w:leftChars="-25" w:right="-53" w:rightChars="-25"/>
                    <w:jc w:val="center"/>
                    <w:rPr>
                      <w:b/>
                      <w:bCs/>
                      <w:color w:val="auto"/>
                      <w:sz w:val="18"/>
                      <w:szCs w:val="18"/>
                    </w:rPr>
                  </w:pPr>
                  <w:r>
                    <w:rPr>
                      <w:b/>
                      <w:bCs/>
                      <w:color w:val="auto"/>
                      <w:sz w:val="18"/>
                      <w:szCs w:val="18"/>
                    </w:rPr>
                    <w:t>占标率</w:t>
                  </w:r>
                </w:p>
              </w:tc>
              <w:tc>
                <w:tcPr>
                  <w:tcW w:w="1289" w:type="dxa"/>
                  <w:vAlign w:val="center"/>
                </w:tcPr>
                <w:p>
                  <w:pPr>
                    <w:adjustRightInd w:val="0"/>
                    <w:snapToGrid w:val="0"/>
                    <w:spacing w:line="260" w:lineRule="exact"/>
                    <w:ind w:left="-53" w:leftChars="-25" w:right="-53" w:rightChars="-25"/>
                    <w:jc w:val="center"/>
                    <w:rPr>
                      <w:b/>
                      <w:bCs/>
                      <w:color w:val="auto"/>
                      <w:sz w:val="18"/>
                      <w:szCs w:val="18"/>
                    </w:rPr>
                  </w:pPr>
                  <w:r>
                    <w:rPr>
                      <w:b/>
                      <w:bCs/>
                      <w:color w:val="auto"/>
                      <w:sz w:val="18"/>
                      <w:szCs w:val="18"/>
                    </w:rPr>
                    <w:t>超标率（%）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845" w:type="dxa"/>
                  <w:vMerge w:val="restart"/>
                  <w:vAlign w:val="center"/>
                </w:tcPr>
                <w:p>
                  <w:pPr>
                    <w:adjustRightInd w:val="0"/>
                    <w:snapToGrid w:val="0"/>
                    <w:spacing w:line="260" w:lineRule="exact"/>
                    <w:ind w:left="-53" w:leftChars="-25" w:right="-53" w:rightChars="-25"/>
                    <w:jc w:val="center"/>
                    <w:rPr>
                      <w:color w:val="auto"/>
                      <w:sz w:val="18"/>
                      <w:szCs w:val="18"/>
                    </w:rPr>
                  </w:pPr>
                  <w:r>
                    <w:rPr>
                      <w:color w:val="auto"/>
                      <w:sz w:val="18"/>
                      <w:szCs w:val="18"/>
                    </w:rPr>
                    <w:t>项目</w:t>
                  </w:r>
                  <w:r>
                    <w:rPr>
                      <w:rFonts w:hint="eastAsia"/>
                      <w:color w:val="auto"/>
                      <w:sz w:val="18"/>
                      <w:szCs w:val="18"/>
                    </w:rPr>
                    <w:t>所在地</w:t>
                  </w:r>
                  <w:r>
                    <w:rPr>
                      <w:color w:val="auto"/>
                      <w:sz w:val="18"/>
                      <w:szCs w:val="18"/>
                    </w:rPr>
                    <w:t>下风向</w:t>
                  </w:r>
                </w:p>
              </w:tc>
              <w:tc>
                <w:tcPr>
                  <w:tcW w:w="943" w:type="dxa"/>
                  <w:vAlign w:val="center"/>
                </w:tcPr>
                <w:p>
                  <w:pPr>
                    <w:spacing w:line="260" w:lineRule="exact"/>
                    <w:ind w:left="-53" w:leftChars="-25" w:right="-53" w:rightChars="-25"/>
                    <w:jc w:val="center"/>
                    <w:rPr>
                      <w:color w:val="auto"/>
                      <w:sz w:val="18"/>
                      <w:szCs w:val="18"/>
                    </w:rPr>
                  </w:pPr>
                  <w:r>
                    <w:rPr>
                      <w:color w:val="auto"/>
                      <w:sz w:val="18"/>
                      <w:szCs w:val="18"/>
                    </w:rPr>
                    <w:t>2024.2.27</w:t>
                  </w:r>
                </w:p>
              </w:tc>
              <w:tc>
                <w:tcPr>
                  <w:tcW w:w="1145" w:type="dxa"/>
                  <w:vAlign w:val="center"/>
                </w:tcPr>
                <w:p>
                  <w:pPr>
                    <w:spacing w:line="260" w:lineRule="exact"/>
                    <w:ind w:left="-53" w:leftChars="-25" w:right="-53" w:rightChars="-25"/>
                    <w:jc w:val="center"/>
                    <w:rPr>
                      <w:bCs/>
                      <w:color w:val="auto"/>
                      <w:sz w:val="18"/>
                      <w:szCs w:val="18"/>
                    </w:rPr>
                  </w:pPr>
                  <w:r>
                    <w:rPr>
                      <w:bCs/>
                      <w:color w:val="auto"/>
                      <w:sz w:val="18"/>
                      <w:szCs w:val="18"/>
                    </w:rPr>
                    <w:t>86u</w:t>
                  </w:r>
                  <w:r>
                    <w:rPr>
                      <w:color w:val="auto"/>
                      <w:sz w:val="18"/>
                      <w:szCs w:val="18"/>
                    </w:rPr>
                    <w:t>g/m</w:t>
                  </w:r>
                  <w:r>
                    <w:rPr>
                      <w:color w:val="auto"/>
                      <w:sz w:val="18"/>
                      <w:szCs w:val="18"/>
                      <w:vertAlign w:val="superscript"/>
                    </w:rPr>
                    <w:t>3</w:t>
                  </w:r>
                </w:p>
              </w:tc>
              <w:tc>
                <w:tcPr>
                  <w:tcW w:w="1627" w:type="dxa"/>
                  <w:vAlign w:val="center"/>
                </w:tcPr>
                <w:p>
                  <w:pPr>
                    <w:adjustRightInd w:val="0"/>
                    <w:snapToGrid w:val="0"/>
                    <w:spacing w:line="260" w:lineRule="exact"/>
                    <w:ind w:left="-53" w:leftChars="-25" w:right="-53" w:rightChars="-25"/>
                    <w:jc w:val="center"/>
                    <w:rPr>
                      <w:color w:val="auto"/>
                      <w:sz w:val="18"/>
                      <w:szCs w:val="18"/>
                    </w:rPr>
                  </w:pPr>
                  <w:r>
                    <w:rPr>
                      <w:color w:val="auto"/>
                      <w:sz w:val="18"/>
                      <w:szCs w:val="18"/>
                    </w:rPr>
                    <w:t>300ug/m</w:t>
                  </w:r>
                  <w:r>
                    <w:rPr>
                      <w:color w:val="auto"/>
                      <w:sz w:val="18"/>
                      <w:szCs w:val="18"/>
                      <w:vertAlign w:val="superscript"/>
                    </w:rPr>
                    <w:t>3</w:t>
                  </w:r>
                </w:p>
              </w:tc>
              <w:tc>
                <w:tcPr>
                  <w:tcW w:w="1114" w:type="dxa"/>
                  <w:vAlign w:val="center"/>
                </w:tcPr>
                <w:p>
                  <w:pPr>
                    <w:adjustRightInd w:val="0"/>
                    <w:snapToGrid w:val="0"/>
                    <w:spacing w:line="260" w:lineRule="exact"/>
                    <w:ind w:left="-53" w:leftChars="-25" w:right="-53" w:rightChars="-25"/>
                    <w:jc w:val="center"/>
                    <w:rPr>
                      <w:color w:val="auto"/>
                      <w:sz w:val="18"/>
                      <w:szCs w:val="18"/>
                    </w:rPr>
                  </w:pPr>
                  <w:r>
                    <w:rPr>
                      <w:color w:val="auto"/>
                      <w:sz w:val="18"/>
                      <w:szCs w:val="18"/>
                    </w:rPr>
                    <w:t>28.67%</w:t>
                  </w:r>
                </w:p>
              </w:tc>
              <w:tc>
                <w:tcPr>
                  <w:tcW w:w="1289" w:type="dxa"/>
                  <w:vAlign w:val="center"/>
                </w:tcPr>
                <w:p>
                  <w:pPr>
                    <w:adjustRightInd w:val="0"/>
                    <w:snapToGrid w:val="0"/>
                    <w:spacing w:line="260" w:lineRule="exact"/>
                    <w:ind w:left="-53" w:leftChars="-25" w:right="-53" w:rightChars="-25"/>
                    <w:jc w:val="center"/>
                    <w:rPr>
                      <w:color w:val="auto"/>
                      <w:sz w:val="18"/>
                      <w:szCs w:val="18"/>
                    </w:rPr>
                  </w:pPr>
                  <w:r>
                    <w:rPr>
                      <w:color w:val="auto"/>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845" w:type="dxa"/>
                  <w:vMerge w:val="continue"/>
                  <w:vAlign w:val="center"/>
                </w:tcPr>
                <w:p>
                  <w:pPr>
                    <w:adjustRightInd w:val="0"/>
                    <w:snapToGrid w:val="0"/>
                    <w:spacing w:line="260" w:lineRule="exact"/>
                    <w:ind w:left="-53" w:leftChars="-25" w:right="-53" w:rightChars="-25"/>
                    <w:jc w:val="center"/>
                    <w:rPr>
                      <w:color w:val="auto"/>
                      <w:sz w:val="18"/>
                      <w:szCs w:val="18"/>
                    </w:rPr>
                  </w:pPr>
                </w:p>
              </w:tc>
              <w:tc>
                <w:tcPr>
                  <w:tcW w:w="943" w:type="dxa"/>
                  <w:vAlign w:val="center"/>
                </w:tcPr>
                <w:p>
                  <w:pPr>
                    <w:spacing w:line="260" w:lineRule="exact"/>
                    <w:ind w:left="-53" w:leftChars="-25" w:right="-53" w:rightChars="-25"/>
                    <w:jc w:val="center"/>
                    <w:rPr>
                      <w:color w:val="auto"/>
                      <w:sz w:val="18"/>
                      <w:szCs w:val="18"/>
                    </w:rPr>
                  </w:pPr>
                  <w:r>
                    <w:rPr>
                      <w:color w:val="auto"/>
                      <w:sz w:val="18"/>
                      <w:szCs w:val="18"/>
                    </w:rPr>
                    <w:t>2024.2.28</w:t>
                  </w:r>
                </w:p>
              </w:tc>
              <w:tc>
                <w:tcPr>
                  <w:tcW w:w="1145" w:type="dxa"/>
                  <w:vAlign w:val="center"/>
                </w:tcPr>
                <w:p>
                  <w:pPr>
                    <w:spacing w:line="260" w:lineRule="exact"/>
                    <w:ind w:left="-53" w:leftChars="-25" w:right="-53" w:rightChars="-25"/>
                    <w:jc w:val="center"/>
                    <w:rPr>
                      <w:bCs/>
                      <w:color w:val="auto"/>
                      <w:sz w:val="18"/>
                      <w:szCs w:val="18"/>
                    </w:rPr>
                  </w:pPr>
                  <w:r>
                    <w:rPr>
                      <w:bCs/>
                      <w:color w:val="auto"/>
                      <w:sz w:val="18"/>
                      <w:szCs w:val="18"/>
                    </w:rPr>
                    <w:t>54u</w:t>
                  </w:r>
                  <w:r>
                    <w:rPr>
                      <w:color w:val="auto"/>
                      <w:sz w:val="18"/>
                      <w:szCs w:val="18"/>
                    </w:rPr>
                    <w:t>g/m</w:t>
                  </w:r>
                  <w:r>
                    <w:rPr>
                      <w:color w:val="auto"/>
                      <w:sz w:val="18"/>
                      <w:szCs w:val="18"/>
                      <w:vertAlign w:val="superscript"/>
                    </w:rPr>
                    <w:t>3</w:t>
                  </w:r>
                </w:p>
              </w:tc>
              <w:tc>
                <w:tcPr>
                  <w:tcW w:w="1627" w:type="dxa"/>
                  <w:vAlign w:val="center"/>
                </w:tcPr>
                <w:p>
                  <w:pPr>
                    <w:adjustRightInd w:val="0"/>
                    <w:snapToGrid w:val="0"/>
                    <w:spacing w:line="260" w:lineRule="exact"/>
                    <w:ind w:left="-53" w:leftChars="-25" w:right="-53" w:rightChars="-25"/>
                    <w:jc w:val="center"/>
                    <w:rPr>
                      <w:color w:val="auto"/>
                      <w:sz w:val="18"/>
                      <w:szCs w:val="18"/>
                    </w:rPr>
                  </w:pPr>
                  <w:r>
                    <w:rPr>
                      <w:color w:val="auto"/>
                      <w:sz w:val="18"/>
                      <w:szCs w:val="18"/>
                    </w:rPr>
                    <w:t>300ug/m</w:t>
                  </w:r>
                  <w:r>
                    <w:rPr>
                      <w:color w:val="auto"/>
                      <w:sz w:val="18"/>
                      <w:szCs w:val="18"/>
                      <w:vertAlign w:val="superscript"/>
                    </w:rPr>
                    <w:t>3</w:t>
                  </w:r>
                </w:p>
              </w:tc>
              <w:tc>
                <w:tcPr>
                  <w:tcW w:w="1114" w:type="dxa"/>
                  <w:vAlign w:val="center"/>
                </w:tcPr>
                <w:p>
                  <w:pPr>
                    <w:adjustRightInd w:val="0"/>
                    <w:snapToGrid w:val="0"/>
                    <w:spacing w:line="260" w:lineRule="exact"/>
                    <w:ind w:left="-53" w:leftChars="-25" w:right="-53" w:rightChars="-25"/>
                    <w:jc w:val="center"/>
                    <w:rPr>
                      <w:color w:val="auto"/>
                      <w:sz w:val="18"/>
                      <w:szCs w:val="18"/>
                    </w:rPr>
                  </w:pPr>
                  <w:r>
                    <w:rPr>
                      <w:color w:val="auto"/>
                      <w:sz w:val="18"/>
                      <w:szCs w:val="18"/>
                    </w:rPr>
                    <w:t>18.00%</w:t>
                  </w:r>
                </w:p>
              </w:tc>
              <w:tc>
                <w:tcPr>
                  <w:tcW w:w="1289" w:type="dxa"/>
                  <w:vAlign w:val="center"/>
                </w:tcPr>
                <w:p>
                  <w:pPr>
                    <w:adjustRightInd w:val="0"/>
                    <w:snapToGrid w:val="0"/>
                    <w:spacing w:line="260" w:lineRule="exact"/>
                    <w:ind w:left="-53" w:leftChars="-25" w:right="-53" w:rightChars="-25"/>
                    <w:jc w:val="center"/>
                    <w:rPr>
                      <w:color w:val="auto"/>
                      <w:sz w:val="18"/>
                      <w:szCs w:val="18"/>
                    </w:rPr>
                  </w:pPr>
                  <w:r>
                    <w:rPr>
                      <w:color w:val="auto"/>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845" w:type="dxa"/>
                  <w:vMerge w:val="continue"/>
                  <w:vAlign w:val="center"/>
                </w:tcPr>
                <w:p>
                  <w:pPr>
                    <w:adjustRightInd w:val="0"/>
                    <w:snapToGrid w:val="0"/>
                    <w:spacing w:line="260" w:lineRule="exact"/>
                    <w:ind w:left="-53" w:leftChars="-25" w:right="-53" w:rightChars="-25"/>
                    <w:jc w:val="center"/>
                    <w:rPr>
                      <w:color w:val="auto"/>
                      <w:sz w:val="18"/>
                      <w:szCs w:val="18"/>
                    </w:rPr>
                  </w:pPr>
                </w:p>
              </w:tc>
              <w:tc>
                <w:tcPr>
                  <w:tcW w:w="943" w:type="dxa"/>
                  <w:vAlign w:val="center"/>
                </w:tcPr>
                <w:p>
                  <w:pPr>
                    <w:spacing w:line="260" w:lineRule="exact"/>
                    <w:ind w:left="-53" w:leftChars="-25" w:right="-53" w:rightChars="-25"/>
                    <w:jc w:val="center"/>
                    <w:rPr>
                      <w:color w:val="auto"/>
                      <w:sz w:val="18"/>
                      <w:szCs w:val="18"/>
                    </w:rPr>
                  </w:pPr>
                  <w:r>
                    <w:rPr>
                      <w:color w:val="auto"/>
                      <w:sz w:val="18"/>
                      <w:szCs w:val="18"/>
                    </w:rPr>
                    <w:t>2024.2.29</w:t>
                  </w:r>
                </w:p>
              </w:tc>
              <w:tc>
                <w:tcPr>
                  <w:tcW w:w="1145" w:type="dxa"/>
                  <w:vAlign w:val="center"/>
                </w:tcPr>
                <w:p>
                  <w:pPr>
                    <w:spacing w:line="260" w:lineRule="exact"/>
                    <w:ind w:left="-53" w:leftChars="-25" w:right="-53" w:rightChars="-25"/>
                    <w:jc w:val="center"/>
                    <w:rPr>
                      <w:bCs/>
                      <w:color w:val="auto"/>
                      <w:sz w:val="18"/>
                      <w:szCs w:val="18"/>
                    </w:rPr>
                  </w:pPr>
                  <w:r>
                    <w:rPr>
                      <w:bCs/>
                      <w:color w:val="auto"/>
                      <w:sz w:val="18"/>
                      <w:szCs w:val="18"/>
                    </w:rPr>
                    <w:t>72u</w:t>
                  </w:r>
                  <w:r>
                    <w:rPr>
                      <w:color w:val="auto"/>
                      <w:sz w:val="18"/>
                      <w:szCs w:val="18"/>
                    </w:rPr>
                    <w:t>g/m</w:t>
                  </w:r>
                  <w:r>
                    <w:rPr>
                      <w:color w:val="auto"/>
                      <w:sz w:val="18"/>
                      <w:szCs w:val="18"/>
                      <w:vertAlign w:val="superscript"/>
                    </w:rPr>
                    <w:t>3</w:t>
                  </w:r>
                </w:p>
              </w:tc>
              <w:tc>
                <w:tcPr>
                  <w:tcW w:w="1627" w:type="dxa"/>
                  <w:vAlign w:val="center"/>
                </w:tcPr>
                <w:p>
                  <w:pPr>
                    <w:adjustRightInd w:val="0"/>
                    <w:snapToGrid w:val="0"/>
                    <w:spacing w:line="260" w:lineRule="exact"/>
                    <w:ind w:left="-53" w:leftChars="-25" w:right="-53" w:rightChars="-25"/>
                    <w:jc w:val="center"/>
                    <w:rPr>
                      <w:color w:val="auto"/>
                      <w:sz w:val="18"/>
                      <w:szCs w:val="18"/>
                    </w:rPr>
                  </w:pPr>
                  <w:r>
                    <w:rPr>
                      <w:color w:val="auto"/>
                      <w:sz w:val="18"/>
                      <w:szCs w:val="18"/>
                    </w:rPr>
                    <w:t>300ug/m</w:t>
                  </w:r>
                  <w:r>
                    <w:rPr>
                      <w:color w:val="auto"/>
                      <w:sz w:val="18"/>
                      <w:szCs w:val="18"/>
                      <w:vertAlign w:val="superscript"/>
                    </w:rPr>
                    <w:t>3</w:t>
                  </w:r>
                </w:p>
              </w:tc>
              <w:tc>
                <w:tcPr>
                  <w:tcW w:w="1114" w:type="dxa"/>
                  <w:vAlign w:val="center"/>
                </w:tcPr>
                <w:p>
                  <w:pPr>
                    <w:adjustRightInd w:val="0"/>
                    <w:snapToGrid w:val="0"/>
                    <w:spacing w:line="260" w:lineRule="exact"/>
                    <w:ind w:left="-53" w:leftChars="-25" w:right="-53" w:rightChars="-25"/>
                    <w:jc w:val="center"/>
                    <w:rPr>
                      <w:color w:val="auto"/>
                      <w:sz w:val="18"/>
                      <w:szCs w:val="18"/>
                    </w:rPr>
                  </w:pPr>
                  <w:r>
                    <w:rPr>
                      <w:color w:val="auto"/>
                      <w:sz w:val="18"/>
                      <w:szCs w:val="18"/>
                    </w:rPr>
                    <w:t>24.00%</w:t>
                  </w:r>
                </w:p>
              </w:tc>
              <w:tc>
                <w:tcPr>
                  <w:tcW w:w="1289" w:type="dxa"/>
                  <w:vAlign w:val="center"/>
                </w:tcPr>
                <w:p>
                  <w:pPr>
                    <w:adjustRightInd w:val="0"/>
                    <w:snapToGrid w:val="0"/>
                    <w:spacing w:line="260" w:lineRule="exact"/>
                    <w:ind w:left="-53" w:leftChars="-25" w:right="-53" w:rightChars="-25"/>
                    <w:jc w:val="center"/>
                    <w:rPr>
                      <w:color w:val="auto"/>
                      <w:sz w:val="18"/>
                      <w:szCs w:val="18"/>
                    </w:rPr>
                  </w:pPr>
                  <w:r>
                    <w:rPr>
                      <w:color w:val="auto"/>
                      <w:sz w:val="18"/>
                      <w:szCs w:val="18"/>
                    </w:rPr>
                    <w:t>0</w:t>
                  </w:r>
                </w:p>
              </w:tc>
            </w:tr>
          </w:tbl>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由上表可见，项目区环境空气中项目特征因子TSP评价指标的占标率均小于100%。说明项目所在地环境空气质量（TSP）能够满足相关要求。</w:t>
            </w:r>
          </w:p>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五、地表水环境质量现状评价</w:t>
            </w:r>
          </w:p>
          <w:p>
            <w:pPr>
              <w:adjustRightInd w:val="0"/>
              <w:snapToGrid w:val="0"/>
              <w:spacing w:line="360" w:lineRule="auto"/>
              <w:ind w:firstLine="420" w:firstLineChars="200"/>
              <w:rPr>
                <w:color w:val="auto"/>
                <w:kern w:val="0"/>
                <w:szCs w:val="21"/>
              </w:rPr>
            </w:pPr>
            <w:r>
              <w:rPr>
                <w:color w:val="auto"/>
                <w:kern w:val="0"/>
                <w:szCs w:val="21"/>
              </w:rPr>
              <w:t>根据《2023年10月达州市地表水水质月报》：2023年9月全市37个河流断面均为优（Ⅰ~Ⅱ类）良（Ⅲ类）水质断面，占比100%。</w:t>
            </w:r>
          </w:p>
          <w:p>
            <w:pPr>
              <w:pStyle w:val="53"/>
              <w:adjustRightInd w:val="0"/>
              <w:snapToGrid w:val="0"/>
              <w:spacing w:line="360" w:lineRule="auto"/>
              <w:ind w:firstLine="0" w:firstLineChars="0"/>
              <w:jc w:val="center"/>
              <w:rPr>
                <w:b/>
                <w:color w:val="auto"/>
                <w:kern w:val="0"/>
                <w:sz w:val="18"/>
                <w:szCs w:val="18"/>
              </w:rPr>
            </w:pPr>
            <w:r>
              <w:rPr>
                <w:rFonts w:hint="eastAsia"/>
                <w:b/>
                <w:color w:val="auto"/>
                <w:kern w:val="0"/>
                <w:sz w:val="18"/>
                <w:szCs w:val="18"/>
              </w:rPr>
              <w:t>表3</w:t>
            </w:r>
            <w:r>
              <w:rPr>
                <w:b/>
                <w:color w:val="auto"/>
                <w:kern w:val="0"/>
                <w:sz w:val="18"/>
                <w:szCs w:val="18"/>
              </w:rPr>
              <w:t>-6  2023年10月达州市河流水质评价结果表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23"/>
              <w:gridCol w:w="896"/>
              <w:gridCol w:w="555"/>
              <w:gridCol w:w="907"/>
              <w:gridCol w:w="1508"/>
              <w:gridCol w:w="907"/>
              <w:gridCol w:w="537"/>
              <w:gridCol w:w="537"/>
              <w:gridCol w:w="535"/>
              <w:gridCol w:w="12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523" w:type="dxa"/>
                  <w:vAlign w:val="center"/>
                </w:tcPr>
                <w:p>
                  <w:pPr>
                    <w:pStyle w:val="55"/>
                    <w:spacing w:line="240" w:lineRule="auto"/>
                    <w:ind w:firstLine="0" w:firstLineChars="0"/>
                    <w:jc w:val="center"/>
                    <w:rPr>
                      <w:color w:val="auto"/>
                      <w:sz w:val="18"/>
                      <w:szCs w:val="18"/>
                    </w:rPr>
                  </w:pPr>
                  <w:r>
                    <w:rPr>
                      <w:color w:val="auto"/>
                      <w:sz w:val="18"/>
                      <w:szCs w:val="18"/>
                    </w:rPr>
                    <w:t>序号</w:t>
                  </w:r>
                </w:p>
              </w:tc>
              <w:tc>
                <w:tcPr>
                  <w:tcW w:w="1451" w:type="dxa"/>
                  <w:gridSpan w:val="2"/>
                  <w:vAlign w:val="center"/>
                </w:tcPr>
                <w:p>
                  <w:pPr>
                    <w:pStyle w:val="55"/>
                    <w:spacing w:line="240" w:lineRule="auto"/>
                    <w:ind w:firstLine="0" w:firstLineChars="0"/>
                    <w:jc w:val="center"/>
                    <w:rPr>
                      <w:color w:val="auto"/>
                      <w:sz w:val="18"/>
                      <w:szCs w:val="18"/>
                    </w:rPr>
                  </w:pPr>
                  <w:r>
                    <w:rPr>
                      <w:color w:val="auto"/>
                      <w:sz w:val="18"/>
                      <w:szCs w:val="18"/>
                    </w:rPr>
                    <w:t>河流</w:t>
                  </w:r>
                </w:p>
              </w:tc>
              <w:tc>
                <w:tcPr>
                  <w:tcW w:w="907" w:type="dxa"/>
                  <w:vAlign w:val="center"/>
                </w:tcPr>
                <w:p>
                  <w:pPr>
                    <w:pStyle w:val="55"/>
                    <w:spacing w:line="240" w:lineRule="auto"/>
                    <w:ind w:firstLine="0" w:firstLineChars="0"/>
                    <w:jc w:val="center"/>
                    <w:rPr>
                      <w:color w:val="auto"/>
                      <w:sz w:val="18"/>
                      <w:szCs w:val="18"/>
                    </w:rPr>
                  </w:pPr>
                  <w:r>
                    <w:rPr>
                      <w:color w:val="auto"/>
                      <w:sz w:val="18"/>
                      <w:szCs w:val="18"/>
                    </w:rPr>
                    <w:t>断面名称</w:t>
                  </w:r>
                </w:p>
              </w:tc>
              <w:tc>
                <w:tcPr>
                  <w:tcW w:w="1508" w:type="dxa"/>
                  <w:vAlign w:val="center"/>
                </w:tcPr>
                <w:p>
                  <w:pPr>
                    <w:pStyle w:val="55"/>
                    <w:spacing w:line="240" w:lineRule="auto"/>
                    <w:ind w:firstLine="0" w:firstLineChars="0"/>
                    <w:jc w:val="center"/>
                    <w:rPr>
                      <w:color w:val="auto"/>
                      <w:sz w:val="18"/>
                      <w:szCs w:val="18"/>
                    </w:rPr>
                  </w:pPr>
                  <w:r>
                    <w:rPr>
                      <w:color w:val="auto"/>
                      <w:sz w:val="18"/>
                      <w:szCs w:val="18"/>
                    </w:rPr>
                    <w:t>断面属性</w:t>
                  </w:r>
                </w:p>
              </w:tc>
              <w:tc>
                <w:tcPr>
                  <w:tcW w:w="907" w:type="dxa"/>
                  <w:vAlign w:val="center"/>
                </w:tcPr>
                <w:p>
                  <w:pPr>
                    <w:pStyle w:val="55"/>
                    <w:spacing w:line="240" w:lineRule="auto"/>
                    <w:ind w:firstLine="0" w:firstLineChars="0"/>
                    <w:jc w:val="center"/>
                    <w:rPr>
                      <w:color w:val="auto"/>
                      <w:sz w:val="18"/>
                      <w:szCs w:val="18"/>
                    </w:rPr>
                  </w:pPr>
                  <w:r>
                    <w:rPr>
                      <w:color w:val="auto"/>
                      <w:sz w:val="18"/>
                      <w:szCs w:val="18"/>
                    </w:rPr>
                    <w:t>断面性质</w:t>
                  </w:r>
                </w:p>
              </w:tc>
              <w:tc>
                <w:tcPr>
                  <w:tcW w:w="537" w:type="dxa"/>
                  <w:vAlign w:val="center"/>
                </w:tcPr>
                <w:p>
                  <w:pPr>
                    <w:pStyle w:val="55"/>
                    <w:spacing w:line="240" w:lineRule="auto"/>
                    <w:ind w:firstLine="0" w:firstLineChars="0"/>
                    <w:jc w:val="center"/>
                    <w:rPr>
                      <w:color w:val="auto"/>
                      <w:sz w:val="18"/>
                      <w:szCs w:val="18"/>
                    </w:rPr>
                  </w:pPr>
                  <w:r>
                    <w:rPr>
                      <w:color w:val="auto"/>
                      <w:sz w:val="18"/>
                      <w:szCs w:val="18"/>
                    </w:rPr>
                    <w:t>上年</w:t>
                  </w:r>
                </w:p>
                <w:p>
                  <w:pPr>
                    <w:pStyle w:val="55"/>
                    <w:spacing w:line="240" w:lineRule="auto"/>
                    <w:ind w:firstLine="0" w:firstLineChars="0"/>
                    <w:jc w:val="center"/>
                    <w:rPr>
                      <w:color w:val="auto"/>
                      <w:sz w:val="18"/>
                      <w:szCs w:val="18"/>
                    </w:rPr>
                  </w:pPr>
                  <w:r>
                    <w:rPr>
                      <w:color w:val="auto"/>
                      <w:sz w:val="18"/>
                      <w:szCs w:val="18"/>
                    </w:rPr>
                    <w:t>同期</w:t>
                  </w:r>
                </w:p>
              </w:tc>
              <w:tc>
                <w:tcPr>
                  <w:tcW w:w="537" w:type="dxa"/>
                  <w:vAlign w:val="center"/>
                </w:tcPr>
                <w:p>
                  <w:pPr>
                    <w:pStyle w:val="55"/>
                    <w:spacing w:line="240" w:lineRule="auto"/>
                    <w:ind w:firstLine="0" w:firstLineChars="0"/>
                    <w:jc w:val="center"/>
                    <w:rPr>
                      <w:color w:val="auto"/>
                      <w:sz w:val="18"/>
                      <w:szCs w:val="18"/>
                    </w:rPr>
                  </w:pPr>
                  <w:r>
                    <w:rPr>
                      <w:color w:val="auto"/>
                      <w:sz w:val="18"/>
                      <w:szCs w:val="18"/>
                    </w:rPr>
                    <w:t>上月</w:t>
                  </w:r>
                </w:p>
                <w:p>
                  <w:pPr>
                    <w:pStyle w:val="55"/>
                    <w:spacing w:line="240" w:lineRule="auto"/>
                    <w:ind w:firstLine="0" w:firstLineChars="0"/>
                    <w:jc w:val="center"/>
                    <w:rPr>
                      <w:color w:val="auto"/>
                      <w:sz w:val="18"/>
                      <w:szCs w:val="18"/>
                    </w:rPr>
                  </w:pPr>
                  <w:r>
                    <w:rPr>
                      <w:color w:val="auto"/>
                      <w:sz w:val="18"/>
                      <w:szCs w:val="18"/>
                    </w:rPr>
                    <w:t>类别</w:t>
                  </w:r>
                </w:p>
              </w:tc>
              <w:tc>
                <w:tcPr>
                  <w:tcW w:w="535" w:type="dxa"/>
                  <w:vAlign w:val="center"/>
                </w:tcPr>
                <w:p>
                  <w:pPr>
                    <w:pStyle w:val="55"/>
                    <w:spacing w:line="240" w:lineRule="auto"/>
                    <w:ind w:firstLine="0" w:firstLineChars="0"/>
                    <w:jc w:val="center"/>
                    <w:rPr>
                      <w:color w:val="auto"/>
                      <w:sz w:val="18"/>
                      <w:szCs w:val="18"/>
                    </w:rPr>
                  </w:pPr>
                  <w:r>
                    <w:rPr>
                      <w:color w:val="auto"/>
                      <w:sz w:val="18"/>
                      <w:szCs w:val="18"/>
                    </w:rPr>
                    <w:t>本月</w:t>
                  </w:r>
                </w:p>
                <w:p>
                  <w:pPr>
                    <w:pStyle w:val="55"/>
                    <w:spacing w:line="240" w:lineRule="auto"/>
                    <w:ind w:firstLine="0" w:firstLineChars="0"/>
                    <w:jc w:val="center"/>
                    <w:rPr>
                      <w:color w:val="auto"/>
                      <w:sz w:val="18"/>
                      <w:szCs w:val="18"/>
                    </w:rPr>
                  </w:pPr>
                  <w:r>
                    <w:rPr>
                      <w:color w:val="auto"/>
                      <w:sz w:val="18"/>
                      <w:szCs w:val="18"/>
                    </w:rPr>
                    <w:t>类别</w:t>
                  </w:r>
                </w:p>
              </w:tc>
              <w:tc>
                <w:tcPr>
                  <w:tcW w:w="1201" w:type="dxa"/>
                  <w:vAlign w:val="center"/>
                </w:tcPr>
                <w:p>
                  <w:pPr>
                    <w:pStyle w:val="55"/>
                    <w:spacing w:line="240" w:lineRule="auto"/>
                    <w:ind w:firstLine="0" w:firstLineChars="0"/>
                    <w:jc w:val="center"/>
                    <w:rPr>
                      <w:color w:val="auto"/>
                      <w:sz w:val="18"/>
                      <w:szCs w:val="18"/>
                    </w:rPr>
                  </w:pPr>
                  <w:r>
                    <w:rPr>
                      <w:color w:val="auto"/>
                      <w:sz w:val="18"/>
                      <w:szCs w:val="18"/>
                    </w:rPr>
                    <w:t>主要污染指标（类别）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 w:hRule="atLeast"/>
                <w:jc w:val="center"/>
              </w:trPr>
              <w:tc>
                <w:tcPr>
                  <w:tcW w:w="523" w:type="dxa"/>
                  <w:vAlign w:val="center"/>
                </w:tcPr>
                <w:p>
                  <w:pPr>
                    <w:pStyle w:val="55"/>
                    <w:spacing w:line="240" w:lineRule="auto"/>
                    <w:ind w:firstLine="0" w:firstLineChars="0"/>
                    <w:jc w:val="center"/>
                    <w:rPr>
                      <w:color w:val="auto"/>
                      <w:sz w:val="18"/>
                      <w:szCs w:val="18"/>
                    </w:rPr>
                  </w:pPr>
                  <w:r>
                    <w:rPr>
                      <w:color w:val="auto"/>
                      <w:sz w:val="18"/>
                      <w:szCs w:val="18"/>
                    </w:rPr>
                    <w:t>1</w:t>
                  </w:r>
                </w:p>
              </w:tc>
              <w:tc>
                <w:tcPr>
                  <w:tcW w:w="896" w:type="dxa"/>
                  <w:vAlign w:val="center"/>
                </w:tcPr>
                <w:p>
                  <w:pPr>
                    <w:pStyle w:val="55"/>
                    <w:spacing w:line="240" w:lineRule="auto"/>
                    <w:ind w:firstLine="0" w:firstLineChars="0"/>
                    <w:jc w:val="center"/>
                    <w:rPr>
                      <w:color w:val="auto"/>
                      <w:sz w:val="18"/>
                      <w:szCs w:val="18"/>
                    </w:rPr>
                  </w:pPr>
                  <w:r>
                    <w:rPr>
                      <w:color w:val="auto"/>
                      <w:sz w:val="18"/>
                      <w:szCs w:val="18"/>
                    </w:rPr>
                    <w:t>州河水系</w:t>
                  </w:r>
                </w:p>
              </w:tc>
              <w:tc>
                <w:tcPr>
                  <w:tcW w:w="555" w:type="dxa"/>
                  <w:vAlign w:val="center"/>
                </w:tcPr>
                <w:p>
                  <w:pPr>
                    <w:pStyle w:val="55"/>
                    <w:spacing w:line="240" w:lineRule="auto"/>
                    <w:ind w:firstLine="0" w:firstLineChars="0"/>
                    <w:jc w:val="center"/>
                    <w:rPr>
                      <w:color w:val="auto"/>
                      <w:sz w:val="18"/>
                      <w:szCs w:val="18"/>
                    </w:rPr>
                  </w:pPr>
                  <w:r>
                    <w:rPr>
                      <w:color w:val="auto"/>
                      <w:sz w:val="18"/>
                      <w:szCs w:val="18"/>
                    </w:rPr>
                    <w:t>干流</w:t>
                  </w:r>
                </w:p>
              </w:tc>
              <w:tc>
                <w:tcPr>
                  <w:tcW w:w="907" w:type="dxa"/>
                  <w:vAlign w:val="center"/>
                </w:tcPr>
                <w:p>
                  <w:pPr>
                    <w:pStyle w:val="55"/>
                    <w:spacing w:line="240" w:lineRule="auto"/>
                    <w:ind w:firstLine="0" w:firstLineChars="0"/>
                    <w:jc w:val="center"/>
                    <w:rPr>
                      <w:color w:val="auto"/>
                      <w:sz w:val="18"/>
                      <w:szCs w:val="18"/>
                    </w:rPr>
                  </w:pPr>
                  <w:r>
                    <w:rPr>
                      <w:color w:val="auto"/>
                      <w:sz w:val="18"/>
                      <w:szCs w:val="18"/>
                    </w:rPr>
                    <w:t>张鼓坪</w:t>
                  </w:r>
                </w:p>
              </w:tc>
              <w:tc>
                <w:tcPr>
                  <w:tcW w:w="1508" w:type="dxa"/>
                  <w:vAlign w:val="center"/>
                </w:tcPr>
                <w:p>
                  <w:pPr>
                    <w:pStyle w:val="55"/>
                    <w:spacing w:line="240" w:lineRule="auto"/>
                    <w:ind w:firstLine="0" w:firstLineChars="0"/>
                    <w:jc w:val="center"/>
                    <w:rPr>
                      <w:color w:val="auto"/>
                      <w:sz w:val="18"/>
                      <w:szCs w:val="18"/>
                    </w:rPr>
                  </w:pPr>
                  <w:r>
                    <w:rPr>
                      <w:color w:val="auto"/>
                      <w:sz w:val="18"/>
                      <w:szCs w:val="18"/>
                    </w:rPr>
                    <w:t>县界</w:t>
                  </w:r>
                </w:p>
                <w:p>
                  <w:pPr>
                    <w:pStyle w:val="55"/>
                    <w:spacing w:line="240" w:lineRule="auto"/>
                    <w:ind w:firstLine="0" w:firstLineChars="0"/>
                    <w:jc w:val="center"/>
                    <w:rPr>
                      <w:color w:val="auto"/>
                      <w:sz w:val="18"/>
                      <w:szCs w:val="18"/>
                    </w:rPr>
                  </w:pPr>
                  <w:r>
                    <w:rPr>
                      <w:color w:val="auto"/>
                      <w:sz w:val="18"/>
                      <w:szCs w:val="18"/>
                    </w:rPr>
                    <w:t>宣汉县→通川区</w:t>
                  </w:r>
                </w:p>
              </w:tc>
              <w:tc>
                <w:tcPr>
                  <w:tcW w:w="907" w:type="dxa"/>
                  <w:vAlign w:val="center"/>
                </w:tcPr>
                <w:p>
                  <w:pPr>
                    <w:pStyle w:val="55"/>
                    <w:spacing w:line="240" w:lineRule="auto"/>
                    <w:ind w:firstLine="0" w:firstLineChars="0"/>
                    <w:jc w:val="center"/>
                    <w:rPr>
                      <w:color w:val="auto"/>
                      <w:sz w:val="18"/>
                      <w:szCs w:val="18"/>
                    </w:rPr>
                  </w:pPr>
                  <w:r>
                    <w:rPr>
                      <w:color w:val="auto"/>
                      <w:sz w:val="18"/>
                      <w:szCs w:val="18"/>
                    </w:rPr>
                    <w:t>省控考核评价</w:t>
                  </w:r>
                </w:p>
              </w:tc>
              <w:tc>
                <w:tcPr>
                  <w:tcW w:w="537" w:type="dxa"/>
                  <w:vAlign w:val="center"/>
                </w:tcPr>
                <w:p>
                  <w:pPr>
                    <w:pStyle w:val="55"/>
                    <w:spacing w:line="240" w:lineRule="auto"/>
                    <w:ind w:firstLine="0" w:firstLineChars="0"/>
                    <w:jc w:val="center"/>
                    <w:rPr>
                      <w:color w:val="auto"/>
                      <w:sz w:val="18"/>
                      <w:szCs w:val="18"/>
                    </w:rPr>
                  </w:pPr>
                  <w:r>
                    <w:rPr>
                      <w:rFonts w:eastAsia="微软雅黑"/>
                      <w:color w:val="auto"/>
                      <w:sz w:val="18"/>
                      <w:szCs w:val="18"/>
                    </w:rPr>
                    <w:t>Ⅲ</w:t>
                  </w:r>
                </w:p>
              </w:tc>
              <w:tc>
                <w:tcPr>
                  <w:tcW w:w="537" w:type="dxa"/>
                  <w:vAlign w:val="center"/>
                </w:tcPr>
                <w:p>
                  <w:pPr>
                    <w:pStyle w:val="55"/>
                    <w:spacing w:line="240" w:lineRule="auto"/>
                    <w:ind w:firstLine="0" w:firstLineChars="0"/>
                    <w:jc w:val="center"/>
                    <w:rPr>
                      <w:color w:val="auto"/>
                      <w:sz w:val="18"/>
                      <w:szCs w:val="18"/>
                    </w:rPr>
                  </w:pPr>
                  <w:r>
                    <w:rPr>
                      <w:color w:val="auto"/>
                      <w:sz w:val="18"/>
                      <w:szCs w:val="18"/>
                    </w:rPr>
                    <w:t>II</w:t>
                  </w:r>
                </w:p>
              </w:tc>
              <w:tc>
                <w:tcPr>
                  <w:tcW w:w="535" w:type="dxa"/>
                  <w:vAlign w:val="center"/>
                </w:tcPr>
                <w:p>
                  <w:pPr>
                    <w:pStyle w:val="55"/>
                    <w:spacing w:line="240" w:lineRule="auto"/>
                    <w:ind w:firstLine="0" w:firstLineChars="0"/>
                    <w:jc w:val="center"/>
                    <w:rPr>
                      <w:color w:val="auto"/>
                      <w:sz w:val="18"/>
                      <w:szCs w:val="18"/>
                    </w:rPr>
                  </w:pPr>
                  <w:r>
                    <w:rPr>
                      <w:color w:val="auto"/>
                      <w:sz w:val="18"/>
                      <w:szCs w:val="18"/>
                    </w:rPr>
                    <w:t>II</w:t>
                  </w:r>
                </w:p>
              </w:tc>
              <w:tc>
                <w:tcPr>
                  <w:tcW w:w="1201" w:type="dxa"/>
                  <w:vAlign w:val="center"/>
                </w:tcPr>
                <w:p>
                  <w:pPr>
                    <w:pStyle w:val="55"/>
                    <w:spacing w:line="240" w:lineRule="auto"/>
                    <w:ind w:firstLine="0" w:firstLineChars="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 w:hRule="atLeast"/>
                <w:jc w:val="center"/>
              </w:trPr>
              <w:tc>
                <w:tcPr>
                  <w:tcW w:w="523" w:type="dxa"/>
                  <w:vAlign w:val="center"/>
                </w:tcPr>
                <w:p>
                  <w:pPr>
                    <w:pStyle w:val="55"/>
                    <w:spacing w:line="240" w:lineRule="auto"/>
                    <w:ind w:firstLine="0" w:firstLineChars="0"/>
                    <w:jc w:val="center"/>
                    <w:rPr>
                      <w:color w:val="auto"/>
                      <w:sz w:val="18"/>
                      <w:szCs w:val="18"/>
                    </w:rPr>
                  </w:pPr>
                  <w:r>
                    <w:rPr>
                      <w:rFonts w:hint="eastAsia"/>
                      <w:color w:val="auto"/>
                      <w:sz w:val="18"/>
                      <w:szCs w:val="18"/>
                    </w:rPr>
                    <w:t>2</w:t>
                  </w:r>
                </w:p>
              </w:tc>
              <w:tc>
                <w:tcPr>
                  <w:tcW w:w="896" w:type="dxa"/>
                  <w:vAlign w:val="center"/>
                </w:tcPr>
                <w:p>
                  <w:pPr>
                    <w:pStyle w:val="55"/>
                    <w:spacing w:line="240" w:lineRule="auto"/>
                    <w:ind w:firstLine="0" w:firstLineChars="0"/>
                    <w:jc w:val="center"/>
                    <w:rPr>
                      <w:color w:val="auto"/>
                      <w:sz w:val="18"/>
                      <w:szCs w:val="18"/>
                    </w:rPr>
                  </w:pPr>
                  <w:r>
                    <w:rPr>
                      <w:color w:val="auto"/>
                      <w:sz w:val="18"/>
                      <w:szCs w:val="18"/>
                    </w:rPr>
                    <w:t>州河水系</w:t>
                  </w:r>
                </w:p>
              </w:tc>
              <w:tc>
                <w:tcPr>
                  <w:tcW w:w="555" w:type="dxa"/>
                  <w:vAlign w:val="center"/>
                </w:tcPr>
                <w:p>
                  <w:pPr>
                    <w:pStyle w:val="55"/>
                    <w:spacing w:line="240" w:lineRule="auto"/>
                    <w:ind w:firstLine="0" w:firstLineChars="0"/>
                    <w:jc w:val="center"/>
                    <w:rPr>
                      <w:color w:val="auto"/>
                      <w:sz w:val="18"/>
                      <w:szCs w:val="18"/>
                    </w:rPr>
                  </w:pPr>
                  <w:r>
                    <w:rPr>
                      <w:rFonts w:hint="eastAsia"/>
                      <w:color w:val="auto"/>
                      <w:sz w:val="18"/>
                      <w:szCs w:val="18"/>
                    </w:rPr>
                    <w:t>前河</w:t>
                  </w:r>
                </w:p>
              </w:tc>
              <w:tc>
                <w:tcPr>
                  <w:tcW w:w="907" w:type="dxa"/>
                  <w:vAlign w:val="center"/>
                </w:tcPr>
                <w:p>
                  <w:pPr>
                    <w:pStyle w:val="55"/>
                    <w:spacing w:line="240" w:lineRule="auto"/>
                    <w:ind w:firstLine="0" w:firstLineChars="0"/>
                    <w:jc w:val="center"/>
                    <w:rPr>
                      <w:color w:val="auto"/>
                      <w:sz w:val="18"/>
                      <w:szCs w:val="18"/>
                    </w:rPr>
                  </w:pPr>
                  <w:r>
                    <w:rPr>
                      <w:rFonts w:hint="eastAsia"/>
                      <w:color w:val="auto"/>
                      <w:sz w:val="18"/>
                      <w:szCs w:val="18"/>
                    </w:rPr>
                    <w:t>土堡寨</w:t>
                  </w:r>
                </w:p>
              </w:tc>
              <w:tc>
                <w:tcPr>
                  <w:tcW w:w="1508" w:type="dxa"/>
                  <w:vAlign w:val="center"/>
                </w:tcPr>
                <w:p>
                  <w:pPr>
                    <w:pStyle w:val="55"/>
                    <w:spacing w:line="240" w:lineRule="auto"/>
                    <w:ind w:firstLine="0" w:firstLineChars="0"/>
                    <w:jc w:val="center"/>
                    <w:rPr>
                      <w:color w:val="auto"/>
                      <w:sz w:val="18"/>
                      <w:szCs w:val="18"/>
                    </w:rPr>
                  </w:pPr>
                  <w:r>
                    <w:rPr>
                      <w:rFonts w:hint="eastAsia"/>
                      <w:color w:val="auto"/>
                      <w:sz w:val="18"/>
                      <w:szCs w:val="18"/>
                    </w:rPr>
                    <w:t>省界（渝</w:t>
                  </w:r>
                  <w:r>
                    <w:rPr>
                      <w:color w:val="auto"/>
                      <w:sz w:val="18"/>
                      <w:szCs w:val="18"/>
                    </w:rPr>
                    <w:t>→</w:t>
                  </w:r>
                  <w:r>
                    <w:rPr>
                      <w:rFonts w:hint="eastAsia"/>
                      <w:color w:val="auto"/>
                      <w:sz w:val="18"/>
                      <w:szCs w:val="18"/>
                    </w:rPr>
                    <w:t>川）</w:t>
                  </w:r>
                </w:p>
              </w:tc>
              <w:tc>
                <w:tcPr>
                  <w:tcW w:w="907" w:type="dxa"/>
                  <w:vAlign w:val="center"/>
                </w:tcPr>
                <w:p>
                  <w:pPr>
                    <w:pStyle w:val="55"/>
                    <w:spacing w:line="240" w:lineRule="auto"/>
                    <w:ind w:firstLine="0" w:firstLineChars="0"/>
                    <w:jc w:val="center"/>
                    <w:rPr>
                      <w:color w:val="auto"/>
                      <w:sz w:val="18"/>
                      <w:szCs w:val="18"/>
                    </w:rPr>
                  </w:pPr>
                  <w:r>
                    <w:rPr>
                      <w:rFonts w:hint="eastAsia"/>
                      <w:color w:val="auto"/>
                      <w:sz w:val="18"/>
                      <w:szCs w:val="18"/>
                    </w:rPr>
                    <w:t>国控</w:t>
                  </w:r>
                </w:p>
              </w:tc>
              <w:tc>
                <w:tcPr>
                  <w:tcW w:w="537" w:type="dxa"/>
                  <w:vAlign w:val="center"/>
                </w:tcPr>
                <w:p>
                  <w:pPr>
                    <w:pStyle w:val="55"/>
                    <w:spacing w:line="240" w:lineRule="auto"/>
                    <w:ind w:firstLine="0" w:firstLineChars="0"/>
                    <w:jc w:val="center"/>
                    <w:rPr>
                      <w:rFonts w:eastAsia="微软雅黑"/>
                      <w:color w:val="auto"/>
                      <w:sz w:val="18"/>
                      <w:szCs w:val="18"/>
                    </w:rPr>
                  </w:pPr>
                  <w:r>
                    <w:rPr>
                      <w:color w:val="auto"/>
                      <w:sz w:val="18"/>
                      <w:szCs w:val="18"/>
                    </w:rPr>
                    <w:t>II</w:t>
                  </w:r>
                </w:p>
              </w:tc>
              <w:tc>
                <w:tcPr>
                  <w:tcW w:w="537" w:type="dxa"/>
                  <w:vAlign w:val="center"/>
                </w:tcPr>
                <w:p>
                  <w:pPr>
                    <w:pStyle w:val="55"/>
                    <w:spacing w:line="240" w:lineRule="auto"/>
                    <w:ind w:firstLine="0" w:firstLineChars="0"/>
                    <w:jc w:val="center"/>
                    <w:rPr>
                      <w:color w:val="auto"/>
                      <w:sz w:val="18"/>
                      <w:szCs w:val="18"/>
                    </w:rPr>
                  </w:pPr>
                  <w:r>
                    <w:rPr>
                      <w:color w:val="auto"/>
                      <w:sz w:val="18"/>
                      <w:szCs w:val="18"/>
                    </w:rPr>
                    <w:t>II</w:t>
                  </w:r>
                </w:p>
              </w:tc>
              <w:tc>
                <w:tcPr>
                  <w:tcW w:w="535" w:type="dxa"/>
                  <w:vAlign w:val="center"/>
                </w:tcPr>
                <w:p>
                  <w:pPr>
                    <w:pStyle w:val="55"/>
                    <w:spacing w:line="240" w:lineRule="auto"/>
                    <w:ind w:firstLine="0" w:firstLineChars="0"/>
                    <w:jc w:val="center"/>
                    <w:rPr>
                      <w:color w:val="auto"/>
                      <w:sz w:val="18"/>
                      <w:szCs w:val="18"/>
                    </w:rPr>
                  </w:pPr>
                  <w:r>
                    <w:rPr>
                      <w:color w:val="auto"/>
                      <w:sz w:val="18"/>
                      <w:szCs w:val="18"/>
                    </w:rPr>
                    <w:t>II</w:t>
                  </w:r>
                </w:p>
              </w:tc>
              <w:tc>
                <w:tcPr>
                  <w:tcW w:w="1201" w:type="dxa"/>
                  <w:vAlign w:val="center"/>
                </w:tcPr>
                <w:p>
                  <w:pPr>
                    <w:pStyle w:val="55"/>
                    <w:spacing w:line="240" w:lineRule="auto"/>
                    <w:ind w:firstLine="0" w:firstLineChars="0"/>
                    <w:jc w:val="center"/>
                    <w:rPr>
                      <w:color w:val="auto"/>
                      <w:sz w:val="18"/>
                      <w:szCs w:val="18"/>
                    </w:rPr>
                  </w:pPr>
                  <w:r>
                    <w:rPr>
                      <w:rFonts w:hint="eastAsia"/>
                      <w:color w:val="auto"/>
                      <w:sz w:val="18"/>
                      <w:szCs w:val="18"/>
                    </w:rPr>
                    <w:t>/</w:t>
                  </w:r>
                </w:p>
              </w:tc>
            </w:tr>
          </w:tbl>
          <w:p>
            <w:pPr>
              <w:adjustRightInd w:val="0"/>
              <w:snapToGrid w:val="0"/>
              <w:spacing w:line="360" w:lineRule="auto"/>
              <w:ind w:firstLine="420" w:firstLineChars="200"/>
              <w:rPr>
                <w:color w:val="auto"/>
                <w:kern w:val="0"/>
                <w:szCs w:val="21"/>
              </w:rPr>
            </w:pPr>
            <w:r>
              <w:rPr>
                <w:color w:val="auto"/>
                <w:kern w:val="0"/>
                <w:szCs w:val="21"/>
              </w:rPr>
              <w:t>根据现场调查本项目最近河流地表水为</w:t>
            </w:r>
            <w:r>
              <w:rPr>
                <w:rFonts w:hint="eastAsia"/>
                <w:color w:val="auto"/>
                <w:kern w:val="0"/>
                <w:szCs w:val="21"/>
              </w:rPr>
              <w:t>石溪河</w:t>
            </w:r>
            <w:r>
              <w:rPr>
                <w:color w:val="auto"/>
                <w:kern w:val="0"/>
                <w:szCs w:val="21"/>
              </w:rPr>
              <w:t>，</w:t>
            </w:r>
            <w:r>
              <w:rPr>
                <w:rFonts w:hint="eastAsia"/>
                <w:color w:val="auto"/>
                <w:kern w:val="0"/>
                <w:szCs w:val="21"/>
              </w:rPr>
              <w:t>最终汇入州河</w:t>
            </w:r>
            <w:r>
              <w:rPr>
                <w:color w:val="auto"/>
                <w:kern w:val="0"/>
                <w:szCs w:val="21"/>
              </w:rPr>
              <w:t>，</w:t>
            </w:r>
            <w:r>
              <w:rPr>
                <w:color w:val="auto"/>
                <w:kern w:val="0"/>
              </w:rPr>
              <w:t>与项目区相距较近的监测断面为</w:t>
            </w:r>
            <w:r>
              <w:rPr>
                <w:rFonts w:hint="eastAsia"/>
                <w:color w:val="auto"/>
                <w:kern w:val="0"/>
              </w:rPr>
              <w:t>州河水系前河土堡寨断面和</w:t>
            </w:r>
            <w:r>
              <w:rPr>
                <w:color w:val="auto"/>
                <w:kern w:val="0"/>
              </w:rPr>
              <w:t>州河张鼓坪断面。根据上表例行监测数据表明：项目区域地表水体州河水系的</w:t>
            </w:r>
            <w:r>
              <w:rPr>
                <w:rFonts w:hint="eastAsia"/>
                <w:color w:val="auto"/>
                <w:kern w:val="0"/>
              </w:rPr>
              <w:t>前河土堡寨断面和</w:t>
            </w:r>
            <w:r>
              <w:rPr>
                <w:color w:val="auto"/>
                <w:kern w:val="0"/>
              </w:rPr>
              <w:t>州河张鼓坪监测断面的水质能够满足《地表水环境质量标准》（GB3838-2002）Ⅲ类水域</w:t>
            </w:r>
            <w:r>
              <w:rPr>
                <w:rFonts w:hint="eastAsia"/>
                <w:color w:val="auto"/>
                <w:kern w:val="0"/>
              </w:rPr>
              <w:t>。</w:t>
            </w:r>
          </w:p>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六、声环境质量现状</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为了解评价区声学环境质量现状情况，委托</w:t>
            </w:r>
            <w:r>
              <w:rPr>
                <w:color w:val="auto"/>
                <w:szCs w:val="18"/>
              </w:rPr>
              <w:t>达州恒福环境监测服务有限公司</w:t>
            </w:r>
            <w:r>
              <w:rPr>
                <w:rFonts w:hint="eastAsia" w:ascii="宋体" w:hAnsi="宋体" w:cs="宋体"/>
                <w:color w:val="auto"/>
                <w:kern w:val="0"/>
                <w:szCs w:val="21"/>
              </w:rPr>
              <w:t>于202</w:t>
            </w:r>
            <w:r>
              <w:rPr>
                <w:rFonts w:ascii="宋体" w:hAnsi="宋体" w:cs="宋体"/>
                <w:color w:val="auto"/>
                <w:kern w:val="0"/>
                <w:szCs w:val="21"/>
              </w:rPr>
              <w:t>4</w:t>
            </w:r>
            <w:r>
              <w:rPr>
                <w:rFonts w:hint="eastAsia" w:ascii="宋体" w:hAnsi="宋体" w:cs="宋体"/>
                <w:color w:val="auto"/>
                <w:kern w:val="0"/>
                <w:szCs w:val="21"/>
              </w:rPr>
              <w:t>年</w:t>
            </w:r>
            <w:r>
              <w:rPr>
                <w:rFonts w:ascii="宋体" w:hAnsi="宋体" w:cs="宋体"/>
                <w:color w:val="auto"/>
                <w:kern w:val="0"/>
                <w:szCs w:val="21"/>
              </w:rPr>
              <w:t>2</w:t>
            </w:r>
            <w:r>
              <w:rPr>
                <w:rFonts w:hint="eastAsia" w:ascii="宋体" w:hAnsi="宋体" w:cs="宋体"/>
                <w:color w:val="auto"/>
                <w:kern w:val="0"/>
                <w:szCs w:val="21"/>
              </w:rPr>
              <w:t>月</w:t>
            </w:r>
            <w:r>
              <w:rPr>
                <w:rFonts w:ascii="宋体" w:hAnsi="宋体" w:cs="宋体"/>
                <w:color w:val="auto"/>
                <w:kern w:val="0"/>
                <w:szCs w:val="21"/>
              </w:rPr>
              <w:t>27</w:t>
            </w:r>
            <w:r>
              <w:rPr>
                <w:rFonts w:hint="eastAsia" w:ascii="宋体" w:hAnsi="宋体" w:cs="宋体"/>
                <w:color w:val="auto"/>
                <w:kern w:val="0"/>
                <w:szCs w:val="21"/>
              </w:rPr>
              <w:t>日进行了监测，本次共布</w:t>
            </w:r>
            <w:r>
              <w:rPr>
                <w:rFonts w:ascii="宋体" w:hAnsi="宋体" w:cs="宋体"/>
                <w:color w:val="auto"/>
                <w:kern w:val="0"/>
                <w:szCs w:val="21"/>
              </w:rPr>
              <w:t>12</w:t>
            </w:r>
            <w:r>
              <w:rPr>
                <w:rFonts w:hint="eastAsia" w:ascii="宋体" w:hAnsi="宋体" w:cs="宋体"/>
                <w:color w:val="auto"/>
                <w:kern w:val="0"/>
                <w:szCs w:val="21"/>
              </w:rPr>
              <w:t>个声环境监测点。</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1、执行标准</w:t>
            </w:r>
          </w:p>
          <w:p>
            <w:pPr>
              <w:adjustRightInd w:val="0"/>
              <w:snapToGrid w:val="0"/>
              <w:spacing w:line="360" w:lineRule="auto"/>
              <w:ind w:firstLine="420" w:firstLineChars="200"/>
              <w:rPr>
                <w:rFonts w:ascii="宋体" w:hAnsi="宋体" w:cs="宋体"/>
                <w:color w:val="auto"/>
                <w:kern w:val="0"/>
                <w:szCs w:val="21"/>
              </w:rPr>
            </w:pPr>
            <w:r>
              <w:rPr>
                <w:color w:val="auto"/>
                <w:kern w:val="0"/>
              </w:rPr>
              <w:t>《声环境质量标准》GB3096-2008中2类标准</w:t>
            </w:r>
            <w:r>
              <w:rPr>
                <w:rFonts w:hint="eastAsia"/>
                <w:color w:val="auto"/>
                <w:kern w:val="0"/>
              </w:rPr>
              <w:t>。</w:t>
            </w:r>
          </w:p>
          <w:p>
            <w:pPr>
              <w:adjustRightInd w:val="0"/>
              <w:snapToGrid w:val="0"/>
              <w:spacing w:line="360" w:lineRule="auto"/>
              <w:ind w:firstLine="420" w:firstLineChars="200"/>
              <w:rPr>
                <w:rFonts w:ascii="宋体" w:hAnsi="宋体" w:cs="宋体"/>
                <w:color w:val="auto"/>
                <w:kern w:val="0"/>
                <w:szCs w:val="21"/>
              </w:rPr>
            </w:pPr>
            <w:r>
              <w:rPr>
                <w:rFonts w:ascii="宋体" w:hAnsi="宋体" w:cs="宋体"/>
                <w:color w:val="auto"/>
                <w:kern w:val="0"/>
                <w:szCs w:val="21"/>
              </w:rPr>
              <w:t>2</w:t>
            </w:r>
            <w:r>
              <w:rPr>
                <w:rFonts w:hint="eastAsia" w:ascii="宋体" w:hAnsi="宋体" w:cs="宋体"/>
                <w:color w:val="auto"/>
                <w:kern w:val="0"/>
                <w:szCs w:val="21"/>
              </w:rPr>
              <w:t>、监测布点</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本次环评在项目采矿区、加工场区及矿区道路沿线共布设噪声声环境监测点</w:t>
            </w:r>
            <w:r>
              <w:rPr>
                <w:rFonts w:ascii="宋体" w:hAnsi="宋体" w:cs="宋体"/>
                <w:color w:val="auto"/>
                <w:kern w:val="0"/>
                <w:szCs w:val="21"/>
              </w:rPr>
              <w:t>12</w:t>
            </w:r>
            <w:r>
              <w:rPr>
                <w:rFonts w:hint="eastAsia" w:ascii="宋体" w:hAnsi="宋体" w:cs="宋体"/>
                <w:color w:val="auto"/>
                <w:kern w:val="0"/>
                <w:szCs w:val="21"/>
              </w:rPr>
              <w:t>个，详见表3-</w:t>
            </w:r>
            <w:r>
              <w:rPr>
                <w:rFonts w:ascii="宋体" w:hAnsi="宋体" w:cs="宋体"/>
                <w:color w:val="auto"/>
                <w:kern w:val="0"/>
                <w:szCs w:val="21"/>
              </w:rPr>
              <w:t>7</w:t>
            </w:r>
            <w:r>
              <w:rPr>
                <w:rFonts w:hint="eastAsia" w:ascii="宋体" w:hAnsi="宋体" w:cs="宋体"/>
                <w:color w:val="auto"/>
                <w:kern w:val="0"/>
                <w:szCs w:val="21"/>
              </w:rPr>
              <w:t>，具体监测点位见附图。</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表3-</w:t>
            </w:r>
            <w:r>
              <w:rPr>
                <w:rFonts w:ascii="宋体" w:hAnsi="宋体" w:cs="宋体"/>
                <w:b/>
                <w:bCs/>
                <w:color w:val="auto"/>
                <w:kern w:val="0"/>
                <w:sz w:val="18"/>
                <w:szCs w:val="18"/>
              </w:rPr>
              <w:t xml:space="preserve">7 </w:t>
            </w:r>
            <w:r>
              <w:rPr>
                <w:rFonts w:hint="eastAsia" w:ascii="宋体" w:hAnsi="宋体" w:cs="宋体"/>
                <w:b/>
                <w:bCs/>
                <w:color w:val="auto"/>
                <w:kern w:val="0"/>
                <w:sz w:val="18"/>
                <w:szCs w:val="18"/>
              </w:rPr>
              <w:t>环境噪声点位布置</w:t>
            </w:r>
          </w:p>
          <w:tbl>
            <w:tblPr>
              <w:tblStyle w:val="14"/>
              <w:tblW w:w="5000"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99"/>
              <w:gridCol w:w="4434"/>
              <w:gridCol w:w="1973"/>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048" w:type="pct"/>
                  <w:vAlign w:val="center"/>
                </w:tcPr>
                <w:p>
                  <w:pPr>
                    <w:adjustRightInd w:val="0"/>
                    <w:snapToGrid w:val="0"/>
                    <w:spacing w:line="276" w:lineRule="auto"/>
                    <w:jc w:val="center"/>
                    <w:rPr>
                      <w:bCs/>
                      <w:color w:val="auto"/>
                      <w:sz w:val="18"/>
                      <w:szCs w:val="18"/>
                    </w:rPr>
                  </w:pPr>
                  <w:r>
                    <w:rPr>
                      <w:bCs/>
                      <w:color w:val="auto"/>
                      <w:sz w:val="18"/>
                      <w:szCs w:val="18"/>
                    </w:rPr>
                    <w:t>编号</w:t>
                  </w:r>
                </w:p>
              </w:tc>
              <w:tc>
                <w:tcPr>
                  <w:tcW w:w="2735" w:type="pct"/>
                  <w:vAlign w:val="center"/>
                </w:tcPr>
                <w:p>
                  <w:pPr>
                    <w:adjustRightInd w:val="0"/>
                    <w:snapToGrid w:val="0"/>
                    <w:spacing w:line="276" w:lineRule="auto"/>
                    <w:jc w:val="center"/>
                    <w:rPr>
                      <w:bCs/>
                      <w:color w:val="auto"/>
                      <w:sz w:val="18"/>
                      <w:szCs w:val="18"/>
                    </w:rPr>
                  </w:pPr>
                  <w:r>
                    <w:rPr>
                      <w:bCs/>
                      <w:color w:val="auto"/>
                      <w:sz w:val="18"/>
                      <w:szCs w:val="18"/>
                    </w:rPr>
                    <w:t>测点名称</w:t>
                  </w:r>
                </w:p>
              </w:tc>
              <w:tc>
                <w:tcPr>
                  <w:tcW w:w="1217" w:type="pct"/>
                  <w:vAlign w:val="center"/>
                </w:tcPr>
                <w:p>
                  <w:pPr>
                    <w:adjustRightInd w:val="0"/>
                    <w:snapToGrid w:val="0"/>
                    <w:spacing w:line="276" w:lineRule="auto"/>
                    <w:jc w:val="center"/>
                    <w:rPr>
                      <w:bCs/>
                      <w:color w:val="auto"/>
                      <w:sz w:val="18"/>
                      <w:szCs w:val="18"/>
                    </w:rPr>
                  </w:pPr>
                  <w:r>
                    <w:rPr>
                      <w:bCs/>
                      <w:color w:val="auto"/>
                      <w:sz w:val="18"/>
                      <w:szCs w:val="18"/>
                    </w:rPr>
                    <w:t>备注</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048" w:type="pct"/>
                  <w:vAlign w:val="center"/>
                </w:tcPr>
                <w:p>
                  <w:pPr>
                    <w:adjustRightInd w:val="0"/>
                    <w:snapToGrid w:val="0"/>
                    <w:spacing w:line="276" w:lineRule="auto"/>
                    <w:jc w:val="center"/>
                    <w:rPr>
                      <w:bCs/>
                      <w:color w:val="auto"/>
                      <w:sz w:val="18"/>
                      <w:szCs w:val="18"/>
                    </w:rPr>
                  </w:pPr>
                  <w:r>
                    <w:rPr>
                      <w:bCs/>
                      <w:color w:val="auto"/>
                      <w:sz w:val="18"/>
                      <w:szCs w:val="18"/>
                    </w:rPr>
                    <w:t>1</w:t>
                  </w:r>
                  <w:r>
                    <w:rPr>
                      <w:rFonts w:hint="eastAsia"/>
                      <w:bCs/>
                      <w:color w:val="auto"/>
                      <w:sz w:val="18"/>
                      <w:szCs w:val="18"/>
                    </w:rPr>
                    <w:t>#</w:t>
                  </w:r>
                </w:p>
              </w:tc>
              <w:tc>
                <w:tcPr>
                  <w:tcW w:w="2735" w:type="pct"/>
                  <w:vAlign w:val="center"/>
                </w:tcPr>
                <w:p>
                  <w:pPr>
                    <w:jc w:val="center"/>
                    <w:rPr>
                      <w:color w:val="auto"/>
                      <w:sz w:val="18"/>
                      <w:szCs w:val="18"/>
                    </w:rPr>
                  </w:pPr>
                  <w:r>
                    <w:rPr>
                      <w:color w:val="auto"/>
                      <w:sz w:val="18"/>
                      <w:szCs w:val="18"/>
                    </w:rPr>
                    <w:t>1#，项目采矿区东侧厂界外1m</w:t>
                  </w:r>
                </w:p>
              </w:tc>
              <w:tc>
                <w:tcPr>
                  <w:tcW w:w="1217" w:type="pct"/>
                  <w:vMerge w:val="restart"/>
                  <w:vAlign w:val="center"/>
                </w:tcPr>
                <w:p>
                  <w:pPr>
                    <w:adjustRightInd w:val="0"/>
                    <w:snapToGrid w:val="0"/>
                    <w:spacing w:line="276" w:lineRule="auto"/>
                    <w:jc w:val="center"/>
                    <w:rPr>
                      <w:bCs/>
                      <w:color w:val="auto"/>
                      <w:sz w:val="18"/>
                      <w:szCs w:val="18"/>
                    </w:rPr>
                  </w:pPr>
                  <w:r>
                    <w:rPr>
                      <w:rFonts w:hint="eastAsia"/>
                      <w:bCs/>
                      <w:color w:val="auto"/>
                      <w:sz w:val="18"/>
                      <w:szCs w:val="18"/>
                    </w:rPr>
                    <w:t>检测</w:t>
                  </w:r>
                  <w:r>
                    <w:rPr>
                      <w:bCs/>
                      <w:color w:val="auto"/>
                      <w:sz w:val="18"/>
                      <w:szCs w:val="18"/>
                    </w:rPr>
                    <w:t>1</w:t>
                  </w:r>
                  <w:r>
                    <w:rPr>
                      <w:rFonts w:hint="eastAsia"/>
                      <w:bCs/>
                      <w:color w:val="auto"/>
                      <w:sz w:val="18"/>
                      <w:szCs w:val="18"/>
                    </w:rPr>
                    <w:t>天</w:t>
                  </w:r>
                </w:p>
                <w:p>
                  <w:pPr>
                    <w:adjustRightInd w:val="0"/>
                    <w:snapToGrid w:val="0"/>
                    <w:spacing w:line="276" w:lineRule="auto"/>
                    <w:jc w:val="center"/>
                    <w:rPr>
                      <w:bCs/>
                      <w:color w:val="auto"/>
                      <w:sz w:val="18"/>
                      <w:szCs w:val="18"/>
                    </w:rPr>
                  </w:pPr>
                  <w:r>
                    <w:rPr>
                      <w:rFonts w:hint="eastAsia"/>
                      <w:bCs/>
                      <w:color w:val="auto"/>
                      <w:sz w:val="18"/>
                      <w:szCs w:val="18"/>
                    </w:rPr>
                    <w:t>昼夜间各1次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048" w:type="pct"/>
                  <w:vAlign w:val="center"/>
                </w:tcPr>
                <w:p>
                  <w:pPr>
                    <w:adjustRightInd w:val="0"/>
                    <w:snapToGrid w:val="0"/>
                    <w:spacing w:line="276" w:lineRule="auto"/>
                    <w:jc w:val="center"/>
                    <w:rPr>
                      <w:bCs/>
                      <w:color w:val="auto"/>
                      <w:sz w:val="18"/>
                      <w:szCs w:val="18"/>
                    </w:rPr>
                  </w:pPr>
                  <w:r>
                    <w:rPr>
                      <w:bCs/>
                      <w:color w:val="auto"/>
                      <w:sz w:val="18"/>
                      <w:szCs w:val="18"/>
                    </w:rPr>
                    <w:t>2</w:t>
                  </w:r>
                  <w:r>
                    <w:rPr>
                      <w:rFonts w:hint="eastAsia"/>
                      <w:bCs/>
                      <w:color w:val="auto"/>
                      <w:sz w:val="18"/>
                      <w:szCs w:val="18"/>
                    </w:rPr>
                    <w:t>#</w:t>
                  </w:r>
                </w:p>
              </w:tc>
              <w:tc>
                <w:tcPr>
                  <w:tcW w:w="2735" w:type="pct"/>
                  <w:vAlign w:val="center"/>
                </w:tcPr>
                <w:p>
                  <w:pPr>
                    <w:jc w:val="center"/>
                    <w:rPr>
                      <w:color w:val="auto"/>
                      <w:sz w:val="18"/>
                      <w:szCs w:val="18"/>
                    </w:rPr>
                  </w:pPr>
                  <w:r>
                    <w:rPr>
                      <w:color w:val="auto"/>
                      <w:sz w:val="18"/>
                      <w:szCs w:val="18"/>
                    </w:rPr>
                    <w:t>2#，项目采矿区南侧厂界外1m</w:t>
                  </w:r>
                </w:p>
              </w:tc>
              <w:tc>
                <w:tcPr>
                  <w:tcW w:w="1217" w:type="pct"/>
                  <w:vMerge w:val="continue"/>
                  <w:vAlign w:val="center"/>
                </w:tcPr>
                <w:p>
                  <w:pPr>
                    <w:adjustRightInd w:val="0"/>
                    <w:snapToGrid w:val="0"/>
                    <w:spacing w:line="276" w:lineRule="auto"/>
                    <w:jc w:val="center"/>
                    <w:rPr>
                      <w:bCs/>
                      <w:color w:val="auto"/>
                      <w:sz w:val="18"/>
                      <w:szCs w:val="18"/>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048" w:type="pct"/>
                  <w:vAlign w:val="center"/>
                </w:tcPr>
                <w:p>
                  <w:pPr>
                    <w:adjustRightInd w:val="0"/>
                    <w:snapToGrid w:val="0"/>
                    <w:spacing w:line="276" w:lineRule="auto"/>
                    <w:jc w:val="center"/>
                    <w:rPr>
                      <w:bCs/>
                      <w:color w:val="auto"/>
                      <w:sz w:val="18"/>
                      <w:szCs w:val="18"/>
                    </w:rPr>
                  </w:pPr>
                  <w:r>
                    <w:rPr>
                      <w:bCs/>
                      <w:color w:val="auto"/>
                      <w:sz w:val="18"/>
                      <w:szCs w:val="18"/>
                    </w:rPr>
                    <w:t>3</w:t>
                  </w:r>
                  <w:r>
                    <w:rPr>
                      <w:rFonts w:hint="eastAsia"/>
                      <w:bCs/>
                      <w:color w:val="auto"/>
                      <w:sz w:val="18"/>
                      <w:szCs w:val="18"/>
                    </w:rPr>
                    <w:t>#</w:t>
                  </w:r>
                </w:p>
              </w:tc>
              <w:tc>
                <w:tcPr>
                  <w:tcW w:w="2735" w:type="pct"/>
                  <w:vAlign w:val="center"/>
                </w:tcPr>
                <w:p>
                  <w:pPr>
                    <w:jc w:val="center"/>
                    <w:rPr>
                      <w:color w:val="auto"/>
                      <w:sz w:val="18"/>
                      <w:szCs w:val="18"/>
                    </w:rPr>
                  </w:pPr>
                  <w:r>
                    <w:rPr>
                      <w:color w:val="auto"/>
                      <w:sz w:val="18"/>
                      <w:szCs w:val="18"/>
                    </w:rPr>
                    <w:t>3#，项目采矿区西侧厂界外1m</w:t>
                  </w:r>
                </w:p>
              </w:tc>
              <w:tc>
                <w:tcPr>
                  <w:tcW w:w="1217" w:type="pct"/>
                  <w:vMerge w:val="continue"/>
                  <w:vAlign w:val="center"/>
                </w:tcPr>
                <w:p>
                  <w:pPr>
                    <w:adjustRightInd w:val="0"/>
                    <w:snapToGrid w:val="0"/>
                    <w:spacing w:line="276" w:lineRule="auto"/>
                    <w:jc w:val="center"/>
                    <w:rPr>
                      <w:bCs/>
                      <w:color w:val="auto"/>
                      <w:sz w:val="18"/>
                      <w:szCs w:val="18"/>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048" w:type="pct"/>
                  <w:vAlign w:val="center"/>
                </w:tcPr>
                <w:p>
                  <w:pPr>
                    <w:adjustRightInd w:val="0"/>
                    <w:snapToGrid w:val="0"/>
                    <w:spacing w:line="276" w:lineRule="auto"/>
                    <w:jc w:val="center"/>
                    <w:rPr>
                      <w:bCs/>
                      <w:color w:val="auto"/>
                      <w:sz w:val="18"/>
                      <w:szCs w:val="18"/>
                    </w:rPr>
                  </w:pPr>
                  <w:r>
                    <w:rPr>
                      <w:rFonts w:hint="eastAsia"/>
                      <w:bCs/>
                      <w:color w:val="auto"/>
                      <w:sz w:val="18"/>
                      <w:szCs w:val="18"/>
                    </w:rPr>
                    <w:t>4#</w:t>
                  </w:r>
                </w:p>
              </w:tc>
              <w:tc>
                <w:tcPr>
                  <w:tcW w:w="2735" w:type="pct"/>
                  <w:vAlign w:val="center"/>
                </w:tcPr>
                <w:p>
                  <w:pPr>
                    <w:jc w:val="center"/>
                    <w:rPr>
                      <w:color w:val="auto"/>
                      <w:sz w:val="18"/>
                      <w:szCs w:val="18"/>
                    </w:rPr>
                  </w:pPr>
                  <w:r>
                    <w:rPr>
                      <w:color w:val="auto"/>
                      <w:sz w:val="18"/>
                      <w:szCs w:val="18"/>
                    </w:rPr>
                    <w:t>4#，项目采矿区北侧厂界外1m</w:t>
                  </w:r>
                </w:p>
              </w:tc>
              <w:tc>
                <w:tcPr>
                  <w:tcW w:w="1217" w:type="pct"/>
                  <w:vMerge w:val="continue"/>
                  <w:vAlign w:val="center"/>
                </w:tcPr>
                <w:p>
                  <w:pPr>
                    <w:adjustRightInd w:val="0"/>
                    <w:snapToGrid w:val="0"/>
                    <w:spacing w:line="276" w:lineRule="auto"/>
                    <w:jc w:val="center"/>
                    <w:rPr>
                      <w:bCs/>
                      <w:color w:val="auto"/>
                      <w:sz w:val="18"/>
                      <w:szCs w:val="18"/>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048" w:type="pct"/>
                  <w:vAlign w:val="center"/>
                </w:tcPr>
                <w:p>
                  <w:pPr>
                    <w:adjustRightInd w:val="0"/>
                    <w:snapToGrid w:val="0"/>
                    <w:spacing w:line="276" w:lineRule="auto"/>
                    <w:jc w:val="center"/>
                    <w:rPr>
                      <w:bCs/>
                      <w:color w:val="auto"/>
                      <w:sz w:val="18"/>
                      <w:szCs w:val="18"/>
                    </w:rPr>
                  </w:pPr>
                  <w:r>
                    <w:rPr>
                      <w:rFonts w:hint="eastAsia"/>
                      <w:bCs/>
                      <w:color w:val="auto"/>
                      <w:sz w:val="18"/>
                      <w:szCs w:val="18"/>
                    </w:rPr>
                    <w:t>5#</w:t>
                  </w:r>
                </w:p>
              </w:tc>
              <w:tc>
                <w:tcPr>
                  <w:tcW w:w="2735" w:type="pct"/>
                  <w:vAlign w:val="center"/>
                </w:tcPr>
                <w:p>
                  <w:pPr>
                    <w:jc w:val="center"/>
                    <w:rPr>
                      <w:color w:val="auto"/>
                      <w:sz w:val="18"/>
                      <w:szCs w:val="18"/>
                    </w:rPr>
                  </w:pPr>
                  <w:r>
                    <w:rPr>
                      <w:color w:val="auto"/>
                      <w:sz w:val="18"/>
                      <w:szCs w:val="18"/>
                    </w:rPr>
                    <w:t>5#，项目生产生活区东侧厂界外1m</w:t>
                  </w:r>
                </w:p>
              </w:tc>
              <w:tc>
                <w:tcPr>
                  <w:tcW w:w="1217" w:type="pct"/>
                  <w:vMerge w:val="continue"/>
                  <w:vAlign w:val="center"/>
                </w:tcPr>
                <w:p>
                  <w:pPr>
                    <w:adjustRightInd w:val="0"/>
                    <w:snapToGrid w:val="0"/>
                    <w:spacing w:line="276" w:lineRule="auto"/>
                    <w:jc w:val="center"/>
                    <w:rPr>
                      <w:bCs/>
                      <w:color w:val="auto"/>
                      <w:sz w:val="18"/>
                      <w:szCs w:val="18"/>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048" w:type="pct"/>
                  <w:vAlign w:val="center"/>
                </w:tcPr>
                <w:p>
                  <w:pPr>
                    <w:adjustRightInd w:val="0"/>
                    <w:snapToGrid w:val="0"/>
                    <w:spacing w:line="276" w:lineRule="auto"/>
                    <w:jc w:val="center"/>
                    <w:rPr>
                      <w:bCs/>
                      <w:color w:val="auto"/>
                      <w:sz w:val="18"/>
                      <w:szCs w:val="18"/>
                    </w:rPr>
                  </w:pPr>
                  <w:r>
                    <w:rPr>
                      <w:rFonts w:hint="eastAsia"/>
                      <w:bCs/>
                      <w:color w:val="auto"/>
                      <w:sz w:val="18"/>
                      <w:szCs w:val="18"/>
                    </w:rPr>
                    <w:t>6#</w:t>
                  </w:r>
                </w:p>
              </w:tc>
              <w:tc>
                <w:tcPr>
                  <w:tcW w:w="2735" w:type="pct"/>
                  <w:vAlign w:val="center"/>
                </w:tcPr>
                <w:p>
                  <w:pPr>
                    <w:jc w:val="center"/>
                    <w:rPr>
                      <w:color w:val="auto"/>
                      <w:sz w:val="18"/>
                      <w:szCs w:val="18"/>
                    </w:rPr>
                  </w:pPr>
                  <w:r>
                    <w:rPr>
                      <w:color w:val="auto"/>
                      <w:sz w:val="18"/>
                      <w:szCs w:val="18"/>
                    </w:rPr>
                    <w:t>6#，项目生产生活区南侧厂界外1m</w:t>
                  </w:r>
                </w:p>
              </w:tc>
              <w:tc>
                <w:tcPr>
                  <w:tcW w:w="1217" w:type="pct"/>
                  <w:vMerge w:val="continue"/>
                  <w:vAlign w:val="center"/>
                </w:tcPr>
                <w:p>
                  <w:pPr>
                    <w:adjustRightInd w:val="0"/>
                    <w:snapToGrid w:val="0"/>
                    <w:spacing w:line="276" w:lineRule="auto"/>
                    <w:jc w:val="center"/>
                    <w:rPr>
                      <w:bCs/>
                      <w:color w:val="auto"/>
                      <w:sz w:val="18"/>
                      <w:szCs w:val="18"/>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048" w:type="pct"/>
                  <w:vAlign w:val="center"/>
                </w:tcPr>
                <w:p>
                  <w:pPr>
                    <w:adjustRightInd w:val="0"/>
                    <w:snapToGrid w:val="0"/>
                    <w:spacing w:line="276" w:lineRule="auto"/>
                    <w:jc w:val="center"/>
                    <w:rPr>
                      <w:bCs/>
                      <w:color w:val="auto"/>
                      <w:sz w:val="18"/>
                      <w:szCs w:val="18"/>
                    </w:rPr>
                  </w:pPr>
                  <w:r>
                    <w:rPr>
                      <w:rFonts w:hint="eastAsia"/>
                      <w:bCs/>
                      <w:color w:val="auto"/>
                      <w:sz w:val="18"/>
                      <w:szCs w:val="18"/>
                    </w:rPr>
                    <w:t>7</w:t>
                  </w:r>
                  <w:r>
                    <w:rPr>
                      <w:bCs/>
                      <w:color w:val="auto"/>
                      <w:sz w:val="18"/>
                      <w:szCs w:val="18"/>
                    </w:rPr>
                    <w:t>#</w:t>
                  </w:r>
                </w:p>
              </w:tc>
              <w:tc>
                <w:tcPr>
                  <w:tcW w:w="2735" w:type="pct"/>
                  <w:vAlign w:val="center"/>
                </w:tcPr>
                <w:p>
                  <w:pPr>
                    <w:jc w:val="center"/>
                    <w:rPr>
                      <w:color w:val="auto"/>
                      <w:sz w:val="18"/>
                      <w:szCs w:val="18"/>
                    </w:rPr>
                  </w:pPr>
                  <w:r>
                    <w:rPr>
                      <w:color w:val="auto"/>
                      <w:sz w:val="18"/>
                      <w:szCs w:val="18"/>
                    </w:rPr>
                    <w:t>7#，项目生产生活区西侧厂界外1m</w:t>
                  </w:r>
                </w:p>
              </w:tc>
              <w:tc>
                <w:tcPr>
                  <w:tcW w:w="1217" w:type="pct"/>
                  <w:vMerge w:val="continue"/>
                  <w:vAlign w:val="center"/>
                </w:tcPr>
                <w:p>
                  <w:pPr>
                    <w:adjustRightInd w:val="0"/>
                    <w:snapToGrid w:val="0"/>
                    <w:spacing w:line="276" w:lineRule="auto"/>
                    <w:jc w:val="center"/>
                    <w:rPr>
                      <w:bCs/>
                      <w:color w:val="auto"/>
                      <w:sz w:val="18"/>
                      <w:szCs w:val="18"/>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048" w:type="pct"/>
                  <w:vAlign w:val="center"/>
                </w:tcPr>
                <w:p>
                  <w:pPr>
                    <w:adjustRightInd w:val="0"/>
                    <w:snapToGrid w:val="0"/>
                    <w:spacing w:line="276" w:lineRule="auto"/>
                    <w:jc w:val="center"/>
                    <w:rPr>
                      <w:bCs/>
                      <w:color w:val="auto"/>
                      <w:sz w:val="18"/>
                      <w:szCs w:val="18"/>
                    </w:rPr>
                  </w:pPr>
                  <w:r>
                    <w:rPr>
                      <w:rFonts w:hint="eastAsia"/>
                      <w:bCs/>
                      <w:color w:val="auto"/>
                      <w:sz w:val="18"/>
                      <w:szCs w:val="18"/>
                    </w:rPr>
                    <w:t>8</w:t>
                  </w:r>
                  <w:r>
                    <w:rPr>
                      <w:bCs/>
                      <w:color w:val="auto"/>
                      <w:sz w:val="18"/>
                      <w:szCs w:val="18"/>
                    </w:rPr>
                    <w:t>#</w:t>
                  </w:r>
                </w:p>
              </w:tc>
              <w:tc>
                <w:tcPr>
                  <w:tcW w:w="2735" w:type="pct"/>
                  <w:vAlign w:val="center"/>
                </w:tcPr>
                <w:p>
                  <w:pPr>
                    <w:jc w:val="center"/>
                    <w:rPr>
                      <w:color w:val="auto"/>
                      <w:sz w:val="18"/>
                      <w:szCs w:val="18"/>
                    </w:rPr>
                  </w:pPr>
                  <w:r>
                    <w:rPr>
                      <w:color w:val="auto"/>
                      <w:sz w:val="18"/>
                      <w:szCs w:val="18"/>
                    </w:rPr>
                    <w:t>8#，项目生产生活区北侧厂界外1m</w:t>
                  </w:r>
                </w:p>
              </w:tc>
              <w:tc>
                <w:tcPr>
                  <w:tcW w:w="1217" w:type="pct"/>
                  <w:vMerge w:val="continue"/>
                  <w:vAlign w:val="center"/>
                </w:tcPr>
                <w:p>
                  <w:pPr>
                    <w:adjustRightInd w:val="0"/>
                    <w:snapToGrid w:val="0"/>
                    <w:spacing w:line="276" w:lineRule="auto"/>
                    <w:jc w:val="center"/>
                    <w:rPr>
                      <w:bCs/>
                      <w:color w:val="auto"/>
                      <w:sz w:val="18"/>
                      <w:szCs w:val="18"/>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048" w:type="pct"/>
                  <w:vAlign w:val="center"/>
                </w:tcPr>
                <w:p>
                  <w:pPr>
                    <w:adjustRightInd w:val="0"/>
                    <w:snapToGrid w:val="0"/>
                    <w:spacing w:line="276" w:lineRule="auto"/>
                    <w:jc w:val="center"/>
                    <w:rPr>
                      <w:bCs/>
                      <w:color w:val="auto"/>
                      <w:sz w:val="18"/>
                      <w:szCs w:val="18"/>
                    </w:rPr>
                  </w:pPr>
                  <w:r>
                    <w:rPr>
                      <w:rFonts w:hint="eastAsia"/>
                      <w:bCs/>
                      <w:color w:val="auto"/>
                      <w:sz w:val="18"/>
                      <w:szCs w:val="18"/>
                    </w:rPr>
                    <w:t>9</w:t>
                  </w:r>
                  <w:r>
                    <w:rPr>
                      <w:bCs/>
                      <w:color w:val="auto"/>
                      <w:sz w:val="18"/>
                      <w:szCs w:val="18"/>
                    </w:rPr>
                    <w:t>#</w:t>
                  </w:r>
                </w:p>
              </w:tc>
              <w:tc>
                <w:tcPr>
                  <w:tcW w:w="2735" w:type="pct"/>
                  <w:vAlign w:val="center"/>
                </w:tcPr>
                <w:p>
                  <w:pPr>
                    <w:jc w:val="center"/>
                    <w:rPr>
                      <w:color w:val="auto"/>
                      <w:sz w:val="18"/>
                      <w:szCs w:val="18"/>
                    </w:rPr>
                  </w:pPr>
                  <w:r>
                    <w:rPr>
                      <w:color w:val="auto"/>
                      <w:sz w:val="18"/>
                      <w:szCs w:val="18"/>
                    </w:rPr>
                    <w:t>9#，道路起点处东侧道路红线外1m</w:t>
                  </w:r>
                </w:p>
              </w:tc>
              <w:tc>
                <w:tcPr>
                  <w:tcW w:w="1217" w:type="pct"/>
                  <w:vMerge w:val="continue"/>
                  <w:vAlign w:val="center"/>
                </w:tcPr>
                <w:p>
                  <w:pPr>
                    <w:adjustRightInd w:val="0"/>
                    <w:snapToGrid w:val="0"/>
                    <w:spacing w:line="276" w:lineRule="auto"/>
                    <w:jc w:val="center"/>
                    <w:rPr>
                      <w:bCs/>
                      <w:color w:val="auto"/>
                      <w:sz w:val="18"/>
                      <w:szCs w:val="18"/>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048" w:type="pct"/>
                  <w:vAlign w:val="center"/>
                </w:tcPr>
                <w:p>
                  <w:pPr>
                    <w:adjustRightInd w:val="0"/>
                    <w:snapToGrid w:val="0"/>
                    <w:spacing w:line="276" w:lineRule="auto"/>
                    <w:jc w:val="center"/>
                    <w:rPr>
                      <w:bCs/>
                      <w:color w:val="auto"/>
                      <w:sz w:val="18"/>
                      <w:szCs w:val="18"/>
                    </w:rPr>
                  </w:pPr>
                  <w:r>
                    <w:rPr>
                      <w:rFonts w:hint="eastAsia"/>
                      <w:bCs/>
                      <w:color w:val="auto"/>
                      <w:sz w:val="18"/>
                      <w:szCs w:val="18"/>
                    </w:rPr>
                    <w:t>1</w:t>
                  </w:r>
                  <w:r>
                    <w:rPr>
                      <w:bCs/>
                      <w:color w:val="auto"/>
                      <w:sz w:val="18"/>
                      <w:szCs w:val="18"/>
                    </w:rPr>
                    <w:t>0#</w:t>
                  </w:r>
                </w:p>
              </w:tc>
              <w:tc>
                <w:tcPr>
                  <w:tcW w:w="2735" w:type="pct"/>
                  <w:vAlign w:val="center"/>
                </w:tcPr>
                <w:p>
                  <w:pPr>
                    <w:jc w:val="center"/>
                    <w:rPr>
                      <w:color w:val="auto"/>
                      <w:sz w:val="18"/>
                      <w:szCs w:val="18"/>
                    </w:rPr>
                  </w:pPr>
                  <w:r>
                    <w:rPr>
                      <w:color w:val="auto"/>
                      <w:sz w:val="18"/>
                      <w:szCs w:val="18"/>
                    </w:rPr>
                    <w:t>10#，道路K0+700处东侧居民点外1m</w:t>
                  </w:r>
                </w:p>
              </w:tc>
              <w:tc>
                <w:tcPr>
                  <w:tcW w:w="1217" w:type="pct"/>
                  <w:vMerge w:val="continue"/>
                  <w:vAlign w:val="center"/>
                </w:tcPr>
                <w:p>
                  <w:pPr>
                    <w:adjustRightInd w:val="0"/>
                    <w:snapToGrid w:val="0"/>
                    <w:spacing w:line="276" w:lineRule="auto"/>
                    <w:jc w:val="center"/>
                    <w:rPr>
                      <w:bCs/>
                      <w:color w:val="auto"/>
                      <w:sz w:val="18"/>
                      <w:szCs w:val="18"/>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048" w:type="pct"/>
                  <w:vAlign w:val="center"/>
                </w:tcPr>
                <w:p>
                  <w:pPr>
                    <w:adjustRightInd w:val="0"/>
                    <w:snapToGrid w:val="0"/>
                    <w:spacing w:line="276" w:lineRule="auto"/>
                    <w:jc w:val="center"/>
                    <w:rPr>
                      <w:bCs/>
                      <w:color w:val="auto"/>
                      <w:sz w:val="18"/>
                      <w:szCs w:val="18"/>
                    </w:rPr>
                  </w:pPr>
                  <w:r>
                    <w:rPr>
                      <w:rFonts w:hint="eastAsia"/>
                      <w:bCs/>
                      <w:color w:val="auto"/>
                      <w:sz w:val="18"/>
                      <w:szCs w:val="18"/>
                    </w:rPr>
                    <w:t>1</w:t>
                  </w:r>
                  <w:r>
                    <w:rPr>
                      <w:bCs/>
                      <w:color w:val="auto"/>
                      <w:sz w:val="18"/>
                      <w:szCs w:val="18"/>
                    </w:rPr>
                    <w:t>1#</w:t>
                  </w:r>
                </w:p>
              </w:tc>
              <w:tc>
                <w:tcPr>
                  <w:tcW w:w="2735" w:type="pct"/>
                  <w:vAlign w:val="center"/>
                </w:tcPr>
                <w:p>
                  <w:pPr>
                    <w:jc w:val="center"/>
                    <w:rPr>
                      <w:color w:val="auto"/>
                      <w:sz w:val="18"/>
                      <w:szCs w:val="18"/>
                    </w:rPr>
                  </w:pPr>
                  <w:r>
                    <w:rPr>
                      <w:color w:val="auto"/>
                      <w:sz w:val="18"/>
                      <w:szCs w:val="18"/>
                    </w:rPr>
                    <w:t>11#，道路K3+600处道路红线外1m</w:t>
                  </w:r>
                </w:p>
              </w:tc>
              <w:tc>
                <w:tcPr>
                  <w:tcW w:w="1217" w:type="pct"/>
                  <w:vMerge w:val="continue"/>
                  <w:vAlign w:val="center"/>
                </w:tcPr>
                <w:p>
                  <w:pPr>
                    <w:adjustRightInd w:val="0"/>
                    <w:snapToGrid w:val="0"/>
                    <w:spacing w:line="276" w:lineRule="auto"/>
                    <w:jc w:val="center"/>
                    <w:rPr>
                      <w:bCs/>
                      <w:color w:val="auto"/>
                      <w:sz w:val="18"/>
                      <w:szCs w:val="18"/>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048" w:type="pct"/>
                  <w:vAlign w:val="center"/>
                </w:tcPr>
                <w:p>
                  <w:pPr>
                    <w:adjustRightInd w:val="0"/>
                    <w:snapToGrid w:val="0"/>
                    <w:spacing w:line="276" w:lineRule="auto"/>
                    <w:jc w:val="center"/>
                    <w:rPr>
                      <w:bCs/>
                      <w:color w:val="auto"/>
                      <w:sz w:val="18"/>
                      <w:szCs w:val="18"/>
                    </w:rPr>
                  </w:pPr>
                  <w:r>
                    <w:rPr>
                      <w:rFonts w:hint="eastAsia"/>
                      <w:bCs/>
                      <w:color w:val="auto"/>
                      <w:sz w:val="18"/>
                      <w:szCs w:val="18"/>
                    </w:rPr>
                    <w:t>1</w:t>
                  </w:r>
                  <w:r>
                    <w:rPr>
                      <w:bCs/>
                      <w:color w:val="auto"/>
                      <w:sz w:val="18"/>
                      <w:szCs w:val="18"/>
                    </w:rPr>
                    <w:t>2#</w:t>
                  </w:r>
                </w:p>
              </w:tc>
              <w:tc>
                <w:tcPr>
                  <w:tcW w:w="2735" w:type="pct"/>
                  <w:vAlign w:val="center"/>
                </w:tcPr>
                <w:p>
                  <w:pPr>
                    <w:jc w:val="center"/>
                    <w:rPr>
                      <w:color w:val="auto"/>
                      <w:sz w:val="18"/>
                      <w:szCs w:val="18"/>
                    </w:rPr>
                  </w:pPr>
                  <w:r>
                    <w:rPr>
                      <w:color w:val="auto"/>
                      <w:sz w:val="18"/>
                      <w:szCs w:val="18"/>
                    </w:rPr>
                    <w:t>12#，道路终点处道路红线外1m</w:t>
                  </w:r>
                </w:p>
              </w:tc>
              <w:tc>
                <w:tcPr>
                  <w:tcW w:w="1217" w:type="pct"/>
                  <w:vMerge w:val="continue"/>
                  <w:vAlign w:val="center"/>
                </w:tcPr>
                <w:p>
                  <w:pPr>
                    <w:adjustRightInd w:val="0"/>
                    <w:snapToGrid w:val="0"/>
                    <w:spacing w:line="276" w:lineRule="auto"/>
                    <w:jc w:val="center"/>
                    <w:rPr>
                      <w:bCs/>
                      <w:color w:val="auto"/>
                      <w:sz w:val="18"/>
                      <w:szCs w:val="18"/>
                    </w:rPr>
                  </w:pPr>
                </w:p>
              </w:tc>
            </w:tr>
          </w:tbl>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3、监测结果</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区域环境噪声监测结果见表3-</w:t>
            </w:r>
            <w:r>
              <w:rPr>
                <w:rFonts w:ascii="宋体" w:hAnsi="宋体" w:cs="宋体"/>
                <w:color w:val="auto"/>
                <w:kern w:val="0"/>
                <w:szCs w:val="21"/>
              </w:rPr>
              <w:t>8</w:t>
            </w:r>
            <w:r>
              <w:rPr>
                <w:rFonts w:hint="eastAsia" w:ascii="宋体" w:hAnsi="宋体" w:cs="宋体"/>
                <w:color w:val="auto"/>
                <w:kern w:val="0"/>
                <w:szCs w:val="21"/>
              </w:rPr>
              <w:t>。</w:t>
            </w:r>
          </w:p>
          <w:p>
            <w:pPr>
              <w:adjustRightInd w:val="0"/>
              <w:snapToGrid w:val="0"/>
              <w:spacing w:line="360" w:lineRule="auto"/>
              <w:jc w:val="center"/>
              <w:rPr>
                <w:rFonts w:ascii="宋体" w:hAnsi="宋体" w:cs="宋体"/>
                <w:color w:val="auto"/>
                <w:kern w:val="0"/>
                <w:sz w:val="18"/>
                <w:szCs w:val="18"/>
              </w:rPr>
            </w:pPr>
            <w:r>
              <w:rPr>
                <w:rFonts w:hint="eastAsia" w:ascii="宋体" w:hAnsi="宋体" w:cs="黑体"/>
                <w:b/>
                <w:bCs/>
                <w:color w:val="auto"/>
                <w:kern w:val="0"/>
                <w:sz w:val="18"/>
                <w:szCs w:val="18"/>
              </w:rPr>
              <w:t>表3-</w:t>
            </w:r>
            <w:r>
              <w:rPr>
                <w:rFonts w:ascii="宋体" w:hAnsi="宋体" w:cs="黑体"/>
                <w:b/>
                <w:bCs/>
                <w:color w:val="auto"/>
                <w:kern w:val="0"/>
                <w:sz w:val="18"/>
                <w:szCs w:val="18"/>
              </w:rPr>
              <w:t>8</w:t>
            </w:r>
            <w:r>
              <w:rPr>
                <w:rFonts w:hint="eastAsia" w:ascii="宋体" w:hAnsi="宋体" w:cs="黑体"/>
                <w:b/>
                <w:bCs/>
                <w:color w:val="auto"/>
                <w:kern w:val="0"/>
                <w:sz w:val="18"/>
                <w:szCs w:val="18"/>
              </w:rPr>
              <w:t xml:space="preserve">  项目所在地区域环境噪声监测结果      单位：Leq[dB(A)]</w:t>
            </w:r>
          </w:p>
          <w:tbl>
            <w:tblPr>
              <w:tblStyle w:val="14"/>
              <w:tblW w:w="5000"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1702"/>
              <w:gridCol w:w="1714"/>
              <w:gridCol w:w="2004"/>
              <w:gridCol w:w="1287"/>
              <w:gridCol w:w="1399"/>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Merge w:val="restart"/>
                  <w:vAlign w:val="center"/>
                </w:tcPr>
                <w:p>
                  <w:pPr>
                    <w:adjustRightInd w:val="0"/>
                    <w:snapToGrid w:val="0"/>
                    <w:jc w:val="center"/>
                    <w:rPr>
                      <w:color w:val="auto"/>
                      <w:sz w:val="18"/>
                      <w:szCs w:val="18"/>
                    </w:rPr>
                  </w:pPr>
                  <w:r>
                    <w:rPr>
                      <w:color w:val="auto"/>
                      <w:sz w:val="18"/>
                      <w:szCs w:val="18"/>
                    </w:rPr>
                    <w:t>点位</w:t>
                  </w:r>
                </w:p>
              </w:tc>
              <w:tc>
                <w:tcPr>
                  <w:tcW w:w="2293" w:type="pct"/>
                  <w:gridSpan w:val="2"/>
                  <w:vAlign w:val="center"/>
                </w:tcPr>
                <w:p>
                  <w:pPr>
                    <w:adjustRightInd w:val="0"/>
                    <w:snapToGrid w:val="0"/>
                    <w:jc w:val="center"/>
                    <w:rPr>
                      <w:color w:val="auto"/>
                      <w:sz w:val="18"/>
                      <w:szCs w:val="18"/>
                    </w:rPr>
                  </w:pPr>
                  <w:r>
                    <w:rPr>
                      <w:rFonts w:hint="eastAsia"/>
                      <w:color w:val="auto"/>
                      <w:sz w:val="18"/>
                      <w:szCs w:val="18"/>
                    </w:rPr>
                    <w:t>监测时间及监测结果</w:t>
                  </w:r>
                </w:p>
              </w:tc>
              <w:tc>
                <w:tcPr>
                  <w:tcW w:w="1657" w:type="pct"/>
                  <w:gridSpan w:val="2"/>
                  <w:vMerge w:val="restart"/>
                  <w:vAlign w:val="center"/>
                </w:tcPr>
                <w:p>
                  <w:pPr>
                    <w:adjustRightInd w:val="0"/>
                    <w:snapToGrid w:val="0"/>
                    <w:jc w:val="center"/>
                    <w:rPr>
                      <w:color w:val="auto"/>
                      <w:sz w:val="18"/>
                      <w:szCs w:val="18"/>
                    </w:rPr>
                  </w:pPr>
                  <w:r>
                    <w:rPr>
                      <w:rFonts w:hint="eastAsia"/>
                      <w:color w:val="auto"/>
                      <w:sz w:val="18"/>
                      <w:szCs w:val="18"/>
                    </w:rPr>
                    <w:t>执行标准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Merge w:val="continue"/>
                  <w:vAlign w:val="center"/>
                </w:tcPr>
                <w:p>
                  <w:pPr>
                    <w:adjustRightInd w:val="0"/>
                    <w:snapToGrid w:val="0"/>
                    <w:jc w:val="center"/>
                    <w:rPr>
                      <w:color w:val="auto"/>
                      <w:sz w:val="18"/>
                      <w:szCs w:val="18"/>
                    </w:rPr>
                  </w:pPr>
                </w:p>
              </w:tc>
              <w:tc>
                <w:tcPr>
                  <w:tcW w:w="2293" w:type="pct"/>
                  <w:gridSpan w:val="2"/>
                  <w:vAlign w:val="center"/>
                </w:tcPr>
                <w:p>
                  <w:pPr>
                    <w:adjustRightInd w:val="0"/>
                    <w:snapToGrid w:val="0"/>
                    <w:jc w:val="center"/>
                    <w:rPr>
                      <w:color w:val="auto"/>
                      <w:sz w:val="18"/>
                      <w:szCs w:val="18"/>
                    </w:rPr>
                  </w:pPr>
                  <w:r>
                    <w:rPr>
                      <w:color w:val="auto"/>
                      <w:sz w:val="18"/>
                      <w:szCs w:val="18"/>
                    </w:rPr>
                    <w:t>2024</w:t>
                  </w:r>
                  <w:r>
                    <w:rPr>
                      <w:rFonts w:hint="eastAsia"/>
                      <w:color w:val="auto"/>
                      <w:sz w:val="18"/>
                      <w:szCs w:val="18"/>
                    </w:rPr>
                    <w:t>年</w:t>
                  </w:r>
                  <w:r>
                    <w:rPr>
                      <w:color w:val="auto"/>
                      <w:sz w:val="18"/>
                      <w:szCs w:val="18"/>
                    </w:rPr>
                    <w:t>2</w:t>
                  </w:r>
                  <w:r>
                    <w:rPr>
                      <w:rFonts w:hint="eastAsia"/>
                      <w:color w:val="auto"/>
                      <w:sz w:val="18"/>
                      <w:szCs w:val="18"/>
                    </w:rPr>
                    <w:t>月</w:t>
                  </w:r>
                  <w:r>
                    <w:rPr>
                      <w:color w:val="auto"/>
                      <w:sz w:val="18"/>
                      <w:szCs w:val="18"/>
                    </w:rPr>
                    <w:t>27</w:t>
                  </w:r>
                  <w:r>
                    <w:rPr>
                      <w:rFonts w:hint="eastAsia"/>
                      <w:color w:val="auto"/>
                      <w:sz w:val="18"/>
                      <w:szCs w:val="18"/>
                    </w:rPr>
                    <w:t>日</w:t>
                  </w:r>
                </w:p>
              </w:tc>
              <w:tc>
                <w:tcPr>
                  <w:tcW w:w="1657" w:type="pct"/>
                  <w:gridSpan w:val="2"/>
                  <w:vMerge w:val="continue"/>
                  <w:vAlign w:val="center"/>
                </w:tcPr>
                <w:p>
                  <w:pPr>
                    <w:adjustRightInd w:val="0"/>
                    <w:snapToGrid w:val="0"/>
                    <w:jc w:val="center"/>
                    <w:rPr>
                      <w:color w:val="auto"/>
                      <w:sz w:val="18"/>
                      <w:szCs w:val="18"/>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Merge w:val="continue"/>
                  <w:vAlign w:val="center"/>
                </w:tcPr>
                <w:p>
                  <w:pPr>
                    <w:adjustRightInd w:val="0"/>
                    <w:snapToGrid w:val="0"/>
                    <w:jc w:val="center"/>
                    <w:rPr>
                      <w:color w:val="auto"/>
                      <w:sz w:val="18"/>
                      <w:szCs w:val="18"/>
                    </w:rPr>
                  </w:pPr>
                  <w:bookmarkStart w:id="38" w:name="_Hlk456039440"/>
                </w:p>
              </w:tc>
              <w:tc>
                <w:tcPr>
                  <w:tcW w:w="1057" w:type="pct"/>
                  <w:vAlign w:val="center"/>
                </w:tcPr>
                <w:p>
                  <w:pPr>
                    <w:adjustRightInd w:val="0"/>
                    <w:snapToGrid w:val="0"/>
                    <w:jc w:val="center"/>
                    <w:rPr>
                      <w:color w:val="auto"/>
                      <w:sz w:val="18"/>
                      <w:szCs w:val="18"/>
                    </w:rPr>
                  </w:pPr>
                  <w:r>
                    <w:rPr>
                      <w:rFonts w:hint="eastAsia"/>
                      <w:color w:val="auto"/>
                      <w:sz w:val="18"/>
                      <w:szCs w:val="18"/>
                    </w:rPr>
                    <w:t>昼间</w:t>
                  </w:r>
                </w:p>
              </w:tc>
              <w:tc>
                <w:tcPr>
                  <w:tcW w:w="1236" w:type="pct"/>
                  <w:vAlign w:val="center"/>
                </w:tcPr>
                <w:p>
                  <w:pPr>
                    <w:adjustRightInd w:val="0"/>
                    <w:snapToGrid w:val="0"/>
                    <w:jc w:val="center"/>
                    <w:rPr>
                      <w:color w:val="auto"/>
                      <w:sz w:val="18"/>
                      <w:szCs w:val="18"/>
                    </w:rPr>
                  </w:pPr>
                  <w:r>
                    <w:rPr>
                      <w:rFonts w:hint="eastAsia"/>
                      <w:color w:val="auto"/>
                      <w:sz w:val="18"/>
                      <w:szCs w:val="18"/>
                    </w:rPr>
                    <w:t>夜间</w:t>
                  </w:r>
                </w:p>
              </w:tc>
              <w:tc>
                <w:tcPr>
                  <w:tcW w:w="794" w:type="pct"/>
                  <w:vAlign w:val="center"/>
                </w:tcPr>
                <w:p>
                  <w:pPr>
                    <w:adjustRightInd w:val="0"/>
                    <w:snapToGrid w:val="0"/>
                    <w:jc w:val="center"/>
                    <w:rPr>
                      <w:color w:val="auto"/>
                      <w:sz w:val="18"/>
                      <w:szCs w:val="18"/>
                    </w:rPr>
                  </w:pPr>
                  <w:r>
                    <w:rPr>
                      <w:rFonts w:hint="eastAsia"/>
                      <w:color w:val="auto"/>
                      <w:sz w:val="18"/>
                      <w:szCs w:val="18"/>
                    </w:rPr>
                    <w:t>昼间</w:t>
                  </w:r>
                </w:p>
              </w:tc>
              <w:tc>
                <w:tcPr>
                  <w:tcW w:w="863" w:type="pct"/>
                  <w:vAlign w:val="center"/>
                </w:tcPr>
                <w:p>
                  <w:pPr>
                    <w:adjustRightInd w:val="0"/>
                    <w:snapToGrid w:val="0"/>
                    <w:jc w:val="center"/>
                    <w:rPr>
                      <w:color w:val="auto"/>
                      <w:sz w:val="18"/>
                      <w:szCs w:val="18"/>
                    </w:rPr>
                  </w:pPr>
                  <w:r>
                    <w:rPr>
                      <w:rFonts w:hint="eastAsia"/>
                      <w:color w:val="auto"/>
                      <w:sz w:val="18"/>
                      <w:szCs w:val="18"/>
                    </w:rPr>
                    <w:t>夜间</w:t>
                  </w:r>
                </w:p>
              </w:tc>
            </w:tr>
            <w:bookmarkEnd w:id="38"/>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Align w:val="center"/>
                </w:tcPr>
                <w:p>
                  <w:pPr>
                    <w:adjustRightInd w:val="0"/>
                    <w:snapToGrid w:val="0"/>
                    <w:jc w:val="center"/>
                    <w:rPr>
                      <w:color w:val="auto"/>
                      <w:sz w:val="18"/>
                      <w:szCs w:val="18"/>
                    </w:rPr>
                  </w:pPr>
                  <w:r>
                    <w:rPr>
                      <w:color w:val="auto"/>
                      <w:sz w:val="18"/>
                      <w:szCs w:val="18"/>
                    </w:rPr>
                    <w:t>1#</w:t>
                  </w:r>
                </w:p>
              </w:tc>
              <w:tc>
                <w:tcPr>
                  <w:tcW w:w="1057"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54</w:t>
                  </w:r>
                </w:p>
              </w:tc>
              <w:tc>
                <w:tcPr>
                  <w:tcW w:w="1236"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40</w:t>
                  </w:r>
                </w:p>
              </w:tc>
              <w:tc>
                <w:tcPr>
                  <w:tcW w:w="794" w:type="pct"/>
                  <w:vAlign w:val="center"/>
                </w:tcPr>
                <w:p>
                  <w:pPr>
                    <w:adjustRightInd w:val="0"/>
                    <w:snapToGrid w:val="0"/>
                    <w:jc w:val="center"/>
                    <w:rPr>
                      <w:color w:val="auto"/>
                      <w:sz w:val="18"/>
                      <w:szCs w:val="18"/>
                    </w:rPr>
                  </w:pPr>
                  <w:r>
                    <w:rPr>
                      <w:rFonts w:hint="eastAsia"/>
                      <w:color w:val="auto"/>
                      <w:sz w:val="18"/>
                      <w:szCs w:val="18"/>
                    </w:rPr>
                    <w:t>6</w:t>
                  </w:r>
                  <w:r>
                    <w:rPr>
                      <w:color w:val="auto"/>
                      <w:sz w:val="18"/>
                      <w:szCs w:val="18"/>
                    </w:rPr>
                    <w:t>0</w:t>
                  </w:r>
                </w:p>
              </w:tc>
              <w:tc>
                <w:tcPr>
                  <w:tcW w:w="863" w:type="pct"/>
                  <w:vAlign w:val="center"/>
                </w:tcPr>
                <w:p>
                  <w:pPr>
                    <w:adjustRightInd w:val="0"/>
                    <w:snapToGrid w:val="0"/>
                    <w:jc w:val="center"/>
                    <w:rPr>
                      <w:color w:val="auto"/>
                      <w:sz w:val="18"/>
                      <w:szCs w:val="18"/>
                    </w:rPr>
                  </w:pPr>
                  <w:r>
                    <w:rPr>
                      <w:rFonts w:hint="eastAsia"/>
                      <w:color w:val="auto"/>
                      <w:sz w:val="18"/>
                      <w:szCs w:val="18"/>
                    </w:rPr>
                    <w:t>5</w:t>
                  </w:r>
                  <w:r>
                    <w:rPr>
                      <w:color w:val="auto"/>
                      <w:sz w:val="18"/>
                      <w:szCs w:val="18"/>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Align w:val="center"/>
                </w:tcPr>
                <w:p>
                  <w:pPr>
                    <w:adjustRightInd w:val="0"/>
                    <w:snapToGrid w:val="0"/>
                    <w:jc w:val="center"/>
                    <w:rPr>
                      <w:color w:val="auto"/>
                      <w:sz w:val="18"/>
                      <w:szCs w:val="18"/>
                    </w:rPr>
                  </w:pPr>
                  <w:r>
                    <w:rPr>
                      <w:color w:val="auto"/>
                      <w:sz w:val="18"/>
                      <w:szCs w:val="18"/>
                    </w:rPr>
                    <w:t>2#</w:t>
                  </w:r>
                </w:p>
              </w:tc>
              <w:tc>
                <w:tcPr>
                  <w:tcW w:w="1057"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52</w:t>
                  </w:r>
                </w:p>
              </w:tc>
              <w:tc>
                <w:tcPr>
                  <w:tcW w:w="1236"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44</w:t>
                  </w:r>
                </w:p>
              </w:tc>
              <w:tc>
                <w:tcPr>
                  <w:tcW w:w="794" w:type="pct"/>
                  <w:vAlign w:val="center"/>
                </w:tcPr>
                <w:p>
                  <w:pPr>
                    <w:adjustRightInd w:val="0"/>
                    <w:snapToGrid w:val="0"/>
                    <w:jc w:val="center"/>
                    <w:rPr>
                      <w:color w:val="auto"/>
                      <w:sz w:val="18"/>
                      <w:szCs w:val="18"/>
                    </w:rPr>
                  </w:pPr>
                  <w:r>
                    <w:rPr>
                      <w:rFonts w:hint="eastAsia"/>
                      <w:color w:val="auto"/>
                      <w:sz w:val="18"/>
                      <w:szCs w:val="18"/>
                    </w:rPr>
                    <w:t>6</w:t>
                  </w:r>
                  <w:r>
                    <w:rPr>
                      <w:color w:val="auto"/>
                      <w:sz w:val="18"/>
                      <w:szCs w:val="18"/>
                    </w:rPr>
                    <w:t>0</w:t>
                  </w:r>
                </w:p>
              </w:tc>
              <w:tc>
                <w:tcPr>
                  <w:tcW w:w="863" w:type="pct"/>
                  <w:vAlign w:val="center"/>
                </w:tcPr>
                <w:p>
                  <w:pPr>
                    <w:adjustRightInd w:val="0"/>
                    <w:snapToGrid w:val="0"/>
                    <w:jc w:val="center"/>
                    <w:rPr>
                      <w:color w:val="auto"/>
                      <w:sz w:val="18"/>
                      <w:szCs w:val="18"/>
                    </w:rPr>
                  </w:pPr>
                  <w:r>
                    <w:rPr>
                      <w:rFonts w:hint="eastAsia"/>
                      <w:color w:val="auto"/>
                      <w:sz w:val="18"/>
                      <w:szCs w:val="18"/>
                    </w:rPr>
                    <w:t>5</w:t>
                  </w:r>
                  <w:r>
                    <w:rPr>
                      <w:color w:val="auto"/>
                      <w:sz w:val="18"/>
                      <w:szCs w:val="18"/>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Align w:val="center"/>
                </w:tcPr>
                <w:p>
                  <w:pPr>
                    <w:adjustRightInd w:val="0"/>
                    <w:snapToGrid w:val="0"/>
                    <w:jc w:val="center"/>
                    <w:rPr>
                      <w:color w:val="auto"/>
                      <w:sz w:val="18"/>
                      <w:szCs w:val="18"/>
                    </w:rPr>
                  </w:pPr>
                  <w:r>
                    <w:rPr>
                      <w:color w:val="auto"/>
                      <w:sz w:val="18"/>
                      <w:szCs w:val="18"/>
                    </w:rPr>
                    <w:t>3#</w:t>
                  </w:r>
                </w:p>
              </w:tc>
              <w:tc>
                <w:tcPr>
                  <w:tcW w:w="1057"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53</w:t>
                  </w:r>
                </w:p>
              </w:tc>
              <w:tc>
                <w:tcPr>
                  <w:tcW w:w="1236"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45</w:t>
                  </w:r>
                </w:p>
              </w:tc>
              <w:tc>
                <w:tcPr>
                  <w:tcW w:w="794" w:type="pct"/>
                  <w:vAlign w:val="center"/>
                </w:tcPr>
                <w:p>
                  <w:pPr>
                    <w:adjustRightInd w:val="0"/>
                    <w:snapToGrid w:val="0"/>
                    <w:jc w:val="center"/>
                    <w:rPr>
                      <w:color w:val="auto"/>
                      <w:sz w:val="18"/>
                      <w:szCs w:val="18"/>
                    </w:rPr>
                  </w:pPr>
                  <w:r>
                    <w:rPr>
                      <w:rFonts w:hint="eastAsia"/>
                      <w:color w:val="auto"/>
                      <w:sz w:val="18"/>
                      <w:szCs w:val="18"/>
                    </w:rPr>
                    <w:t>6</w:t>
                  </w:r>
                  <w:r>
                    <w:rPr>
                      <w:color w:val="auto"/>
                      <w:sz w:val="18"/>
                      <w:szCs w:val="18"/>
                    </w:rPr>
                    <w:t>0</w:t>
                  </w:r>
                </w:p>
              </w:tc>
              <w:tc>
                <w:tcPr>
                  <w:tcW w:w="863" w:type="pct"/>
                  <w:vAlign w:val="center"/>
                </w:tcPr>
                <w:p>
                  <w:pPr>
                    <w:adjustRightInd w:val="0"/>
                    <w:snapToGrid w:val="0"/>
                    <w:jc w:val="center"/>
                    <w:rPr>
                      <w:color w:val="auto"/>
                      <w:sz w:val="18"/>
                      <w:szCs w:val="18"/>
                    </w:rPr>
                  </w:pPr>
                  <w:r>
                    <w:rPr>
                      <w:rFonts w:hint="eastAsia"/>
                      <w:color w:val="auto"/>
                      <w:sz w:val="18"/>
                      <w:szCs w:val="18"/>
                    </w:rPr>
                    <w:t>5</w:t>
                  </w:r>
                  <w:r>
                    <w:rPr>
                      <w:color w:val="auto"/>
                      <w:sz w:val="18"/>
                      <w:szCs w:val="18"/>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Align w:val="center"/>
                </w:tcPr>
                <w:p>
                  <w:pPr>
                    <w:adjustRightInd w:val="0"/>
                    <w:snapToGrid w:val="0"/>
                    <w:spacing w:line="276" w:lineRule="auto"/>
                    <w:jc w:val="center"/>
                    <w:rPr>
                      <w:bCs/>
                      <w:color w:val="auto"/>
                      <w:sz w:val="18"/>
                      <w:szCs w:val="18"/>
                    </w:rPr>
                  </w:pPr>
                  <w:r>
                    <w:rPr>
                      <w:rFonts w:hint="eastAsia"/>
                      <w:bCs/>
                      <w:color w:val="auto"/>
                      <w:sz w:val="18"/>
                      <w:szCs w:val="18"/>
                    </w:rPr>
                    <w:t>4#</w:t>
                  </w:r>
                </w:p>
              </w:tc>
              <w:tc>
                <w:tcPr>
                  <w:tcW w:w="1057"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53</w:t>
                  </w:r>
                </w:p>
              </w:tc>
              <w:tc>
                <w:tcPr>
                  <w:tcW w:w="1236"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42</w:t>
                  </w:r>
                </w:p>
              </w:tc>
              <w:tc>
                <w:tcPr>
                  <w:tcW w:w="794" w:type="pct"/>
                  <w:vAlign w:val="center"/>
                </w:tcPr>
                <w:p>
                  <w:pPr>
                    <w:adjustRightInd w:val="0"/>
                    <w:snapToGrid w:val="0"/>
                    <w:jc w:val="center"/>
                    <w:rPr>
                      <w:color w:val="auto"/>
                      <w:sz w:val="18"/>
                      <w:szCs w:val="18"/>
                    </w:rPr>
                  </w:pPr>
                  <w:r>
                    <w:rPr>
                      <w:rFonts w:hint="eastAsia"/>
                      <w:color w:val="auto"/>
                      <w:sz w:val="18"/>
                      <w:szCs w:val="18"/>
                    </w:rPr>
                    <w:t>6</w:t>
                  </w:r>
                  <w:r>
                    <w:rPr>
                      <w:color w:val="auto"/>
                      <w:sz w:val="18"/>
                      <w:szCs w:val="18"/>
                    </w:rPr>
                    <w:t>0</w:t>
                  </w:r>
                </w:p>
              </w:tc>
              <w:tc>
                <w:tcPr>
                  <w:tcW w:w="863" w:type="pct"/>
                  <w:vAlign w:val="center"/>
                </w:tcPr>
                <w:p>
                  <w:pPr>
                    <w:adjustRightInd w:val="0"/>
                    <w:snapToGrid w:val="0"/>
                    <w:jc w:val="center"/>
                    <w:rPr>
                      <w:color w:val="auto"/>
                      <w:sz w:val="18"/>
                      <w:szCs w:val="18"/>
                    </w:rPr>
                  </w:pPr>
                  <w:r>
                    <w:rPr>
                      <w:rFonts w:hint="eastAsia"/>
                      <w:color w:val="auto"/>
                      <w:sz w:val="18"/>
                      <w:szCs w:val="18"/>
                    </w:rPr>
                    <w:t>5</w:t>
                  </w:r>
                  <w:r>
                    <w:rPr>
                      <w:color w:val="auto"/>
                      <w:sz w:val="18"/>
                      <w:szCs w:val="18"/>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Align w:val="center"/>
                </w:tcPr>
                <w:p>
                  <w:pPr>
                    <w:adjustRightInd w:val="0"/>
                    <w:snapToGrid w:val="0"/>
                    <w:spacing w:line="276" w:lineRule="auto"/>
                    <w:jc w:val="center"/>
                    <w:rPr>
                      <w:bCs/>
                      <w:color w:val="auto"/>
                      <w:sz w:val="18"/>
                      <w:szCs w:val="18"/>
                    </w:rPr>
                  </w:pPr>
                  <w:r>
                    <w:rPr>
                      <w:rFonts w:hint="eastAsia"/>
                      <w:bCs/>
                      <w:color w:val="auto"/>
                      <w:sz w:val="18"/>
                      <w:szCs w:val="18"/>
                    </w:rPr>
                    <w:t>5#</w:t>
                  </w:r>
                </w:p>
              </w:tc>
              <w:tc>
                <w:tcPr>
                  <w:tcW w:w="1057"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53</w:t>
                  </w:r>
                </w:p>
              </w:tc>
              <w:tc>
                <w:tcPr>
                  <w:tcW w:w="1236"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41</w:t>
                  </w:r>
                </w:p>
              </w:tc>
              <w:tc>
                <w:tcPr>
                  <w:tcW w:w="794" w:type="pct"/>
                  <w:vAlign w:val="center"/>
                </w:tcPr>
                <w:p>
                  <w:pPr>
                    <w:adjustRightInd w:val="0"/>
                    <w:snapToGrid w:val="0"/>
                    <w:jc w:val="center"/>
                    <w:rPr>
                      <w:color w:val="auto"/>
                      <w:sz w:val="18"/>
                      <w:szCs w:val="18"/>
                    </w:rPr>
                  </w:pPr>
                  <w:r>
                    <w:rPr>
                      <w:rFonts w:hint="eastAsia"/>
                      <w:color w:val="auto"/>
                      <w:sz w:val="18"/>
                      <w:szCs w:val="18"/>
                    </w:rPr>
                    <w:t>6</w:t>
                  </w:r>
                  <w:r>
                    <w:rPr>
                      <w:color w:val="auto"/>
                      <w:sz w:val="18"/>
                      <w:szCs w:val="18"/>
                    </w:rPr>
                    <w:t>0</w:t>
                  </w:r>
                </w:p>
              </w:tc>
              <w:tc>
                <w:tcPr>
                  <w:tcW w:w="863" w:type="pct"/>
                  <w:vAlign w:val="center"/>
                </w:tcPr>
                <w:p>
                  <w:pPr>
                    <w:adjustRightInd w:val="0"/>
                    <w:snapToGrid w:val="0"/>
                    <w:jc w:val="center"/>
                    <w:rPr>
                      <w:color w:val="auto"/>
                      <w:sz w:val="18"/>
                      <w:szCs w:val="18"/>
                    </w:rPr>
                  </w:pPr>
                  <w:r>
                    <w:rPr>
                      <w:rFonts w:hint="eastAsia"/>
                      <w:color w:val="auto"/>
                      <w:sz w:val="18"/>
                      <w:szCs w:val="18"/>
                    </w:rPr>
                    <w:t>5</w:t>
                  </w:r>
                  <w:r>
                    <w:rPr>
                      <w:color w:val="auto"/>
                      <w:sz w:val="18"/>
                      <w:szCs w:val="18"/>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Align w:val="center"/>
                </w:tcPr>
                <w:p>
                  <w:pPr>
                    <w:adjustRightInd w:val="0"/>
                    <w:snapToGrid w:val="0"/>
                    <w:spacing w:line="276" w:lineRule="auto"/>
                    <w:jc w:val="center"/>
                    <w:rPr>
                      <w:bCs/>
                      <w:color w:val="auto"/>
                      <w:sz w:val="18"/>
                      <w:szCs w:val="18"/>
                    </w:rPr>
                  </w:pPr>
                  <w:r>
                    <w:rPr>
                      <w:rFonts w:hint="eastAsia"/>
                      <w:bCs/>
                      <w:color w:val="auto"/>
                      <w:sz w:val="18"/>
                      <w:szCs w:val="18"/>
                    </w:rPr>
                    <w:t>6#</w:t>
                  </w:r>
                </w:p>
              </w:tc>
              <w:tc>
                <w:tcPr>
                  <w:tcW w:w="1057"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54</w:t>
                  </w:r>
                </w:p>
              </w:tc>
              <w:tc>
                <w:tcPr>
                  <w:tcW w:w="1236"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41</w:t>
                  </w:r>
                </w:p>
              </w:tc>
              <w:tc>
                <w:tcPr>
                  <w:tcW w:w="794" w:type="pct"/>
                  <w:vAlign w:val="center"/>
                </w:tcPr>
                <w:p>
                  <w:pPr>
                    <w:adjustRightInd w:val="0"/>
                    <w:snapToGrid w:val="0"/>
                    <w:jc w:val="center"/>
                    <w:rPr>
                      <w:color w:val="auto"/>
                      <w:sz w:val="18"/>
                      <w:szCs w:val="18"/>
                    </w:rPr>
                  </w:pPr>
                  <w:r>
                    <w:rPr>
                      <w:rFonts w:hint="eastAsia"/>
                      <w:color w:val="auto"/>
                      <w:sz w:val="18"/>
                      <w:szCs w:val="18"/>
                    </w:rPr>
                    <w:t>6</w:t>
                  </w:r>
                  <w:r>
                    <w:rPr>
                      <w:color w:val="auto"/>
                      <w:sz w:val="18"/>
                      <w:szCs w:val="18"/>
                    </w:rPr>
                    <w:t>0</w:t>
                  </w:r>
                </w:p>
              </w:tc>
              <w:tc>
                <w:tcPr>
                  <w:tcW w:w="863" w:type="pct"/>
                  <w:vAlign w:val="center"/>
                </w:tcPr>
                <w:p>
                  <w:pPr>
                    <w:adjustRightInd w:val="0"/>
                    <w:snapToGrid w:val="0"/>
                    <w:jc w:val="center"/>
                    <w:rPr>
                      <w:color w:val="auto"/>
                      <w:sz w:val="18"/>
                      <w:szCs w:val="18"/>
                    </w:rPr>
                  </w:pPr>
                  <w:r>
                    <w:rPr>
                      <w:rFonts w:hint="eastAsia"/>
                      <w:color w:val="auto"/>
                      <w:sz w:val="18"/>
                      <w:szCs w:val="18"/>
                    </w:rPr>
                    <w:t>5</w:t>
                  </w:r>
                  <w:r>
                    <w:rPr>
                      <w:color w:val="auto"/>
                      <w:sz w:val="18"/>
                      <w:szCs w:val="18"/>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Align w:val="center"/>
                </w:tcPr>
                <w:p>
                  <w:pPr>
                    <w:adjustRightInd w:val="0"/>
                    <w:snapToGrid w:val="0"/>
                    <w:spacing w:line="276" w:lineRule="auto"/>
                    <w:jc w:val="center"/>
                    <w:rPr>
                      <w:bCs/>
                      <w:color w:val="auto"/>
                      <w:sz w:val="18"/>
                      <w:szCs w:val="18"/>
                    </w:rPr>
                  </w:pPr>
                  <w:r>
                    <w:rPr>
                      <w:rFonts w:hint="eastAsia"/>
                      <w:bCs/>
                      <w:color w:val="auto"/>
                      <w:sz w:val="18"/>
                      <w:szCs w:val="18"/>
                    </w:rPr>
                    <w:t>7</w:t>
                  </w:r>
                  <w:r>
                    <w:rPr>
                      <w:bCs/>
                      <w:color w:val="auto"/>
                      <w:sz w:val="18"/>
                      <w:szCs w:val="18"/>
                    </w:rPr>
                    <w:t>#</w:t>
                  </w:r>
                </w:p>
              </w:tc>
              <w:tc>
                <w:tcPr>
                  <w:tcW w:w="1057"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55</w:t>
                  </w:r>
                </w:p>
              </w:tc>
              <w:tc>
                <w:tcPr>
                  <w:tcW w:w="1236"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41</w:t>
                  </w:r>
                </w:p>
              </w:tc>
              <w:tc>
                <w:tcPr>
                  <w:tcW w:w="794" w:type="pct"/>
                  <w:vAlign w:val="center"/>
                </w:tcPr>
                <w:p>
                  <w:pPr>
                    <w:adjustRightInd w:val="0"/>
                    <w:snapToGrid w:val="0"/>
                    <w:jc w:val="center"/>
                    <w:rPr>
                      <w:color w:val="auto"/>
                      <w:sz w:val="18"/>
                      <w:szCs w:val="18"/>
                    </w:rPr>
                  </w:pPr>
                  <w:r>
                    <w:rPr>
                      <w:rFonts w:hint="eastAsia"/>
                      <w:color w:val="auto"/>
                      <w:sz w:val="18"/>
                      <w:szCs w:val="18"/>
                    </w:rPr>
                    <w:t>6</w:t>
                  </w:r>
                  <w:r>
                    <w:rPr>
                      <w:color w:val="auto"/>
                      <w:sz w:val="18"/>
                      <w:szCs w:val="18"/>
                    </w:rPr>
                    <w:t>0</w:t>
                  </w:r>
                </w:p>
              </w:tc>
              <w:tc>
                <w:tcPr>
                  <w:tcW w:w="863" w:type="pct"/>
                  <w:vAlign w:val="center"/>
                </w:tcPr>
                <w:p>
                  <w:pPr>
                    <w:adjustRightInd w:val="0"/>
                    <w:snapToGrid w:val="0"/>
                    <w:jc w:val="center"/>
                    <w:rPr>
                      <w:color w:val="auto"/>
                      <w:sz w:val="18"/>
                      <w:szCs w:val="18"/>
                    </w:rPr>
                  </w:pPr>
                  <w:r>
                    <w:rPr>
                      <w:rFonts w:hint="eastAsia"/>
                      <w:color w:val="auto"/>
                      <w:sz w:val="18"/>
                      <w:szCs w:val="18"/>
                    </w:rPr>
                    <w:t>5</w:t>
                  </w:r>
                  <w:r>
                    <w:rPr>
                      <w:color w:val="auto"/>
                      <w:sz w:val="18"/>
                      <w:szCs w:val="18"/>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Align w:val="center"/>
                </w:tcPr>
                <w:p>
                  <w:pPr>
                    <w:adjustRightInd w:val="0"/>
                    <w:snapToGrid w:val="0"/>
                    <w:spacing w:line="276" w:lineRule="auto"/>
                    <w:jc w:val="center"/>
                    <w:rPr>
                      <w:bCs/>
                      <w:color w:val="auto"/>
                      <w:sz w:val="18"/>
                      <w:szCs w:val="18"/>
                    </w:rPr>
                  </w:pPr>
                  <w:r>
                    <w:rPr>
                      <w:rFonts w:hint="eastAsia"/>
                      <w:bCs/>
                      <w:color w:val="auto"/>
                      <w:sz w:val="18"/>
                      <w:szCs w:val="18"/>
                    </w:rPr>
                    <w:t>8</w:t>
                  </w:r>
                  <w:r>
                    <w:rPr>
                      <w:bCs/>
                      <w:color w:val="auto"/>
                      <w:sz w:val="18"/>
                      <w:szCs w:val="18"/>
                    </w:rPr>
                    <w:t>#</w:t>
                  </w:r>
                </w:p>
              </w:tc>
              <w:tc>
                <w:tcPr>
                  <w:tcW w:w="1057"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54</w:t>
                  </w:r>
                </w:p>
              </w:tc>
              <w:tc>
                <w:tcPr>
                  <w:tcW w:w="1236"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44</w:t>
                  </w:r>
                </w:p>
              </w:tc>
              <w:tc>
                <w:tcPr>
                  <w:tcW w:w="794" w:type="pct"/>
                  <w:vAlign w:val="center"/>
                </w:tcPr>
                <w:p>
                  <w:pPr>
                    <w:adjustRightInd w:val="0"/>
                    <w:snapToGrid w:val="0"/>
                    <w:jc w:val="center"/>
                    <w:rPr>
                      <w:color w:val="auto"/>
                      <w:sz w:val="18"/>
                      <w:szCs w:val="18"/>
                    </w:rPr>
                  </w:pPr>
                  <w:r>
                    <w:rPr>
                      <w:rFonts w:hint="eastAsia"/>
                      <w:color w:val="auto"/>
                      <w:sz w:val="18"/>
                      <w:szCs w:val="18"/>
                    </w:rPr>
                    <w:t>6</w:t>
                  </w:r>
                  <w:r>
                    <w:rPr>
                      <w:color w:val="auto"/>
                      <w:sz w:val="18"/>
                      <w:szCs w:val="18"/>
                    </w:rPr>
                    <w:t>0</w:t>
                  </w:r>
                </w:p>
              </w:tc>
              <w:tc>
                <w:tcPr>
                  <w:tcW w:w="863" w:type="pct"/>
                  <w:vAlign w:val="center"/>
                </w:tcPr>
                <w:p>
                  <w:pPr>
                    <w:adjustRightInd w:val="0"/>
                    <w:snapToGrid w:val="0"/>
                    <w:jc w:val="center"/>
                    <w:rPr>
                      <w:color w:val="auto"/>
                      <w:sz w:val="18"/>
                      <w:szCs w:val="18"/>
                    </w:rPr>
                  </w:pPr>
                  <w:r>
                    <w:rPr>
                      <w:rFonts w:hint="eastAsia"/>
                      <w:color w:val="auto"/>
                      <w:sz w:val="18"/>
                      <w:szCs w:val="18"/>
                    </w:rPr>
                    <w:t>5</w:t>
                  </w:r>
                  <w:r>
                    <w:rPr>
                      <w:color w:val="auto"/>
                      <w:sz w:val="18"/>
                      <w:szCs w:val="18"/>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Align w:val="center"/>
                </w:tcPr>
                <w:p>
                  <w:pPr>
                    <w:adjustRightInd w:val="0"/>
                    <w:snapToGrid w:val="0"/>
                    <w:spacing w:line="276" w:lineRule="auto"/>
                    <w:jc w:val="center"/>
                    <w:rPr>
                      <w:bCs/>
                      <w:color w:val="auto"/>
                      <w:sz w:val="18"/>
                      <w:szCs w:val="18"/>
                    </w:rPr>
                  </w:pPr>
                  <w:r>
                    <w:rPr>
                      <w:rFonts w:hint="eastAsia"/>
                      <w:bCs/>
                      <w:color w:val="auto"/>
                      <w:sz w:val="18"/>
                      <w:szCs w:val="18"/>
                    </w:rPr>
                    <w:t>9</w:t>
                  </w:r>
                  <w:r>
                    <w:rPr>
                      <w:bCs/>
                      <w:color w:val="auto"/>
                      <w:sz w:val="18"/>
                      <w:szCs w:val="18"/>
                    </w:rPr>
                    <w:t>#</w:t>
                  </w:r>
                </w:p>
              </w:tc>
              <w:tc>
                <w:tcPr>
                  <w:tcW w:w="1057"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55</w:t>
                  </w:r>
                </w:p>
              </w:tc>
              <w:tc>
                <w:tcPr>
                  <w:tcW w:w="1236"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42</w:t>
                  </w:r>
                </w:p>
              </w:tc>
              <w:tc>
                <w:tcPr>
                  <w:tcW w:w="794" w:type="pct"/>
                  <w:vAlign w:val="center"/>
                </w:tcPr>
                <w:p>
                  <w:pPr>
                    <w:adjustRightInd w:val="0"/>
                    <w:snapToGrid w:val="0"/>
                    <w:jc w:val="center"/>
                    <w:rPr>
                      <w:color w:val="auto"/>
                      <w:sz w:val="18"/>
                      <w:szCs w:val="18"/>
                    </w:rPr>
                  </w:pPr>
                  <w:r>
                    <w:rPr>
                      <w:rFonts w:hint="eastAsia"/>
                      <w:color w:val="auto"/>
                      <w:sz w:val="18"/>
                      <w:szCs w:val="18"/>
                    </w:rPr>
                    <w:t>6</w:t>
                  </w:r>
                  <w:r>
                    <w:rPr>
                      <w:color w:val="auto"/>
                      <w:sz w:val="18"/>
                      <w:szCs w:val="18"/>
                    </w:rPr>
                    <w:t>0</w:t>
                  </w:r>
                </w:p>
              </w:tc>
              <w:tc>
                <w:tcPr>
                  <w:tcW w:w="863" w:type="pct"/>
                  <w:vAlign w:val="center"/>
                </w:tcPr>
                <w:p>
                  <w:pPr>
                    <w:adjustRightInd w:val="0"/>
                    <w:snapToGrid w:val="0"/>
                    <w:jc w:val="center"/>
                    <w:rPr>
                      <w:color w:val="auto"/>
                      <w:sz w:val="18"/>
                      <w:szCs w:val="18"/>
                    </w:rPr>
                  </w:pPr>
                  <w:r>
                    <w:rPr>
                      <w:rFonts w:hint="eastAsia"/>
                      <w:color w:val="auto"/>
                      <w:sz w:val="18"/>
                      <w:szCs w:val="18"/>
                    </w:rPr>
                    <w:t>5</w:t>
                  </w:r>
                  <w:r>
                    <w:rPr>
                      <w:color w:val="auto"/>
                      <w:sz w:val="18"/>
                      <w:szCs w:val="18"/>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Align w:val="center"/>
                </w:tcPr>
                <w:p>
                  <w:pPr>
                    <w:adjustRightInd w:val="0"/>
                    <w:snapToGrid w:val="0"/>
                    <w:spacing w:line="276" w:lineRule="auto"/>
                    <w:jc w:val="center"/>
                    <w:rPr>
                      <w:bCs/>
                      <w:color w:val="auto"/>
                      <w:sz w:val="18"/>
                      <w:szCs w:val="18"/>
                    </w:rPr>
                  </w:pPr>
                  <w:r>
                    <w:rPr>
                      <w:rFonts w:hint="eastAsia"/>
                      <w:bCs/>
                      <w:color w:val="auto"/>
                      <w:sz w:val="18"/>
                      <w:szCs w:val="18"/>
                    </w:rPr>
                    <w:t>1</w:t>
                  </w:r>
                  <w:r>
                    <w:rPr>
                      <w:bCs/>
                      <w:color w:val="auto"/>
                      <w:sz w:val="18"/>
                      <w:szCs w:val="18"/>
                    </w:rPr>
                    <w:t>0#</w:t>
                  </w:r>
                </w:p>
              </w:tc>
              <w:tc>
                <w:tcPr>
                  <w:tcW w:w="1057"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52</w:t>
                  </w:r>
                </w:p>
              </w:tc>
              <w:tc>
                <w:tcPr>
                  <w:tcW w:w="1236"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42</w:t>
                  </w:r>
                </w:p>
              </w:tc>
              <w:tc>
                <w:tcPr>
                  <w:tcW w:w="794" w:type="pct"/>
                  <w:vAlign w:val="center"/>
                </w:tcPr>
                <w:p>
                  <w:pPr>
                    <w:adjustRightInd w:val="0"/>
                    <w:snapToGrid w:val="0"/>
                    <w:jc w:val="center"/>
                    <w:rPr>
                      <w:color w:val="auto"/>
                      <w:sz w:val="18"/>
                      <w:szCs w:val="18"/>
                    </w:rPr>
                  </w:pPr>
                  <w:r>
                    <w:rPr>
                      <w:rFonts w:hint="eastAsia"/>
                      <w:color w:val="auto"/>
                      <w:sz w:val="18"/>
                      <w:szCs w:val="18"/>
                    </w:rPr>
                    <w:t>6</w:t>
                  </w:r>
                  <w:r>
                    <w:rPr>
                      <w:color w:val="auto"/>
                      <w:sz w:val="18"/>
                      <w:szCs w:val="18"/>
                    </w:rPr>
                    <w:t>0</w:t>
                  </w:r>
                </w:p>
              </w:tc>
              <w:tc>
                <w:tcPr>
                  <w:tcW w:w="863" w:type="pct"/>
                  <w:vAlign w:val="center"/>
                </w:tcPr>
                <w:p>
                  <w:pPr>
                    <w:adjustRightInd w:val="0"/>
                    <w:snapToGrid w:val="0"/>
                    <w:jc w:val="center"/>
                    <w:rPr>
                      <w:color w:val="auto"/>
                      <w:sz w:val="18"/>
                      <w:szCs w:val="18"/>
                    </w:rPr>
                  </w:pPr>
                  <w:r>
                    <w:rPr>
                      <w:rFonts w:hint="eastAsia"/>
                      <w:color w:val="auto"/>
                      <w:sz w:val="18"/>
                      <w:szCs w:val="18"/>
                    </w:rPr>
                    <w:t>5</w:t>
                  </w:r>
                  <w:r>
                    <w:rPr>
                      <w:color w:val="auto"/>
                      <w:sz w:val="18"/>
                      <w:szCs w:val="18"/>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Align w:val="center"/>
                </w:tcPr>
                <w:p>
                  <w:pPr>
                    <w:adjustRightInd w:val="0"/>
                    <w:snapToGrid w:val="0"/>
                    <w:spacing w:line="276" w:lineRule="auto"/>
                    <w:jc w:val="center"/>
                    <w:rPr>
                      <w:bCs/>
                      <w:color w:val="auto"/>
                      <w:sz w:val="18"/>
                      <w:szCs w:val="18"/>
                    </w:rPr>
                  </w:pPr>
                  <w:r>
                    <w:rPr>
                      <w:rFonts w:hint="eastAsia"/>
                      <w:bCs/>
                      <w:color w:val="auto"/>
                      <w:sz w:val="18"/>
                      <w:szCs w:val="18"/>
                    </w:rPr>
                    <w:t>1</w:t>
                  </w:r>
                  <w:r>
                    <w:rPr>
                      <w:bCs/>
                      <w:color w:val="auto"/>
                      <w:sz w:val="18"/>
                      <w:szCs w:val="18"/>
                    </w:rPr>
                    <w:t>1#</w:t>
                  </w:r>
                </w:p>
              </w:tc>
              <w:tc>
                <w:tcPr>
                  <w:tcW w:w="1057"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54</w:t>
                  </w:r>
                </w:p>
              </w:tc>
              <w:tc>
                <w:tcPr>
                  <w:tcW w:w="1236"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41</w:t>
                  </w:r>
                </w:p>
              </w:tc>
              <w:tc>
                <w:tcPr>
                  <w:tcW w:w="794" w:type="pct"/>
                  <w:vAlign w:val="center"/>
                </w:tcPr>
                <w:p>
                  <w:pPr>
                    <w:adjustRightInd w:val="0"/>
                    <w:snapToGrid w:val="0"/>
                    <w:jc w:val="center"/>
                    <w:rPr>
                      <w:color w:val="auto"/>
                      <w:sz w:val="18"/>
                      <w:szCs w:val="18"/>
                    </w:rPr>
                  </w:pPr>
                  <w:r>
                    <w:rPr>
                      <w:rFonts w:hint="eastAsia"/>
                      <w:color w:val="auto"/>
                      <w:sz w:val="18"/>
                      <w:szCs w:val="18"/>
                    </w:rPr>
                    <w:t>6</w:t>
                  </w:r>
                  <w:r>
                    <w:rPr>
                      <w:color w:val="auto"/>
                      <w:sz w:val="18"/>
                      <w:szCs w:val="18"/>
                    </w:rPr>
                    <w:t>0</w:t>
                  </w:r>
                </w:p>
              </w:tc>
              <w:tc>
                <w:tcPr>
                  <w:tcW w:w="863" w:type="pct"/>
                  <w:vAlign w:val="center"/>
                </w:tcPr>
                <w:p>
                  <w:pPr>
                    <w:adjustRightInd w:val="0"/>
                    <w:snapToGrid w:val="0"/>
                    <w:jc w:val="center"/>
                    <w:rPr>
                      <w:color w:val="auto"/>
                      <w:sz w:val="18"/>
                      <w:szCs w:val="18"/>
                    </w:rPr>
                  </w:pPr>
                  <w:r>
                    <w:rPr>
                      <w:rFonts w:hint="eastAsia"/>
                      <w:color w:val="auto"/>
                      <w:sz w:val="18"/>
                      <w:szCs w:val="18"/>
                    </w:rPr>
                    <w:t>5</w:t>
                  </w:r>
                  <w:r>
                    <w:rPr>
                      <w:color w:val="auto"/>
                      <w:sz w:val="18"/>
                      <w:szCs w:val="18"/>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22" w:hRule="exact"/>
                <w:jc w:val="center"/>
              </w:trPr>
              <w:tc>
                <w:tcPr>
                  <w:tcW w:w="1050" w:type="pct"/>
                  <w:vAlign w:val="center"/>
                </w:tcPr>
                <w:p>
                  <w:pPr>
                    <w:adjustRightInd w:val="0"/>
                    <w:snapToGrid w:val="0"/>
                    <w:spacing w:line="276" w:lineRule="auto"/>
                    <w:jc w:val="center"/>
                    <w:rPr>
                      <w:bCs/>
                      <w:color w:val="auto"/>
                      <w:sz w:val="18"/>
                      <w:szCs w:val="18"/>
                    </w:rPr>
                  </w:pPr>
                  <w:r>
                    <w:rPr>
                      <w:rFonts w:hint="eastAsia"/>
                      <w:bCs/>
                      <w:color w:val="auto"/>
                      <w:sz w:val="18"/>
                      <w:szCs w:val="18"/>
                    </w:rPr>
                    <w:t>1</w:t>
                  </w:r>
                  <w:r>
                    <w:rPr>
                      <w:bCs/>
                      <w:color w:val="auto"/>
                      <w:sz w:val="18"/>
                      <w:szCs w:val="18"/>
                    </w:rPr>
                    <w:t>2#</w:t>
                  </w:r>
                </w:p>
              </w:tc>
              <w:tc>
                <w:tcPr>
                  <w:tcW w:w="1057"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53</w:t>
                  </w:r>
                </w:p>
              </w:tc>
              <w:tc>
                <w:tcPr>
                  <w:tcW w:w="1236" w:type="pct"/>
                  <w:vAlign w:val="center"/>
                </w:tcPr>
                <w:p>
                  <w:pPr>
                    <w:widowControl/>
                    <w:ind w:left="-105" w:leftChars="-50" w:right="-105" w:rightChars="-50"/>
                    <w:jc w:val="center"/>
                    <w:textAlignment w:val="center"/>
                    <w:rPr>
                      <w:color w:val="auto"/>
                      <w:sz w:val="18"/>
                      <w:szCs w:val="18"/>
                    </w:rPr>
                  </w:pPr>
                  <w:r>
                    <w:rPr>
                      <w:rFonts w:hint="eastAsia"/>
                      <w:color w:val="auto"/>
                      <w:sz w:val="18"/>
                      <w:szCs w:val="18"/>
                    </w:rPr>
                    <w:t>42</w:t>
                  </w:r>
                </w:p>
              </w:tc>
              <w:tc>
                <w:tcPr>
                  <w:tcW w:w="794" w:type="pct"/>
                  <w:vAlign w:val="center"/>
                </w:tcPr>
                <w:p>
                  <w:pPr>
                    <w:adjustRightInd w:val="0"/>
                    <w:snapToGrid w:val="0"/>
                    <w:jc w:val="center"/>
                    <w:rPr>
                      <w:color w:val="auto"/>
                      <w:sz w:val="18"/>
                      <w:szCs w:val="18"/>
                    </w:rPr>
                  </w:pPr>
                  <w:r>
                    <w:rPr>
                      <w:rFonts w:hint="eastAsia"/>
                      <w:color w:val="auto"/>
                      <w:sz w:val="18"/>
                      <w:szCs w:val="18"/>
                    </w:rPr>
                    <w:t>6</w:t>
                  </w:r>
                  <w:r>
                    <w:rPr>
                      <w:color w:val="auto"/>
                      <w:sz w:val="18"/>
                      <w:szCs w:val="18"/>
                    </w:rPr>
                    <w:t>0</w:t>
                  </w:r>
                </w:p>
              </w:tc>
              <w:tc>
                <w:tcPr>
                  <w:tcW w:w="863" w:type="pct"/>
                  <w:vAlign w:val="center"/>
                </w:tcPr>
                <w:p>
                  <w:pPr>
                    <w:adjustRightInd w:val="0"/>
                    <w:snapToGrid w:val="0"/>
                    <w:jc w:val="center"/>
                    <w:rPr>
                      <w:color w:val="auto"/>
                      <w:sz w:val="18"/>
                      <w:szCs w:val="18"/>
                    </w:rPr>
                  </w:pPr>
                  <w:r>
                    <w:rPr>
                      <w:rFonts w:hint="eastAsia"/>
                      <w:color w:val="auto"/>
                      <w:sz w:val="18"/>
                      <w:szCs w:val="18"/>
                    </w:rPr>
                    <w:t>5</w:t>
                  </w:r>
                  <w:r>
                    <w:rPr>
                      <w:color w:val="auto"/>
                      <w:sz w:val="18"/>
                      <w:szCs w:val="18"/>
                    </w:rPr>
                    <w:t>0</w:t>
                  </w:r>
                </w:p>
              </w:tc>
            </w:tr>
          </w:tbl>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4、声环境质量现状评价</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从表3-</w:t>
            </w:r>
            <w:r>
              <w:rPr>
                <w:rFonts w:ascii="宋体" w:hAnsi="宋体" w:cs="宋体"/>
                <w:color w:val="auto"/>
                <w:kern w:val="0"/>
                <w:szCs w:val="21"/>
              </w:rPr>
              <w:t>8</w:t>
            </w:r>
            <w:r>
              <w:rPr>
                <w:rFonts w:hint="eastAsia" w:ascii="宋体" w:hAnsi="宋体" w:cs="宋体"/>
                <w:color w:val="auto"/>
                <w:kern w:val="0"/>
                <w:szCs w:val="21"/>
              </w:rPr>
              <w:t>监测结果可以看出：评价区域内各监测点位的昼间、夜间声环境监测值均达到《声环境质量标准》GB3096-2008中</w:t>
            </w:r>
            <w:r>
              <w:rPr>
                <w:rFonts w:ascii="宋体" w:hAnsi="宋体" w:cs="宋体"/>
                <w:color w:val="auto"/>
                <w:kern w:val="0"/>
                <w:szCs w:val="21"/>
              </w:rPr>
              <w:t>2</w:t>
            </w:r>
            <w:r>
              <w:rPr>
                <w:rFonts w:hint="eastAsia" w:ascii="宋体" w:hAnsi="宋体" w:cs="宋体"/>
                <w:color w:val="auto"/>
                <w:kern w:val="0"/>
                <w:szCs w:val="21"/>
              </w:rPr>
              <w:t>类标准。</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总体看，项目所在地声环境质量较好。</w:t>
            </w:r>
          </w:p>
          <w:p>
            <w:pPr>
              <w:adjustRightInd w:val="0"/>
              <w:snapToGrid w:val="0"/>
              <w:spacing w:line="360" w:lineRule="auto"/>
              <w:ind w:firstLine="420" w:firstLineChars="200"/>
              <w:rPr>
                <w:rFonts w:ascii="宋体" w:hAnsi="宋体" w:cs="宋体"/>
                <w:color w:val="auto"/>
                <w:kern w:val="0"/>
                <w:szCs w:val="21"/>
              </w:rPr>
            </w:pPr>
          </w:p>
          <w:p>
            <w:pPr>
              <w:adjustRightInd w:val="0"/>
              <w:snapToGrid w:val="0"/>
              <w:spacing w:line="360" w:lineRule="auto"/>
              <w:ind w:firstLine="420" w:firstLineChars="200"/>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904" w:type="dxa"/>
            <w:vAlign w:val="center"/>
          </w:tcPr>
          <w:p>
            <w:pPr>
              <w:adjustRightInd w:val="0"/>
              <w:snapToGrid w:val="0"/>
              <w:spacing w:line="360" w:lineRule="auto"/>
              <w:jc w:val="center"/>
              <w:rPr>
                <w:rFonts w:ascii="宋体" w:hAnsi="宋体" w:cs="宋体"/>
                <w:color w:val="auto"/>
                <w:kern w:val="0"/>
                <w:szCs w:val="21"/>
              </w:rPr>
            </w:pPr>
            <w:r>
              <w:rPr>
                <w:rFonts w:hint="eastAsia" w:ascii="宋体" w:hAnsi="宋体"/>
                <w:bCs/>
                <w:color w:val="auto"/>
                <w:szCs w:val="21"/>
              </w:rPr>
              <w:t>与项目有关的原有环境污染和生态破坏问题</w:t>
            </w:r>
          </w:p>
        </w:tc>
        <w:tc>
          <w:tcPr>
            <w:tcW w:w="8253" w:type="dxa"/>
            <w:vAlign w:val="center"/>
          </w:tcPr>
          <w:p>
            <w:pPr>
              <w:adjustRightInd w:val="0"/>
              <w:snapToGrid w:val="0"/>
              <w:spacing w:line="360" w:lineRule="auto"/>
              <w:ind w:firstLine="420"/>
              <w:rPr>
                <w:rFonts w:ascii="宋体" w:hAnsi="宋体" w:cs="宋体"/>
                <w:color w:val="auto"/>
                <w:kern w:val="0"/>
                <w:szCs w:val="21"/>
              </w:rPr>
            </w:pPr>
            <w:r>
              <w:rPr>
                <w:rFonts w:hint="eastAsia"/>
                <w:color w:val="auto"/>
              </w:rPr>
              <w:t>本项目为新建项目，项目位于</w:t>
            </w:r>
            <w:r>
              <w:rPr>
                <w:rFonts w:hint="eastAsia" w:ascii="宋体" w:hAnsi="宋体" w:cs="宋体"/>
                <w:color w:val="auto"/>
                <w:szCs w:val="21"/>
              </w:rPr>
              <w:t>四川省达州市宣汉县漆树土家族乡乘龙村</w:t>
            </w:r>
            <w:r>
              <w:rPr>
                <w:rFonts w:hint="eastAsia"/>
                <w:color w:val="auto"/>
              </w:rPr>
              <w:t>，处于自然状态，不存在与项目有关的原有环境污染和生态破坏问题。</w:t>
            </w:r>
          </w:p>
          <w:p>
            <w:pPr>
              <w:adjustRightInd w:val="0"/>
              <w:snapToGrid w:val="0"/>
              <w:spacing w:line="360" w:lineRule="auto"/>
              <w:ind w:firstLine="420"/>
              <w:rPr>
                <w:rFonts w:ascii="宋体" w:hAnsi="宋体" w:cs="宋体"/>
                <w:color w:val="auto"/>
                <w:kern w:val="0"/>
                <w:szCs w:val="21"/>
              </w:rPr>
            </w:pPr>
          </w:p>
          <w:p>
            <w:pPr>
              <w:adjustRightInd w:val="0"/>
              <w:snapToGrid w:val="0"/>
              <w:spacing w:line="360" w:lineRule="auto"/>
              <w:ind w:firstLine="420"/>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904" w:type="dxa"/>
            <w:vAlign w:val="center"/>
          </w:tcPr>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生态环境保护目标</w:t>
            </w:r>
          </w:p>
        </w:tc>
        <w:tc>
          <w:tcPr>
            <w:tcW w:w="8253" w:type="dxa"/>
            <w:vAlign w:val="center"/>
          </w:tcPr>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一、评价范围</w:t>
            </w:r>
          </w:p>
          <w:p>
            <w:pPr>
              <w:adjustRightInd w:val="0"/>
              <w:snapToGrid w:val="0"/>
              <w:spacing w:line="360" w:lineRule="auto"/>
              <w:ind w:firstLine="420" w:firstLineChars="200"/>
              <w:rPr>
                <w:rFonts w:ascii="宋体" w:hAnsi="宋体" w:cs="宋体"/>
                <w:bCs/>
                <w:color w:val="auto"/>
                <w:kern w:val="0"/>
                <w:szCs w:val="21"/>
              </w:rPr>
            </w:pPr>
            <w:r>
              <w:rPr>
                <w:rFonts w:hint="eastAsia" w:ascii="宋体" w:hAnsi="宋体" w:cs="宋体"/>
                <w:bCs/>
                <w:color w:val="auto"/>
                <w:kern w:val="0"/>
                <w:szCs w:val="21"/>
              </w:rPr>
              <w:t>根据项目污染物排放特点及当地气象条件、自然环境状况确定各环境要素评价范围，详见下表。</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表3</w:t>
            </w:r>
            <w:r>
              <w:rPr>
                <w:rFonts w:ascii="宋体" w:hAnsi="宋体" w:cs="宋体"/>
                <w:b/>
                <w:bCs/>
                <w:color w:val="auto"/>
                <w:kern w:val="0"/>
                <w:sz w:val="18"/>
                <w:szCs w:val="18"/>
              </w:rPr>
              <w:t xml:space="preserve">-9 </w:t>
            </w:r>
            <w:r>
              <w:rPr>
                <w:rFonts w:hint="eastAsia" w:ascii="宋体" w:hAnsi="宋体" w:cs="宋体"/>
                <w:b/>
                <w:bCs/>
                <w:color w:val="auto"/>
                <w:kern w:val="0"/>
                <w:sz w:val="18"/>
                <w:szCs w:val="18"/>
              </w:rPr>
              <w:t>项目评价范围表</w:t>
            </w:r>
          </w:p>
          <w:tbl>
            <w:tblPr>
              <w:tblStyle w:val="14"/>
              <w:tblW w:w="80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2690"/>
              <w:gridCol w:w="2126"/>
              <w:gridCol w:w="20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122" w:type="dxa"/>
                  <w:vMerge w:val="restart"/>
                  <w:vAlign w:val="center"/>
                </w:tcPr>
                <w:p>
                  <w:pPr>
                    <w:adjustRightInd w:val="0"/>
                    <w:snapToGrid w:val="0"/>
                    <w:jc w:val="center"/>
                    <w:rPr>
                      <w:b/>
                      <w:bCs/>
                      <w:color w:val="auto"/>
                      <w:sz w:val="18"/>
                      <w:szCs w:val="21"/>
                    </w:rPr>
                  </w:pPr>
                  <w:r>
                    <w:rPr>
                      <w:b/>
                      <w:bCs/>
                      <w:color w:val="auto"/>
                      <w:sz w:val="18"/>
                      <w:szCs w:val="21"/>
                    </w:rPr>
                    <w:t>环境要素</w:t>
                  </w:r>
                </w:p>
              </w:tc>
              <w:tc>
                <w:tcPr>
                  <w:tcW w:w="6915" w:type="dxa"/>
                  <w:gridSpan w:val="3"/>
                  <w:vAlign w:val="center"/>
                </w:tcPr>
                <w:p>
                  <w:pPr>
                    <w:adjustRightInd w:val="0"/>
                    <w:snapToGrid w:val="0"/>
                    <w:jc w:val="center"/>
                    <w:rPr>
                      <w:b/>
                      <w:bCs/>
                      <w:color w:val="auto"/>
                      <w:sz w:val="18"/>
                      <w:szCs w:val="21"/>
                    </w:rPr>
                  </w:pPr>
                  <w:r>
                    <w:rPr>
                      <w:b/>
                      <w:bCs/>
                      <w:color w:val="auto"/>
                      <w:sz w:val="18"/>
                      <w:szCs w:val="21"/>
                    </w:rPr>
                    <w:t>评价范围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122" w:type="dxa"/>
                  <w:vMerge w:val="continue"/>
                  <w:vAlign w:val="center"/>
                </w:tcPr>
                <w:p>
                  <w:pPr>
                    <w:adjustRightInd w:val="0"/>
                    <w:snapToGrid w:val="0"/>
                    <w:jc w:val="center"/>
                    <w:rPr>
                      <w:b/>
                      <w:bCs/>
                      <w:color w:val="auto"/>
                      <w:sz w:val="18"/>
                      <w:szCs w:val="21"/>
                    </w:rPr>
                  </w:pPr>
                </w:p>
              </w:tc>
              <w:tc>
                <w:tcPr>
                  <w:tcW w:w="2690" w:type="dxa"/>
                  <w:vAlign w:val="center"/>
                </w:tcPr>
                <w:p>
                  <w:pPr>
                    <w:adjustRightInd w:val="0"/>
                    <w:snapToGrid w:val="0"/>
                    <w:jc w:val="center"/>
                    <w:rPr>
                      <w:b/>
                      <w:bCs/>
                      <w:color w:val="auto"/>
                      <w:sz w:val="18"/>
                      <w:szCs w:val="21"/>
                    </w:rPr>
                  </w:pPr>
                  <w:r>
                    <w:rPr>
                      <w:b/>
                      <w:bCs/>
                      <w:color w:val="auto"/>
                      <w:sz w:val="18"/>
                      <w:szCs w:val="21"/>
                    </w:rPr>
                    <w:t>矿山</w:t>
                  </w:r>
                </w:p>
              </w:tc>
              <w:tc>
                <w:tcPr>
                  <w:tcW w:w="2126" w:type="dxa"/>
                  <w:vAlign w:val="center"/>
                </w:tcPr>
                <w:p>
                  <w:pPr>
                    <w:adjustRightInd w:val="0"/>
                    <w:snapToGrid w:val="0"/>
                    <w:jc w:val="center"/>
                    <w:rPr>
                      <w:b/>
                      <w:bCs/>
                      <w:color w:val="auto"/>
                      <w:sz w:val="18"/>
                      <w:szCs w:val="21"/>
                    </w:rPr>
                  </w:pPr>
                  <w:r>
                    <w:rPr>
                      <w:b/>
                      <w:bCs/>
                      <w:color w:val="auto"/>
                      <w:sz w:val="18"/>
                      <w:szCs w:val="21"/>
                    </w:rPr>
                    <w:t>加工区</w:t>
                  </w:r>
                </w:p>
              </w:tc>
              <w:tc>
                <w:tcPr>
                  <w:tcW w:w="2099" w:type="dxa"/>
                  <w:vAlign w:val="center"/>
                </w:tcPr>
                <w:p>
                  <w:pPr>
                    <w:adjustRightInd w:val="0"/>
                    <w:snapToGrid w:val="0"/>
                    <w:jc w:val="center"/>
                    <w:rPr>
                      <w:b/>
                      <w:bCs/>
                      <w:color w:val="auto"/>
                      <w:sz w:val="18"/>
                      <w:szCs w:val="21"/>
                    </w:rPr>
                  </w:pPr>
                  <w:r>
                    <w:rPr>
                      <w:rFonts w:hint="eastAsia"/>
                      <w:b/>
                      <w:bCs/>
                      <w:color w:val="auto"/>
                      <w:sz w:val="18"/>
                      <w:szCs w:val="21"/>
                    </w:rPr>
                    <w:t>矿区道路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122" w:type="dxa"/>
                  <w:vAlign w:val="center"/>
                </w:tcPr>
                <w:p>
                  <w:pPr>
                    <w:adjustRightInd w:val="0"/>
                    <w:snapToGrid w:val="0"/>
                    <w:jc w:val="center"/>
                    <w:rPr>
                      <w:color w:val="auto"/>
                      <w:sz w:val="18"/>
                      <w:szCs w:val="21"/>
                    </w:rPr>
                  </w:pPr>
                  <w:r>
                    <w:rPr>
                      <w:color w:val="auto"/>
                      <w:sz w:val="18"/>
                      <w:szCs w:val="21"/>
                    </w:rPr>
                    <w:t>大气</w:t>
                  </w:r>
                </w:p>
              </w:tc>
              <w:tc>
                <w:tcPr>
                  <w:tcW w:w="2690" w:type="dxa"/>
                  <w:vAlign w:val="center"/>
                </w:tcPr>
                <w:p>
                  <w:pPr>
                    <w:adjustRightInd w:val="0"/>
                    <w:snapToGrid w:val="0"/>
                    <w:rPr>
                      <w:color w:val="auto"/>
                      <w:sz w:val="18"/>
                      <w:szCs w:val="21"/>
                    </w:rPr>
                  </w:pPr>
                  <w:r>
                    <w:rPr>
                      <w:rFonts w:hint="eastAsia"/>
                      <w:color w:val="auto"/>
                      <w:sz w:val="18"/>
                      <w:szCs w:val="21"/>
                    </w:rPr>
                    <w:t>矿山开采区边界</w:t>
                  </w:r>
                  <w:r>
                    <w:rPr>
                      <w:color w:val="auto"/>
                      <w:sz w:val="18"/>
                      <w:szCs w:val="21"/>
                    </w:rPr>
                    <w:t>500m</w:t>
                  </w:r>
                  <w:r>
                    <w:rPr>
                      <w:rFonts w:hint="eastAsia"/>
                      <w:color w:val="auto"/>
                      <w:sz w:val="18"/>
                      <w:szCs w:val="21"/>
                    </w:rPr>
                    <w:t>范围</w:t>
                  </w:r>
                </w:p>
              </w:tc>
              <w:tc>
                <w:tcPr>
                  <w:tcW w:w="2126" w:type="dxa"/>
                  <w:vAlign w:val="center"/>
                </w:tcPr>
                <w:p>
                  <w:pPr>
                    <w:adjustRightInd w:val="0"/>
                    <w:snapToGrid w:val="0"/>
                    <w:rPr>
                      <w:color w:val="auto"/>
                      <w:sz w:val="18"/>
                      <w:szCs w:val="21"/>
                    </w:rPr>
                  </w:pPr>
                  <w:r>
                    <w:rPr>
                      <w:color w:val="auto"/>
                      <w:sz w:val="18"/>
                      <w:szCs w:val="21"/>
                    </w:rPr>
                    <w:t>厂界外500m范围</w:t>
                  </w:r>
                </w:p>
              </w:tc>
              <w:tc>
                <w:tcPr>
                  <w:tcW w:w="2099" w:type="dxa"/>
                  <w:vAlign w:val="center"/>
                </w:tcPr>
                <w:p>
                  <w:pPr>
                    <w:adjustRightInd w:val="0"/>
                    <w:snapToGrid w:val="0"/>
                    <w:rPr>
                      <w:color w:val="auto"/>
                      <w:sz w:val="18"/>
                      <w:szCs w:val="21"/>
                    </w:rPr>
                  </w:pPr>
                  <w:r>
                    <w:rPr>
                      <w:rFonts w:hint="eastAsia"/>
                      <w:color w:val="auto"/>
                      <w:sz w:val="18"/>
                      <w:szCs w:val="21"/>
                    </w:rPr>
                    <w:t>道路沿线2</w:t>
                  </w:r>
                  <w:r>
                    <w:rPr>
                      <w:color w:val="auto"/>
                      <w:sz w:val="18"/>
                      <w:szCs w:val="21"/>
                    </w:rPr>
                    <w:t>00</w:t>
                  </w:r>
                  <w:r>
                    <w:rPr>
                      <w:rFonts w:hint="eastAsia"/>
                      <w:color w:val="auto"/>
                      <w:sz w:val="18"/>
                      <w:szCs w:val="21"/>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122" w:type="dxa"/>
                  <w:vAlign w:val="center"/>
                </w:tcPr>
                <w:p>
                  <w:pPr>
                    <w:adjustRightInd w:val="0"/>
                    <w:snapToGrid w:val="0"/>
                    <w:jc w:val="center"/>
                    <w:rPr>
                      <w:color w:val="auto"/>
                      <w:sz w:val="18"/>
                      <w:szCs w:val="21"/>
                    </w:rPr>
                  </w:pPr>
                  <w:r>
                    <w:rPr>
                      <w:color w:val="auto"/>
                      <w:sz w:val="18"/>
                      <w:szCs w:val="21"/>
                    </w:rPr>
                    <w:t>地表水</w:t>
                  </w:r>
                </w:p>
              </w:tc>
              <w:tc>
                <w:tcPr>
                  <w:tcW w:w="2690" w:type="dxa"/>
                  <w:vAlign w:val="center"/>
                </w:tcPr>
                <w:p>
                  <w:pPr>
                    <w:adjustRightInd w:val="0"/>
                    <w:snapToGrid w:val="0"/>
                    <w:rPr>
                      <w:color w:val="auto"/>
                      <w:sz w:val="18"/>
                      <w:szCs w:val="21"/>
                    </w:rPr>
                  </w:pPr>
                  <w:r>
                    <w:rPr>
                      <w:rFonts w:hint="eastAsia"/>
                      <w:color w:val="auto"/>
                      <w:sz w:val="18"/>
                      <w:szCs w:val="21"/>
                    </w:rPr>
                    <w:t>/</w:t>
                  </w:r>
                </w:p>
              </w:tc>
              <w:tc>
                <w:tcPr>
                  <w:tcW w:w="2126" w:type="dxa"/>
                  <w:vAlign w:val="center"/>
                </w:tcPr>
                <w:p>
                  <w:pPr>
                    <w:adjustRightInd w:val="0"/>
                    <w:snapToGrid w:val="0"/>
                    <w:rPr>
                      <w:color w:val="auto"/>
                      <w:sz w:val="18"/>
                      <w:szCs w:val="21"/>
                    </w:rPr>
                  </w:pPr>
                  <w:r>
                    <w:rPr>
                      <w:color w:val="auto"/>
                      <w:sz w:val="18"/>
                      <w:szCs w:val="21"/>
                    </w:rPr>
                    <w:t>/</w:t>
                  </w:r>
                </w:p>
              </w:tc>
              <w:tc>
                <w:tcPr>
                  <w:tcW w:w="2099" w:type="dxa"/>
                  <w:vAlign w:val="center"/>
                </w:tcPr>
                <w:p>
                  <w:pPr>
                    <w:adjustRightInd w:val="0"/>
                    <w:snapToGrid w:val="0"/>
                    <w:rPr>
                      <w:color w:val="auto"/>
                      <w:sz w:val="18"/>
                      <w:szCs w:val="21"/>
                    </w:rPr>
                  </w:pPr>
                  <w:r>
                    <w:rPr>
                      <w:rFonts w:hint="eastAsia"/>
                      <w:color w:val="auto"/>
                      <w:sz w:val="18"/>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122" w:type="dxa"/>
                  <w:vAlign w:val="center"/>
                </w:tcPr>
                <w:p>
                  <w:pPr>
                    <w:adjustRightInd w:val="0"/>
                    <w:snapToGrid w:val="0"/>
                    <w:jc w:val="center"/>
                    <w:rPr>
                      <w:color w:val="auto"/>
                      <w:sz w:val="18"/>
                      <w:szCs w:val="21"/>
                    </w:rPr>
                  </w:pPr>
                  <w:r>
                    <w:rPr>
                      <w:color w:val="auto"/>
                      <w:sz w:val="18"/>
                      <w:szCs w:val="21"/>
                    </w:rPr>
                    <w:t>地下水</w:t>
                  </w:r>
                </w:p>
              </w:tc>
              <w:tc>
                <w:tcPr>
                  <w:tcW w:w="2690" w:type="dxa"/>
                  <w:vAlign w:val="center"/>
                </w:tcPr>
                <w:p>
                  <w:pPr>
                    <w:adjustRightInd w:val="0"/>
                    <w:snapToGrid w:val="0"/>
                    <w:rPr>
                      <w:color w:val="auto"/>
                      <w:sz w:val="18"/>
                      <w:szCs w:val="21"/>
                    </w:rPr>
                  </w:pPr>
                  <w:r>
                    <w:rPr>
                      <w:color w:val="auto"/>
                      <w:sz w:val="18"/>
                      <w:szCs w:val="21"/>
                    </w:rPr>
                    <w:t>不开展地下水环境影响评价</w:t>
                  </w:r>
                </w:p>
              </w:tc>
              <w:tc>
                <w:tcPr>
                  <w:tcW w:w="2126" w:type="dxa"/>
                  <w:vAlign w:val="center"/>
                </w:tcPr>
                <w:p>
                  <w:pPr>
                    <w:adjustRightInd w:val="0"/>
                    <w:snapToGrid w:val="0"/>
                    <w:rPr>
                      <w:color w:val="auto"/>
                      <w:sz w:val="18"/>
                      <w:szCs w:val="21"/>
                    </w:rPr>
                  </w:pPr>
                  <w:r>
                    <w:rPr>
                      <w:color w:val="auto"/>
                      <w:sz w:val="18"/>
                      <w:szCs w:val="21"/>
                    </w:rPr>
                    <w:t>厂界外500米范围</w:t>
                  </w:r>
                </w:p>
              </w:tc>
              <w:tc>
                <w:tcPr>
                  <w:tcW w:w="2099" w:type="dxa"/>
                  <w:vAlign w:val="center"/>
                </w:tcPr>
                <w:p>
                  <w:pPr>
                    <w:adjustRightInd w:val="0"/>
                    <w:snapToGrid w:val="0"/>
                    <w:rPr>
                      <w:color w:val="auto"/>
                      <w:sz w:val="18"/>
                      <w:szCs w:val="21"/>
                    </w:rPr>
                  </w:pPr>
                  <w:r>
                    <w:rPr>
                      <w:color w:val="auto"/>
                      <w:sz w:val="18"/>
                      <w:szCs w:val="21"/>
                    </w:rPr>
                    <w:t>不开展地下水环境影响评价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122" w:type="dxa"/>
                  <w:vAlign w:val="center"/>
                </w:tcPr>
                <w:p>
                  <w:pPr>
                    <w:adjustRightInd w:val="0"/>
                    <w:snapToGrid w:val="0"/>
                    <w:jc w:val="center"/>
                    <w:rPr>
                      <w:color w:val="auto"/>
                      <w:sz w:val="18"/>
                      <w:szCs w:val="21"/>
                    </w:rPr>
                  </w:pPr>
                  <w:r>
                    <w:rPr>
                      <w:color w:val="auto"/>
                      <w:sz w:val="18"/>
                      <w:szCs w:val="21"/>
                    </w:rPr>
                    <w:t>噪声</w:t>
                  </w:r>
                </w:p>
              </w:tc>
              <w:tc>
                <w:tcPr>
                  <w:tcW w:w="2690" w:type="dxa"/>
                  <w:vAlign w:val="center"/>
                </w:tcPr>
                <w:p>
                  <w:pPr>
                    <w:adjustRightInd w:val="0"/>
                    <w:snapToGrid w:val="0"/>
                    <w:rPr>
                      <w:color w:val="auto"/>
                      <w:sz w:val="18"/>
                      <w:szCs w:val="21"/>
                    </w:rPr>
                  </w:pPr>
                  <w:r>
                    <w:rPr>
                      <w:color w:val="auto"/>
                      <w:sz w:val="18"/>
                      <w:szCs w:val="21"/>
                    </w:rPr>
                    <w:t>本项目场界及50m范围内的噪声敏感点</w:t>
                  </w:r>
                </w:p>
              </w:tc>
              <w:tc>
                <w:tcPr>
                  <w:tcW w:w="2126" w:type="dxa"/>
                  <w:vAlign w:val="center"/>
                </w:tcPr>
                <w:p>
                  <w:pPr>
                    <w:adjustRightInd w:val="0"/>
                    <w:snapToGrid w:val="0"/>
                    <w:rPr>
                      <w:color w:val="auto"/>
                      <w:sz w:val="18"/>
                      <w:szCs w:val="21"/>
                    </w:rPr>
                  </w:pPr>
                  <w:r>
                    <w:rPr>
                      <w:color w:val="auto"/>
                      <w:sz w:val="18"/>
                      <w:szCs w:val="21"/>
                    </w:rPr>
                    <w:t>厂界外50米范围</w:t>
                  </w:r>
                </w:p>
              </w:tc>
              <w:tc>
                <w:tcPr>
                  <w:tcW w:w="2099" w:type="dxa"/>
                  <w:vAlign w:val="center"/>
                </w:tcPr>
                <w:p>
                  <w:pPr>
                    <w:adjustRightInd w:val="0"/>
                    <w:snapToGrid w:val="0"/>
                    <w:rPr>
                      <w:color w:val="auto"/>
                      <w:sz w:val="18"/>
                      <w:szCs w:val="21"/>
                    </w:rPr>
                  </w:pPr>
                  <w:r>
                    <w:rPr>
                      <w:rFonts w:hint="eastAsia"/>
                      <w:color w:val="auto"/>
                      <w:sz w:val="18"/>
                      <w:szCs w:val="21"/>
                    </w:rPr>
                    <w:t>道路沿线5</w:t>
                  </w:r>
                  <w:r>
                    <w:rPr>
                      <w:color w:val="auto"/>
                      <w:sz w:val="18"/>
                      <w:szCs w:val="21"/>
                    </w:rPr>
                    <w:t>0</w:t>
                  </w:r>
                  <w:r>
                    <w:rPr>
                      <w:rFonts w:hint="eastAsia"/>
                      <w:color w:val="auto"/>
                      <w:sz w:val="18"/>
                      <w:szCs w:val="21"/>
                    </w:rPr>
                    <w:t>m范围内的噪声敏感点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122" w:type="dxa"/>
                  <w:vAlign w:val="center"/>
                </w:tcPr>
                <w:p>
                  <w:pPr>
                    <w:adjustRightInd w:val="0"/>
                    <w:snapToGrid w:val="0"/>
                    <w:jc w:val="center"/>
                    <w:rPr>
                      <w:color w:val="auto"/>
                      <w:sz w:val="18"/>
                      <w:szCs w:val="21"/>
                    </w:rPr>
                  </w:pPr>
                  <w:r>
                    <w:rPr>
                      <w:color w:val="auto"/>
                      <w:sz w:val="18"/>
                      <w:szCs w:val="21"/>
                    </w:rPr>
                    <w:t>土壤</w:t>
                  </w:r>
                </w:p>
              </w:tc>
              <w:tc>
                <w:tcPr>
                  <w:tcW w:w="2690" w:type="dxa"/>
                  <w:vAlign w:val="center"/>
                </w:tcPr>
                <w:p>
                  <w:pPr>
                    <w:adjustRightInd w:val="0"/>
                    <w:snapToGrid w:val="0"/>
                    <w:rPr>
                      <w:color w:val="auto"/>
                      <w:sz w:val="18"/>
                      <w:szCs w:val="21"/>
                    </w:rPr>
                  </w:pPr>
                  <w:r>
                    <w:rPr>
                      <w:color w:val="auto"/>
                      <w:sz w:val="18"/>
                      <w:szCs w:val="21"/>
                    </w:rPr>
                    <w:t>不开展土壤环境影响评价</w:t>
                  </w:r>
                </w:p>
              </w:tc>
              <w:tc>
                <w:tcPr>
                  <w:tcW w:w="2126" w:type="dxa"/>
                  <w:vAlign w:val="center"/>
                </w:tcPr>
                <w:p>
                  <w:pPr>
                    <w:adjustRightInd w:val="0"/>
                    <w:snapToGrid w:val="0"/>
                    <w:rPr>
                      <w:color w:val="auto"/>
                      <w:sz w:val="18"/>
                      <w:szCs w:val="21"/>
                    </w:rPr>
                  </w:pPr>
                  <w:r>
                    <w:rPr>
                      <w:color w:val="auto"/>
                      <w:sz w:val="18"/>
                      <w:szCs w:val="21"/>
                    </w:rPr>
                    <w:t>不开展土壤环境影响评价</w:t>
                  </w:r>
                </w:p>
              </w:tc>
              <w:tc>
                <w:tcPr>
                  <w:tcW w:w="2099" w:type="dxa"/>
                  <w:vAlign w:val="center"/>
                </w:tcPr>
                <w:p>
                  <w:pPr>
                    <w:adjustRightInd w:val="0"/>
                    <w:snapToGrid w:val="0"/>
                    <w:rPr>
                      <w:color w:val="auto"/>
                      <w:sz w:val="18"/>
                      <w:szCs w:val="21"/>
                    </w:rPr>
                  </w:pPr>
                  <w:r>
                    <w:rPr>
                      <w:color w:val="auto"/>
                      <w:sz w:val="18"/>
                      <w:szCs w:val="21"/>
                    </w:rPr>
                    <w:t>不开展土壤环境影响评价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122" w:type="dxa"/>
                  <w:vAlign w:val="center"/>
                </w:tcPr>
                <w:p>
                  <w:pPr>
                    <w:adjustRightInd w:val="0"/>
                    <w:snapToGrid w:val="0"/>
                    <w:jc w:val="center"/>
                    <w:rPr>
                      <w:color w:val="auto"/>
                      <w:sz w:val="18"/>
                      <w:szCs w:val="21"/>
                    </w:rPr>
                  </w:pPr>
                  <w:r>
                    <w:rPr>
                      <w:color w:val="auto"/>
                      <w:sz w:val="18"/>
                      <w:szCs w:val="21"/>
                    </w:rPr>
                    <w:t>生态</w:t>
                  </w:r>
                </w:p>
              </w:tc>
              <w:tc>
                <w:tcPr>
                  <w:tcW w:w="2690" w:type="dxa"/>
                  <w:vAlign w:val="center"/>
                </w:tcPr>
                <w:p>
                  <w:pPr>
                    <w:adjustRightInd w:val="0"/>
                    <w:snapToGrid w:val="0"/>
                    <w:rPr>
                      <w:color w:val="auto"/>
                      <w:sz w:val="18"/>
                      <w:szCs w:val="21"/>
                    </w:rPr>
                  </w:pPr>
                  <w:r>
                    <w:rPr>
                      <w:color w:val="auto"/>
                      <w:sz w:val="18"/>
                      <w:szCs w:val="21"/>
                    </w:rPr>
                    <w:t xml:space="preserve">矿区边界外延500m </w:t>
                  </w:r>
                </w:p>
              </w:tc>
              <w:tc>
                <w:tcPr>
                  <w:tcW w:w="2126" w:type="dxa"/>
                  <w:vAlign w:val="center"/>
                </w:tcPr>
                <w:p>
                  <w:pPr>
                    <w:adjustRightInd w:val="0"/>
                    <w:snapToGrid w:val="0"/>
                    <w:rPr>
                      <w:color w:val="auto"/>
                      <w:sz w:val="18"/>
                      <w:szCs w:val="21"/>
                    </w:rPr>
                  </w:pPr>
                  <w:r>
                    <w:rPr>
                      <w:rFonts w:hint="eastAsia"/>
                      <w:color w:val="auto"/>
                      <w:sz w:val="18"/>
                      <w:szCs w:val="21"/>
                    </w:rPr>
                    <w:t>加工区</w:t>
                  </w:r>
                  <w:r>
                    <w:rPr>
                      <w:color w:val="auto"/>
                      <w:sz w:val="18"/>
                      <w:szCs w:val="21"/>
                    </w:rPr>
                    <w:t>边界外延500m</w:t>
                  </w:r>
                </w:p>
              </w:tc>
              <w:tc>
                <w:tcPr>
                  <w:tcW w:w="2099" w:type="dxa"/>
                  <w:vAlign w:val="center"/>
                </w:tcPr>
                <w:p>
                  <w:pPr>
                    <w:adjustRightInd w:val="0"/>
                    <w:snapToGrid w:val="0"/>
                    <w:rPr>
                      <w:color w:val="auto"/>
                      <w:sz w:val="18"/>
                      <w:szCs w:val="21"/>
                    </w:rPr>
                  </w:pPr>
                  <w:r>
                    <w:rPr>
                      <w:rFonts w:hint="eastAsia"/>
                      <w:color w:val="auto"/>
                      <w:sz w:val="18"/>
                      <w:szCs w:val="21"/>
                    </w:rPr>
                    <w:t>道路两侧2</w:t>
                  </w:r>
                  <w:r>
                    <w:rPr>
                      <w:color w:val="auto"/>
                      <w:sz w:val="18"/>
                      <w:szCs w:val="21"/>
                    </w:rPr>
                    <w:t>00</w:t>
                  </w:r>
                  <w:r>
                    <w:rPr>
                      <w:rFonts w:hint="eastAsia"/>
                      <w:color w:val="auto"/>
                      <w:sz w:val="18"/>
                      <w:szCs w:val="21"/>
                    </w:rPr>
                    <w:t>m范围内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1122" w:type="dxa"/>
                  <w:vAlign w:val="center"/>
                </w:tcPr>
                <w:p>
                  <w:pPr>
                    <w:adjustRightInd w:val="0"/>
                    <w:snapToGrid w:val="0"/>
                    <w:jc w:val="center"/>
                    <w:rPr>
                      <w:color w:val="auto"/>
                      <w:sz w:val="18"/>
                      <w:szCs w:val="21"/>
                    </w:rPr>
                  </w:pPr>
                  <w:r>
                    <w:rPr>
                      <w:color w:val="auto"/>
                      <w:sz w:val="18"/>
                      <w:szCs w:val="21"/>
                    </w:rPr>
                    <w:t>环境风险</w:t>
                  </w:r>
                </w:p>
              </w:tc>
              <w:tc>
                <w:tcPr>
                  <w:tcW w:w="2690" w:type="dxa"/>
                  <w:vAlign w:val="center"/>
                </w:tcPr>
                <w:p>
                  <w:pPr>
                    <w:adjustRightInd w:val="0"/>
                    <w:snapToGrid w:val="0"/>
                    <w:rPr>
                      <w:color w:val="auto"/>
                      <w:sz w:val="18"/>
                      <w:szCs w:val="21"/>
                    </w:rPr>
                  </w:pPr>
                  <w:r>
                    <w:rPr>
                      <w:bCs/>
                      <w:color w:val="auto"/>
                      <w:sz w:val="18"/>
                      <w:szCs w:val="21"/>
                    </w:rPr>
                    <w:t>仅进行简单分析</w:t>
                  </w:r>
                </w:p>
              </w:tc>
              <w:tc>
                <w:tcPr>
                  <w:tcW w:w="2126" w:type="dxa"/>
                  <w:vAlign w:val="center"/>
                </w:tcPr>
                <w:p>
                  <w:pPr>
                    <w:adjustRightInd w:val="0"/>
                    <w:snapToGrid w:val="0"/>
                    <w:rPr>
                      <w:bCs/>
                      <w:color w:val="auto"/>
                      <w:sz w:val="18"/>
                      <w:szCs w:val="21"/>
                    </w:rPr>
                  </w:pPr>
                  <w:r>
                    <w:rPr>
                      <w:bCs/>
                      <w:color w:val="auto"/>
                      <w:sz w:val="18"/>
                      <w:szCs w:val="21"/>
                    </w:rPr>
                    <w:t>仅进行简单分析</w:t>
                  </w:r>
                </w:p>
              </w:tc>
              <w:tc>
                <w:tcPr>
                  <w:tcW w:w="2099" w:type="dxa"/>
                  <w:vAlign w:val="center"/>
                </w:tcPr>
                <w:p>
                  <w:pPr>
                    <w:adjustRightInd w:val="0"/>
                    <w:snapToGrid w:val="0"/>
                    <w:rPr>
                      <w:bCs/>
                      <w:color w:val="auto"/>
                      <w:sz w:val="18"/>
                      <w:szCs w:val="21"/>
                    </w:rPr>
                  </w:pPr>
                  <w:r>
                    <w:rPr>
                      <w:bCs/>
                      <w:color w:val="auto"/>
                      <w:sz w:val="18"/>
                      <w:szCs w:val="21"/>
                    </w:rPr>
                    <w:t>仅进行简单分析</w:t>
                  </w:r>
                </w:p>
              </w:tc>
            </w:tr>
          </w:tbl>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二、项目外环境关系</w:t>
            </w:r>
          </w:p>
          <w:p>
            <w:pPr>
              <w:adjustRightInd w:val="0"/>
              <w:snapToGrid w:val="0"/>
              <w:spacing w:line="360" w:lineRule="auto"/>
              <w:rPr>
                <w:rFonts w:ascii="宋体" w:hAnsi="宋体" w:cs="宋体"/>
                <w:color w:val="auto"/>
                <w:kern w:val="0"/>
                <w:szCs w:val="21"/>
              </w:rPr>
            </w:pPr>
            <w:r>
              <w:rPr>
                <w:rFonts w:hint="eastAsia" w:ascii="宋体" w:hAnsi="宋体" w:cs="宋体"/>
                <w:color w:val="auto"/>
                <w:kern w:val="0"/>
                <w:szCs w:val="21"/>
              </w:rPr>
              <w:t xml:space="preserve"> </w:t>
            </w:r>
            <w:r>
              <w:rPr>
                <w:rFonts w:ascii="宋体" w:hAnsi="宋体" w:cs="宋体"/>
                <w:color w:val="auto"/>
                <w:kern w:val="0"/>
                <w:szCs w:val="21"/>
              </w:rPr>
              <w:t xml:space="preserve">   </w:t>
            </w:r>
            <w:r>
              <w:rPr>
                <w:rFonts w:hint="eastAsia" w:ascii="宋体" w:hAnsi="宋体" w:cs="宋体"/>
                <w:color w:val="auto"/>
                <w:kern w:val="0"/>
                <w:szCs w:val="21"/>
              </w:rPr>
              <w:t>本项目建设地址位于</w:t>
            </w:r>
            <w:r>
              <w:rPr>
                <w:rFonts w:hint="eastAsia" w:ascii="宋体" w:hAnsi="宋体" w:cs="宋体"/>
                <w:color w:val="auto"/>
                <w:szCs w:val="21"/>
              </w:rPr>
              <w:t>四川省达州市宣汉县漆树土家族乡乘龙村</w:t>
            </w:r>
            <w:r>
              <w:rPr>
                <w:rFonts w:hint="eastAsia" w:ascii="宋体" w:hAnsi="宋体" w:cs="宋体"/>
                <w:color w:val="auto"/>
                <w:kern w:val="0"/>
                <w:szCs w:val="21"/>
              </w:rPr>
              <w:t>，根据现场调查，本项目矿山开采区、加工区四周5</w:t>
            </w:r>
            <w:r>
              <w:rPr>
                <w:rFonts w:ascii="宋体" w:hAnsi="宋体" w:cs="宋体"/>
                <w:color w:val="auto"/>
                <w:kern w:val="0"/>
                <w:szCs w:val="21"/>
              </w:rPr>
              <w:t>00</w:t>
            </w:r>
            <w:r>
              <w:rPr>
                <w:rFonts w:hint="eastAsia" w:ascii="宋体" w:hAnsi="宋体" w:cs="宋体"/>
                <w:color w:val="auto"/>
                <w:kern w:val="0"/>
                <w:szCs w:val="21"/>
              </w:rPr>
              <w:t>m范围内没有居民，四周均为山林地，也无国家级自然保护区、风景名胜区和文物古迹保护单位等敏感保护目标。仅在矿区道路沿线分布有少量当地居民，矿区道路起点接S202道路，道路起点分布有漆树乡场镇居民，在矿区道路K0+700处东侧</w:t>
            </w:r>
            <w:r>
              <w:rPr>
                <w:rFonts w:ascii="宋体" w:hAnsi="宋体" w:cs="宋体"/>
                <w:color w:val="auto"/>
                <w:kern w:val="0"/>
                <w:szCs w:val="21"/>
              </w:rPr>
              <w:t>18</w:t>
            </w:r>
            <w:r>
              <w:rPr>
                <w:rFonts w:hint="eastAsia" w:ascii="宋体" w:hAnsi="宋体" w:cs="宋体"/>
                <w:color w:val="auto"/>
                <w:kern w:val="0"/>
                <w:szCs w:val="21"/>
              </w:rPr>
              <w:t>m处分布有乘龙村散居居民。</w:t>
            </w:r>
          </w:p>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三、主要环境保护目标</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1、环境空气敏感点</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结合项目外环境关系，项目环境保护目标仅涉及矿区道路沿线，具体环境空气保护目标见下表。</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表3-</w:t>
            </w:r>
            <w:r>
              <w:rPr>
                <w:rFonts w:ascii="宋体" w:hAnsi="宋体" w:cs="宋体"/>
                <w:b/>
                <w:bCs/>
                <w:color w:val="auto"/>
                <w:kern w:val="0"/>
                <w:sz w:val="18"/>
                <w:szCs w:val="18"/>
              </w:rPr>
              <w:t xml:space="preserve">10 </w:t>
            </w:r>
            <w:r>
              <w:rPr>
                <w:rFonts w:hint="eastAsia" w:ascii="宋体" w:hAnsi="宋体" w:cs="宋体"/>
                <w:b/>
                <w:bCs/>
                <w:color w:val="auto"/>
                <w:kern w:val="0"/>
                <w:sz w:val="18"/>
                <w:szCs w:val="18"/>
              </w:rPr>
              <w:t>项目矿区道路大气环境保护目标表</w:t>
            </w:r>
          </w:p>
          <w:tbl>
            <w:tblPr>
              <w:tblStyle w:val="14"/>
              <w:tblW w:w="801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371"/>
              <w:gridCol w:w="1664"/>
              <w:gridCol w:w="1437"/>
              <w:gridCol w:w="1413"/>
              <w:gridCol w:w="14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34" w:type="dxa"/>
                  <w:noWrap/>
                  <w:vAlign w:val="center"/>
                </w:tcPr>
                <w:p>
                  <w:pPr>
                    <w:spacing w:line="300" w:lineRule="exact"/>
                    <w:ind w:left="-105" w:leftChars="-50" w:right="-105" w:rightChars="-50"/>
                    <w:jc w:val="center"/>
                    <w:rPr>
                      <w:b/>
                      <w:bCs/>
                      <w:color w:val="auto"/>
                      <w:sz w:val="18"/>
                      <w:szCs w:val="18"/>
                      <w:lang w:val="zh-CN"/>
                    </w:rPr>
                  </w:pPr>
                  <w:r>
                    <w:rPr>
                      <w:b/>
                      <w:bCs/>
                      <w:color w:val="auto"/>
                      <w:sz w:val="18"/>
                      <w:szCs w:val="18"/>
                    </w:rPr>
                    <w:t>序号</w:t>
                  </w:r>
                </w:p>
              </w:tc>
              <w:tc>
                <w:tcPr>
                  <w:tcW w:w="1371" w:type="dxa"/>
                  <w:noWrap/>
                  <w:vAlign w:val="center"/>
                </w:tcPr>
                <w:p>
                  <w:pPr>
                    <w:spacing w:line="300" w:lineRule="exact"/>
                    <w:ind w:left="-105" w:leftChars="-50" w:right="-105" w:rightChars="-50"/>
                    <w:jc w:val="center"/>
                    <w:rPr>
                      <w:b/>
                      <w:bCs/>
                      <w:color w:val="auto"/>
                      <w:sz w:val="18"/>
                      <w:szCs w:val="18"/>
                      <w:lang w:val="zh-CN"/>
                    </w:rPr>
                  </w:pPr>
                  <w:r>
                    <w:rPr>
                      <w:b/>
                      <w:bCs/>
                      <w:color w:val="auto"/>
                      <w:sz w:val="18"/>
                      <w:szCs w:val="18"/>
                    </w:rPr>
                    <w:t>名 称</w:t>
                  </w:r>
                </w:p>
              </w:tc>
              <w:tc>
                <w:tcPr>
                  <w:tcW w:w="1664" w:type="dxa"/>
                  <w:noWrap/>
                  <w:vAlign w:val="center"/>
                </w:tcPr>
                <w:p>
                  <w:pPr>
                    <w:spacing w:line="300" w:lineRule="exact"/>
                    <w:ind w:left="-105" w:leftChars="-50" w:right="-105" w:rightChars="-50"/>
                    <w:jc w:val="center"/>
                    <w:rPr>
                      <w:b/>
                      <w:bCs/>
                      <w:color w:val="auto"/>
                      <w:sz w:val="18"/>
                      <w:szCs w:val="18"/>
                      <w:lang w:val="zh-CN"/>
                    </w:rPr>
                  </w:pPr>
                  <w:r>
                    <w:rPr>
                      <w:b/>
                      <w:bCs/>
                      <w:color w:val="auto"/>
                      <w:sz w:val="18"/>
                      <w:szCs w:val="18"/>
                    </w:rPr>
                    <w:t>相对方位、距离</w:t>
                  </w:r>
                </w:p>
              </w:tc>
              <w:tc>
                <w:tcPr>
                  <w:tcW w:w="1437" w:type="dxa"/>
                  <w:noWrap/>
                  <w:vAlign w:val="center"/>
                </w:tcPr>
                <w:p>
                  <w:pPr>
                    <w:spacing w:line="300" w:lineRule="exact"/>
                    <w:ind w:left="-105" w:leftChars="-50" w:right="-105" w:rightChars="-50"/>
                    <w:jc w:val="center"/>
                    <w:rPr>
                      <w:b/>
                      <w:bCs/>
                      <w:color w:val="auto"/>
                      <w:sz w:val="18"/>
                      <w:szCs w:val="18"/>
                      <w:lang w:val="zh-CN"/>
                    </w:rPr>
                  </w:pPr>
                  <w:r>
                    <w:rPr>
                      <w:b/>
                      <w:bCs/>
                      <w:color w:val="auto"/>
                      <w:sz w:val="18"/>
                      <w:szCs w:val="18"/>
                    </w:rPr>
                    <w:t>规模</w:t>
                  </w:r>
                </w:p>
              </w:tc>
              <w:tc>
                <w:tcPr>
                  <w:tcW w:w="1413" w:type="dxa"/>
                  <w:noWrap/>
                  <w:vAlign w:val="center"/>
                </w:tcPr>
                <w:p>
                  <w:pPr>
                    <w:spacing w:line="300" w:lineRule="exact"/>
                    <w:ind w:left="-105" w:leftChars="-50" w:right="-105" w:rightChars="-50"/>
                    <w:jc w:val="center"/>
                    <w:rPr>
                      <w:b/>
                      <w:bCs/>
                      <w:color w:val="auto"/>
                      <w:sz w:val="18"/>
                      <w:szCs w:val="18"/>
                      <w:lang w:val="zh-CN"/>
                    </w:rPr>
                  </w:pPr>
                  <w:r>
                    <w:rPr>
                      <w:b/>
                      <w:bCs/>
                      <w:color w:val="auto"/>
                      <w:sz w:val="18"/>
                      <w:szCs w:val="18"/>
                      <w:lang w:val="zh-CN"/>
                    </w:rPr>
                    <w:t>高差</w:t>
                  </w:r>
                </w:p>
              </w:tc>
              <w:tc>
                <w:tcPr>
                  <w:tcW w:w="1499" w:type="dxa"/>
                  <w:noWrap/>
                  <w:vAlign w:val="center"/>
                </w:tcPr>
                <w:p>
                  <w:pPr>
                    <w:spacing w:line="300" w:lineRule="exact"/>
                    <w:ind w:left="-105" w:leftChars="-50" w:right="-105" w:rightChars="-50"/>
                    <w:jc w:val="center"/>
                    <w:rPr>
                      <w:b/>
                      <w:bCs/>
                      <w:color w:val="auto"/>
                      <w:sz w:val="18"/>
                      <w:szCs w:val="18"/>
                      <w:lang w:val="zh-CN"/>
                    </w:rPr>
                  </w:pPr>
                  <w:r>
                    <w:rPr>
                      <w:b/>
                      <w:bCs/>
                      <w:color w:val="auto"/>
                      <w:sz w:val="18"/>
                      <w:szCs w:val="18"/>
                      <w:lang w:val="zh-CN"/>
                    </w:rPr>
                    <w:t>环境空气功能区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34" w:type="dxa"/>
                  <w:noWrap/>
                  <w:vAlign w:val="center"/>
                </w:tcPr>
                <w:p>
                  <w:pPr>
                    <w:spacing w:line="300" w:lineRule="exact"/>
                    <w:ind w:left="-105" w:leftChars="-50" w:right="-105" w:rightChars="-50"/>
                    <w:jc w:val="center"/>
                    <w:rPr>
                      <w:color w:val="auto"/>
                      <w:sz w:val="18"/>
                      <w:szCs w:val="18"/>
                      <w:lang w:val="zh-CN"/>
                    </w:rPr>
                  </w:pPr>
                  <w:r>
                    <w:rPr>
                      <w:color w:val="auto"/>
                      <w:sz w:val="18"/>
                      <w:szCs w:val="18"/>
                    </w:rPr>
                    <w:t>1</w:t>
                  </w:r>
                </w:p>
              </w:tc>
              <w:tc>
                <w:tcPr>
                  <w:tcW w:w="1371" w:type="dxa"/>
                  <w:noWrap/>
                  <w:vAlign w:val="center"/>
                </w:tcPr>
                <w:p>
                  <w:pPr>
                    <w:spacing w:line="200" w:lineRule="exact"/>
                    <w:ind w:left="-105" w:leftChars="-50" w:right="-105" w:rightChars="-50"/>
                    <w:jc w:val="center"/>
                    <w:rPr>
                      <w:color w:val="auto"/>
                      <w:sz w:val="18"/>
                      <w:szCs w:val="18"/>
                    </w:rPr>
                  </w:pPr>
                  <w:r>
                    <w:rPr>
                      <w:rFonts w:hint="eastAsia"/>
                      <w:color w:val="auto"/>
                      <w:sz w:val="18"/>
                      <w:szCs w:val="18"/>
                    </w:rPr>
                    <w:t>漆树乡居民</w:t>
                  </w:r>
                </w:p>
              </w:tc>
              <w:tc>
                <w:tcPr>
                  <w:tcW w:w="1664" w:type="dxa"/>
                  <w:noWrap/>
                  <w:vAlign w:val="center"/>
                </w:tcPr>
                <w:p>
                  <w:pPr>
                    <w:spacing w:line="200" w:lineRule="exact"/>
                    <w:ind w:left="-105" w:leftChars="-50" w:right="-105" w:rightChars="-50"/>
                    <w:jc w:val="center"/>
                    <w:rPr>
                      <w:color w:val="auto"/>
                      <w:sz w:val="18"/>
                      <w:szCs w:val="18"/>
                      <w:lang w:val="zh-CN"/>
                    </w:rPr>
                  </w:pPr>
                  <w:r>
                    <w:rPr>
                      <w:rFonts w:hint="eastAsia"/>
                      <w:color w:val="auto"/>
                      <w:sz w:val="18"/>
                      <w:szCs w:val="18"/>
                    </w:rPr>
                    <w:t>北</w:t>
                  </w:r>
                  <w:r>
                    <w:rPr>
                      <w:color w:val="auto"/>
                      <w:sz w:val="18"/>
                      <w:szCs w:val="18"/>
                    </w:rPr>
                    <w:t>，</w:t>
                  </w:r>
                  <w:r>
                    <w:rPr>
                      <w:rFonts w:hint="eastAsia"/>
                      <w:color w:val="auto"/>
                      <w:sz w:val="18"/>
                      <w:szCs w:val="18"/>
                    </w:rPr>
                    <w:t>1</w:t>
                  </w:r>
                  <w:r>
                    <w:rPr>
                      <w:color w:val="auto"/>
                      <w:sz w:val="18"/>
                      <w:szCs w:val="18"/>
                    </w:rPr>
                    <w:t>0m-500</w:t>
                  </w:r>
                  <w:r>
                    <w:rPr>
                      <w:rFonts w:hint="eastAsia"/>
                      <w:color w:val="auto"/>
                      <w:sz w:val="18"/>
                      <w:szCs w:val="18"/>
                    </w:rPr>
                    <w:t>m</w:t>
                  </w:r>
                </w:p>
              </w:tc>
              <w:tc>
                <w:tcPr>
                  <w:tcW w:w="1437" w:type="dxa"/>
                  <w:noWrap/>
                  <w:vAlign w:val="center"/>
                </w:tcPr>
                <w:p>
                  <w:pPr>
                    <w:spacing w:line="200" w:lineRule="exact"/>
                    <w:ind w:left="-105" w:leftChars="-50" w:right="-105" w:rightChars="-50"/>
                    <w:jc w:val="center"/>
                    <w:rPr>
                      <w:color w:val="auto"/>
                      <w:sz w:val="18"/>
                      <w:szCs w:val="18"/>
                    </w:rPr>
                  </w:pPr>
                  <w:r>
                    <w:rPr>
                      <w:color w:val="auto"/>
                      <w:sz w:val="18"/>
                      <w:szCs w:val="18"/>
                    </w:rPr>
                    <w:t>32户，100人</w:t>
                  </w:r>
                </w:p>
              </w:tc>
              <w:tc>
                <w:tcPr>
                  <w:tcW w:w="1413" w:type="dxa"/>
                  <w:noWrap/>
                  <w:vAlign w:val="center"/>
                </w:tcPr>
                <w:p>
                  <w:pPr>
                    <w:spacing w:line="200" w:lineRule="exact"/>
                    <w:ind w:left="-105" w:leftChars="-50" w:right="-105" w:rightChars="-50"/>
                    <w:jc w:val="center"/>
                    <w:rPr>
                      <w:color w:val="auto"/>
                      <w:sz w:val="18"/>
                      <w:szCs w:val="18"/>
                      <w:lang w:val="zh-CN"/>
                    </w:rPr>
                  </w:pPr>
                  <w:r>
                    <w:rPr>
                      <w:color w:val="auto"/>
                      <w:sz w:val="18"/>
                      <w:szCs w:val="18"/>
                    </w:rPr>
                    <w:t>0m~+25m</w:t>
                  </w:r>
                </w:p>
              </w:tc>
              <w:tc>
                <w:tcPr>
                  <w:tcW w:w="1499" w:type="dxa"/>
                  <w:vMerge w:val="restart"/>
                  <w:noWrap/>
                  <w:vAlign w:val="center"/>
                </w:tcPr>
                <w:p>
                  <w:pPr>
                    <w:spacing w:line="300" w:lineRule="exact"/>
                    <w:ind w:left="-105" w:leftChars="-50" w:right="-105" w:rightChars="-50"/>
                    <w:jc w:val="center"/>
                    <w:rPr>
                      <w:color w:val="auto"/>
                      <w:sz w:val="18"/>
                      <w:szCs w:val="18"/>
                      <w:lang w:val="zh-CN"/>
                    </w:rPr>
                  </w:pPr>
                  <w:r>
                    <w:rPr>
                      <w:color w:val="auto"/>
                      <w:sz w:val="18"/>
                      <w:szCs w:val="18"/>
                      <w:lang w:val="zh-CN"/>
                    </w:rPr>
                    <w:t>GB3095-2012</w:t>
                  </w:r>
                </w:p>
                <w:p>
                  <w:pPr>
                    <w:spacing w:line="300" w:lineRule="exact"/>
                    <w:ind w:left="-105" w:leftChars="-50" w:right="-105" w:rightChars="-50"/>
                    <w:jc w:val="center"/>
                    <w:rPr>
                      <w:color w:val="auto"/>
                      <w:sz w:val="18"/>
                      <w:szCs w:val="18"/>
                      <w:lang w:val="zh-CN"/>
                    </w:rPr>
                  </w:pPr>
                  <w:r>
                    <w:rPr>
                      <w:color w:val="auto"/>
                      <w:sz w:val="18"/>
                      <w:szCs w:val="18"/>
                      <w:lang w:val="zh-CN"/>
                    </w:rPr>
                    <w:t>二类区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34" w:type="dxa"/>
                  <w:noWrap/>
                  <w:vAlign w:val="center"/>
                </w:tcPr>
                <w:p>
                  <w:pPr>
                    <w:spacing w:line="300" w:lineRule="exact"/>
                    <w:ind w:left="-105" w:leftChars="-50" w:right="-105" w:rightChars="-50"/>
                    <w:jc w:val="center"/>
                    <w:rPr>
                      <w:color w:val="auto"/>
                      <w:sz w:val="18"/>
                      <w:szCs w:val="18"/>
                    </w:rPr>
                  </w:pPr>
                  <w:r>
                    <w:rPr>
                      <w:color w:val="auto"/>
                      <w:sz w:val="18"/>
                      <w:szCs w:val="18"/>
                    </w:rPr>
                    <w:t>2</w:t>
                  </w:r>
                </w:p>
              </w:tc>
              <w:tc>
                <w:tcPr>
                  <w:tcW w:w="1371" w:type="dxa"/>
                  <w:noWrap/>
                  <w:vAlign w:val="center"/>
                </w:tcPr>
                <w:p>
                  <w:pPr>
                    <w:spacing w:line="200" w:lineRule="exact"/>
                    <w:ind w:left="-105" w:leftChars="-50" w:right="-105" w:rightChars="-50"/>
                    <w:jc w:val="center"/>
                    <w:rPr>
                      <w:color w:val="auto"/>
                      <w:sz w:val="18"/>
                      <w:szCs w:val="18"/>
                    </w:rPr>
                  </w:pPr>
                  <w:r>
                    <w:rPr>
                      <w:rFonts w:hint="eastAsia"/>
                      <w:color w:val="auto"/>
                      <w:sz w:val="18"/>
                      <w:szCs w:val="18"/>
                    </w:rPr>
                    <w:t>乘龙村居民</w:t>
                  </w:r>
                </w:p>
              </w:tc>
              <w:tc>
                <w:tcPr>
                  <w:tcW w:w="1664" w:type="dxa"/>
                  <w:noWrap/>
                  <w:vAlign w:val="center"/>
                </w:tcPr>
                <w:p>
                  <w:pPr>
                    <w:spacing w:line="200" w:lineRule="exact"/>
                    <w:ind w:left="-105" w:leftChars="-50" w:right="-105" w:rightChars="-50"/>
                    <w:jc w:val="center"/>
                    <w:rPr>
                      <w:color w:val="auto"/>
                      <w:sz w:val="18"/>
                      <w:szCs w:val="18"/>
                    </w:rPr>
                  </w:pPr>
                  <w:r>
                    <w:rPr>
                      <w:rFonts w:hint="eastAsia"/>
                      <w:color w:val="auto"/>
                      <w:sz w:val="18"/>
                      <w:szCs w:val="18"/>
                    </w:rPr>
                    <w:t>东</w:t>
                  </w:r>
                  <w:r>
                    <w:rPr>
                      <w:color w:val="auto"/>
                      <w:sz w:val="18"/>
                      <w:szCs w:val="18"/>
                    </w:rPr>
                    <w:t>，18m</w:t>
                  </w:r>
                </w:p>
              </w:tc>
              <w:tc>
                <w:tcPr>
                  <w:tcW w:w="1437" w:type="dxa"/>
                  <w:noWrap/>
                  <w:vAlign w:val="center"/>
                </w:tcPr>
                <w:p>
                  <w:pPr>
                    <w:spacing w:line="200" w:lineRule="exact"/>
                    <w:ind w:left="-105" w:leftChars="-50" w:right="-105" w:rightChars="-50"/>
                    <w:jc w:val="center"/>
                    <w:rPr>
                      <w:color w:val="auto"/>
                      <w:sz w:val="18"/>
                      <w:szCs w:val="18"/>
                    </w:rPr>
                  </w:pPr>
                  <w:r>
                    <w:rPr>
                      <w:color w:val="auto"/>
                      <w:sz w:val="18"/>
                      <w:szCs w:val="18"/>
                    </w:rPr>
                    <w:t>6户，20人</w:t>
                  </w:r>
                </w:p>
              </w:tc>
              <w:tc>
                <w:tcPr>
                  <w:tcW w:w="1413" w:type="dxa"/>
                  <w:noWrap/>
                  <w:vAlign w:val="center"/>
                </w:tcPr>
                <w:p>
                  <w:pPr>
                    <w:spacing w:line="200" w:lineRule="exact"/>
                    <w:ind w:left="-105" w:leftChars="-50" w:right="-105" w:rightChars="-50"/>
                    <w:jc w:val="center"/>
                    <w:rPr>
                      <w:color w:val="auto"/>
                      <w:sz w:val="18"/>
                      <w:szCs w:val="18"/>
                    </w:rPr>
                  </w:pPr>
                  <w:r>
                    <w:rPr>
                      <w:color w:val="auto"/>
                      <w:sz w:val="18"/>
                      <w:szCs w:val="18"/>
                    </w:rPr>
                    <w:t>+5m</w:t>
                  </w:r>
                </w:p>
              </w:tc>
              <w:tc>
                <w:tcPr>
                  <w:tcW w:w="1499" w:type="dxa"/>
                  <w:vMerge w:val="continue"/>
                  <w:noWrap/>
                  <w:vAlign w:val="center"/>
                </w:tcPr>
                <w:p>
                  <w:pPr>
                    <w:spacing w:line="300" w:lineRule="exact"/>
                    <w:ind w:left="-105" w:leftChars="-50" w:right="-105" w:rightChars="-50"/>
                    <w:jc w:val="center"/>
                    <w:rPr>
                      <w:color w:val="auto"/>
                      <w:sz w:val="18"/>
                      <w:szCs w:val="18"/>
                    </w:rPr>
                  </w:pPr>
                </w:p>
              </w:tc>
            </w:tr>
          </w:tbl>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2、声环境</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结合项目外环境关系，项目环境保护目标仅涉及矿区道路沿线，具体声环境保护目标见下表。</w:t>
            </w:r>
          </w:p>
          <w:p>
            <w:pPr>
              <w:adjustRightInd w:val="0"/>
              <w:snapToGrid w:val="0"/>
              <w:spacing w:line="360" w:lineRule="auto"/>
              <w:jc w:val="center"/>
              <w:rPr>
                <w:rFonts w:ascii="宋体" w:hAnsi="宋体" w:cs="宋体"/>
                <w:color w:val="auto"/>
                <w:kern w:val="0"/>
                <w:szCs w:val="21"/>
              </w:rPr>
            </w:pPr>
            <w:r>
              <w:rPr>
                <w:rFonts w:hint="eastAsia" w:ascii="宋体" w:hAnsi="宋体" w:cs="宋体"/>
                <w:b/>
                <w:bCs/>
                <w:color w:val="auto"/>
                <w:kern w:val="0"/>
                <w:sz w:val="18"/>
                <w:szCs w:val="18"/>
              </w:rPr>
              <w:t>表3-</w:t>
            </w:r>
            <w:r>
              <w:rPr>
                <w:rFonts w:ascii="宋体" w:hAnsi="宋体" w:cs="宋体"/>
                <w:b/>
                <w:bCs/>
                <w:color w:val="auto"/>
                <w:kern w:val="0"/>
                <w:sz w:val="18"/>
                <w:szCs w:val="18"/>
              </w:rPr>
              <w:t xml:space="preserve">11 </w:t>
            </w:r>
            <w:r>
              <w:rPr>
                <w:rFonts w:hint="eastAsia" w:ascii="宋体" w:hAnsi="宋体" w:cs="宋体"/>
                <w:b/>
                <w:bCs/>
                <w:color w:val="auto"/>
                <w:kern w:val="0"/>
                <w:sz w:val="18"/>
                <w:szCs w:val="18"/>
              </w:rPr>
              <w:t>项目矿区道路声环境保护目标表</w:t>
            </w:r>
          </w:p>
          <w:tbl>
            <w:tblPr>
              <w:tblStyle w:val="14"/>
              <w:tblW w:w="8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1388"/>
              <w:gridCol w:w="1485"/>
              <w:gridCol w:w="1107"/>
              <w:gridCol w:w="1153"/>
              <w:gridCol w:w="1222"/>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519"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color w:val="auto"/>
                      <w:sz w:val="18"/>
                      <w:szCs w:val="18"/>
                      <w:lang w:val="zh-CN"/>
                    </w:rPr>
                  </w:pPr>
                  <w:r>
                    <w:rPr>
                      <w:b/>
                      <w:bCs/>
                      <w:color w:val="auto"/>
                      <w:sz w:val="18"/>
                      <w:szCs w:val="18"/>
                    </w:rPr>
                    <w:t>序号</w:t>
                  </w:r>
                </w:p>
              </w:tc>
              <w:tc>
                <w:tcPr>
                  <w:tcW w:w="1388"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color w:val="auto"/>
                      <w:sz w:val="18"/>
                      <w:szCs w:val="18"/>
                      <w:lang w:val="zh-CN"/>
                    </w:rPr>
                  </w:pPr>
                  <w:r>
                    <w:rPr>
                      <w:b/>
                      <w:bCs/>
                      <w:color w:val="auto"/>
                      <w:sz w:val="18"/>
                      <w:szCs w:val="18"/>
                    </w:rPr>
                    <w:t>名 称</w:t>
                  </w:r>
                </w:p>
              </w:tc>
              <w:tc>
                <w:tcPr>
                  <w:tcW w:w="1485"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color w:val="auto"/>
                      <w:sz w:val="18"/>
                      <w:szCs w:val="18"/>
                      <w:lang w:val="zh-CN"/>
                    </w:rPr>
                  </w:pPr>
                  <w:r>
                    <w:rPr>
                      <w:b/>
                      <w:bCs/>
                      <w:color w:val="auto"/>
                      <w:sz w:val="18"/>
                      <w:szCs w:val="18"/>
                    </w:rPr>
                    <w:t>相对方位、距离</w:t>
                  </w:r>
                </w:p>
              </w:tc>
              <w:tc>
                <w:tcPr>
                  <w:tcW w:w="1107"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color w:val="auto"/>
                      <w:sz w:val="18"/>
                      <w:szCs w:val="18"/>
                      <w:lang w:val="zh-CN"/>
                    </w:rPr>
                  </w:pPr>
                  <w:r>
                    <w:rPr>
                      <w:b/>
                      <w:bCs/>
                      <w:color w:val="auto"/>
                      <w:sz w:val="18"/>
                      <w:szCs w:val="18"/>
                    </w:rPr>
                    <w:t>规模</w:t>
                  </w:r>
                </w:p>
              </w:tc>
              <w:tc>
                <w:tcPr>
                  <w:tcW w:w="1153"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color w:val="auto"/>
                      <w:sz w:val="18"/>
                      <w:szCs w:val="18"/>
                      <w:lang w:val="zh-CN"/>
                    </w:rPr>
                  </w:pPr>
                  <w:r>
                    <w:rPr>
                      <w:b/>
                      <w:bCs/>
                      <w:color w:val="auto"/>
                      <w:sz w:val="18"/>
                      <w:szCs w:val="18"/>
                      <w:lang w:val="zh-CN"/>
                    </w:rPr>
                    <w:t>高差</w:t>
                  </w:r>
                </w:p>
              </w:tc>
              <w:tc>
                <w:tcPr>
                  <w:tcW w:w="1222"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color w:val="auto"/>
                      <w:sz w:val="18"/>
                      <w:szCs w:val="18"/>
                      <w:lang w:val="zh-CN"/>
                    </w:rPr>
                  </w:pPr>
                  <w:r>
                    <w:rPr>
                      <w:b/>
                      <w:bCs/>
                      <w:color w:val="auto"/>
                      <w:sz w:val="18"/>
                      <w:szCs w:val="18"/>
                    </w:rPr>
                    <w:t>声</w:t>
                  </w:r>
                  <w:r>
                    <w:rPr>
                      <w:b/>
                      <w:bCs/>
                      <w:color w:val="auto"/>
                      <w:sz w:val="18"/>
                      <w:szCs w:val="18"/>
                      <w:lang w:val="zh-CN"/>
                    </w:rPr>
                    <w:t>环境功能区</w:t>
                  </w:r>
                </w:p>
              </w:tc>
              <w:tc>
                <w:tcPr>
                  <w:tcW w:w="1222"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b/>
                      <w:bCs/>
                      <w:color w:val="auto"/>
                      <w:sz w:val="18"/>
                      <w:szCs w:val="18"/>
                    </w:rPr>
                  </w:pPr>
                  <w:r>
                    <w:rPr>
                      <w:b/>
                      <w:bCs/>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519" w:type="dxa"/>
                  <w:tcBorders>
                    <w:top w:val="single" w:color="auto" w:sz="4" w:space="0"/>
                    <w:left w:val="single" w:color="auto" w:sz="4" w:space="0"/>
                    <w:bottom w:val="single" w:color="auto" w:sz="4" w:space="0"/>
                    <w:right w:val="single" w:color="auto" w:sz="4" w:space="0"/>
                  </w:tcBorders>
                  <w:noWrap/>
                  <w:vAlign w:val="center"/>
                </w:tcPr>
                <w:p>
                  <w:pPr>
                    <w:spacing w:line="300" w:lineRule="exact"/>
                    <w:ind w:left="-105" w:leftChars="-50" w:right="-105" w:rightChars="-50"/>
                    <w:jc w:val="center"/>
                    <w:rPr>
                      <w:color w:val="auto"/>
                      <w:sz w:val="18"/>
                      <w:szCs w:val="18"/>
                      <w:lang w:val="zh-CN"/>
                    </w:rPr>
                  </w:pPr>
                  <w:r>
                    <w:rPr>
                      <w:color w:val="auto"/>
                      <w:sz w:val="18"/>
                      <w:szCs w:val="18"/>
                    </w:rPr>
                    <w:t>1</w:t>
                  </w:r>
                </w:p>
              </w:tc>
              <w:tc>
                <w:tcPr>
                  <w:tcW w:w="1388" w:type="dxa"/>
                  <w:tcBorders>
                    <w:top w:val="single" w:color="auto" w:sz="4" w:space="0"/>
                    <w:left w:val="single" w:color="auto" w:sz="4" w:space="0"/>
                    <w:bottom w:val="single" w:color="auto" w:sz="4" w:space="0"/>
                    <w:right w:val="single" w:color="auto" w:sz="4" w:space="0"/>
                  </w:tcBorders>
                  <w:noWrap/>
                  <w:vAlign w:val="center"/>
                </w:tcPr>
                <w:p>
                  <w:pPr>
                    <w:spacing w:line="200" w:lineRule="exact"/>
                    <w:ind w:left="-105" w:leftChars="-50" w:right="-105" w:rightChars="-50"/>
                    <w:jc w:val="center"/>
                    <w:rPr>
                      <w:color w:val="auto"/>
                      <w:sz w:val="18"/>
                      <w:szCs w:val="18"/>
                    </w:rPr>
                  </w:pPr>
                  <w:r>
                    <w:rPr>
                      <w:rFonts w:hint="eastAsia"/>
                      <w:color w:val="auto"/>
                      <w:sz w:val="18"/>
                      <w:szCs w:val="18"/>
                    </w:rPr>
                    <w:t>乘龙村居民</w:t>
                  </w:r>
                </w:p>
              </w:tc>
              <w:tc>
                <w:tcPr>
                  <w:tcW w:w="1485" w:type="dxa"/>
                  <w:tcBorders>
                    <w:top w:val="single" w:color="auto" w:sz="4" w:space="0"/>
                    <w:left w:val="single" w:color="auto" w:sz="4" w:space="0"/>
                    <w:bottom w:val="single" w:color="auto" w:sz="4" w:space="0"/>
                    <w:right w:val="single" w:color="auto" w:sz="4" w:space="0"/>
                  </w:tcBorders>
                  <w:noWrap/>
                  <w:vAlign w:val="center"/>
                </w:tcPr>
                <w:p>
                  <w:pPr>
                    <w:spacing w:line="200" w:lineRule="exact"/>
                    <w:ind w:left="-105" w:leftChars="-50" w:right="-105" w:rightChars="-50"/>
                    <w:jc w:val="center"/>
                    <w:rPr>
                      <w:color w:val="auto"/>
                      <w:sz w:val="18"/>
                      <w:szCs w:val="18"/>
                    </w:rPr>
                  </w:pPr>
                  <w:r>
                    <w:rPr>
                      <w:rFonts w:hint="eastAsia"/>
                      <w:color w:val="auto"/>
                      <w:sz w:val="18"/>
                      <w:szCs w:val="18"/>
                    </w:rPr>
                    <w:t>东</w:t>
                  </w:r>
                  <w:r>
                    <w:rPr>
                      <w:color w:val="auto"/>
                      <w:sz w:val="18"/>
                      <w:szCs w:val="18"/>
                    </w:rPr>
                    <w:t>，18m</w:t>
                  </w:r>
                </w:p>
              </w:tc>
              <w:tc>
                <w:tcPr>
                  <w:tcW w:w="1107" w:type="dxa"/>
                  <w:tcBorders>
                    <w:top w:val="single" w:color="auto" w:sz="4" w:space="0"/>
                    <w:left w:val="single" w:color="auto" w:sz="4" w:space="0"/>
                    <w:bottom w:val="single" w:color="auto" w:sz="4" w:space="0"/>
                    <w:right w:val="single" w:color="auto" w:sz="4" w:space="0"/>
                  </w:tcBorders>
                  <w:noWrap/>
                  <w:vAlign w:val="center"/>
                </w:tcPr>
                <w:p>
                  <w:pPr>
                    <w:spacing w:line="200" w:lineRule="exact"/>
                    <w:ind w:left="-105" w:leftChars="-50" w:right="-105" w:rightChars="-50"/>
                    <w:jc w:val="center"/>
                    <w:rPr>
                      <w:color w:val="auto"/>
                      <w:sz w:val="18"/>
                      <w:szCs w:val="18"/>
                    </w:rPr>
                  </w:pPr>
                  <w:r>
                    <w:rPr>
                      <w:color w:val="auto"/>
                      <w:sz w:val="18"/>
                      <w:szCs w:val="18"/>
                    </w:rPr>
                    <w:t>6户，20人</w:t>
                  </w:r>
                </w:p>
              </w:tc>
              <w:tc>
                <w:tcPr>
                  <w:tcW w:w="1153" w:type="dxa"/>
                  <w:tcBorders>
                    <w:top w:val="single" w:color="auto" w:sz="4" w:space="0"/>
                    <w:left w:val="single" w:color="auto" w:sz="4" w:space="0"/>
                    <w:right w:val="single" w:color="auto" w:sz="4" w:space="0"/>
                  </w:tcBorders>
                  <w:noWrap/>
                  <w:vAlign w:val="center"/>
                </w:tcPr>
                <w:p>
                  <w:pPr>
                    <w:spacing w:line="200" w:lineRule="exact"/>
                    <w:ind w:left="-105" w:leftChars="-50" w:right="-105" w:rightChars="-50"/>
                    <w:jc w:val="center"/>
                    <w:rPr>
                      <w:color w:val="auto"/>
                      <w:sz w:val="18"/>
                      <w:szCs w:val="18"/>
                    </w:rPr>
                  </w:pPr>
                  <w:r>
                    <w:rPr>
                      <w:color w:val="auto"/>
                      <w:sz w:val="18"/>
                      <w:szCs w:val="18"/>
                    </w:rPr>
                    <w:t>+5m</w:t>
                  </w:r>
                </w:p>
              </w:tc>
              <w:tc>
                <w:tcPr>
                  <w:tcW w:w="1222" w:type="dxa"/>
                  <w:tcBorders>
                    <w:top w:val="single" w:color="auto" w:sz="4" w:space="0"/>
                    <w:left w:val="single" w:color="auto" w:sz="4" w:space="0"/>
                    <w:right w:val="single" w:color="auto" w:sz="4" w:space="0"/>
                  </w:tcBorders>
                  <w:noWrap/>
                  <w:vAlign w:val="center"/>
                </w:tcPr>
                <w:p>
                  <w:pPr>
                    <w:spacing w:line="300" w:lineRule="exact"/>
                    <w:ind w:left="-105" w:leftChars="-50" w:right="-105" w:rightChars="-50"/>
                    <w:jc w:val="center"/>
                    <w:rPr>
                      <w:color w:val="auto"/>
                      <w:sz w:val="18"/>
                      <w:szCs w:val="18"/>
                      <w:lang w:val="zh-CN"/>
                    </w:rPr>
                  </w:pPr>
                  <w:r>
                    <w:rPr>
                      <w:color w:val="auto"/>
                      <w:sz w:val="18"/>
                      <w:szCs w:val="18"/>
                      <w:lang w:val="zh-CN"/>
                    </w:rPr>
                    <w:t>GB309</w:t>
                  </w:r>
                  <w:r>
                    <w:rPr>
                      <w:color w:val="auto"/>
                      <w:sz w:val="18"/>
                      <w:szCs w:val="18"/>
                    </w:rPr>
                    <w:t>6</w:t>
                  </w:r>
                  <w:r>
                    <w:rPr>
                      <w:color w:val="auto"/>
                      <w:sz w:val="18"/>
                      <w:szCs w:val="18"/>
                      <w:lang w:val="zh-CN"/>
                    </w:rPr>
                    <w:t>-20</w:t>
                  </w:r>
                  <w:r>
                    <w:rPr>
                      <w:color w:val="auto"/>
                      <w:sz w:val="18"/>
                      <w:szCs w:val="18"/>
                    </w:rPr>
                    <w:t>08</w:t>
                  </w:r>
                </w:p>
                <w:p>
                  <w:pPr>
                    <w:spacing w:line="300" w:lineRule="exact"/>
                    <w:ind w:left="-105" w:leftChars="-50" w:right="-105" w:rightChars="-50"/>
                    <w:jc w:val="center"/>
                    <w:rPr>
                      <w:color w:val="auto"/>
                      <w:sz w:val="18"/>
                      <w:szCs w:val="18"/>
                      <w:lang w:val="zh-CN"/>
                    </w:rPr>
                  </w:pPr>
                  <w:r>
                    <w:rPr>
                      <w:color w:val="auto"/>
                      <w:sz w:val="18"/>
                      <w:szCs w:val="18"/>
                    </w:rPr>
                    <w:t>2</w:t>
                  </w:r>
                  <w:r>
                    <w:rPr>
                      <w:color w:val="auto"/>
                      <w:sz w:val="18"/>
                      <w:szCs w:val="18"/>
                      <w:lang w:val="zh-CN"/>
                    </w:rPr>
                    <w:t>类区</w:t>
                  </w:r>
                </w:p>
              </w:tc>
              <w:tc>
                <w:tcPr>
                  <w:tcW w:w="1222" w:type="dxa"/>
                  <w:tcBorders>
                    <w:top w:val="single" w:color="auto" w:sz="4" w:space="0"/>
                    <w:left w:val="single" w:color="auto" w:sz="4" w:space="0"/>
                    <w:right w:val="single" w:color="auto" w:sz="4" w:space="0"/>
                  </w:tcBorders>
                  <w:noWrap/>
                  <w:vAlign w:val="center"/>
                </w:tcPr>
                <w:p>
                  <w:pPr>
                    <w:spacing w:line="300" w:lineRule="exact"/>
                    <w:ind w:left="-105" w:leftChars="-50" w:right="-105" w:rightChars="-50"/>
                    <w:jc w:val="center"/>
                    <w:rPr>
                      <w:color w:val="auto"/>
                      <w:sz w:val="18"/>
                      <w:szCs w:val="18"/>
                    </w:rPr>
                  </w:pPr>
                  <w:r>
                    <w:rPr>
                      <w:rFonts w:hint="eastAsia"/>
                      <w:color w:val="auto"/>
                      <w:sz w:val="18"/>
                      <w:szCs w:val="18"/>
                    </w:rPr>
                    <w:t>矿区道路</w:t>
                  </w:r>
                </w:p>
              </w:tc>
            </w:tr>
          </w:tbl>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3、地表水环境</w:t>
            </w:r>
          </w:p>
          <w:p>
            <w:pPr>
              <w:adjustRightInd w:val="0"/>
              <w:snapToGrid w:val="0"/>
              <w:spacing w:line="360" w:lineRule="auto"/>
              <w:ind w:firstLine="420" w:firstLineChars="200"/>
              <w:rPr>
                <w:rFonts w:ascii="宋体" w:hAnsi="宋体" w:cs="宋体"/>
                <w:color w:val="auto"/>
                <w:kern w:val="0"/>
                <w:szCs w:val="21"/>
              </w:rPr>
            </w:pPr>
            <w:r>
              <w:rPr>
                <w:color w:val="auto"/>
                <w:kern w:val="0"/>
                <w:szCs w:val="21"/>
              </w:rPr>
              <w:t>项目</w:t>
            </w:r>
            <w:r>
              <w:rPr>
                <w:rFonts w:hint="eastAsia"/>
                <w:color w:val="auto"/>
                <w:kern w:val="0"/>
                <w:szCs w:val="21"/>
              </w:rPr>
              <w:t>矿区及加工区</w:t>
            </w:r>
            <w:r>
              <w:rPr>
                <w:color w:val="auto"/>
                <w:kern w:val="0"/>
                <w:szCs w:val="21"/>
              </w:rPr>
              <w:t>周边地表水体为</w:t>
            </w:r>
            <w:r>
              <w:rPr>
                <w:rFonts w:hint="eastAsia"/>
                <w:color w:val="auto"/>
                <w:kern w:val="0"/>
                <w:szCs w:val="21"/>
              </w:rPr>
              <w:t>项目所在东</w:t>
            </w:r>
            <w:r>
              <w:rPr>
                <w:color w:val="auto"/>
                <w:kern w:val="0"/>
                <w:szCs w:val="21"/>
              </w:rPr>
              <w:t>面的</w:t>
            </w:r>
            <w:r>
              <w:rPr>
                <w:rFonts w:hint="eastAsia"/>
                <w:color w:val="auto"/>
                <w:kern w:val="0"/>
                <w:szCs w:val="21"/>
              </w:rPr>
              <w:t>石溪河</w:t>
            </w:r>
            <w:r>
              <w:rPr>
                <w:color w:val="auto"/>
                <w:kern w:val="0"/>
                <w:szCs w:val="21"/>
              </w:rPr>
              <w:t>，由矿区南面流向</w:t>
            </w:r>
            <w:r>
              <w:rPr>
                <w:rFonts w:hint="eastAsia"/>
                <w:color w:val="auto"/>
                <w:kern w:val="0"/>
                <w:szCs w:val="21"/>
              </w:rPr>
              <w:t>北侧汇入前河后</w:t>
            </w:r>
            <w:r>
              <w:rPr>
                <w:color w:val="auto"/>
                <w:kern w:val="0"/>
                <w:szCs w:val="21"/>
              </w:rPr>
              <w:t>，</w:t>
            </w:r>
            <w:r>
              <w:rPr>
                <w:rFonts w:hint="eastAsia"/>
                <w:color w:val="auto"/>
                <w:kern w:val="0"/>
                <w:szCs w:val="21"/>
              </w:rPr>
              <w:t>最终</w:t>
            </w:r>
            <w:r>
              <w:rPr>
                <w:color w:val="auto"/>
                <w:kern w:val="0"/>
                <w:szCs w:val="21"/>
              </w:rPr>
              <w:t>汇入</w:t>
            </w:r>
            <w:r>
              <w:rPr>
                <w:rFonts w:hint="eastAsia"/>
                <w:color w:val="auto"/>
                <w:kern w:val="0"/>
                <w:szCs w:val="21"/>
              </w:rPr>
              <w:t>州</w:t>
            </w:r>
            <w:r>
              <w:rPr>
                <w:color w:val="auto"/>
                <w:kern w:val="0"/>
                <w:szCs w:val="21"/>
              </w:rPr>
              <w:t>河；项目评价范围内无饮用水取水点和水源保护区。</w:t>
            </w:r>
          </w:p>
          <w:p>
            <w:pPr>
              <w:adjustRightInd w:val="0"/>
              <w:snapToGrid w:val="0"/>
              <w:spacing w:line="360" w:lineRule="auto"/>
              <w:jc w:val="center"/>
              <w:rPr>
                <w:rFonts w:ascii="宋体" w:hAnsi="宋体" w:cs="宋体"/>
                <w:color w:val="auto"/>
                <w:kern w:val="0"/>
                <w:szCs w:val="21"/>
              </w:rPr>
            </w:pPr>
            <w:r>
              <w:rPr>
                <w:rFonts w:hint="eastAsia" w:ascii="宋体" w:hAnsi="宋体" w:cs="宋体"/>
                <w:b/>
                <w:bCs/>
                <w:color w:val="auto"/>
                <w:kern w:val="0"/>
                <w:sz w:val="18"/>
                <w:szCs w:val="18"/>
              </w:rPr>
              <w:t>表3-</w:t>
            </w:r>
            <w:r>
              <w:rPr>
                <w:rFonts w:ascii="宋体" w:hAnsi="宋体" w:cs="宋体"/>
                <w:b/>
                <w:bCs/>
                <w:color w:val="auto"/>
                <w:kern w:val="0"/>
                <w:sz w:val="18"/>
                <w:szCs w:val="18"/>
              </w:rPr>
              <w:t xml:space="preserve">12 </w:t>
            </w:r>
            <w:r>
              <w:rPr>
                <w:rFonts w:hint="eastAsia" w:ascii="宋体" w:hAnsi="宋体" w:cs="宋体"/>
                <w:b/>
                <w:bCs/>
                <w:color w:val="auto"/>
                <w:kern w:val="0"/>
                <w:sz w:val="18"/>
                <w:szCs w:val="18"/>
              </w:rPr>
              <w:t>项目区域地表水环境保护目标表</w:t>
            </w:r>
          </w:p>
          <w:tbl>
            <w:tblPr>
              <w:tblStyle w:val="14"/>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008"/>
              <w:gridCol w:w="1981"/>
              <w:gridCol w:w="680"/>
              <w:gridCol w:w="3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81" w:type="dxa"/>
                  <w:vAlign w:val="center"/>
                </w:tcPr>
                <w:p>
                  <w:pPr>
                    <w:jc w:val="center"/>
                    <w:rPr>
                      <w:b/>
                      <w:bCs/>
                      <w:color w:val="auto"/>
                      <w:sz w:val="18"/>
                      <w:szCs w:val="18"/>
                    </w:rPr>
                  </w:pPr>
                  <w:r>
                    <w:rPr>
                      <w:b/>
                      <w:bCs/>
                      <w:color w:val="auto"/>
                      <w:sz w:val="18"/>
                      <w:szCs w:val="18"/>
                    </w:rPr>
                    <w:t>环境要素</w:t>
                  </w:r>
                </w:p>
              </w:tc>
              <w:tc>
                <w:tcPr>
                  <w:tcW w:w="1008" w:type="dxa"/>
                  <w:vAlign w:val="center"/>
                </w:tcPr>
                <w:p>
                  <w:pPr>
                    <w:jc w:val="center"/>
                    <w:rPr>
                      <w:b/>
                      <w:bCs/>
                      <w:color w:val="auto"/>
                      <w:sz w:val="18"/>
                      <w:szCs w:val="18"/>
                    </w:rPr>
                  </w:pPr>
                  <w:r>
                    <w:rPr>
                      <w:b/>
                      <w:bCs/>
                      <w:color w:val="auto"/>
                      <w:sz w:val="18"/>
                      <w:szCs w:val="18"/>
                    </w:rPr>
                    <w:t>保护目标</w:t>
                  </w:r>
                </w:p>
              </w:tc>
              <w:tc>
                <w:tcPr>
                  <w:tcW w:w="1981" w:type="dxa"/>
                  <w:vAlign w:val="center"/>
                </w:tcPr>
                <w:p>
                  <w:pPr>
                    <w:ind w:left="-105" w:leftChars="-50" w:right="-105" w:rightChars="-50"/>
                    <w:jc w:val="center"/>
                    <w:rPr>
                      <w:b/>
                      <w:bCs/>
                      <w:color w:val="auto"/>
                      <w:sz w:val="18"/>
                      <w:szCs w:val="18"/>
                    </w:rPr>
                  </w:pPr>
                  <w:r>
                    <w:rPr>
                      <w:b/>
                      <w:bCs/>
                      <w:color w:val="auto"/>
                      <w:sz w:val="18"/>
                      <w:szCs w:val="18"/>
                    </w:rPr>
                    <w:t>方位、距离</w:t>
                  </w:r>
                </w:p>
              </w:tc>
              <w:tc>
                <w:tcPr>
                  <w:tcW w:w="680" w:type="dxa"/>
                  <w:vAlign w:val="center"/>
                </w:tcPr>
                <w:p>
                  <w:pPr>
                    <w:jc w:val="center"/>
                    <w:rPr>
                      <w:b/>
                      <w:bCs/>
                      <w:color w:val="auto"/>
                      <w:sz w:val="18"/>
                      <w:szCs w:val="18"/>
                    </w:rPr>
                  </w:pPr>
                  <w:r>
                    <w:rPr>
                      <w:b/>
                      <w:bCs/>
                      <w:color w:val="auto"/>
                      <w:sz w:val="18"/>
                      <w:szCs w:val="18"/>
                    </w:rPr>
                    <w:t>规模</w:t>
                  </w:r>
                </w:p>
              </w:tc>
              <w:tc>
                <w:tcPr>
                  <w:tcW w:w="3208" w:type="dxa"/>
                  <w:vAlign w:val="center"/>
                </w:tcPr>
                <w:p>
                  <w:pPr>
                    <w:jc w:val="center"/>
                    <w:rPr>
                      <w:b/>
                      <w:bCs/>
                      <w:color w:val="auto"/>
                      <w:sz w:val="18"/>
                      <w:szCs w:val="18"/>
                    </w:rPr>
                  </w:pPr>
                  <w:r>
                    <w:rPr>
                      <w:b/>
                      <w:bCs/>
                      <w:color w:val="auto"/>
                      <w:sz w:val="18"/>
                      <w:szCs w:val="18"/>
                    </w:rPr>
                    <w:t>环境功能要求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81" w:type="dxa"/>
                  <w:vAlign w:val="center"/>
                </w:tcPr>
                <w:p>
                  <w:pPr>
                    <w:jc w:val="center"/>
                    <w:rPr>
                      <w:color w:val="auto"/>
                      <w:sz w:val="18"/>
                      <w:szCs w:val="18"/>
                    </w:rPr>
                  </w:pPr>
                  <w:r>
                    <w:rPr>
                      <w:color w:val="auto"/>
                      <w:sz w:val="18"/>
                      <w:szCs w:val="18"/>
                    </w:rPr>
                    <w:t>地表水环境</w:t>
                  </w:r>
                </w:p>
              </w:tc>
              <w:tc>
                <w:tcPr>
                  <w:tcW w:w="1008" w:type="dxa"/>
                  <w:vAlign w:val="center"/>
                </w:tcPr>
                <w:p>
                  <w:pPr>
                    <w:jc w:val="center"/>
                    <w:rPr>
                      <w:color w:val="auto"/>
                      <w:sz w:val="18"/>
                      <w:szCs w:val="18"/>
                    </w:rPr>
                  </w:pPr>
                  <w:r>
                    <w:rPr>
                      <w:rFonts w:hint="eastAsia"/>
                      <w:color w:val="auto"/>
                      <w:sz w:val="18"/>
                      <w:szCs w:val="18"/>
                    </w:rPr>
                    <w:t>石溪河</w:t>
                  </w:r>
                </w:p>
              </w:tc>
              <w:tc>
                <w:tcPr>
                  <w:tcW w:w="1981" w:type="dxa"/>
                  <w:vAlign w:val="center"/>
                </w:tcPr>
                <w:p>
                  <w:pPr>
                    <w:topLinePunct/>
                    <w:adjustRightInd w:val="0"/>
                    <w:snapToGrid w:val="0"/>
                    <w:ind w:left="-105" w:leftChars="-50" w:right="-105" w:rightChars="-50"/>
                    <w:jc w:val="center"/>
                    <w:rPr>
                      <w:color w:val="auto"/>
                      <w:kern w:val="0"/>
                      <w:sz w:val="18"/>
                      <w:szCs w:val="18"/>
                    </w:rPr>
                  </w:pPr>
                  <w:r>
                    <w:rPr>
                      <w:rFonts w:hint="eastAsia"/>
                      <w:color w:val="auto"/>
                      <w:kern w:val="0"/>
                      <w:sz w:val="18"/>
                      <w:szCs w:val="18"/>
                    </w:rPr>
                    <w:t>项目所在</w:t>
                  </w:r>
                  <w:r>
                    <w:rPr>
                      <w:color w:val="auto"/>
                      <w:kern w:val="0"/>
                      <w:sz w:val="18"/>
                      <w:szCs w:val="18"/>
                    </w:rPr>
                    <w:t>西面、340m</w:t>
                  </w:r>
                </w:p>
              </w:tc>
              <w:tc>
                <w:tcPr>
                  <w:tcW w:w="680" w:type="dxa"/>
                  <w:vAlign w:val="center"/>
                </w:tcPr>
                <w:p>
                  <w:pPr>
                    <w:topLinePunct/>
                    <w:adjustRightInd w:val="0"/>
                    <w:snapToGrid w:val="0"/>
                    <w:jc w:val="center"/>
                    <w:rPr>
                      <w:color w:val="auto"/>
                      <w:kern w:val="0"/>
                      <w:sz w:val="18"/>
                      <w:szCs w:val="18"/>
                    </w:rPr>
                  </w:pPr>
                  <w:r>
                    <w:rPr>
                      <w:color w:val="auto"/>
                      <w:kern w:val="0"/>
                      <w:sz w:val="18"/>
                      <w:szCs w:val="18"/>
                    </w:rPr>
                    <w:t>冲沟</w:t>
                  </w:r>
                </w:p>
              </w:tc>
              <w:tc>
                <w:tcPr>
                  <w:tcW w:w="3208" w:type="dxa"/>
                  <w:vAlign w:val="center"/>
                </w:tcPr>
                <w:p>
                  <w:pPr>
                    <w:ind w:left="-105" w:leftChars="-50" w:right="-105" w:rightChars="-50"/>
                    <w:jc w:val="center"/>
                    <w:rPr>
                      <w:color w:val="auto"/>
                      <w:spacing w:val="-4"/>
                      <w:sz w:val="18"/>
                      <w:szCs w:val="18"/>
                    </w:rPr>
                  </w:pPr>
                  <w:r>
                    <w:rPr>
                      <w:color w:val="auto"/>
                      <w:spacing w:val="-4"/>
                      <w:sz w:val="18"/>
                      <w:szCs w:val="18"/>
                    </w:rPr>
                    <w:t>《地表水环境质量标准》（GB3838-2002）</w:t>
                  </w:r>
                </w:p>
                <w:p>
                  <w:pPr>
                    <w:ind w:left="-105" w:leftChars="-50" w:right="-105" w:rightChars="-50"/>
                    <w:jc w:val="center"/>
                    <w:rPr>
                      <w:color w:val="auto"/>
                      <w:spacing w:val="-4"/>
                      <w:sz w:val="18"/>
                      <w:szCs w:val="18"/>
                    </w:rPr>
                  </w:pPr>
                  <w:r>
                    <w:rPr>
                      <w:color w:val="auto"/>
                      <w:spacing w:val="-4"/>
                      <w:sz w:val="18"/>
                      <w:szCs w:val="18"/>
                    </w:rPr>
                    <w:t>Ⅲ类水域水质标准</w:t>
                  </w:r>
                </w:p>
              </w:tc>
            </w:tr>
          </w:tbl>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4、地下水环境</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根据调查，项目区外500米范围内的无地下水集中式饮用水水源和热水、矿泉水、温泉等特殊地下水资源。</w:t>
            </w:r>
          </w:p>
          <w:p>
            <w:pPr>
              <w:adjustRightInd w:val="0"/>
              <w:snapToGrid w:val="0"/>
              <w:spacing w:line="360" w:lineRule="auto"/>
              <w:ind w:firstLine="420" w:firstLineChars="200"/>
              <w:rPr>
                <w:rFonts w:ascii="宋体" w:hAnsi="宋体" w:cs="宋体"/>
                <w:color w:val="auto"/>
                <w:kern w:val="0"/>
                <w:szCs w:val="21"/>
              </w:rPr>
            </w:pPr>
            <w:r>
              <w:rPr>
                <w:rFonts w:ascii="宋体" w:hAnsi="宋体" w:cs="宋体"/>
                <w:color w:val="auto"/>
                <w:kern w:val="0"/>
                <w:szCs w:val="21"/>
              </w:rPr>
              <w:t>5</w:t>
            </w:r>
            <w:r>
              <w:rPr>
                <w:rFonts w:hint="eastAsia" w:ascii="宋体" w:hAnsi="宋体" w:cs="宋体"/>
                <w:color w:val="auto"/>
                <w:kern w:val="0"/>
                <w:szCs w:val="21"/>
              </w:rPr>
              <w:t>、生态环境</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根据外环境关系调查，项目生态环境评价范围（矿区外500m范围）不涉及法定生态保护区域（依据法律法规、政策等规范性文件划定或确认的国家公园、自然保护区、自然公园等自然保护地、世界自然遗产、生态保护红线等区域）、重要生境（重要物种的天然集中分布区、栖息地，重要水生生物的产卵场、索饵场、越冬场和洄游通道，迁徙鸟类的重要繁殖地、停歇地、越冬地以及野生动物迁徙通道等）以及其他具有重要生态功能、对保护生物多样性具有重要意义的区域。</w:t>
            </w:r>
          </w:p>
          <w:p>
            <w:pPr>
              <w:adjustRightInd w:val="0"/>
              <w:snapToGrid w:val="0"/>
              <w:spacing w:line="360" w:lineRule="auto"/>
              <w:ind w:firstLine="420" w:firstLineChars="200"/>
              <w:rPr>
                <w:rFonts w:ascii="宋体" w:hAnsi="宋体" w:cs="宋体"/>
                <w:color w:val="auto"/>
                <w:kern w:val="0"/>
                <w:szCs w:val="21"/>
              </w:rPr>
            </w:pPr>
          </w:p>
          <w:p>
            <w:pPr>
              <w:adjustRightInd w:val="0"/>
              <w:snapToGrid w:val="0"/>
              <w:spacing w:line="360" w:lineRule="auto"/>
              <w:ind w:firstLine="420" w:firstLineChars="200"/>
              <w:rPr>
                <w:rFonts w:ascii="宋体" w:hAnsi="宋体" w:cs="宋体"/>
                <w:color w:val="auto"/>
                <w:kern w:val="0"/>
                <w:szCs w:val="21"/>
              </w:rPr>
            </w:pPr>
          </w:p>
          <w:p>
            <w:pPr>
              <w:adjustRightInd w:val="0"/>
              <w:snapToGrid w:val="0"/>
              <w:spacing w:line="360" w:lineRule="auto"/>
              <w:ind w:firstLine="420" w:firstLineChars="200"/>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904" w:type="dxa"/>
            <w:vAlign w:val="center"/>
          </w:tcPr>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评价</w:t>
            </w:r>
          </w:p>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标准</w:t>
            </w:r>
          </w:p>
        </w:tc>
        <w:tc>
          <w:tcPr>
            <w:tcW w:w="8253" w:type="dxa"/>
            <w:vAlign w:val="center"/>
          </w:tcPr>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一、环境质量标准</w:t>
            </w:r>
          </w:p>
          <w:p>
            <w:pPr>
              <w:adjustRightInd w:val="0"/>
              <w:snapToGrid w:val="0"/>
              <w:spacing w:line="360" w:lineRule="auto"/>
              <w:ind w:firstLine="420"/>
              <w:rPr>
                <w:rFonts w:ascii="宋体" w:hAnsi="宋体" w:cs="宋体"/>
                <w:color w:val="auto"/>
                <w:kern w:val="0"/>
                <w:szCs w:val="21"/>
              </w:rPr>
            </w:pPr>
            <w:r>
              <w:rPr>
                <w:rFonts w:ascii="宋体" w:hAnsi="宋体" w:cs="宋体"/>
                <w:color w:val="auto"/>
                <w:kern w:val="0"/>
                <w:szCs w:val="21"/>
              </w:rPr>
              <w:t>1</w:t>
            </w:r>
            <w:r>
              <w:rPr>
                <w:rFonts w:hint="eastAsia" w:ascii="宋体" w:hAnsi="宋体" w:cs="宋体"/>
                <w:color w:val="auto"/>
                <w:kern w:val="0"/>
                <w:szCs w:val="21"/>
              </w:rPr>
              <w:t>、环境空气质量</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项目所在地环境空气质量执行国家《环境空气质量标准》GB3095-2012及其修改单中的一级标准，具体指标见表</w:t>
            </w:r>
            <w:r>
              <w:rPr>
                <w:rFonts w:ascii="宋体" w:hAnsi="宋体" w:cs="宋体"/>
                <w:color w:val="auto"/>
                <w:kern w:val="0"/>
                <w:szCs w:val="21"/>
              </w:rPr>
              <w:t>3-13</w:t>
            </w:r>
            <w:r>
              <w:rPr>
                <w:rFonts w:hint="eastAsia" w:ascii="宋体" w:hAnsi="宋体" w:cs="宋体"/>
                <w:color w:val="auto"/>
                <w:kern w:val="0"/>
                <w:szCs w:val="21"/>
              </w:rPr>
              <w:t>。</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表3-</w:t>
            </w:r>
            <w:r>
              <w:rPr>
                <w:rFonts w:ascii="宋体" w:hAnsi="宋体" w:cs="宋体"/>
                <w:b/>
                <w:bCs/>
                <w:color w:val="auto"/>
                <w:kern w:val="0"/>
                <w:sz w:val="18"/>
                <w:szCs w:val="18"/>
              </w:rPr>
              <w:t xml:space="preserve">13 </w:t>
            </w:r>
            <w:r>
              <w:rPr>
                <w:rFonts w:hint="eastAsia" w:ascii="宋体" w:hAnsi="宋体" w:cs="宋体"/>
                <w:b/>
                <w:bCs/>
                <w:color w:val="auto"/>
                <w:kern w:val="0"/>
                <w:sz w:val="18"/>
                <w:szCs w:val="18"/>
              </w:rPr>
              <w:t xml:space="preserve">环境空气质量标准限值 </w:t>
            </w:r>
            <w:r>
              <w:rPr>
                <w:rFonts w:ascii="宋体" w:hAnsi="宋体" w:cs="宋体"/>
                <w:b/>
                <w:bCs/>
                <w:color w:val="auto"/>
                <w:kern w:val="0"/>
                <w:sz w:val="18"/>
                <w:szCs w:val="18"/>
              </w:rPr>
              <w:t xml:space="preserve">  </w:t>
            </w:r>
          </w:p>
          <w:tbl>
            <w:tblPr>
              <w:tblStyle w:val="14"/>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733"/>
              <w:gridCol w:w="887"/>
              <w:gridCol w:w="782"/>
              <w:gridCol w:w="852"/>
              <w:gridCol w:w="865"/>
              <w:gridCol w:w="965"/>
              <w:gridCol w:w="9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1947" w:type="dxa"/>
                  <w:vAlign w:val="center"/>
                </w:tcPr>
                <w:p>
                  <w:pPr>
                    <w:ind w:left="-71" w:leftChars="-34" w:right="-71" w:rightChars="-34"/>
                    <w:jc w:val="center"/>
                    <w:rPr>
                      <w:b/>
                      <w:bCs/>
                      <w:color w:val="auto"/>
                      <w:sz w:val="18"/>
                      <w:szCs w:val="18"/>
                    </w:rPr>
                  </w:pPr>
                  <w:r>
                    <w:rPr>
                      <w:b/>
                      <w:bCs/>
                      <w:color w:val="auto"/>
                      <w:sz w:val="18"/>
                      <w:szCs w:val="18"/>
                    </w:rPr>
                    <w:t>指标</w:t>
                  </w:r>
                </w:p>
              </w:tc>
              <w:tc>
                <w:tcPr>
                  <w:tcW w:w="733" w:type="dxa"/>
                  <w:vAlign w:val="center"/>
                </w:tcPr>
                <w:p>
                  <w:pPr>
                    <w:ind w:left="-71" w:leftChars="-34" w:right="-71" w:rightChars="-34"/>
                    <w:jc w:val="center"/>
                    <w:rPr>
                      <w:b/>
                      <w:bCs/>
                      <w:color w:val="auto"/>
                      <w:sz w:val="18"/>
                      <w:szCs w:val="18"/>
                    </w:rPr>
                  </w:pPr>
                  <w:r>
                    <w:rPr>
                      <w:b/>
                      <w:bCs/>
                      <w:color w:val="auto"/>
                      <w:sz w:val="18"/>
                      <w:szCs w:val="18"/>
                    </w:rPr>
                    <w:t>SO</w:t>
                  </w:r>
                  <w:r>
                    <w:rPr>
                      <w:b/>
                      <w:bCs/>
                      <w:color w:val="auto"/>
                      <w:sz w:val="18"/>
                      <w:szCs w:val="18"/>
                      <w:vertAlign w:val="subscript"/>
                    </w:rPr>
                    <w:t>2</w:t>
                  </w:r>
                </w:p>
              </w:tc>
              <w:tc>
                <w:tcPr>
                  <w:tcW w:w="887" w:type="dxa"/>
                  <w:vAlign w:val="center"/>
                </w:tcPr>
                <w:p>
                  <w:pPr>
                    <w:ind w:left="-71" w:leftChars="-34" w:right="-71" w:rightChars="-34"/>
                    <w:jc w:val="center"/>
                    <w:rPr>
                      <w:b/>
                      <w:bCs/>
                      <w:color w:val="auto"/>
                      <w:sz w:val="18"/>
                      <w:szCs w:val="18"/>
                    </w:rPr>
                  </w:pPr>
                  <w:r>
                    <w:rPr>
                      <w:b/>
                      <w:bCs/>
                      <w:color w:val="auto"/>
                      <w:sz w:val="18"/>
                      <w:szCs w:val="18"/>
                    </w:rPr>
                    <w:t>NO</w:t>
                  </w:r>
                  <w:r>
                    <w:rPr>
                      <w:b/>
                      <w:bCs/>
                      <w:color w:val="auto"/>
                      <w:sz w:val="18"/>
                      <w:szCs w:val="18"/>
                      <w:vertAlign w:val="subscript"/>
                    </w:rPr>
                    <w:t>2</w:t>
                  </w:r>
                </w:p>
              </w:tc>
              <w:tc>
                <w:tcPr>
                  <w:tcW w:w="782" w:type="dxa"/>
                  <w:vAlign w:val="center"/>
                </w:tcPr>
                <w:p>
                  <w:pPr>
                    <w:ind w:left="-71" w:leftChars="-34" w:right="-71" w:rightChars="-34"/>
                    <w:jc w:val="center"/>
                    <w:rPr>
                      <w:b/>
                      <w:bCs/>
                      <w:color w:val="auto"/>
                      <w:sz w:val="18"/>
                      <w:szCs w:val="18"/>
                    </w:rPr>
                  </w:pPr>
                  <w:r>
                    <w:rPr>
                      <w:b/>
                      <w:bCs/>
                      <w:color w:val="auto"/>
                      <w:sz w:val="18"/>
                      <w:szCs w:val="18"/>
                    </w:rPr>
                    <w:t>PM</w:t>
                  </w:r>
                  <w:r>
                    <w:rPr>
                      <w:b/>
                      <w:bCs/>
                      <w:color w:val="auto"/>
                      <w:sz w:val="18"/>
                      <w:szCs w:val="18"/>
                      <w:vertAlign w:val="subscript"/>
                    </w:rPr>
                    <w:t>10</w:t>
                  </w:r>
                </w:p>
              </w:tc>
              <w:tc>
                <w:tcPr>
                  <w:tcW w:w="852" w:type="dxa"/>
                  <w:vAlign w:val="center"/>
                </w:tcPr>
                <w:p>
                  <w:pPr>
                    <w:ind w:left="-71" w:leftChars="-34" w:right="-71" w:rightChars="-34"/>
                    <w:jc w:val="center"/>
                    <w:rPr>
                      <w:b/>
                      <w:bCs/>
                      <w:color w:val="auto"/>
                      <w:sz w:val="18"/>
                      <w:szCs w:val="18"/>
                    </w:rPr>
                  </w:pPr>
                  <w:r>
                    <w:rPr>
                      <w:b/>
                      <w:bCs/>
                      <w:color w:val="auto"/>
                      <w:sz w:val="18"/>
                      <w:szCs w:val="18"/>
                    </w:rPr>
                    <w:t>PM</w:t>
                  </w:r>
                  <w:r>
                    <w:rPr>
                      <w:b/>
                      <w:bCs/>
                      <w:color w:val="auto"/>
                      <w:sz w:val="18"/>
                      <w:szCs w:val="18"/>
                      <w:vertAlign w:val="subscript"/>
                    </w:rPr>
                    <w:t>2.5</w:t>
                  </w:r>
                </w:p>
              </w:tc>
              <w:tc>
                <w:tcPr>
                  <w:tcW w:w="865" w:type="dxa"/>
                  <w:vAlign w:val="center"/>
                </w:tcPr>
                <w:p>
                  <w:pPr>
                    <w:ind w:left="-71" w:leftChars="-34" w:right="-71" w:rightChars="-34"/>
                    <w:jc w:val="center"/>
                    <w:rPr>
                      <w:b/>
                      <w:bCs/>
                      <w:color w:val="auto"/>
                      <w:sz w:val="18"/>
                      <w:szCs w:val="18"/>
                    </w:rPr>
                  </w:pPr>
                  <w:r>
                    <w:rPr>
                      <w:b/>
                      <w:bCs/>
                      <w:color w:val="auto"/>
                      <w:sz w:val="18"/>
                      <w:szCs w:val="18"/>
                    </w:rPr>
                    <w:t>CO</w:t>
                  </w:r>
                  <w:r>
                    <w:rPr>
                      <w:b/>
                      <w:bCs/>
                      <w:color w:val="auto"/>
                      <w:sz w:val="18"/>
                      <w:szCs w:val="18"/>
                      <w:vertAlign w:val="superscript"/>
                    </w:rPr>
                    <w:t>（1）</w:t>
                  </w:r>
                </w:p>
              </w:tc>
              <w:tc>
                <w:tcPr>
                  <w:tcW w:w="965" w:type="dxa"/>
                  <w:vAlign w:val="center"/>
                </w:tcPr>
                <w:p>
                  <w:pPr>
                    <w:ind w:left="-71" w:leftChars="-34" w:right="-71" w:rightChars="-34"/>
                    <w:jc w:val="center"/>
                    <w:rPr>
                      <w:b/>
                      <w:bCs/>
                      <w:color w:val="auto"/>
                      <w:sz w:val="18"/>
                      <w:szCs w:val="18"/>
                    </w:rPr>
                  </w:pPr>
                  <w:r>
                    <w:rPr>
                      <w:b/>
                      <w:bCs/>
                      <w:color w:val="auto"/>
                      <w:sz w:val="18"/>
                      <w:szCs w:val="18"/>
                    </w:rPr>
                    <w:t>O</w:t>
                  </w:r>
                  <w:r>
                    <w:rPr>
                      <w:b/>
                      <w:bCs/>
                      <w:color w:val="auto"/>
                      <w:sz w:val="18"/>
                      <w:szCs w:val="18"/>
                      <w:vertAlign w:val="subscript"/>
                    </w:rPr>
                    <w:t>3</w:t>
                  </w:r>
                </w:p>
              </w:tc>
              <w:tc>
                <w:tcPr>
                  <w:tcW w:w="965" w:type="dxa"/>
                  <w:vAlign w:val="center"/>
                </w:tcPr>
                <w:p>
                  <w:pPr>
                    <w:ind w:left="-71" w:leftChars="-34" w:right="-71" w:rightChars="-34"/>
                    <w:jc w:val="center"/>
                    <w:rPr>
                      <w:b/>
                      <w:bCs/>
                      <w:color w:val="auto"/>
                      <w:sz w:val="18"/>
                      <w:szCs w:val="18"/>
                    </w:rPr>
                  </w:pPr>
                  <w:r>
                    <w:rPr>
                      <w:b/>
                      <w:bCs/>
                      <w:color w:val="auto"/>
                      <w:sz w:val="18"/>
                      <w:szCs w:val="18"/>
                    </w:rPr>
                    <w:t>TSP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947" w:type="dxa"/>
                  <w:vAlign w:val="center"/>
                </w:tcPr>
                <w:p>
                  <w:pPr>
                    <w:ind w:left="-71" w:leftChars="-34" w:right="-71" w:rightChars="-34"/>
                    <w:jc w:val="center"/>
                    <w:rPr>
                      <w:color w:val="auto"/>
                      <w:sz w:val="18"/>
                      <w:szCs w:val="18"/>
                    </w:rPr>
                  </w:pPr>
                  <w:r>
                    <w:rPr>
                      <w:color w:val="auto"/>
                      <w:sz w:val="18"/>
                      <w:szCs w:val="18"/>
                    </w:rPr>
                    <w:t>小时平均</w:t>
                  </w:r>
                </w:p>
              </w:tc>
              <w:tc>
                <w:tcPr>
                  <w:tcW w:w="733" w:type="dxa"/>
                  <w:vAlign w:val="center"/>
                </w:tcPr>
                <w:p>
                  <w:pPr>
                    <w:ind w:left="-71" w:leftChars="-34" w:right="-71" w:rightChars="-34"/>
                    <w:jc w:val="center"/>
                    <w:rPr>
                      <w:color w:val="auto"/>
                      <w:sz w:val="18"/>
                      <w:szCs w:val="18"/>
                    </w:rPr>
                  </w:pPr>
                  <w:r>
                    <w:rPr>
                      <w:color w:val="auto"/>
                      <w:sz w:val="18"/>
                      <w:szCs w:val="18"/>
                    </w:rPr>
                    <w:t>500</w:t>
                  </w:r>
                </w:p>
              </w:tc>
              <w:tc>
                <w:tcPr>
                  <w:tcW w:w="887" w:type="dxa"/>
                  <w:vAlign w:val="center"/>
                </w:tcPr>
                <w:p>
                  <w:pPr>
                    <w:ind w:left="-71" w:leftChars="-34" w:right="-71" w:rightChars="-34"/>
                    <w:jc w:val="center"/>
                    <w:rPr>
                      <w:color w:val="auto"/>
                      <w:sz w:val="18"/>
                      <w:szCs w:val="18"/>
                    </w:rPr>
                  </w:pPr>
                  <w:r>
                    <w:rPr>
                      <w:color w:val="auto"/>
                      <w:sz w:val="18"/>
                      <w:szCs w:val="18"/>
                    </w:rPr>
                    <w:t>200</w:t>
                  </w:r>
                </w:p>
              </w:tc>
              <w:tc>
                <w:tcPr>
                  <w:tcW w:w="782" w:type="dxa"/>
                  <w:vAlign w:val="center"/>
                </w:tcPr>
                <w:p>
                  <w:pPr>
                    <w:ind w:left="-71" w:leftChars="-34" w:right="-71" w:rightChars="-34"/>
                    <w:jc w:val="center"/>
                    <w:rPr>
                      <w:color w:val="auto"/>
                      <w:sz w:val="18"/>
                      <w:szCs w:val="18"/>
                    </w:rPr>
                  </w:pPr>
                  <w:r>
                    <w:rPr>
                      <w:color w:val="auto"/>
                      <w:sz w:val="18"/>
                      <w:szCs w:val="18"/>
                    </w:rPr>
                    <w:t>/</w:t>
                  </w:r>
                </w:p>
              </w:tc>
              <w:tc>
                <w:tcPr>
                  <w:tcW w:w="852" w:type="dxa"/>
                  <w:vAlign w:val="center"/>
                </w:tcPr>
                <w:p>
                  <w:pPr>
                    <w:ind w:left="-71" w:leftChars="-34" w:right="-71" w:rightChars="-34"/>
                    <w:jc w:val="center"/>
                    <w:rPr>
                      <w:color w:val="auto"/>
                      <w:sz w:val="18"/>
                      <w:szCs w:val="18"/>
                    </w:rPr>
                  </w:pPr>
                  <w:r>
                    <w:rPr>
                      <w:color w:val="auto"/>
                      <w:sz w:val="18"/>
                      <w:szCs w:val="18"/>
                    </w:rPr>
                    <w:t>/</w:t>
                  </w:r>
                </w:p>
              </w:tc>
              <w:tc>
                <w:tcPr>
                  <w:tcW w:w="865" w:type="dxa"/>
                  <w:vAlign w:val="center"/>
                </w:tcPr>
                <w:p>
                  <w:pPr>
                    <w:ind w:left="-71" w:leftChars="-34" w:right="-71" w:rightChars="-34"/>
                    <w:jc w:val="center"/>
                    <w:rPr>
                      <w:color w:val="auto"/>
                      <w:sz w:val="18"/>
                      <w:szCs w:val="18"/>
                    </w:rPr>
                  </w:pPr>
                  <w:r>
                    <w:rPr>
                      <w:color w:val="auto"/>
                      <w:sz w:val="18"/>
                      <w:szCs w:val="18"/>
                    </w:rPr>
                    <w:t>10</w:t>
                  </w:r>
                </w:p>
              </w:tc>
              <w:tc>
                <w:tcPr>
                  <w:tcW w:w="965" w:type="dxa"/>
                  <w:vAlign w:val="center"/>
                </w:tcPr>
                <w:p>
                  <w:pPr>
                    <w:ind w:left="-71" w:leftChars="-34" w:right="-71" w:rightChars="-34"/>
                    <w:jc w:val="center"/>
                    <w:rPr>
                      <w:color w:val="auto"/>
                      <w:sz w:val="18"/>
                      <w:szCs w:val="18"/>
                    </w:rPr>
                  </w:pPr>
                  <w:r>
                    <w:rPr>
                      <w:color w:val="auto"/>
                      <w:sz w:val="18"/>
                      <w:szCs w:val="18"/>
                    </w:rPr>
                    <w:t>200</w:t>
                  </w:r>
                </w:p>
              </w:tc>
              <w:tc>
                <w:tcPr>
                  <w:tcW w:w="965" w:type="dxa"/>
                  <w:vAlign w:val="center"/>
                </w:tcPr>
                <w:p>
                  <w:pPr>
                    <w:ind w:left="-71" w:leftChars="-34" w:right="-71" w:rightChars="-34"/>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947" w:type="dxa"/>
                  <w:vAlign w:val="center"/>
                </w:tcPr>
                <w:p>
                  <w:pPr>
                    <w:ind w:left="-71" w:leftChars="-34" w:right="-71" w:rightChars="-34"/>
                    <w:jc w:val="center"/>
                    <w:rPr>
                      <w:color w:val="auto"/>
                      <w:sz w:val="18"/>
                      <w:szCs w:val="18"/>
                    </w:rPr>
                  </w:pPr>
                  <w:r>
                    <w:rPr>
                      <w:color w:val="auto"/>
                      <w:sz w:val="18"/>
                      <w:szCs w:val="18"/>
                    </w:rPr>
                    <w:t>日平均</w:t>
                  </w:r>
                </w:p>
              </w:tc>
              <w:tc>
                <w:tcPr>
                  <w:tcW w:w="733" w:type="dxa"/>
                  <w:vAlign w:val="center"/>
                </w:tcPr>
                <w:p>
                  <w:pPr>
                    <w:ind w:left="-71" w:leftChars="-34" w:right="-71" w:rightChars="-34"/>
                    <w:jc w:val="center"/>
                    <w:rPr>
                      <w:color w:val="auto"/>
                      <w:sz w:val="18"/>
                      <w:szCs w:val="18"/>
                    </w:rPr>
                  </w:pPr>
                  <w:r>
                    <w:rPr>
                      <w:color w:val="auto"/>
                      <w:sz w:val="18"/>
                      <w:szCs w:val="18"/>
                    </w:rPr>
                    <w:t>150</w:t>
                  </w:r>
                </w:p>
              </w:tc>
              <w:tc>
                <w:tcPr>
                  <w:tcW w:w="887" w:type="dxa"/>
                  <w:vAlign w:val="center"/>
                </w:tcPr>
                <w:p>
                  <w:pPr>
                    <w:ind w:left="-71" w:leftChars="-34" w:right="-71" w:rightChars="-34"/>
                    <w:jc w:val="center"/>
                    <w:rPr>
                      <w:color w:val="auto"/>
                      <w:sz w:val="18"/>
                      <w:szCs w:val="18"/>
                    </w:rPr>
                  </w:pPr>
                  <w:r>
                    <w:rPr>
                      <w:color w:val="auto"/>
                      <w:sz w:val="18"/>
                      <w:szCs w:val="18"/>
                    </w:rPr>
                    <w:t>80</w:t>
                  </w:r>
                </w:p>
              </w:tc>
              <w:tc>
                <w:tcPr>
                  <w:tcW w:w="782" w:type="dxa"/>
                  <w:vAlign w:val="center"/>
                </w:tcPr>
                <w:p>
                  <w:pPr>
                    <w:ind w:left="-71" w:leftChars="-34" w:right="-71" w:rightChars="-34"/>
                    <w:jc w:val="center"/>
                    <w:rPr>
                      <w:color w:val="auto"/>
                      <w:sz w:val="18"/>
                      <w:szCs w:val="18"/>
                    </w:rPr>
                  </w:pPr>
                  <w:r>
                    <w:rPr>
                      <w:color w:val="auto"/>
                      <w:sz w:val="18"/>
                      <w:szCs w:val="18"/>
                    </w:rPr>
                    <w:t>150</w:t>
                  </w:r>
                </w:p>
              </w:tc>
              <w:tc>
                <w:tcPr>
                  <w:tcW w:w="852" w:type="dxa"/>
                  <w:vAlign w:val="center"/>
                </w:tcPr>
                <w:p>
                  <w:pPr>
                    <w:ind w:left="-71" w:leftChars="-34" w:right="-71" w:rightChars="-34"/>
                    <w:jc w:val="center"/>
                    <w:rPr>
                      <w:color w:val="auto"/>
                      <w:sz w:val="18"/>
                      <w:szCs w:val="18"/>
                    </w:rPr>
                  </w:pPr>
                  <w:r>
                    <w:rPr>
                      <w:color w:val="auto"/>
                      <w:sz w:val="18"/>
                      <w:szCs w:val="18"/>
                    </w:rPr>
                    <w:t>75</w:t>
                  </w:r>
                </w:p>
              </w:tc>
              <w:tc>
                <w:tcPr>
                  <w:tcW w:w="865" w:type="dxa"/>
                  <w:vAlign w:val="center"/>
                </w:tcPr>
                <w:p>
                  <w:pPr>
                    <w:ind w:left="-71" w:leftChars="-34" w:right="-71" w:rightChars="-34"/>
                    <w:jc w:val="center"/>
                    <w:rPr>
                      <w:color w:val="auto"/>
                      <w:sz w:val="18"/>
                      <w:szCs w:val="18"/>
                    </w:rPr>
                  </w:pPr>
                  <w:r>
                    <w:rPr>
                      <w:color w:val="auto"/>
                      <w:sz w:val="18"/>
                      <w:szCs w:val="18"/>
                    </w:rPr>
                    <w:t>4</w:t>
                  </w:r>
                </w:p>
              </w:tc>
              <w:tc>
                <w:tcPr>
                  <w:tcW w:w="965" w:type="dxa"/>
                  <w:vAlign w:val="center"/>
                </w:tcPr>
                <w:p>
                  <w:pPr>
                    <w:ind w:left="-71" w:leftChars="-34" w:right="-71" w:rightChars="-34"/>
                    <w:jc w:val="center"/>
                    <w:rPr>
                      <w:color w:val="auto"/>
                      <w:sz w:val="18"/>
                      <w:szCs w:val="18"/>
                    </w:rPr>
                  </w:pPr>
                  <w:r>
                    <w:rPr>
                      <w:color w:val="auto"/>
                      <w:sz w:val="18"/>
                      <w:szCs w:val="18"/>
                    </w:rPr>
                    <w:t>160</w:t>
                  </w:r>
                  <w:r>
                    <w:rPr>
                      <w:color w:val="auto"/>
                      <w:sz w:val="18"/>
                      <w:szCs w:val="18"/>
                      <w:vertAlign w:val="superscript"/>
                    </w:rPr>
                    <w:t>（2）</w:t>
                  </w:r>
                </w:p>
              </w:tc>
              <w:tc>
                <w:tcPr>
                  <w:tcW w:w="965" w:type="dxa"/>
                  <w:vAlign w:val="center"/>
                </w:tcPr>
                <w:p>
                  <w:pPr>
                    <w:ind w:left="-71" w:leftChars="-34" w:right="-71" w:rightChars="-34"/>
                    <w:jc w:val="center"/>
                    <w:rPr>
                      <w:color w:val="auto"/>
                      <w:sz w:val="18"/>
                      <w:szCs w:val="18"/>
                    </w:rPr>
                  </w:pPr>
                  <w:r>
                    <w:rPr>
                      <w:color w:val="auto"/>
                      <w:sz w:val="18"/>
                      <w:szCs w:val="18"/>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947" w:type="dxa"/>
                  <w:vAlign w:val="center"/>
                </w:tcPr>
                <w:p>
                  <w:pPr>
                    <w:ind w:left="-71" w:leftChars="-34" w:right="-71" w:rightChars="-34"/>
                    <w:jc w:val="center"/>
                    <w:rPr>
                      <w:color w:val="auto"/>
                      <w:sz w:val="18"/>
                      <w:szCs w:val="18"/>
                    </w:rPr>
                  </w:pPr>
                  <w:r>
                    <w:rPr>
                      <w:color w:val="auto"/>
                      <w:sz w:val="18"/>
                      <w:szCs w:val="18"/>
                    </w:rPr>
                    <w:t>年平均</w:t>
                  </w:r>
                </w:p>
              </w:tc>
              <w:tc>
                <w:tcPr>
                  <w:tcW w:w="733" w:type="dxa"/>
                  <w:vAlign w:val="center"/>
                </w:tcPr>
                <w:p>
                  <w:pPr>
                    <w:ind w:left="-71" w:leftChars="-34" w:right="-71" w:rightChars="-34"/>
                    <w:jc w:val="center"/>
                    <w:rPr>
                      <w:color w:val="auto"/>
                      <w:sz w:val="18"/>
                      <w:szCs w:val="18"/>
                    </w:rPr>
                  </w:pPr>
                  <w:r>
                    <w:rPr>
                      <w:color w:val="auto"/>
                      <w:sz w:val="18"/>
                      <w:szCs w:val="18"/>
                    </w:rPr>
                    <w:t>60</w:t>
                  </w:r>
                </w:p>
              </w:tc>
              <w:tc>
                <w:tcPr>
                  <w:tcW w:w="887" w:type="dxa"/>
                  <w:vAlign w:val="center"/>
                </w:tcPr>
                <w:p>
                  <w:pPr>
                    <w:ind w:left="-71" w:leftChars="-34" w:right="-71" w:rightChars="-34"/>
                    <w:jc w:val="center"/>
                    <w:rPr>
                      <w:color w:val="auto"/>
                      <w:sz w:val="18"/>
                      <w:szCs w:val="18"/>
                    </w:rPr>
                  </w:pPr>
                  <w:r>
                    <w:rPr>
                      <w:color w:val="auto"/>
                      <w:sz w:val="18"/>
                      <w:szCs w:val="18"/>
                    </w:rPr>
                    <w:t>40</w:t>
                  </w:r>
                </w:p>
              </w:tc>
              <w:tc>
                <w:tcPr>
                  <w:tcW w:w="782" w:type="dxa"/>
                  <w:vAlign w:val="center"/>
                </w:tcPr>
                <w:p>
                  <w:pPr>
                    <w:ind w:left="-71" w:leftChars="-34" w:right="-71" w:rightChars="-34"/>
                    <w:jc w:val="center"/>
                    <w:rPr>
                      <w:color w:val="auto"/>
                      <w:sz w:val="18"/>
                      <w:szCs w:val="18"/>
                    </w:rPr>
                  </w:pPr>
                  <w:r>
                    <w:rPr>
                      <w:color w:val="auto"/>
                      <w:sz w:val="18"/>
                      <w:szCs w:val="18"/>
                    </w:rPr>
                    <w:t>70</w:t>
                  </w:r>
                </w:p>
              </w:tc>
              <w:tc>
                <w:tcPr>
                  <w:tcW w:w="852" w:type="dxa"/>
                  <w:vAlign w:val="center"/>
                </w:tcPr>
                <w:p>
                  <w:pPr>
                    <w:ind w:left="-71" w:leftChars="-34" w:right="-71" w:rightChars="-34"/>
                    <w:jc w:val="center"/>
                    <w:rPr>
                      <w:color w:val="auto"/>
                      <w:sz w:val="18"/>
                      <w:szCs w:val="18"/>
                    </w:rPr>
                  </w:pPr>
                  <w:r>
                    <w:rPr>
                      <w:color w:val="auto"/>
                      <w:sz w:val="18"/>
                      <w:szCs w:val="18"/>
                    </w:rPr>
                    <w:t>35</w:t>
                  </w:r>
                </w:p>
              </w:tc>
              <w:tc>
                <w:tcPr>
                  <w:tcW w:w="865" w:type="dxa"/>
                  <w:vAlign w:val="center"/>
                </w:tcPr>
                <w:p>
                  <w:pPr>
                    <w:ind w:left="-71" w:leftChars="-34" w:right="-71" w:rightChars="-34"/>
                    <w:jc w:val="center"/>
                    <w:rPr>
                      <w:color w:val="auto"/>
                      <w:sz w:val="18"/>
                      <w:szCs w:val="18"/>
                    </w:rPr>
                  </w:pPr>
                  <w:r>
                    <w:rPr>
                      <w:color w:val="auto"/>
                      <w:sz w:val="18"/>
                      <w:szCs w:val="18"/>
                    </w:rPr>
                    <w:t>/</w:t>
                  </w:r>
                </w:p>
              </w:tc>
              <w:tc>
                <w:tcPr>
                  <w:tcW w:w="965" w:type="dxa"/>
                  <w:vAlign w:val="center"/>
                </w:tcPr>
                <w:p>
                  <w:pPr>
                    <w:ind w:left="-71" w:leftChars="-34" w:right="-71" w:rightChars="-34"/>
                    <w:jc w:val="center"/>
                    <w:rPr>
                      <w:color w:val="auto"/>
                      <w:sz w:val="18"/>
                      <w:szCs w:val="18"/>
                    </w:rPr>
                  </w:pPr>
                  <w:r>
                    <w:rPr>
                      <w:color w:val="auto"/>
                      <w:sz w:val="18"/>
                      <w:szCs w:val="18"/>
                    </w:rPr>
                    <w:t>/</w:t>
                  </w:r>
                </w:p>
              </w:tc>
              <w:tc>
                <w:tcPr>
                  <w:tcW w:w="965" w:type="dxa"/>
                  <w:vAlign w:val="center"/>
                </w:tcPr>
                <w:p>
                  <w:pPr>
                    <w:ind w:left="-71" w:leftChars="-34" w:right="-71" w:rightChars="-34"/>
                    <w:jc w:val="center"/>
                    <w:rPr>
                      <w:color w:val="auto"/>
                      <w:sz w:val="18"/>
                      <w:szCs w:val="18"/>
                    </w:rPr>
                  </w:pPr>
                  <w:r>
                    <w:rPr>
                      <w:color w:val="auto"/>
                      <w:sz w:val="18"/>
                      <w:szCs w:val="18"/>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947" w:type="dxa"/>
                  <w:vAlign w:val="center"/>
                </w:tcPr>
                <w:p>
                  <w:pPr>
                    <w:ind w:left="-71" w:leftChars="-34" w:right="-71" w:rightChars="-34"/>
                    <w:jc w:val="center"/>
                    <w:rPr>
                      <w:color w:val="auto"/>
                      <w:sz w:val="18"/>
                      <w:szCs w:val="18"/>
                    </w:rPr>
                  </w:pPr>
                  <w:r>
                    <w:rPr>
                      <w:color w:val="auto"/>
                      <w:sz w:val="18"/>
                      <w:szCs w:val="18"/>
                    </w:rPr>
                    <w:t>标准</w:t>
                  </w:r>
                </w:p>
              </w:tc>
              <w:tc>
                <w:tcPr>
                  <w:tcW w:w="5084" w:type="dxa"/>
                  <w:gridSpan w:val="6"/>
                  <w:vAlign w:val="center"/>
                </w:tcPr>
                <w:p>
                  <w:pPr>
                    <w:ind w:left="-71" w:leftChars="-34" w:right="-71" w:rightChars="-34"/>
                    <w:jc w:val="center"/>
                    <w:rPr>
                      <w:color w:val="auto"/>
                      <w:sz w:val="18"/>
                      <w:szCs w:val="18"/>
                    </w:rPr>
                  </w:pPr>
                  <w:r>
                    <w:rPr>
                      <w:color w:val="auto"/>
                      <w:sz w:val="18"/>
                      <w:szCs w:val="18"/>
                    </w:rPr>
                    <w:t>《环境空气质量标准》GB3095-2012二级标准</w:t>
                  </w:r>
                </w:p>
              </w:tc>
              <w:tc>
                <w:tcPr>
                  <w:tcW w:w="965" w:type="dxa"/>
                  <w:vAlign w:val="center"/>
                </w:tcPr>
                <w:p>
                  <w:pPr>
                    <w:ind w:left="-71" w:leftChars="-34" w:right="-71" w:rightChars="-34"/>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996" w:type="dxa"/>
                  <w:gridSpan w:val="8"/>
                  <w:vAlign w:val="center"/>
                </w:tcPr>
                <w:p>
                  <w:pPr>
                    <w:ind w:left="-71" w:leftChars="-34" w:right="-71" w:rightChars="-34"/>
                    <w:rPr>
                      <w:rFonts w:eastAsia="新宋体"/>
                      <w:b/>
                      <w:bCs/>
                      <w:color w:val="auto"/>
                      <w:sz w:val="18"/>
                      <w:szCs w:val="18"/>
                    </w:rPr>
                  </w:pPr>
                  <w:r>
                    <w:rPr>
                      <w:rFonts w:eastAsia="新宋体"/>
                      <w:b/>
                      <w:bCs/>
                      <w:color w:val="auto"/>
                      <w:sz w:val="18"/>
                      <w:szCs w:val="18"/>
                    </w:rPr>
                    <w:t>说明</w:t>
                  </w:r>
                  <w:r>
                    <w:rPr>
                      <w:rFonts w:eastAsia="新宋体"/>
                      <w:color w:val="auto"/>
                      <w:sz w:val="18"/>
                      <w:szCs w:val="18"/>
                    </w:rPr>
                    <w:t>：（1）CO单位为mg/m</w:t>
                  </w:r>
                  <w:r>
                    <w:rPr>
                      <w:rFonts w:eastAsia="新宋体"/>
                      <w:color w:val="auto"/>
                      <w:sz w:val="18"/>
                      <w:szCs w:val="18"/>
                      <w:vertAlign w:val="superscript"/>
                    </w:rPr>
                    <w:t>3</w:t>
                  </w:r>
                  <w:r>
                    <w:rPr>
                      <w:rFonts w:eastAsia="新宋体"/>
                      <w:color w:val="auto"/>
                      <w:sz w:val="18"/>
                      <w:szCs w:val="18"/>
                    </w:rPr>
                    <w:t>，其余单位均为</w:t>
                  </w:r>
                  <w:r>
                    <w:rPr>
                      <w:rFonts w:hint="eastAsia" w:eastAsia="新宋体"/>
                      <w:color w:val="auto"/>
                      <w:sz w:val="18"/>
                      <w:szCs w:val="18"/>
                    </w:rPr>
                    <w:t>μ</w:t>
                  </w:r>
                  <w:r>
                    <w:rPr>
                      <w:rFonts w:eastAsia="新宋体"/>
                      <w:color w:val="auto"/>
                      <w:sz w:val="18"/>
                      <w:szCs w:val="18"/>
                    </w:rPr>
                    <w:t>g/m</w:t>
                  </w:r>
                  <w:r>
                    <w:rPr>
                      <w:rFonts w:eastAsia="新宋体"/>
                      <w:color w:val="auto"/>
                      <w:sz w:val="18"/>
                      <w:szCs w:val="18"/>
                      <w:vertAlign w:val="superscript"/>
                    </w:rPr>
                    <w:t>3</w:t>
                  </w:r>
                  <w:r>
                    <w:rPr>
                      <w:rFonts w:eastAsia="新宋体"/>
                      <w:color w:val="auto"/>
                      <w:sz w:val="18"/>
                      <w:szCs w:val="18"/>
                    </w:rPr>
                    <w:t>；（2）为日最大8h平均值</w:t>
                  </w:r>
                  <w:r>
                    <w:rPr>
                      <w:color w:val="auto"/>
                      <w:sz w:val="18"/>
                      <w:szCs w:val="18"/>
                    </w:rPr>
                    <w:t>。</w:t>
                  </w:r>
                </w:p>
              </w:tc>
            </w:tr>
          </w:tbl>
          <w:p>
            <w:pPr>
              <w:adjustRightInd w:val="0"/>
              <w:snapToGrid w:val="0"/>
              <w:spacing w:line="360" w:lineRule="auto"/>
              <w:ind w:firstLine="420"/>
              <w:rPr>
                <w:rFonts w:ascii="宋体" w:hAnsi="宋体" w:cs="宋体"/>
                <w:color w:val="auto"/>
                <w:kern w:val="0"/>
                <w:szCs w:val="21"/>
              </w:rPr>
            </w:pP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2、地表水环境质量</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执行国家《地表水环境质量标准》（GB3838-2002）中Ⅲ类水域标准见下表</w:t>
            </w:r>
            <w:r>
              <w:rPr>
                <w:rFonts w:ascii="宋体" w:hAnsi="宋体" w:cs="宋体"/>
                <w:color w:val="auto"/>
                <w:kern w:val="0"/>
                <w:szCs w:val="21"/>
              </w:rPr>
              <w:t>3-14</w:t>
            </w:r>
            <w:r>
              <w:rPr>
                <w:rFonts w:hint="eastAsia" w:ascii="宋体" w:hAnsi="宋体" w:cs="宋体"/>
                <w:color w:val="auto"/>
                <w:kern w:val="0"/>
                <w:szCs w:val="21"/>
              </w:rPr>
              <w:t>。</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表3-</w:t>
            </w:r>
            <w:r>
              <w:rPr>
                <w:rFonts w:ascii="宋体" w:hAnsi="宋体" w:cs="宋体"/>
                <w:b/>
                <w:bCs/>
                <w:color w:val="auto"/>
                <w:kern w:val="0"/>
                <w:sz w:val="18"/>
                <w:szCs w:val="18"/>
              </w:rPr>
              <w:t xml:space="preserve">14 </w:t>
            </w:r>
            <w:r>
              <w:rPr>
                <w:rFonts w:hint="eastAsia" w:ascii="宋体" w:hAnsi="宋体" w:cs="宋体"/>
                <w:b/>
                <w:bCs/>
                <w:color w:val="auto"/>
                <w:kern w:val="0"/>
                <w:sz w:val="18"/>
                <w:szCs w:val="18"/>
              </w:rPr>
              <w:t>地表水环境质量标准值表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706"/>
              <w:gridCol w:w="1347"/>
              <w:gridCol w:w="1347"/>
              <w:gridCol w:w="1347"/>
              <w:gridCol w:w="13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Align w:val="center"/>
                </w:tcPr>
                <w:p>
                  <w:pPr>
                    <w:spacing w:line="276" w:lineRule="auto"/>
                    <w:jc w:val="center"/>
                    <w:rPr>
                      <w:color w:val="auto"/>
                      <w:kern w:val="0"/>
                      <w:sz w:val="18"/>
                      <w:szCs w:val="18"/>
                    </w:rPr>
                  </w:pPr>
                  <w:r>
                    <w:rPr>
                      <w:rFonts w:hint="eastAsia"/>
                      <w:color w:val="auto"/>
                      <w:kern w:val="0"/>
                      <w:sz w:val="18"/>
                      <w:szCs w:val="18"/>
                    </w:rPr>
                    <w:t>项目</w:t>
                  </w:r>
                </w:p>
              </w:tc>
              <w:tc>
                <w:tcPr>
                  <w:tcW w:w="1052" w:type="pct"/>
                  <w:vAlign w:val="center"/>
                </w:tcPr>
                <w:p>
                  <w:pPr>
                    <w:spacing w:line="276" w:lineRule="auto"/>
                    <w:jc w:val="center"/>
                    <w:rPr>
                      <w:color w:val="auto"/>
                      <w:kern w:val="0"/>
                      <w:sz w:val="18"/>
                      <w:szCs w:val="18"/>
                    </w:rPr>
                  </w:pPr>
                  <w:r>
                    <w:rPr>
                      <w:rFonts w:hint="eastAsia"/>
                      <w:color w:val="auto"/>
                      <w:kern w:val="0"/>
                      <w:sz w:val="18"/>
                      <w:szCs w:val="18"/>
                    </w:rPr>
                    <w:t>p</w:t>
                  </w:r>
                  <w:r>
                    <w:rPr>
                      <w:color w:val="auto"/>
                      <w:kern w:val="0"/>
                      <w:sz w:val="18"/>
                      <w:szCs w:val="18"/>
                    </w:rPr>
                    <w:t>H</w:t>
                  </w:r>
                </w:p>
                <w:p>
                  <w:pPr>
                    <w:spacing w:line="276" w:lineRule="auto"/>
                    <w:jc w:val="center"/>
                    <w:rPr>
                      <w:color w:val="auto"/>
                      <w:kern w:val="0"/>
                      <w:sz w:val="18"/>
                      <w:szCs w:val="18"/>
                    </w:rPr>
                  </w:pPr>
                  <w:r>
                    <w:rPr>
                      <w:rFonts w:hint="eastAsia"/>
                      <w:color w:val="auto"/>
                      <w:kern w:val="0"/>
                      <w:sz w:val="18"/>
                      <w:szCs w:val="18"/>
                    </w:rPr>
                    <w:t>（无量纲）</w:t>
                  </w:r>
                </w:p>
              </w:tc>
              <w:tc>
                <w:tcPr>
                  <w:tcW w:w="831" w:type="pct"/>
                  <w:vAlign w:val="center"/>
                </w:tcPr>
                <w:p>
                  <w:pPr>
                    <w:spacing w:line="276" w:lineRule="auto"/>
                    <w:jc w:val="center"/>
                    <w:rPr>
                      <w:color w:val="auto"/>
                      <w:kern w:val="0"/>
                      <w:sz w:val="18"/>
                      <w:szCs w:val="18"/>
                    </w:rPr>
                  </w:pPr>
                  <w:r>
                    <w:rPr>
                      <w:rFonts w:hint="eastAsia"/>
                      <w:color w:val="auto"/>
                      <w:kern w:val="0"/>
                      <w:sz w:val="18"/>
                      <w:szCs w:val="18"/>
                    </w:rPr>
                    <w:t>C</w:t>
                  </w:r>
                  <w:r>
                    <w:rPr>
                      <w:color w:val="auto"/>
                      <w:kern w:val="0"/>
                      <w:sz w:val="18"/>
                      <w:szCs w:val="18"/>
                    </w:rPr>
                    <w:t>OD</w:t>
                  </w:r>
                  <w:r>
                    <w:rPr>
                      <w:rFonts w:hint="eastAsia"/>
                      <w:color w:val="auto"/>
                      <w:kern w:val="0"/>
                      <w:sz w:val="18"/>
                      <w:szCs w:val="18"/>
                    </w:rPr>
                    <w:t>（</w:t>
                  </w:r>
                  <w:r>
                    <w:rPr>
                      <w:color w:val="auto"/>
                      <w:kern w:val="0"/>
                      <w:sz w:val="18"/>
                      <w:szCs w:val="18"/>
                    </w:rPr>
                    <w:t>mg/l</w:t>
                  </w:r>
                  <w:r>
                    <w:rPr>
                      <w:rFonts w:hint="eastAsia"/>
                      <w:color w:val="auto"/>
                      <w:kern w:val="0"/>
                      <w:sz w:val="18"/>
                      <w:szCs w:val="18"/>
                    </w:rPr>
                    <w:t>）</w:t>
                  </w:r>
                </w:p>
              </w:tc>
              <w:tc>
                <w:tcPr>
                  <w:tcW w:w="831" w:type="pct"/>
                  <w:vAlign w:val="center"/>
                </w:tcPr>
                <w:p>
                  <w:pPr>
                    <w:spacing w:line="276" w:lineRule="auto"/>
                    <w:jc w:val="center"/>
                    <w:rPr>
                      <w:color w:val="auto"/>
                      <w:kern w:val="0"/>
                      <w:sz w:val="18"/>
                      <w:szCs w:val="18"/>
                    </w:rPr>
                  </w:pPr>
                  <w:r>
                    <w:rPr>
                      <w:rFonts w:hint="eastAsia"/>
                      <w:color w:val="auto"/>
                      <w:kern w:val="0"/>
                      <w:sz w:val="18"/>
                      <w:szCs w:val="18"/>
                    </w:rPr>
                    <w:t>B</w:t>
                  </w:r>
                  <w:r>
                    <w:rPr>
                      <w:color w:val="auto"/>
                      <w:kern w:val="0"/>
                      <w:sz w:val="18"/>
                      <w:szCs w:val="18"/>
                    </w:rPr>
                    <w:t>OD</w:t>
                  </w:r>
                  <w:r>
                    <w:rPr>
                      <w:color w:val="auto"/>
                      <w:kern w:val="0"/>
                      <w:sz w:val="18"/>
                      <w:szCs w:val="18"/>
                      <w:vertAlign w:val="subscript"/>
                    </w:rPr>
                    <w:t>5</w:t>
                  </w:r>
                  <w:r>
                    <w:rPr>
                      <w:rFonts w:hint="eastAsia"/>
                      <w:color w:val="auto"/>
                      <w:kern w:val="0"/>
                      <w:sz w:val="18"/>
                      <w:szCs w:val="18"/>
                    </w:rPr>
                    <w:t>（</w:t>
                  </w:r>
                  <w:r>
                    <w:rPr>
                      <w:color w:val="auto"/>
                      <w:kern w:val="0"/>
                      <w:sz w:val="18"/>
                      <w:szCs w:val="18"/>
                    </w:rPr>
                    <w:t>mg/l</w:t>
                  </w:r>
                  <w:r>
                    <w:rPr>
                      <w:rFonts w:hint="eastAsia"/>
                      <w:color w:val="auto"/>
                      <w:kern w:val="0"/>
                      <w:sz w:val="18"/>
                      <w:szCs w:val="18"/>
                    </w:rPr>
                    <w:t>）</w:t>
                  </w:r>
                </w:p>
              </w:tc>
              <w:tc>
                <w:tcPr>
                  <w:tcW w:w="831" w:type="pct"/>
                  <w:vAlign w:val="center"/>
                </w:tcPr>
                <w:p>
                  <w:pPr>
                    <w:spacing w:line="276" w:lineRule="auto"/>
                    <w:jc w:val="center"/>
                    <w:rPr>
                      <w:color w:val="auto"/>
                      <w:kern w:val="0"/>
                      <w:sz w:val="18"/>
                      <w:szCs w:val="18"/>
                    </w:rPr>
                  </w:pPr>
                  <w:r>
                    <w:rPr>
                      <w:rFonts w:hint="eastAsia"/>
                      <w:color w:val="auto"/>
                      <w:kern w:val="0"/>
                      <w:sz w:val="18"/>
                      <w:szCs w:val="18"/>
                    </w:rPr>
                    <w:t>总磷（</w:t>
                  </w:r>
                  <w:r>
                    <w:rPr>
                      <w:color w:val="auto"/>
                      <w:kern w:val="0"/>
                      <w:sz w:val="18"/>
                      <w:szCs w:val="18"/>
                    </w:rPr>
                    <w:t>mg/l</w:t>
                  </w:r>
                  <w:r>
                    <w:rPr>
                      <w:rFonts w:hint="eastAsia"/>
                      <w:color w:val="auto"/>
                      <w:kern w:val="0"/>
                      <w:sz w:val="18"/>
                      <w:szCs w:val="18"/>
                    </w:rPr>
                    <w:t>）</w:t>
                  </w:r>
                </w:p>
              </w:tc>
              <w:tc>
                <w:tcPr>
                  <w:tcW w:w="831" w:type="pct"/>
                  <w:vAlign w:val="center"/>
                </w:tcPr>
                <w:p>
                  <w:pPr>
                    <w:spacing w:line="276" w:lineRule="auto"/>
                    <w:jc w:val="center"/>
                    <w:rPr>
                      <w:color w:val="auto"/>
                      <w:kern w:val="0"/>
                      <w:sz w:val="18"/>
                      <w:szCs w:val="18"/>
                    </w:rPr>
                  </w:pPr>
                  <w:r>
                    <w:rPr>
                      <w:rFonts w:hint="eastAsia"/>
                      <w:color w:val="auto"/>
                      <w:kern w:val="0"/>
                      <w:sz w:val="18"/>
                      <w:szCs w:val="18"/>
                    </w:rPr>
                    <w:t>N</w:t>
                  </w:r>
                  <w:r>
                    <w:rPr>
                      <w:color w:val="auto"/>
                      <w:kern w:val="0"/>
                      <w:sz w:val="18"/>
                      <w:szCs w:val="18"/>
                    </w:rPr>
                    <w:t>H</w:t>
                  </w:r>
                  <w:r>
                    <w:rPr>
                      <w:color w:val="auto"/>
                      <w:kern w:val="0"/>
                      <w:sz w:val="18"/>
                      <w:szCs w:val="18"/>
                      <w:vertAlign w:val="subscript"/>
                    </w:rPr>
                    <w:t>3</w:t>
                  </w:r>
                  <w:r>
                    <w:rPr>
                      <w:color w:val="auto"/>
                      <w:kern w:val="0"/>
                      <w:sz w:val="18"/>
                      <w:szCs w:val="18"/>
                    </w:rPr>
                    <w:t>-N</w:t>
                  </w:r>
                  <w:r>
                    <w:rPr>
                      <w:rFonts w:hint="eastAsia"/>
                      <w:color w:val="auto"/>
                      <w:kern w:val="0"/>
                      <w:sz w:val="18"/>
                      <w:szCs w:val="18"/>
                    </w:rPr>
                    <w:t>（</w:t>
                  </w:r>
                  <w:r>
                    <w:rPr>
                      <w:color w:val="auto"/>
                      <w:kern w:val="0"/>
                      <w:sz w:val="18"/>
                      <w:szCs w:val="18"/>
                    </w:rPr>
                    <w:t>mg/l</w:t>
                  </w:r>
                  <w:r>
                    <w:rPr>
                      <w:rFonts w:hint="eastAsia"/>
                      <w:color w:val="auto"/>
                      <w:kern w:val="0"/>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Align w:val="center"/>
                </w:tcPr>
                <w:p>
                  <w:pPr>
                    <w:spacing w:line="276" w:lineRule="auto"/>
                    <w:jc w:val="center"/>
                    <w:rPr>
                      <w:color w:val="auto"/>
                      <w:kern w:val="0"/>
                      <w:sz w:val="18"/>
                      <w:szCs w:val="18"/>
                    </w:rPr>
                  </w:pPr>
                  <w:r>
                    <w:rPr>
                      <w:rFonts w:hint="eastAsia"/>
                      <w:color w:val="auto"/>
                      <w:kern w:val="0"/>
                      <w:sz w:val="18"/>
                      <w:szCs w:val="18"/>
                    </w:rPr>
                    <w:t>标准值</w:t>
                  </w:r>
                </w:p>
              </w:tc>
              <w:tc>
                <w:tcPr>
                  <w:tcW w:w="1052" w:type="pct"/>
                  <w:vAlign w:val="center"/>
                </w:tcPr>
                <w:p>
                  <w:pPr>
                    <w:spacing w:line="276" w:lineRule="auto"/>
                    <w:jc w:val="center"/>
                    <w:rPr>
                      <w:color w:val="auto"/>
                      <w:kern w:val="0"/>
                      <w:sz w:val="18"/>
                      <w:szCs w:val="18"/>
                    </w:rPr>
                  </w:pPr>
                  <w:r>
                    <w:rPr>
                      <w:rFonts w:hint="eastAsia"/>
                      <w:color w:val="auto"/>
                      <w:kern w:val="0"/>
                      <w:sz w:val="18"/>
                      <w:szCs w:val="18"/>
                    </w:rPr>
                    <w:t>6~</w:t>
                  </w:r>
                  <w:r>
                    <w:rPr>
                      <w:color w:val="auto"/>
                      <w:kern w:val="0"/>
                      <w:sz w:val="18"/>
                      <w:szCs w:val="18"/>
                    </w:rPr>
                    <w:t>9</w:t>
                  </w:r>
                </w:p>
              </w:tc>
              <w:tc>
                <w:tcPr>
                  <w:tcW w:w="831" w:type="pct"/>
                  <w:vAlign w:val="center"/>
                </w:tcPr>
                <w:p>
                  <w:pPr>
                    <w:spacing w:line="276" w:lineRule="auto"/>
                    <w:jc w:val="center"/>
                    <w:rPr>
                      <w:color w:val="auto"/>
                      <w:kern w:val="0"/>
                      <w:sz w:val="18"/>
                      <w:szCs w:val="18"/>
                    </w:rPr>
                  </w:pPr>
                  <w:r>
                    <w:rPr>
                      <w:rFonts w:hint="eastAsia"/>
                      <w:color w:val="auto"/>
                      <w:kern w:val="0"/>
                      <w:sz w:val="18"/>
                      <w:szCs w:val="18"/>
                    </w:rPr>
                    <w:t>≤</w:t>
                  </w:r>
                  <w:r>
                    <w:rPr>
                      <w:color w:val="auto"/>
                      <w:kern w:val="0"/>
                      <w:sz w:val="18"/>
                      <w:szCs w:val="18"/>
                    </w:rPr>
                    <w:t>20</w:t>
                  </w:r>
                </w:p>
              </w:tc>
              <w:tc>
                <w:tcPr>
                  <w:tcW w:w="831" w:type="pct"/>
                  <w:vAlign w:val="center"/>
                </w:tcPr>
                <w:p>
                  <w:pPr>
                    <w:spacing w:line="276" w:lineRule="auto"/>
                    <w:jc w:val="center"/>
                    <w:rPr>
                      <w:color w:val="auto"/>
                      <w:kern w:val="0"/>
                      <w:sz w:val="18"/>
                      <w:szCs w:val="18"/>
                    </w:rPr>
                  </w:pPr>
                  <w:r>
                    <w:rPr>
                      <w:rFonts w:hint="eastAsia"/>
                      <w:color w:val="auto"/>
                      <w:kern w:val="0"/>
                      <w:sz w:val="18"/>
                      <w:szCs w:val="18"/>
                    </w:rPr>
                    <w:t>≤</w:t>
                  </w:r>
                  <w:r>
                    <w:rPr>
                      <w:color w:val="auto"/>
                      <w:kern w:val="0"/>
                      <w:sz w:val="18"/>
                      <w:szCs w:val="18"/>
                    </w:rPr>
                    <w:t>4</w:t>
                  </w:r>
                </w:p>
              </w:tc>
              <w:tc>
                <w:tcPr>
                  <w:tcW w:w="831" w:type="pct"/>
                  <w:vAlign w:val="center"/>
                </w:tcPr>
                <w:p>
                  <w:pPr>
                    <w:spacing w:line="276" w:lineRule="auto"/>
                    <w:jc w:val="center"/>
                    <w:rPr>
                      <w:color w:val="auto"/>
                      <w:kern w:val="0"/>
                      <w:sz w:val="18"/>
                      <w:szCs w:val="18"/>
                    </w:rPr>
                  </w:pPr>
                  <w:r>
                    <w:rPr>
                      <w:rFonts w:hint="eastAsia"/>
                      <w:color w:val="auto"/>
                      <w:kern w:val="0"/>
                      <w:sz w:val="18"/>
                      <w:szCs w:val="18"/>
                    </w:rPr>
                    <w:t>≤</w:t>
                  </w:r>
                  <w:r>
                    <w:rPr>
                      <w:color w:val="auto"/>
                      <w:kern w:val="0"/>
                      <w:sz w:val="18"/>
                      <w:szCs w:val="18"/>
                    </w:rPr>
                    <w:t>0.2</w:t>
                  </w:r>
                </w:p>
              </w:tc>
              <w:tc>
                <w:tcPr>
                  <w:tcW w:w="831" w:type="pct"/>
                  <w:vAlign w:val="center"/>
                </w:tcPr>
                <w:p>
                  <w:pPr>
                    <w:spacing w:line="276" w:lineRule="auto"/>
                    <w:jc w:val="center"/>
                    <w:rPr>
                      <w:color w:val="auto"/>
                      <w:kern w:val="0"/>
                      <w:sz w:val="18"/>
                      <w:szCs w:val="18"/>
                    </w:rPr>
                  </w:pPr>
                  <w:r>
                    <w:rPr>
                      <w:rFonts w:hint="eastAsia"/>
                      <w:color w:val="auto"/>
                      <w:kern w:val="0"/>
                      <w:sz w:val="18"/>
                      <w:szCs w:val="18"/>
                    </w:rPr>
                    <w:t>≤</w:t>
                  </w:r>
                  <w:r>
                    <w:rPr>
                      <w:color w:val="auto"/>
                      <w:kern w:val="0"/>
                      <w:sz w:val="18"/>
                      <w:szCs w:val="18"/>
                    </w:rPr>
                    <w:t>1.0</w:t>
                  </w:r>
                </w:p>
              </w:tc>
            </w:tr>
          </w:tbl>
          <w:p>
            <w:pPr>
              <w:adjustRightInd w:val="0"/>
              <w:snapToGrid w:val="0"/>
              <w:spacing w:line="360" w:lineRule="auto"/>
              <w:ind w:firstLine="420"/>
              <w:rPr>
                <w:rFonts w:ascii="宋体" w:hAnsi="宋体" w:cs="宋体"/>
                <w:color w:val="auto"/>
                <w:kern w:val="0"/>
                <w:szCs w:val="21"/>
              </w:rPr>
            </w:pP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3、声环境质量</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执行国家《声环境质量标准》（GB3096-2008）中的</w:t>
            </w:r>
            <w:r>
              <w:rPr>
                <w:rFonts w:ascii="宋体" w:hAnsi="宋体" w:cs="宋体"/>
                <w:color w:val="auto"/>
                <w:kern w:val="0"/>
                <w:szCs w:val="21"/>
              </w:rPr>
              <w:t>2</w:t>
            </w:r>
            <w:r>
              <w:rPr>
                <w:rFonts w:hint="eastAsia" w:ascii="宋体" w:hAnsi="宋体" w:cs="宋体"/>
                <w:color w:val="auto"/>
                <w:kern w:val="0"/>
                <w:szCs w:val="21"/>
              </w:rPr>
              <w:t>类标准，标准限值见下表</w:t>
            </w:r>
            <w:r>
              <w:rPr>
                <w:rFonts w:ascii="宋体" w:hAnsi="宋体" w:cs="宋体"/>
                <w:color w:val="auto"/>
                <w:kern w:val="0"/>
                <w:szCs w:val="21"/>
              </w:rPr>
              <w:t>3-15</w:t>
            </w:r>
            <w:r>
              <w:rPr>
                <w:rFonts w:hint="eastAsia" w:ascii="宋体" w:hAnsi="宋体" w:cs="宋体"/>
                <w:color w:val="auto"/>
                <w:kern w:val="0"/>
                <w:szCs w:val="21"/>
              </w:rPr>
              <w:t>。</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表3-</w:t>
            </w:r>
            <w:r>
              <w:rPr>
                <w:rFonts w:ascii="宋体" w:hAnsi="宋体" w:cs="宋体"/>
                <w:b/>
                <w:bCs/>
                <w:color w:val="auto"/>
                <w:kern w:val="0"/>
                <w:sz w:val="18"/>
                <w:szCs w:val="18"/>
              </w:rPr>
              <w:t xml:space="preserve">15 </w:t>
            </w:r>
            <w:r>
              <w:rPr>
                <w:rFonts w:hint="eastAsia" w:ascii="宋体" w:hAnsi="宋体" w:cs="宋体"/>
                <w:b/>
                <w:bCs/>
                <w:color w:val="auto"/>
                <w:kern w:val="0"/>
                <w:sz w:val="18"/>
                <w:szCs w:val="18"/>
              </w:rPr>
              <w:t xml:space="preserve">环境噪声标准值表等效声级 </w:t>
            </w:r>
            <w:r>
              <w:rPr>
                <w:rFonts w:ascii="宋体" w:hAnsi="宋体" w:cs="宋体"/>
                <w:b/>
                <w:bCs/>
                <w:color w:val="auto"/>
                <w:kern w:val="0"/>
                <w:sz w:val="18"/>
                <w:szCs w:val="18"/>
              </w:rPr>
              <w:t xml:space="preserve">  </w:t>
            </w:r>
            <w:r>
              <w:rPr>
                <w:rFonts w:hint="eastAsia" w:ascii="宋体" w:hAnsi="宋体" w:cs="宋体"/>
                <w:b/>
                <w:bCs/>
                <w:color w:val="auto"/>
                <w:kern w:val="0"/>
                <w:sz w:val="18"/>
                <w:szCs w:val="18"/>
              </w:rPr>
              <w:t>LAeq：dB（A）</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767"/>
              <w:gridCol w:w="2307"/>
              <w:gridCol w:w="22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8" w:type="pct"/>
                  <w:vMerge w:val="restart"/>
                  <w:vAlign w:val="center"/>
                </w:tcPr>
                <w:p>
                  <w:pPr>
                    <w:spacing w:line="276" w:lineRule="auto"/>
                    <w:jc w:val="center"/>
                    <w:rPr>
                      <w:color w:val="auto"/>
                      <w:kern w:val="0"/>
                      <w:sz w:val="18"/>
                      <w:szCs w:val="18"/>
                    </w:rPr>
                  </w:pPr>
                  <w:r>
                    <w:rPr>
                      <w:rFonts w:hint="eastAsia"/>
                      <w:color w:val="auto"/>
                      <w:kern w:val="0"/>
                      <w:sz w:val="18"/>
                      <w:szCs w:val="18"/>
                    </w:rPr>
                    <w:t>声环境</w:t>
                  </w:r>
                </w:p>
              </w:tc>
              <w:tc>
                <w:tcPr>
                  <w:tcW w:w="1090" w:type="pct"/>
                  <w:vMerge w:val="restart"/>
                  <w:vAlign w:val="center"/>
                </w:tcPr>
                <w:p>
                  <w:pPr>
                    <w:spacing w:line="276" w:lineRule="auto"/>
                    <w:jc w:val="center"/>
                    <w:rPr>
                      <w:color w:val="auto"/>
                      <w:kern w:val="0"/>
                      <w:sz w:val="18"/>
                      <w:szCs w:val="18"/>
                    </w:rPr>
                  </w:pPr>
                  <w:r>
                    <w:rPr>
                      <w:color w:val="auto"/>
                      <w:kern w:val="0"/>
                      <w:sz w:val="18"/>
                      <w:szCs w:val="18"/>
                    </w:rPr>
                    <w:t>2</w:t>
                  </w:r>
                  <w:r>
                    <w:rPr>
                      <w:rFonts w:hint="eastAsia"/>
                      <w:color w:val="auto"/>
                      <w:kern w:val="0"/>
                      <w:sz w:val="18"/>
                      <w:szCs w:val="18"/>
                    </w:rPr>
                    <w:t>类</w:t>
                  </w:r>
                </w:p>
              </w:tc>
              <w:tc>
                <w:tcPr>
                  <w:tcW w:w="1423" w:type="pct"/>
                  <w:vAlign w:val="center"/>
                </w:tcPr>
                <w:p>
                  <w:pPr>
                    <w:spacing w:line="276" w:lineRule="auto"/>
                    <w:jc w:val="center"/>
                    <w:rPr>
                      <w:color w:val="auto"/>
                      <w:kern w:val="0"/>
                      <w:sz w:val="18"/>
                      <w:szCs w:val="18"/>
                    </w:rPr>
                  </w:pPr>
                  <w:r>
                    <w:rPr>
                      <w:rFonts w:hint="eastAsia"/>
                      <w:color w:val="auto"/>
                      <w:kern w:val="0"/>
                      <w:sz w:val="18"/>
                      <w:szCs w:val="18"/>
                    </w:rPr>
                    <w:t>昼间</w:t>
                  </w:r>
                </w:p>
              </w:tc>
              <w:tc>
                <w:tcPr>
                  <w:tcW w:w="1380" w:type="pct"/>
                  <w:vAlign w:val="center"/>
                </w:tcPr>
                <w:p>
                  <w:pPr>
                    <w:spacing w:line="276" w:lineRule="auto"/>
                    <w:jc w:val="center"/>
                    <w:rPr>
                      <w:color w:val="auto"/>
                      <w:kern w:val="0"/>
                      <w:sz w:val="18"/>
                      <w:szCs w:val="18"/>
                    </w:rPr>
                  </w:pPr>
                  <w:r>
                    <w:rPr>
                      <w:color w:val="auto"/>
                      <w:kern w:val="0"/>
                      <w:sz w:val="18"/>
                      <w:szCs w:val="18"/>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8" w:type="pct"/>
                  <w:vMerge w:val="continue"/>
                  <w:vAlign w:val="center"/>
                </w:tcPr>
                <w:p>
                  <w:pPr>
                    <w:spacing w:line="276" w:lineRule="auto"/>
                    <w:jc w:val="center"/>
                    <w:rPr>
                      <w:color w:val="auto"/>
                      <w:kern w:val="0"/>
                      <w:sz w:val="18"/>
                      <w:szCs w:val="18"/>
                    </w:rPr>
                  </w:pPr>
                </w:p>
              </w:tc>
              <w:tc>
                <w:tcPr>
                  <w:tcW w:w="1090" w:type="pct"/>
                  <w:vMerge w:val="continue"/>
                  <w:vAlign w:val="center"/>
                </w:tcPr>
                <w:p>
                  <w:pPr>
                    <w:spacing w:line="276" w:lineRule="auto"/>
                    <w:jc w:val="center"/>
                    <w:rPr>
                      <w:color w:val="auto"/>
                      <w:kern w:val="0"/>
                      <w:sz w:val="18"/>
                      <w:szCs w:val="18"/>
                    </w:rPr>
                  </w:pPr>
                </w:p>
              </w:tc>
              <w:tc>
                <w:tcPr>
                  <w:tcW w:w="1423" w:type="pct"/>
                  <w:vAlign w:val="center"/>
                </w:tcPr>
                <w:p>
                  <w:pPr>
                    <w:spacing w:line="276" w:lineRule="auto"/>
                    <w:jc w:val="center"/>
                    <w:rPr>
                      <w:color w:val="auto"/>
                      <w:kern w:val="0"/>
                      <w:sz w:val="18"/>
                      <w:szCs w:val="18"/>
                    </w:rPr>
                  </w:pPr>
                  <w:r>
                    <w:rPr>
                      <w:rFonts w:hint="eastAsia"/>
                      <w:color w:val="auto"/>
                      <w:kern w:val="0"/>
                      <w:sz w:val="18"/>
                      <w:szCs w:val="18"/>
                    </w:rPr>
                    <w:t>夜间</w:t>
                  </w:r>
                </w:p>
              </w:tc>
              <w:tc>
                <w:tcPr>
                  <w:tcW w:w="1380" w:type="pct"/>
                  <w:vAlign w:val="center"/>
                </w:tcPr>
                <w:p>
                  <w:pPr>
                    <w:spacing w:line="276" w:lineRule="auto"/>
                    <w:jc w:val="center"/>
                    <w:rPr>
                      <w:color w:val="auto"/>
                      <w:kern w:val="0"/>
                      <w:sz w:val="18"/>
                      <w:szCs w:val="18"/>
                    </w:rPr>
                  </w:pPr>
                  <w:r>
                    <w:rPr>
                      <w:color w:val="auto"/>
                      <w:kern w:val="0"/>
                      <w:sz w:val="18"/>
                      <w:szCs w:val="18"/>
                    </w:rPr>
                    <w:t>50</w:t>
                  </w:r>
                </w:p>
              </w:tc>
            </w:tr>
          </w:tbl>
          <w:p>
            <w:pPr>
              <w:adjustRightInd w:val="0"/>
              <w:snapToGrid w:val="0"/>
              <w:spacing w:line="360" w:lineRule="auto"/>
              <w:rPr>
                <w:rFonts w:ascii="宋体" w:hAnsi="宋体" w:cs="宋体"/>
                <w:color w:val="auto"/>
                <w:kern w:val="0"/>
                <w:szCs w:val="21"/>
              </w:rPr>
            </w:pPr>
          </w:p>
          <w:p>
            <w:pPr>
              <w:adjustRightInd w:val="0"/>
              <w:snapToGrid w:val="0"/>
              <w:spacing w:line="360" w:lineRule="auto"/>
              <w:rPr>
                <w:rFonts w:ascii="宋体" w:hAnsi="宋体" w:cs="宋体"/>
                <w:b/>
                <w:bCs/>
                <w:color w:val="auto"/>
                <w:kern w:val="0"/>
                <w:szCs w:val="21"/>
              </w:rPr>
            </w:pPr>
            <w:r>
              <w:rPr>
                <w:rFonts w:hint="eastAsia" w:ascii="宋体" w:hAnsi="宋体" w:cs="宋体"/>
                <w:b/>
                <w:bCs/>
                <w:color w:val="auto"/>
                <w:kern w:val="0"/>
                <w:szCs w:val="21"/>
              </w:rPr>
              <w:t>二、污染物排放标准</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1、废气</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施工期：扬尘执行《四川省施工场地扬尘排放标准》（DB51/2682 -2020）表1中达州市限值要求，具体标准见表</w:t>
            </w:r>
            <w:r>
              <w:rPr>
                <w:rFonts w:ascii="宋体" w:hAnsi="宋体" w:cs="宋体"/>
                <w:color w:val="auto"/>
                <w:kern w:val="0"/>
                <w:szCs w:val="21"/>
              </w:rPr>
              <w:t>3-16</w:t>
            </w:r>
            <w:r>
              <w:rPr>
                <w:rFonts w:hint="eastAsia" w:ascii="宋体" w:hAnsi="宋体" w:cs="宋体"/>
                <w:color w:val="auto"/>
                <w:kern w:val="0"/>
                <w:szCs w:val="21"/>
              </w:rPr>
              <w:t>；</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运营期：本项目食堂油烟排放执行《饮食业油烟排放标准（试行）》（GB18483—2001）</w:t>
            </w:r>
            <w:r>
              <w:rPr>
                <w:color w:val="auto"/>
                <w:kern w:val="0"/>
                <w:szCs w:val="21"/>
              </w:rPr>
              <w:t>表2关于小型食堂的标准</w:t>
            </w:r>
            <w:r>
              <w:rPr>
                <w:rFonts w:hint="eastAsia" w:ascii="宋体" w:hAnsi="宋体" w:cs="宋体"/>
                <w:color w:val="auto"/>
                <w:kern w:val="0"/>
                <w:szCs w:val="21"/>
              </w:rPr>
              <w:t>；粉尘排放执行《大气污染物综合排放标准》（GB16297-1996）无组织排放限值，详见下表。</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表3-</w:t>
            </w:r>
            <w:r>
              <w:rPr>
                <w:rFonts w:ascii="宋体" w:hAnsi="宋体" w:cs="宋体"/>
                <w:b/>
                <w:bCs/>
                <w:color w:val="auto"/>
                <w:kern w:val="0"/>
                <w:sz w:val="18"/>
                <w:szCs w:val="18"/>
              </w:rPr>
              <w:t xml:space="preserve">16 </w:t>
            </w:r>
            <w:r>
              <w:rPr>
                <w:rFonts w:hint="eastAsia" w:ascii="宋体" w:hAnsi="宋体" w:cs="宋体"/>
                <w:b/>
                <w:bCs/>
                <w:color w:val="auto"/>
                <w:kern w:val="0"/>
                <w:sz w:val="18"/>
                <w:szCs w:val="18"/>
              </w:rPr>
              <w:t>施工期废气执行标准</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1047"/>
              <w:gridCol w:w="872"/>
              <w:gridCol w:w="1526"/>
              <w:gridCol w:w="1205"/>
              <w:gridCol w:w="1025"/>
              <w:gridCol w:w="19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276" w:type="pct"/>
                  <w:vAlign w:val="center"/>
                </w:tcPr>
                <w:p>
                  <w:pPr>
                    <w:spacing w:before="48" w:after="48"/>
                    <w:jc w:val="center"/>
                    <w:rPr>
                      <w:bCs/>
                      <w:color w:val="auto"/>
                      <w:sz w:val="18"/>
                      <w:szCs w:val="18"/>
                    </w:rPr>
                  </w:pPr>
                  <w:r>
                    <w:rPr>
                      <w:rFonts w:hint="eastAsia"/>
                      <w:bCs/>
                      <w:color w:val="auto"/>
                      <w:sz w:val="18"/>
                      <w:szCs w:val="18"/>
                    </w:rPr>
                    <w:t>序号</w:t>
                  </w:r>
                </w:p>
              </w:tc>
              <w:tc>
                <w:tcPr>
                  <w:tcW w:w="646" w:type="pct"/>
                  <w:vAlign w:val="center"/>
                </w:tcPr>
                <w:p>
                  <w:pPr>
                    <w:spacing w:before="48" w:after="48"/>
                    <w:jc w:val="center"/>
                    <w:rPr>
                      <w:bCs/>
                      <w:color w:val="auto"/>
                      <w:sz w:val="18"/>
                      <w:szCs w:val="18"/>
                    </w:rPr>
                  </w:pPr>
                  <w:r>
                    <w:rPr>
                      <w:rFonts w:hint="eastAsia"/>
                      <w:bCs/>
                      <w:color w:val="auto"/>
                      <w:sz w:val="18"/>
                      <w:szCs w:val="18"/>
                    </w:rPr>
                    <w:t>污染物</w:t>
                  </w:r>
                </w:p>
              </w:tc>
              <w:tc>
                <w:tcPr>
                  <w:tcW w:w="538" w:type="pct"/>
                  <w:vAlign w:val="center"/>
                </w:tcPr>
                <w:p>
                  <w:pPr>
                    <w:spacing w:before="48" w:after="48"/>
                    <w:jc w:val="center"/>
                    <w:rPr>
                      <w:bCs/>
                      <w:color w:val="auto"/>
                      <w:sz w:val="18"/>
                      <w:szCs w:val="18"/>
                    </w:rPr>
                  </w:pPr>
                  <w:r>
                    <w:rPr>
                      <w:rFonts w:hint="eastAsia"/>
                      <w:bCs/>
                      <w:color w:val="auto"/>
                      <w:sz w:val="18"/>
                      <w:szCs w:val="18"/>
                    </w:rPr>
                    <w:t>监控点</w:t>
                  </w:r>
                </w:p>
              </w:tc>
              <w:tc>
                <w:tcPr>
                  <w:tcW w:w="941" w:type="pct"/>
                  <w:vAlign w:val="center"/>
                </w:tcPr>
                <w:p>
                  <w:pPr>
                    <w:spacing w:before="48" w:after="48"/>
                    <w:jc w:val="center"/>
                    <w:rPr>
                      <w:bCs/>
                      <w:color w:val="auto"/>
                      <w:sz w:val="18"/>
                      <w:szCs w:val="18"/>
                    </w:rPr>
                  </w:pPr>
                  <w:r>
                    <w:rPr>
                      <w:rFonts w:hint="eastAsia"/>
                      <w:bCs/>
                      <w:color w:val="auto"/>
                      <w:sz w:val="18"/>
                      <w:szCs w:val="18"/>
                    </w:rPr>
                    <w:t>施工阶段</w:t>
                  </w:r>
                </w:p>
              </w:tc>
              <w:tc>
                <w:tcPr>
                  <w:tcW w:w="743" w:type="pct"/>
                  <w:vAlign w:val="center"/>
                </w:tcPr>
                <w:p>
                  <w:pPr>
                    <w:spacing w:before="48" w:after="48"/>
                    <w:jc w:val="center"/>
                    <w:rPr>
                      <w:bCs/>
                      <w:color w:val="auto"/>
                      <w:sz w:val="18"/>
                      <w:szCs w:val="18"/>
                    </w:rPr>
                  </w:pPr>
                  <w:r>
                    <w:rPr>
                      <w:rFonts w:hint="eastAsia"/>
                      <w:bCs/>
                      <w:color w:val="auto"/>
                      <w:sz w:val="18"/>
                      <w:szCs w:val="18"/>
                    </w:rPr>
                    <w:t>排放</w:t>
                  </w:r>
                  <w:r>
                    <w:rPr>
                      <w:bCs/>
                      <w:color w:val="auto"/>
                      <w:sz w:val="18"/>
                      <w:szCs w:val="18"/>
                    </w:rPr>
                    <w:t>限值</w:t>
                  </w:r>
                  <w:r>
                    <w:rPr>
                      <w:bCs/>
                      <w:color w:val="auto"/>
                      <w:sz w:val="18"/>
                      <w:szCs w:val="18"/>
                    </w:rPr>
                    <w:br w:type="textWrapping"/>
                  </w:r>
                  <w:r>
                    <w:rPr>
                      <w:rFonts w:hint="eastAsia"/>
                      <w:bCs/>
                      <w:color w:val="auto"/>
                      <w:sz w:val="18"/>
                      <w:szCs w:val="18"/>
                    </w:rPr>
                    <w:t>（mg</w:t>
                  </w:r>
                  <w:r>
                    <w:rPr>
                      <w:bCs/>
                      <w:color w:val="auto"/>
                      <w:sz w:val="18"/>
                      <w:szCs w:val="18"/>
                    </w:rPr>
                    <w:t>/m</w:t>
                  </w:r>
                  <w:r>
                    <w:rPr>
                      <w:bCs/>
                      <w:color w:val="auto"/>
                      <w:sz w:val="18"/>
                      <w:szCs w:val="18"/>
                      <w:vertAlign w:val="superscript"/>
                    </w:rPr>
                    <w:t>3</w:t>
                  </w:r>
                  <w:r>
                    <w:rPr>
                      <w:rFonts w:hint="eastAsia"/>
                      <w:bCs/>
                      <w:color w:val="auto"/>
                      <w:sz w:val="18"/>
                      <w:szCs w:val="18"/>
                    </w:rPr>
                    <w:t>）</w:t>
                  </w:r>
                </w:p>
              </w:tc>
              <w:tc>
                <w:tcPr>
                  <w:tcW w:w="632" w:type="pct"/>
                  <w:vAlign w:val="center"/>
                </w:tcPr>
                <w:p>
                  <w:pPr>
                    <w:spacing w:before="48" w:after="48"/>
                    <w:jc w:val="center"/>
                    <w:rPr>
                      <w:bCs/>
                      <w:color w:val="auto"/>
                      <w:sz w:val="18"/>
                      <w:szCs w:val="18"/>
                    </w:rPr>
                  </w:pPr>
                  <w:r>
                    <w:rPr>
                      <w:rFonts w:hint="eastAsia"/>
                      <w:bCs/>
                      <w:color w:val="auto"/>
                      <w:sz w:val="18"/>
                      <w:szCs w:val="18"/>
                    </w:rPr>
                    <w:t>监测时间</w:t>
                  </w:r>
                </w:p>
              </w:tc>
              <w:tc>
                <w:tcPr>
                  <w:tcW w:w="1224" w:type="pct"/>
                  <w:vAlign w:val="center"/>
                </w:tcPr>
                <w:p>
                  <w:pPr>
                    <w:spacing w:before="48" w:after="48"/>
                    <w:jc w:val="center"/>
                    <w:rPr>
                      <w:bCs/>
                      <w:color w:val="auto"/>
                      <w:sz w:val="18"/>
                      <w:szCs w:val="18"/>
                    </w:rPr>
                  </w:pPr>
                  <w:r>
                    <w:rPr>
                      <w:rFonts w:hint="eastAsia"/>
                      <w:bCs/>
                      <w:color w:val="auto"/>
                      <w:sz w:val="18"/>
                      <w:szCs w:val="18"/>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76" w:type="pct"/>
                  <w:vMerge w:val="restart"/>
                  <w:vAlign w:val="center"/>
                </w:tcPr>
                <w:p>
                  <w:pPr>
                    <w:spacing w:before="48" w:after="48"/>
                    <w:jc w:val="center"/>
                    <w:rPr>
                      <w:bCs/>
                      <w:color w:val="auto"/>
                      <w:sz w:val="18"/>
                      <w:szCs w:val="18"/>
                    </w:rPr>
                  </w:pPr>
                  <w:r>
                    <w:rPr>
                      <w:rFonts w:hint="eastAsia"/>
                      <w:bCs/>
                      <w:color w:val="auto"/>
                      <w:sz w:val="18"/>
                      <w:szCs w:val="18"/>
                    </w:rPr>
                    <w:t>1</w:t>
                  </w:r>
                </w:p>
              </w:tc>
              <w:tc>
                <w:tcPr>
                  <w:tcW w:w="646" w:type="pct"/>
                  <w:vMerge w:val="restart"/>
                  <w:vAlign w:val="center"/>
                </w:tcPr>
                <w:p>
                  <w:pPr>
                    <w:spacing w:before="48" w:after="48"/>
                    <w:jc w:val="center"/>
                    <w:rPr>
                      <w:bCs/>
                      <w:color w:val="auto"/>
                      <w:sz w:val="18"/>
                      <w:szCs w:val="18"/>
                    </w:rPr>
                  </w:pPr>
                  <w:r>
                    <w:rPr>
                      <w:rFonts w:hint="eastAsia"/>
                      <w:bCs/>
                      <w:color w:val="auto"/>
                      <w:sz w:val="18"/>
                      <w:szCs w:val="18"/>
                    </w:rPr>
                    <w:t>施工扬尘（即</w:t>
                  </w:r>
                  <w:r>
                    <w:rPr>
                      <w:bCs/>
                      <w:color w:val="auto"/>
                      <w:sz w:val="18"/>
                      <w:szCs w:val="18"/>
                    </w:rPr>
                    <w:t>总</w:t>
                  </w:r>
                  <w:r>
                    <w:rPr>
                      <w:rFonts w:hint="eastAsia"/>
                      <w:bCs/>
                      <w:color w:val="auto"/>
                      <w:sz w:val="18"/>
                      <w:szCs w:val="18"/>
                    </w:rPr>
                    <w:t>悬浮颗粒物TSP）</w:t>
                  </w:r>
                </w:p>
              </w:tc>
              <w:tc>
                <w:tcPr>
                  <w:tcW w:w="538" w:type="pct"/>
                  <w:vMerge w:val="restart"/>
                  <w:vAlign w:val="center"/>
                </w:tcPr>
                <w:p>
                  <w:pPr>
                    <w:spacing w:before="48" w:after="48"/>
                    <w:jc w:val="center"/>
                    <w:rPr>
                      <w:bCs/>
                      <w:color w:val="auto"/>
                      <w:sz w:val="18"/>
                      <w:szCs w:val="18"/>
                    </w:rPr>
                  </w:pPr>
                  <w:r>
                    <w:rPr>
                      <w:rFonts w:hint="eastAsia"/>
                      <w:bCs/>
                      <w:color w:val="auto"/>
                      <w:sz w:val="18"/>
                      <w:szCs w:val="18"/>
                    </w:rPr>
                    <w:t>周</w:t>
                  </w:r>
                  <w:r>
                    <w:rPr>
                      <w:bCs/>
                      <w:color w:val="auto"/>
                      <w:sz w:val="18"/>
                      <w:szCs w:val="18"/>
                    </w:rPr>
                    <w:t>界外浓度最高点</w:t>
                  </w:r>
                </w:p>
              </w:tc>
              <w:tc>
                <w:tcPr>
                  <w:tcW w:w="941" w:type="pct"/>
                  <w:vAlign w:val="center"/>
                </w:tcPr>
                <w:p>
                  <w:pPr>
                    <w:spacing w:before="48" w:after="48"/>
                    <w:jc w:val="center"/>
                    <w:rPr>
                      <w:bCs/>
                      <w:color w:val="auto"/>
                      <w:sz w:val="18"/>
                      <w:szCs w:val="18"/>
                    </w:rPr>
                  </w:pPr>
                  <w:r>
                    <w:rPr>
                      <w:rFonts w:hint="eastAsia"/>
                      <w:bCs/>
                      <w:color w:val="auto"/>
                      <w:sz w:val="18"/>
                      <w:szCs w:val="18"/>
                    </w:rPr>
                    <w:t>拆除、</w:t>
                  </w:r>
                  <w:r>
                    <w:rPr>
                      <w:bCs/>
                      <w:color w:val="auto"/>
                      <w:sz w:val="18"/>
                      <w:szCs w:val="18"/>
                    </w:rPr>
                    <w:t>土方</w:t>
                  </w:r>
                  <w:r>
                    <w:rPr>
                      <w:rFonts w:hint="eastAsia"/>
                      <w:bCs/>
                      <w:color w:val="auto"/>
                      <w:sz w:val="18"/>
                      <w:szCs w:val="18"/>
                    </w:rPr>
                    <w:t>开挖</w:t>
                  </w:r>
                  <w:r>
                    <w:rPr>
                      <w:bCs/>
                      <w:color w:val="auto"/>
                      <w:sz w:val="18"/>
                      <w:szCs w:val="18"/>
                    </w:rPr>
                    <w:t>、土方回填阶段</w:t>
                  </w:r>
                </w:p>
              </w:tc>
              <w:tc>
                <w:tcPr>
                  <w:tcW w:w="743" w:type="pct"/>
                  <w:vAlign w:val="center"/>
                </w:tcPr>
                <w:p>
                  <w:pPr>
                    <w:spacing w:before="48" w:after="48"/>
                    <w:jc w:val="center"/>
                    <w:rPr>
                      <w:bCs/>
                      <w:color w:val="auto"/>
                      <w:sz w:val="18"/>
                      <w:szCs w:val="18"/>
                    </w:rPr>
                  </w:pPr>
                  <w:r>
                    <w:rPr>
                      <w:rFonts w:hint="eastAsia"/>
                      <w:bCs/>
                      <w:color w:val="auto"/>
                      <w:sz w:val="18"/>
                      <w:szCs w:val="18"/>
                    </w:rPr>
                    <w:t>≤</w:t>
                  </w:r>
                  <w:r>
                    <w:rPr>
                      <w:bCs/>
                      <w:color w:val="auto"/>
                      <w:sz w:val="18"/>
                      <w:szCs w:val="18"/>
                    </w:rPr>
                    <w:t>0.6</w:t>
                  </w:r>
                </w:p>
              </w:tc>
              <w:tc>
                <w:tcPr>
                  <w:tcW w:w="632" w:type="pct"/>
                  <w:vMerge w:val="restart"/>
                  <w:vAlign w:val="center"/>
                </w:tcPr>
                <w:p>
                  <w:pPr>
                    <w:spacing w:before="48" w:after="48"/>
                    <w:jc w:val="center"/>
                    <w:rPr>
                      <w:bCs/>
                      <w:color w:val="auto"/>
                      <w:sz w:val="18"/>
                      <w:szCs w:val="18"/>
                    </w:rPr>
                  </w:pPr>
                  <w:r>
                    <w:rPr>
                      <w:rFonts w:hint="eastAsia"/>
                      <w:bCs/>
                      <w:color w:val="auto"/>
                      <w:sz w:val="18"/>
                      <w:szCs w:val="18"/>
                    </w:rPr>
                    <w:t>自</w:t>
                  </w:r>
                  <w:r>
                    <w:rPr>
                      <w:bCs/>
                      <w:color w:val="auto"/>
                      <w:sz w:val="18"/>
                      <w:szCs w:val="18"/>
                    </w:rPr>
                    <w:t>监测起连续</w:t>
                  </w:r>
                  <w:r>
                    <w:rPr>
                      <w:rFonts w:hint="eastAsia"/>
                      <w:bCs/>
                      <w:color w:val="auto"/>
                      <w:sz w:val="18"/>
                      <w:szCs w:val="18"/>
                    </w:rPr>
                    <w:t>15分钟</w:t>
                  </w:r>
                  <w:r>
                    <w:rPr>
                      <w:bCs/>
                      <w:color w:val="auto"/>
                      <w:sz w:val="18"/>
                      <w:szCs w:val="18"/>
                    </w:rPr>
                    <w:t>均值</w:t>
                  </w:r>
                </w:p>
              </w:tc>
              <w:tc>
                <w:tcPr>
                  <w:tcW w:w="1224" w:type="pct"/>
                  <w:vMerge w:val="restart"/>
                  <w:vAlign w:val="center"/>
                </w:tcPr>
                <w:p>
                  <w:pPr>
                    <w:spacing w:before="48" w:after="48"/>
                    <w:jc w:val="center"/>
                    <w:rPr>
                      <w:bCs/>
                      <w:color w:val="auto"/>
                      <w:sz w:val="18"/>
                      <w:szCs w:val="18"/>
                    </w:rPr>
                  </w:pPr>
                  <w:r>
                    <w:rPr>
                      <w:rFonts w:hint="eastAsia"/>
                      <w:bCs/>
                      <w:color w:val="auto"/>
                      <w:sz w:val="18"/>
                      <w:szCs w:val="18"/>
                    </w:rPr>
                    <w:t>《四川省施工场地扬尘排放标准》（DB51/2682 -2020）表1中达州市限值要求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vMerge w:val="continue"/>
                  <w:vAlign w:val="center"/>
                </w:tcPr>
                <w:p>
                  <w:pPr>
                    <w:spacing w:before="48" w:after="48"/>
                    <w:jc w:val="center"/>
                    <w:rPr>
                      <w:bCs/>
                      <w:color w:val="auto"/>
                      <w:sz w:val="18"/>
                      <w:szCs w:val="18"/>
                    </w:rPr>
                  </w:pPr>
                </w:p>
              </w:tc>
              <w:tc>
                <w:tcPr>
                  <w:tcW w:w="646" w:type="pct"/>
                  <w:vMerge w:val="continue"/>
                  <w:vAlign w:val="center"/>
                </w:tcPr>
                <w:p>
                  <w:pPr>
                    <w:spacing w:before="48" w:after="48"/>
                    <w:jc w:val="center"/>
                    <w:rPr>
                      <w:bCs/>
                      <w:color w:val="auto"/>
                      <w:sz w:val="18"/>
                      <w:szCs w:val="18"/>
                    </w:rPr>
                  </w:pPr>
                </w:p>
              </w:tc>
              <w:tc>
                <w:tcPr>
                  <w:tcW w:w="538" w:type="pct"/>
                  <w:vMerge w:val="continue"/>
                  <w:vAlign w:val="center"/>
                </w:tcPr>
                <w:p>
                  <w:pPr>
                    <w:spacing w:before="48" w:after="48"/>
                    <w:jc w:val="center"/>
                    <w:rPr>
                      <w:bCs/>
                      <w:color w:val="auto"/>
                      <w:sz w:val="18"/>
                      <w:szCs w:val="18"/>
                    </w:rPr>
                  </w:pPr>
                </w:p>
              </w:tc>
              <w:tc>
                <w:tcPr>
                  <w:tcW w:w="941" w:type="pct"/>
                  <w:vAlign w:val="center"/>
                </w:tcPr>
                <w:p>
                  <w:pPr>
                    <w:spacing w:before="48" w:after="48"/>
                    <w:jc w:val="center"/>
                    <w:rPr>
                      <w:bCs/>
                      <w:color w:val="auto"/>
                      <w:sz w:val="18"/>
                      <w:szCs w:val="18"/>
                    </w:rPr>
                  </w:pPr>
                  <w:r>
                    <w:rPr>
                      <w:rFonts w:hint="eastAsia"/>
                      <w:bCs/>
                      <w:color w:val="auto"/>
                      <w:sz w:val="18"/>
                      <w:szCs w:val="18"/>
                    </w:rPr>
                    <w:t>其他工程</w:t>
                  </w:r>
                </w:p>
              </w:tc>
              <w:tc>
                <w:tcPr>
                  <w:tcW w:w="743" w:type="pct"/>
                  <w:vAlign w:val="center"/>
                </w:tcPr>
                <w:p>
                  <w:pPr>
                    <w:spacing w:before="48" w:after="48"/>
                    <w:jc w:val="center"/>
                    <w:rPr>
                      <w:bCs/>
                      <w:color w:val="auto"/>
                      <w:sz w:val="18"/>
                      <w:szCs w:val="18"/>
                    </w:rPr>
                  </w:pPr>
                  <w:r>
                    <w:rPr>
                      <w:rFonts w:hint="eastAsia"/>
                      <w:bCs/>
                      <w:color w:val="auto"/>
                      <w:sz w:val="18"/>
                      <w:szCs w:val="18"/>
                    </w:rPr>
                    <w:t>0.25</w:t>
                  </w:r>
                </w:p>
              </w:tc>
              <w:tc>
                <w:tcPr>
                  <w:tcW w:w="632" w:type="pct"/>
                  <w:vMerge w:val="continue"/>
                  <w:vAlign w:val="center"/>
                </w:tcPr>
                <w:p>
                  <w:pPr>
                    <w:spacing w:before="48" w:after="48"/>
                    <w:jc w:val="center"/>
                    <w:rPr>
                      <w:bCs/>
                      <w:color w:val="auto"/>
                      <w:sz w:val="18"/>
                      <w:szCs w:val="18"/>
                    </w:rPr>
                  </w:pPr>
                </w:p>
              </w:tc>
              <w:tc>
                <w:tcPr>
                  <w:tcW w:w="1224" w:type="pct"/>
                  <w:vMerge w:val="continue"/>
                  <w:vAlign w:val="center"/>
                </w:tcPr>
                <w:p>
                  <w:pPr>
                    <w:spacing w:before="48" w:after="48"/>
                    <w:jc w:val="center"/>
                    <w:rPr>
                      <w:bCs/>
                      <w:color w:val="auto"/>
                      <w:sz w:val="18"/>
                      <w:szCs w:val="18"/>
                    </w:rPr>
                  </w:pPr>
                </w:p>
              </w:tc>
            </w:tr>
          </w:tbl>
          <w:p>
            <w:pPr>
              <w:adjustRightInd w:val="0"/>
              <w:snapToGrid w:val="0"/>
              <w:spacing w:line="360" w:lineRule="auto"/>
              <w:ind w:firstLine="420"/>
              <w:rPr>
                <w:rFonts w:ascii="宋体" w:hAnsi="宋体" w:cs="宋体"/>
                <w:color w:val="auto"/>
                <w:kern w:val="0"/>
                <w:szCs w:val="21"/>
              </w:rPr>
            </w:pP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表3-</w:t>
            </w:r>
            <w:r>
              <w:rPr>
                <w:rFonts w:ascii="宋体" w:hAnsi="宋体" w:cs="宋体"/>
                <w:b/>
                <w:bCs/>
                <w:color w:val="auto"/>
                <w:kern w:val="0"/>
                <w:sz w:val="18"/>
                <w:szCs w:val="18"/>
              </w:rPr>
              <w:t xml:space="preserve">17 </w:t>
            </w:r>
            <w:r>
              <w:rPr>
                <w:rFonts w:hint="eastAsia" w:ascii="宋体" w:hAnsi="宋体" w:cs="宋体"/>
                <w:b/>
                <w:bCs/>
                <w:color w:val="auto"/>
                <w:kern w:val="0"/>
                <w:sz w:val="18"/>
                <w:szCs w:val="18"/>
              </w:rPr>
              <w:t>饮食业油烟排放标准</w:t>
            </w:r>
          </w:p>
          <w:tbl>
            <w:tblPr>
              <w:tblStyle w:val="1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34"/>
              <w:gridCol w:w="1746"/>
              <w:gridCol w:w="1740"/>
              <w:gridCol w:w="15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934" w:type="dxa"/>
                  <w:vAlign w:val="center"/>
                </w:tcPr>
                <w:p>
                  <w:pPr>
                    <w:spacing w:line="300" w:lineRule="exact"/>
                    <w:jc w:val="center"/>
                    <w:rPr>
                      <w:bCs/>
                      <w:color w:val="auto"/>
                      <w:sz w:val="18"/>
                      <w:szCs w:val="18"/>
                    </w:rPr>
                  </w:pPr>
                  <w:r>
                    <w:rPr>
                      <w:bCs/>
                      <w:color w:val="auto"/>
                      <w:sz w:val="18"/>
                      <w:szCs w:val="18"/>
                    </w:rPr>
                    <w:t>规模</w:t>
                  </w:r>
                </w:p>
              </w:tc>
              <w:tc>
                <w:tcPr>
                  <w:tcW w:w="1746" w:type="dxa"/>
                  <w:vAlign w:val="center"/>
                </w:tcPr>
                <w:p>
                  <w:pPr>
                    <w:spacing w:line="300" w:lineRule="exact"/>
                    <w:jc w:val="center"/>
                    <w:rPr>
                      <w:bCs/>
                      <w:color w:val="auto"/>
                      <w:sz w:val="18"/>
                      <w:szCs w:val="18"/>
                    </w:rPr>
                  </w:pPr>
                  <w:r>
                    <w:rPr>
                      <w:bCs/>
                      <w:color w:val="auto"/>
                      <w:sz w:val="18"/>
                      <w:szCs w:val="18"/>
                    </w:rPr>
                    <w:t>小型</w:t>
                  </w:r>
                </w:p>
              </w:tc>
              <w:tc>
                <w:tcPr>
                  <w:tcW w:w="1740" w:type="dxa"/>
                  <w:vAlign w:val="center"/>
                </w:tcPr>
                <w:p>
                  <w:pPr>
                    <w:spacing w:line="300" w:lineRule="exact"/>
                    <w:jc w:val="center"/>
                    <w:rPr>
                      <w:bCs/>
                      <w:color w:val="auto"/>
                      <w:sz w:val="18"/>
                      <w:szCs w:val="18"/>
                    </w:rPr>
                  </w:pPr>
                  <w:r>
                    <w:rPr>
                      <w:bCs/>
                      <w:color w:val="auto"/>
                      <w:sz w:val="18"/>
                      <w:szCs w:val="18"/>
                    </w:rPr>
                    <w:t>中型</w:t>
                  </w:r>
                </w:p>
              </w:tc>
              <w:tc>
                <w:tcPr>
                  <w:tcW w:w="1558" w:type="dxa"/>
                  <w:vAlign w:val="center"/>
                </w:tcPr>
                <w:p>
                  <w:pPr>
                    <w:spacing w:line="300" w:lineRule="exact"/>
                    <w:jc w:val="center"/>
                    <w:rPr>
                      <w:bCs/>
                      <w:color w:val="auto"/>
                      <w:sz w:val="18"/>
                      <w:szCs w:val="18"/>
                    </w:rPr>
                  </w:pPr>
                  <w:r>
                    <w:rPr>
                      <w:bCs/>
                      <w:color w:val="auto"/>
                      <w:sz w:val="18"/>
                      <w:szCs w:val="18"/>
                    </w:rPr>
                    <w:t>大型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934" w:type="dxa"/>
                  <w:vAlign w:val="center"/>
                </w:tcPr>
                <w:p>
                  <w:pPr>
                    <w:spacing w:line="300" w:lineRule="exact"/>
                    <w:jc w:val="center"/>
                    <w:rPr>
                      <w:color w:val="auto"/>
                      <w:sz w:val="18"/>
                      <w:szCs w:val="18"/>
                    </w:rPr>
                  </w:pPr>
                  <w:r>
                    <w:rPr>
                      <w:color w:val="auto"/>
                      <w:sz w:val="18"/>
                      <w:szCs w:val="18"/>
                    </w:rPr>
                    <w:t>最高允许排放浓度（mg/m</w:t>
                  </w:r>
                  <w:r>
                    <w:rPr>
                      <w:color w:val="auto"/>
                      <w:sz w:val="18"/>
                      <w:szCs w:val="18"/>
                      <w:vertAlign w:val="superscript"/>
                    </w:rPr>
                    <w:t>3</w:t>
                  </w:r>
                  <w:r>
                    <w:rPr>
                      <w:color w:val="auto"/>
                      <w:sz w:val="18"/>
                      <w:szCs w:val="18"/>
                    </w:rPr>
                    <w:t>）</w:t>
                  </w:r>
                </w:p>
              </w:tc>
              <w:tc>
                <w:tcPr>
                  <w:tcW w:w="5044" w:type="dxa"/>
                  <w:gridSpan w:val="3"/>
                  <w:vAlign w:val="center"/>
                </w:tcPr>
                <w:p>
                  <w:pPr>
                    <w:spacing w:line="300" w:lineRule="exact"/>
                    <w:jc w:val="center"/>
                    <w:rPr>
                      <w:color w:val="auto"/>
                      <w:sz w:val="18"/>
                      <w:szCs w:val="18"/>
                    </w:rPr>
                  </w:pPr>
                  <w:r>
                    <w:rPr>
                      <w:color w:val="auto"/>
                      <w:sz w:val="18"/>
                      <w:szCs w:val="18"/>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9" w:hRule="atLeast"/>
                <w:jc w:val="center"/>
              </w:trPr>
              <w:tc>
                <w:tcPr>
                  <w:tcW w:w="2934" w:type="dxa"/>
                  <w:vAlign w:val="center"/>
                </w:tcPr>
                <w:p>
                  <w:pPr>
                    <w:spacing w:line="300" w:lineRule="exact"/>
                    <w:jc w:val="center"/>
                    <w:rPr>
                      <w:color w:val="auto"/>
                      <w:sz w:val="18"/>
                      <w:szCs w:val="18"/>
                    </w:rPr>
                  </w:pPr>
                  <w:r>
                    <w:rPr>
                      <w:color w:val="auto"/>
                      <w:sz w:val="18"/>
                      <w:szCs w:val="18"/>
                    </w:rPr>
                    <w:t>净化设施最低去除率（%）</w:t>
                  </w:r>
                </w:p>
              </w:tc>
              <w:tc>
                <w:tcPr>
                  <w:tcW w:w="1746" w:type="dxa"/>
                  <w:vAlign w:val="center"/>
                </w:tcPr>
                <w:p>
                  <w:pPr>
                    <w:spacing w:line="300" w:lineRule="exact"/>
                    <w:jc w:val="center"/>
                    <w:rPr>
                      <w:color w:val="auto"/>
                      <w:sz w:val="18"/>
                      <w:szCs w:val="18"/>
                    </w:rPr>
                  </w:pPr>
                  <w:r>
                    <w:rPr>
                      <w:color w:val="auto"/>
                      <w:sz w:val="18"/>
                      <w:szCs w:val="18"/>
                    </w:rPr>
                    <w:t>60</w:t>
                  </w:r>
                </w:p>
              </w:tc>
              <w:tc>
                <w:tcPr>
                  <w:tcW w:w="1740" w:type="dxa"/>
                  <w:vAlign w:val="center"/>
                </w:tcPr>
                <w:p>
                  <w:pPr>
                    <w:spacing w:line="300" w:lineRule="exact"/>
                    <w:jc w:val="center"/>
                    <w:rPr>
                      <w:color w:val="auto"/>
                      <w:sz w:val="18"/>
                      <w:szCs w:val="18"/>
                    </w:rPr>
                  </w:pPr>
                  <w:r>
                    <w:rPr>
                      <w:color w:val="auto"/>
                      <w:sz w:val="18"/>
                      <w:szCs w:val="18"/>
                    </w:rPr>
                    <w:t>75</w:t>
                  </w:r>
                </w:p>
              </w:tc>
              <w:tc>
                <w:tcPr>
                  <w:tcW w:w="1558" w:type="dxa"/>
                  <w:vAlign w:val="center"/>
                </w:tcPr>
                <w:p>
                  <w:pPr>
                    <w:spacing w:line="300" w:lineRule="exact"/>
                    <w:jc w:val="center"/>
                    <w:rPr>
                      <w:color w:val="auto"/>
                      <w:sz w:val="18"/>
                      <w:szCs w:val="18"/>
                    </w:rPr>
                  </w:pPr>
                  <w:r>
                    <w:rPr>
                      <w:color w:val="auto"/>
                      <w:sz w:val="18"/>
                      <w:szCs w:val="18"/>
                    </w:rPr>
                    <w:t>85</w:t>
                  </w:r>
                </w:p>
              </w:tc>
            </w:tr>
          </w:tbl>
          <w:p>
            <w:pPr>
              <w:adjustRightInd w:val="0"/>
              <w:snapToGrid w:val="0"/>
              <w:spacing w:line="360" w:lineRule="auto"/>
              <w:ind w:firstLine="420"/>
              <w:rPr>
                <w:rFonts w:ascii="宋体" w:hAnsi="宋体" w:cs="宋体"/>
                <w:color w:val="auto"/>
                <w:kern w:val="0"/>
                <w:szCs w:val="21"/>
              </w:rPr>
            </w:pP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表3-</w:t>
            </w:r>
            <w:r>
              <w:rPr>
                <w:rFonts w:ascii="宋体" w:hAnsi="宋体" w:cs="宋体"/>
                <w:b/>
                <w:bCs/>
                <w:color w:val="auto"/>
                <w:kern w:val="0"/>
                <w:sz w:val="18"/>
                <w:szCs w:val="18"/>
              </w:rPr>
              <w:t>18</w:t>
            </w:r>
            <w:r>
              <w:rPr>
                <w:rFonts w:hint="eastAsia" w:ascii="宋体" w:hAnsi="宋体" w:cs="宋体"/>
                <w:b/>
                <w:bCs/>
                <w:color w:val="auto"/>
                <w:kern w:val="0"/>
                <w:sz w:val="18"/>
                <w:szCs w:val="18"/>
              </w:rPr>
              <w:t>大气污染物综合排放标准</w:t>
            </w:r>
          </w:p>
          <w:tbl>
            <w:tblPr>
              <w:tblStyle w:val="14"/>
              <w:tblW w:w="7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2500"/>
              <w:gridCol w:w="3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2160" w:type="dxa"/>
                  <w:vMerge w:val="restart"/>
                  <w:tcBorders>
                    <w:left w:val="nil"/>
                  </w:tcBorders>
                  <w:vAlign w:val="center"/>
                </w:tcPr>
                <w:p>
                  <w:pPr>
                    <w:spacing w:line="280" w:lineRule="exact"/>
                    <w:jc w:val="center"/>
                    <w:rPr>
                      <w:b/>
                      <w:bCs/>
                      <w:color w:val="auto"/>
                      <w:sz w:val="18"/>
                      <w:szCs w:val="18"/>
                    </w:rPr>
                  </w:pPr>
                  <w:r>
                    <w:rPr>
                      <w:b/>
                      <w:bCs/>
                      <w:color w:val="auto"/>
                      <w:sz w:val="18"/>
                      <w:szCs w:val="18"/>
                    </w:rPr>
                    <w:t>污染物</w:t>
                  </w:r>
                </w:p>
              </w:tc>
              <w:tc>
                <w:tcPr>
                  <w:tcW w:w="5699" w:type="dxa"/>
                  <w:gridSpan w:val="2"/>
                  <w:tcBorders>
                    <w:bottom w:val="single" w:color="000000" w:sz="4" w:space="0"/>
                    <w:right w:val="nil"/>
                  </w:tcBorders>
                  <w:vAlign w:val="center"/>
                </w:tcPr>
                <w:p>
                  <w:pPr>
                    <w:spacing w:line="280" w:lineRule="exact"/>
                    <w:jc w:val="center"/>
                    <w:rPr>
                      <w:b/>
                      <w:bCs/>
                      <w:color w:val="auto"/>
                      <w:sz w:val="18"/>
                      <w:szCs w:val="18"/>
                    </w:rPr>
                  </w:pPr>
                  <w:r>
                    <w:rPr>
                      <w:b/>
                      <w:bCs/>
                      <w:color w:val="auto"/>
                      <w:sz w:val="18"/>
                      <w:szCs w:val="18"/>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2160" w:type="dxa"/>
                  <w:vMerge w:val="continue"/>
                  <w:tcBorders>
                    <w:left w:val="nil"/>
                  </w:tcBorders>
                  <w:vAlign w:val="center"/>
                </w:tcPr>
                <w:p>
                  <w:pPr>
                    <w:spacing w:line="280" w:lineRule="exact"/>
                    <w:jc w:val="center"/>
                    <w:rPr>
                      <w:b/>
                      <w:bCs/>
                      <w:color w:val="auto"/>
                      <w:sz w:val="18"/>
                      <w:szCs w:val="18"/>
                    </w:rPr>
                  </w:pPr>
                </w:p>
              </w:tc>
              <w:tc>
                <w:tcPr>
                  <w:tcW w:w="2500" w:type="dxa"/>
                  <w:tcBorders>
                    <w:top w:val="single" w:color="000000" w:sz="4" w:space="0"/>
                    <w:right w:val="single" w:color="000000" w:sz="4" w:space="0"/>
                  </w:tcBorders>
                  <w:vAlign w:val="center"/>
                </w:tcPr>
                <w:p>
                  <w:pPr>
                    <w:spacing w:line="280" w:lineRule="exact"/>
                    <w:jc w:val="center"/>
                    <w:rPr>
                      <w:b/>
                      <w:bCs/>
                      <w:color w:val="auto"/>
                      <w:sz w:val="18"/>
                      <w:szCs w:val="18"/>
                    </w:rPr>
                  </w:pPr>
                  <w:r>
                    <w:rPr>
                      <w:b/>
                      <w:bCs/>
                      <w:color w:val="auto"/>
                      <w:sz w:val="18"/>
                      <w:szCs w:val="18"/>
                    </w:rPr>
                    <w:t>监控点</w:t>
                  </w:r>
                </w:p>
              </w:tc>
              <w:tc>
                <w:tcPr>
                  <w:tcW w:w="3199" w:type="dxa"/>
                  <w:tcBorders>
                    <w:top w:val="single" w:color="000000" w:sz="4" w:space="0"/>
                    <w:left w:val="single" w:color="000000" w:sz="4" w:space="0"/>
                    <w:right w:val="nil"/>
                  </w:tcBorders>
                  <w:vAlign w:val="center"/>
                </w:tcPr>
                <w:p>
                  <w:pPr>
                    <w:spacing w:line="280" w:lineRule="exact"/>
                    <w:jc w:val="center"/>
                    <w:rPr>
                      <w:b/>
                      <w:bCs/>
                      <w:color w:val="auto"/>
                      <w:sz w:val="18"/>
                      <w:szCs w:val="18"/>
                    </w:rPr>
                  </w:pPr>
                  <w:r>
                    <w:rPr>
                      <w:b/>
                      <w:bCs/>
                      <w:color w:val="auto"/>
                      <w:sz w:val="18"/>
                      <w:szCs w:val="18"/>
                    </w:rPr>
                    <w:t>浓度（mg/m</w:t>
                  </w:r>
                  <w:r>
                    <w:rPr>
                      <w:b/>
                      <w:bCs/>
                      <w:color w:val="auto"/>
                      <w:sz w:val="18"/>
                      <w:szCs w:val="18"/>
                      <w:vertAlign w:val="superscript"/>
                    </w:rPr>
                    <w:t>3</w:t>
                  </w:r>
                  <w:r>
                    <w:rPr>
                      <w:b/>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2160" w:type="dxa"/>
                  <w:tcBorders>
                    <w:left w:val="nil"/>
                  </w:tcBorders>
                  <w:vAlign w:val="center"/>
                </w:tcPr>
                <w:p>
                  <w:pPr>
                    <w:spacing w:line="280" w:lineRule="exact"/>
                    <w:jc w:val="center"/>
                    <w:rPr>
                      <w:b/>
                      <w:bCs/>
                      <w:color w:val="auto"/>
                      <w:sz w:val="18"/>
                      <w:szCs w:val="18"/>
                    </w:rPr>
                  </w:pPr>
                  <w:r>
                    <w:rPr>
                      <w:color w:val="auto"/>
                      <w:sz w:val="18"/>
                      <w:szCs w:val="18"/>
                    </w:rPr>
                    <w:t>颗粒物（其它）</w:t>
                  </w:r>
                </w:p>
              </w:tc>
              <w:tc>
                <w:tcPr>
                  <w:tcW w:w="2500" w:type="dxa"/>
                  <w:tcBorders>
                    <w:top w:val="single" w:color="000000" w:sz="4" w:space="0"/>
                    <w:right w:val="single" w:color="000000" w:sz="4" w:space="0"/>
                  </w:tcBorders>
                  <w:vAlign w:val="center"/>
                </w:tcPr>
                <w:p>
                  <w:pPr>
                    <w:spacing w:line="280" w:lineRule="exact"/>
                    <w:jc w:val="center"/>
                    <w:rPr>
                      <w:b/>
                      <w:bCs/>
                      <w:color w:val="auto"/>
                      <w:sz w:val="18"/>
                      <w:szCs w:val="18"/>
                    </w:rPr>
                  </w:pPr>
                  <w:r>
                    <w:rPr>
                      <w:color w:val="auto"/>
                      <w:sz w:val="18"/>
                      <w:szCs w:val="18"/>
                    </w:rPr>
                    <w:t>周界外浓度最高点</w:t>
                  </w:r>
                </w:p>
              </w:tc>
              <w:tc>
                <w:tcPr>
                  <w:tcW w:w="3199" w:type="dxa"/>
                  <w:tcBorders>
                    <w:top w:val="single" w:color="000000" w:sz="4" w:space="0"/>
                    <w:left w:val="single" w:color="000000" w:sz="4" w:space="0"/>
                    <w:right w:val="nil"/>
                  </w:tcBorders>
                  <w:vAlign w:val="center"/>
                </w:tcPr>
                <w:p>
                  <w:pPr>
                    <w:spacing w:line="280" w:lineRule="exact"/>
                    <w:jc w:val="center"/>
                    <w:rPr>
                      <w:b/>
                      <w:bCs/>
                      <w:color w:val="auto"/>
                      <w:sz w:val="18"/>
                      <w:szCs w:val="18"/>
                    </w:rPr>
                  </w:pPr>
                  <w:r>
                    <w:rPr>
                      <w:color w:val="auto"/>
                      <w:sz w:val="18"/>
                      <w:szCs w:val="18"/>
                    </w:rPr>
                    <w:t>1.0</w:t>
                  </w:r>
                </w:p>
              </w:tc>
            </w:tr>
          </w:tbl>
          <w:p>
            <w:pPr>
              <w:adjustRightInd w:val="0"/>
              <w:snapToGrid w:val="0"/>
              <w:spacing w:line="360" w:lineRule="auto"/>
              <w:ind w:firstLine="420"/>
              <w:rPr>
                <w:rFonts w:ascii="宋体" w:hAnsi="宋体" w:cs="宋体"/>
                <w:color w:val="auto"/>
                <w:kern w:val="0"/>
                <w:szCs w:val="21"/>
              </w:rPr>
            </w:pP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2、废水</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项目生产废水经收集处理后，全部循环回用不外排；生活污水经建设一体化污水处理设施收集处理后用作农地灌溉，不外排。</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3、噪声</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项目运营期噪声执行国家</w:t>
            </w:r>
            <w:r>
              <w:rPr>
                <w:color w:val="auto"/>
                <w:kern w:val="0"/>
                <w:szCs w:val="21"/>
              </w:rPr>
              <w:t>《工业企业厂界环境噪声排放标准》(GBl2348-2008) 2类标准</w:t>
            </w:r>
            <w:r>
              <w:rPr>
                <w:rFonts w:hint="eastAsia" w:ascii="宋体" w:hAnsi="宋体" w:cs="宋体"/>
                <w:color w:val="auto"/>
                <w:kern w:val="0"/>
                <w:szCs w:val="21"/>
              </w:rPr>
              <w:t>，标准限值见下表；</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表3-</w:t>
            </w:r>
            <w:r>
              <w:rPr>
                <w:rFonts w:ascii="宋体" w:hAnsi="宋体" w:cs="宋体"/>
                <w:b/>
                <w:bCs/>
                <w:color w:val="auto"/>
                <w:kern w:val="0"/>
                <w:sz w:val="18"/>
                <w:szCs w:val="18"/>
              </w:rPr>
              <w:t xml:space="preserve">18 </w:t>
            </w:r>
            <w:r>
              <w:rPr>
                <w:rFonts w:hint="eastAsia" w:ascii="宋体" w:hAnsi="宋体" w:cs="宋体"/>
                <w:b/>
                <w:bCs/>
                <w:color w:val="auto"/>
                <w:kern w:val="0"/>
                <w:sz w:val="18"/>
                <w:szCs w:val="18"/>
              </w:rPr>
              <w:t>运营期噪声排放标准值表等效声级  LAeq：dB（A）</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00"/>
              <w:gridCol w:w="2703"/>
              <w:gridCol w:w="27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Pr>
                <w:p>
                  <w:pPr>
                    <w:spacing w:line="276" w:lineRule="auto"/>
                    <w:jc w:val="center"/>
                    <w:rPr>
                      <w:color w:val="auto"/>
                      <w:kern w:val="0"/>
                      <w:sz w:val="18"/>
                      <w:szCs w:val="18"/>
                    </w:rPr>
                  </w:pPr>
                  <w:r>
                    <w:rPr>
                      <w:rFonts w:hint="eastAsia"/>
                      <w:color w:val="auto"/>
                      <w:kern w:val="0"/>
                      <w:sz w:val="18"/>
                      <w:szCs w:val="18"/>
                    </w:rPr>
                    <w:t>类别</w:t>
                  </w:r>
                </w:p>
              </w:tc>
              <w:tc>
                <w:tcPr>
                  <w:tcW w:w="1667" w:type="pct"/>
                </w:tcPr>
                <w:p>
                  <w:pPr>
                    <w:spacing w:line="276" w:lineRule="auto"/>
                    <w:jc w:val="center"/>
                    <w:rPr>
                      <w:color w:val="auto"/>
                      <w:kern w:val="0"/>
                      <w:sz w:val="18"/>
                      <w:szCs w:val="18"/>
                    </w:rPr>
                  </w:pPr>
                  <w:r>
                    <w:rPr>
                      <w:rFonts w:hint="eastAsia"/>
                      <w:color w:val="auto"/>
                      <w:kern w:val="0"/>
                      <w:sz w:val="18"/>
                      <w:szCs w:val="18"/>
                    </w:rPr>
                    <w:t>昼间</w:t>
                  </w:r>
                </w:p>
              </w:tc>
              <w:tc>
                <w:tcPr>
                  <w:tcW w:w="1667" w:type="pct"/>
                </w:tcPr>
                <w:p>
                  <w:pPr>
                    <w:spacing w:line="276" w:lineRule="auto"/>
                    <w:jc w:val="center"/>
                    <w:rPr>
                      <w:color w:val="auto"/>
                      <w:kern w:val="0"/>
                      <w:sz w:val="18"/>
                      <w:szCs w:val="18"/>
                    </w:rPr>
                  </w:pPr>
                  <w:r>
                    <w:rPr>
                      <w:rFonts w:hint="eastAsia"/>
                      <w:color w:val="auto"/>
                      <w:kern w:val="0"/>
                      <w:sz w:val="18"/>
                      <w:szCs w:val="18"/>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Pr>
                <w:p>
                  <w:pPr>
                    <w:spacing w:line="276" w:lineRule="auto"/>
                    <w:jc w:val="center"/>
                    <w:rPr>
                      <w:color w:val="auto"/>
                      <w:kern w:val="0"/>
                      <w:sz w:val="18"/>
                      <w:szCs w:val="18"/>
                    </w:rPr>
                  </w:pPr>
                  <w:r>
                    <w:rPr>
                      <w:color w:val="auto"/>
                      <w:kern w:val="0"/>
                      <w:sz w:val="18"/>
                      <w:szCs w:val="18"/>
                    </w:rPr>
                    <w:t>2</w:t>
                  </w:r>
                </w:p>
              </w:tc>
              <w:tc>
                <w:tcPr>
                  <w:tcW w:w="1667" w:type="pct"/>
                </w:tcPr>
                <w:p>
                  <w:pPr>
                    <w:spacing w:line="276" w:lineRule="auto"/>
                    <w:jc w:val="center"/>
                    <w:rPr>
                      <w:color w:val="auto"/>
                      <w:kern w:val="0"/>
                      <w:sz w:val="18"/>
                      <w:szCs w:val="18"/>
                    </w:rPr>
                  </w:pPr>
                  <w:r>
                    <w:rPr>
                      <w:color w:val="auto"/>
                      <w:kern w:val="0"/>
                      <w:sz w:val="18"/>
                      <w:szCs w:val="18"/>
                    </w:rPr>
                    <w:t>60</w:t>
                  </w:r>
                </w:p>
              </w:tc>
              <w:tc>
                <w:tcPr>
                  <w:tcW w:w="1667" w:type="pct"/>
                </w:tcPr>
                <w:p>
                  <w:pPr>
                    <w:spacing w:line="276" w:lineRule="auto"/>
                    <w:jc w:val="center"/>
                    <w:rPr>
                      <w:color w:val="auto"/>
                      <w:kern w:val="0"/>
                      <w:sz w:val="18"/>
                      <w:szCs w:val="18"/>
                    </w:rPr>
                  </w:pPr>
                  <w:r>
                    <w:rPr>
                      <w:color w:val="auto"/>
                      <w:kern w:val="0"/>
                      <w:sz w:val="18"/>
                      <w:szCs w:val="18"/>
                    </w:rPr>
                    <w:t>50</w:t>
                  </w:r>
                </w:p>
              </w:tc>
            </w:tr>
          </w:tbl>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施工期执行《建筑施工场界环境噪声排放标准》（GB12523-2011）标准限值，标准限值见下表</w:t>
            </w:r>
            <w:r>
              <w:rPr>
                <w:rFonts w:ascii="宋体" w:hAnsi="宋体" w:cs="宋体"/>
                <w:color w:val="auto"/>
                <w:kern w:val="0"/>
                <w:szCs w:val="21"/>
              </w:rPr>
              <w:t>3-19</w:t>
            </w:r>
            <w:r>
              <w:rPr>
                <w:rFonts w:hint="eastAsia" w:ascii="宋体" w:hAnsi="宋体" w:cs="宋体"/>
                <w:color w:val="auto"/>
                <w:kern w:val="0"/>
                <w:szCs w:val="21"/>
              </w:rPr>
              <w:t>。</w:t>
            </w:r>
          </w:p>
          <w:p>
            <w:pPr>
              <w:adjustRightInd w:val="0"/>
              <w:snapToGrid w:val="0"/>
              <w:spacing w:line="360" w:lineRule="auto"/>
              <w:jc w:val="center"/>
              <w:rPr>
                <w:rFonts w:ascii="宋体" w:hAnsi="宋体" w:cs="宋体"/>
                <w:b/>
                <w:bCs/>
                <w:color w:val="auto"/>
                <w:kern w:val="0"/>
                <w:sz w:val="18"/>
                <w:szCs w:val="18"/>
              </w:rPr>
            </w:pPr>
            <w:r>
              <w:rPr>
                <w:rFonts w:hint="eastAsia" w:ascii="宋体" w:hAnsi="宋体" w:cs="宋体"/>
                <w:b/>
                <w:bCs/>
                <w:color w:val="auto"/>
                <w:kern w:val="0"/>
                <w:sz w:val="18"/>
                <w:szCs w:val="18"/>
              </w:rPr>
              <w:t>表3-</w:t>
            </w:r>
            <w:r>
              <w:rPr>
                <w:rFonts w:ascii="宋体" w:hAnsi="宋体" w:cs="宋体"/>
                <w:b/>
                <w:bCs/>
                <w:color w:val="auto"/>
                <w:kern w:val="0"/>
                <w:sz w:val="18"/>
                <w:szCs w:val="18"/>
              </w:rPr>
              <w:t xml:space="preserve">19 </w:t>
            </w:r>
            <w:r>
              <w:rPr>
                <w:rFonts w:hint="eastAsia" w:ascii="宋体" w:hAnsi="宋体" w:cs="宋体"/>
                <w:b/>
                <w:bCs/>
                <w:color w:val="auto"/>
                <w:kern w:val="0"/>
                <w:sz w:val="18"/>
                <w:szCs w:val="18"/>
              </w:rPr>
              <w:t xml:space="preserve">施工期厂界噪声标准值等效声级 </w:t>
            </w:r>
            <w:r>
              <w:rPr>
                <w:rFonts w:ascii="宋体" w:hAnsi="宋体" w:cs="宋体"/>
                <w:b/>
                <w:bCs/>
                <w:color w:val="auto"/>
                <w:kern w:val="0"/>
                <w:sz w:val="18"/>
                <w:szCs w:val="18"/>
              </w:rPr>
              <w:t xml:space="preserve"> </w:t>
            </w:r>
            <w:r>
              <w:rPr>
                <w:rFonts w:hint="eastAsia" w:ascii="宋体" w:hAnsi="宋体" w:cs="宋体"/>
                <w:b/>
                <w:bCs/>
                <w:color w:val="auto"/>
                <w:kern w:val="0"/>
                <w:sz w:val="18"/>
                <w:szCs w:val="18"/>
              </w:rPr>
              <w:t>LAeq：dB（A）</w:t>
            </w:r>
          </w:p>
          <w:tbl>
            <w:tblPr>
              <w:tblStyle w:val="1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53"/>
              <w:gridCol w:w="40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Pr>
                <w:p>
                  <w:pPr>
                    <w:spacing w:line="276" w:lineRule="auto"/>
                    <w:jc w:val="center"/>
                    <w:rPr>
                      <w:color w:val="auto"/>
                      <w:kern w:val="0"/>
                      <w:sz w:val="18"/>
                      <w:szCs w:val="18"/>
                    </w:rPr>
                  </w:pPr>
                  <w:r>
                    <w:rPr>
                      <w:rFonts w:hint="eastAsia"/>
                      <w:color w:val="auto"/>
                      <w:kern w:val="0"/>
                      <w:sz w:val="18"/>
                      <w:szCs w:val="18"/>
                    </w:rPr>
                    <w:t>昼间</w:t>
                  </w:r>
                </w:p>
              </w:tc>
              <w:tc>
                <w:tcPr>
                  <w:tcW w:w="2500" w:type="pct"/>
                </w:tcPr>
                <w:p>
                  <w:pPr>
                    <w:spacing w:line="276" w:lineRule="auto"/>
                    <w:jc w:val="center"/>
                    <w:rPr>
                      <w:color w:val="auto"/>
                      <w:kern w:val="0"/>
                      <w:sz w:val="18"/>
                      <w:szCs w:val="18"/>
                    </w:rPr>
                  </w:pPr>
                  <w:r>
                    <w:rPr>
                      <w:rFonts w:hint="eastAsia"/>
                      <w:color w:val="auto"/>
                      <w:kern w:val="0"/>
                      <w:sz w:val="18"/>
                      <w:szCs w:val="18"/>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0" w:type="pct"/>
                </w:tcPr>
                <w:p>
                  <w:pPr>
                    <w:spacing w:line="276" w:lineRule="auto"/>
                    <w:jc w:val="center"/>
                    <w:rPr>
                      <w:color w:val="auto"/>
                      <w:kern w:val="0"/>
                      <w:sz w:val="18"/>
                      <w:szCs w:val="18"/>
                    </w:rPr>
                  </w:pPr>
                  <w:r>
                    <w:rPr>
                      <w:rFonts w:hint="eastAsia"/>
                      <w:color w:val="auto"/>
                      <w:kern w:val="0"/>
                      <w:sz w:val="18"/>
                      <w:szCs w:val="18"/>
                    </w:rPr>
                    <w:t>7</w:t>
                  </w:r>
                  <w:r>
                    <w:rPr>
                      <w:color w:val="auto"/>
                      <w:kern w:val="0"/>
                      <w:sz w:val="18"/>
                      <w:szCs w:val="18"/>
                    </w:rPr>
                    <w:t>0</w:t>
                  </w:r>
                </w:p>
              </w:tc>
              <w:tc>
                <w:tcPr>
                  <w:tcW w:w="2500" w:type="pct"/>
                </w:tcPr>
                <w:p>
                  <w:pPr>
                    <w:spacing w:line="276" w:lineRule="auto"/>
                    <w:jc w:val="center"/>
                    <w:rPr>
                      <w:color w:val="auto"/>
                      <w:kern w:val="0"/>
                      <w:sz w:val="18"/>
                      <w:szCs w:val="18"/>
                    </w:rPr>
                  </w:pPr>
                  <w:r>
                    <w:rPr>
                      <w:rFonts w:hint="eastAsia"/>
                      <w:color w:val="auto"/>
                      <w:kern w:val="0"/>
                      <w:sz w:val="18"/>
                      <w:szCs w:val="18"/>
                    </w:rPr>
                    <w:t>5</w:t>
                  </w:r>
                  <w:r>
                    <w:rPr>
                      <w:color w:val="auto"/>
                      <w:kern w:val="0"/>
                      <w:sz w:val="18"/>
                      <w:szCs w:val="18"/>
                    </w:rPr>
                    <w:t>5</w:t>
                  </w:r>
                </w:p>
              </w:tc>
            </w:tr>
          </w:tbl>
          <w:p>
            <w:pPr>
              <w:adjustRightInd w:val="0"/>
              <w:snapToGrid w:val="0"/>
              <w:spacing w:line="360" w:lineRule="auto"/>
              <w:ind w:firstLine="420"/>
              <w:rPr>
                <w:rFonts w:ascii="宋体" w:hAnsi="宋体" w:cs="宋体"/>
                <w:color w:val="auto"/>
                <w:kern w:val="0"/>
                <w:szCs w:val="21"/>
              </w:rPr>
            </w:pP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4、固体废物</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剥离表土等一般固废执行《一般工业固体废物贮存和填埋污染控制标准》（GB 18599-2020）；危险废物执行《危险废物贮存污染控制标准》（GB18597-2023）的要求。</w:t>
            </w:r>
          </w:p>
          <w:p>
            <w:pPr>
              <w:adjustRightInd w:val="0"/>
              <w:snapToGrid w:val="0"/>
              <w:spacing w:line="360" w:lineRule="auto"/>
              <w:ind w:firstLine="420"/>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904" w:type="dxa"/>
            <w:vAlign w:val="center"/>
          </w:tcPr>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Cs w:val="21"/>
              </w:rPr>
              <w:t>其他</w:t>
            </w:r>
          </w:p>
        </w:tc>
        <w:tc>
          <w:tcPr>
            <w:tcW w:w="8253" w:type="dxa"/>
            <w:vAlign w:val="center"/>
          </w:tcPr>
          <w:p>
            <w:pPr>
              <w:spacing w:line="400" w:lineRule="exact"/>
              <w:ind w:firstLine="420" w:firstLineChars="200"/>
              <w:rPr>
                <w:bCs/>
                <w:color w:val="auto"/>
                <w:kern w:val="0"/>
                <w:szCs w:val="21"/>
              </w:rPr>
            </w:pPr>
            <w:r>
              <w:rPr>
                <w:bCs/>
                <w:color w:val="auto"/>
                <w:kern w:val="0"/>
                <w:szCs w:val="21"/>
              </w:rPr>
              <w:t>本项目为建筑石料用灰岩开采及加工项目，生产过程不会产生SO</w:t>
            </w:r>
            <w:r>
              <w:rPr>
                <w:bCs/>
                <w:color w:val="auto"/>
                <w:kern w:val="0"/>
                <w:szCs w:val="21"/>
                <w:vertAlign w:val="subscript"/>
              </w:rPr>
              <w:t>2</w:t>
            </w:r>
            <w:r>
              <w:rPr>
                <w:bCs/>
                <w:color w:val="auto"/>
                <w:kern w:val="0"/>
                <w:szCs w:val="21"/>
              </w:rPr>
              <w:t>及NO</w:t>
            </w:r>
            <w:r>
              <w:rPr>
                <w:bCs/>
                <w:color w:val="auto"/>
                <w:kern w:val="0"/>
                <w:szCs w:val="21"/>
                <w:vertAlign w:val="subscript"/>
              </w:rPr>
              <w:t>X</w:t>
            </w:r>
            <w:r>
              <w:rPr>
                <w:bCs/>
                <w:color w:val="auto"/>
                <w:kern w:val="0"/>
                <w:szCs w:val="21"/>
              </w:rPr>
              <w:t>，不作控制要求；大气污染物主要为粉尘，粉尘目前未纳入总量控制</w:t>
            </w:r>
            <w:r>
              <w:rPr>
                <w:color w:val="auto"/>
                <w:szCs w:val="21"/>
              </w:rPr>
              <w:t>。</w:t>
            </w:r>
            <w:r>
              <w:rPr>
                <w:bCs/>
                <w:color w:val="auto"/>
                <w:kern w:val="0"/>
                <w:szCs w:val="21"/>
              </w:rPr>
              <w:t>运营期生产废水设废水处理系统处理后全部循环回用，不外排。车辆冲洗废水经收集处理后回用，不外排；少量生活污水</w:t>
            </w:r>
            <w:r>
              <w:rPr>
                <w:rFonts w:hint="eastAsia"/>
                <w:bCs/>
                <w:color w:val="auto"/>
                <w:kern w:val="0"/>
                <w:szCs w:val="21"/>
              </w:rPr>
              <w:t>建设一体化污水处理设施收集处理后用作农地灌溉</w:t>
            </w:r>
            <w:r>
              <w:rPr>
                <w:bCs/>
                <w:color w:val="auto"/>
                <w:kern w:val="0"/>
                <w:szCs w:val="21"/>
              </w:rPr>
              <w:t>，</w:t>
            </w:r>
            <w:r>
              <w:rPr>
                <w:rFonts w:hint="eastAsia"/>
                <w:bCs/>
                <w:color w:val="auto"/>
                <w:kern w:val="0"/>
                <w:szCs w:val="21"/>
              </w:rPr>
              <w:t>不外排，</w:t>
            </w:r>
            <w:r>
              <w:rPr>
                <w:bCs/>
                <w:color w:val="auto"/>
                <w:kern w:val="0"/>
                <w:szCs w:val="21"/>
              </w:rPr>
              <w:t>也不涉及废水总量控制指标。</w:t>
            </w:r>
          </w:p>
          <w:p>
            <w:pPr>
              <w:adjustRightInd w:val="0"/>
              <w:snapToGrid w:val="0"/>
              <w:spacing w:line="360" w:lineRule="auto"/>
              <w:ind w:firstLine="435"/>
              <w:rPr>
                <w:bCs/>
                <w:color w:val="auto"/>
              </w:rPr>
            </w:pPr>
            <w:r>
              <w:rPr>
                <w:bCs/>
                <w:color w:val="auto"/>
                <w:kern w:val="0"/>
                <w:szCs w:val="21"/>
              </w:rPr>
              <w:t>因此，建议达州市</w:t>
            </w:r>
            <w:r>
              <w:rPr>
                <w:rFonts w:hint="eastAsia"/>
                <w:bCs/>
                <w:color w:val="auto"/>
                <w:kern w:val="0"/>
                <w:szCs w:val="21"/>
              </w:rPr>
              <w:t>宣汉</w:t>
            </w:r>
            <w:r>
              <w:rPr>
                <w:bCs/>
                <w:color w:val="auto"/>
                <w:kern w:val="0"/>
                <w:szCs w:val="21"/>
              </w:rPr>
              <w:t>生态环境局不对本项目下达总量控制指标</w:t>
            </w:r>
            <w:r>
              <w:rPr>
                <w:color w:val="auto"/>
                <w:szCs w:val="21"/>
              </w:rPr>
              <w:t>。</w:t>
            </w:r>
          </w:p>
          <w:p>
            <w:pPr>
              <w:adjustRightInd w:val="0"/>
              <w:snapToGrid w:val="0"/>
              <w:spacing w:line="360" w:lineRule="auto"/>
              <w:ind w:firstLine="435"/>
              <w:rPr>
                <w:bCs/>
                <w:color w:val="auto"/>
              </w:rPr>
            </w:pPr>
          </w:p>
        </w:tc>
      </w:tr>
    </w:tbl>
    <w:p>
      <w:pPr>
        <w:rPr>
          <w:snapToGrid w:val="0"/>
          <w:color w:val="auto"/>
        </w:rPr>
      </w:pPr>
    </w:p>
    <w:p>
      <w:pPr>
        <w:pStyle w:val="12"/>
        <w:jc w:val="center"/>
        <w:outlineLvl w:val="0"/>
        <w:rPr>
          <w:rFonts w:ascii="黑体" w:hAnsi="黑体" w:eastAsia="黑体"/>
          <w:snapToGrid w:val="0"/>
          <w:color w:val="auto"/>
          <w:sz w:val="30"/>
          <w:szCs w:val="30"/>
        </w:rPr>
      </w:pPr>
      <w:r>
        <w:rPr>
          <w:rFonts w:ascii="黑体" w:hAnsi="黑体" w:eastAsia="黑体"/>
          <w:snapToGrid w:val="0"/>
          <w:color w:val="auto"/>
          <w:kern w:val="2"/>
          <w:sz w:val="36"/>
          <w:szCs w:val="36"/>
        </w:rPr>
        <w:br w:type="page"/>
      </w:r>
      <w:r>
        <w:rPr>
          <w:rFonts w:hint="eastAsia" w:ascii="黑体" w:hAnsi="黑体" w:eastAsia="黑体"/>
          <w:snapToGrid w:val="0"/>
          <w:color w:val="auto"/>
          <w:sz w:val="30"/>
          <w:szCs w:val="30"/>
        </w:rPr>
        <w:t>四、生态环境影响分析</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76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879" w:type="dxa"/>
            <w:tcMar>
              <w:left w:w="28" w:type="dxa"/>
              <w:right w:w="28" w:type="dxa"/>
            </w:tcMar>
            <w:vAlign w:val="center"/>
          </w:tcPr>
          <w:p>
            <w:pPr>
              <w:pStyle w:val="12"/>
              <w:adjustRightInd w:val="0"/>
              <w:snapToGrid w:val="0"/>
              <w:spacing w:before="0" w:beforeAutospacing="0" w:after="0" w:afterAutospacing="0" w:line="360" w:lineRule="auto"/>
              <w:jc w:val="center"/>
              <w:rPr>
                <w:rFonts w:cs="宋体"/>
                <w:bCs/>
                <w:color w:val="auto"/>
                <w:kern w:val="2"/>
                <w:sz w:val="21"/>
                <w:szCs w:val="21"/>
              </w:rPr>
            </w:pPr>
            <w:bookmarkStart w:id="39" w:name="_Hlk49796138"/>
            <w:r>
              <w:rPr>
                <w:rFonts w:hint="eastAsia" w:cs="宋体"/>
                <w:bCs/>
                <w:color w:val="auto"/>
                <w:spacing w:val="10"/>
                <w:kern w:val="2"/>
                <w:sz w:val="21"/>
                <w:szCs w:val="21"/>
              </w:rPr>
              <w:t>施工期生态环境影响分析</w:t>
            </w:r>
            <w:bookmarkEnd w:id="39"/>
          </w:p>
        </w:tc>
        <w:tc>
          <w:tcPr>
            <w:tcW w:w="8363" w:type="dxa"/>
          </w:tcPr>
          <w:p>
            <w:pPr>
              <w:adjustRightInd w:val="0"/>
              <w:snapToGrid w:val="0"/>
              <w:spacing w:line="360" w:lineRule="auto"/>
              <w:rPr>
                <w:rFonts w:ascii="宋体" w:hAnsi="宋体" w:cs="宋体"/>
                <w:b/>
                <w:color w:val="auto"/>
                <w:szCs w:val="21"/>
              </w:rPr>
            </w:pPr>
            <w:r>
              <w:rPr>
                <w:rFonts w:hint="eastAsia" w:ascii="宋体" w:hAnsi="宋体" w:cs="宋体"/>
                <w:b/>
                <w:color w:val="auto"/>
                <w:szCs w:val="21"/>
              </w:rPr>
              <w:t>一、生态影响分析</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1、土地利用影响分析</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本项目矿区面积</w:t>
            </w:r>
            <w:r>
              <w:rPr>
                <w:rFonts w:ascii="宋体" w:hAnsi="宋体" w:cs="宋体"/>
                <w:color w:val="auto"/>
                <w:kern w:val="0"/>
                <w:szCs w:val="21"/>
              </w:rPr>
              <w:t>0.3756</w:t>
            </w:r>
            <w:r>
              <w:rPr>
                <w:rFonts w:hint="eastAsia" w:ascii="宋体" w:hAnsi="宋体" w:cs="宋体"/>
                <w:bCs/>
                <w:color w:val="auto"/>
                <w:szCs w:val="21"/>
              </w:rPr>
              <w:t>km</w:t>
            </w:r>
            <w:r>
              <w:rPr>
                <w:rFonts w:hint="eastAsia" w:ascii="宋体" w:hAnsi="宋体" w:cs="宋体"/>
                <w:bCs/>
                <w:color w:val="auto"/>
                <w:szCs w:val="21"/>
                <w:vertAlign w:val="superscript"/>
              </w:rPr>
              <w:t>2</w:t>
            </w:r>
            <w:r>
              <w:rPr>
                <w:rFonts w:hint="eastAsia" w:ascii="宋体" w:hAnsi="宋体" w:cs="宋体"/>
                <w:bCs/>
                <w:color w:val="auto"/>
                <w:szCs w:val="21"/>
              </w:rPr>
              <w:t>，项目建设之前为林地生态系统，覆盖率大于80%。开采过程中开采活动会将矿区内的植被进行清除，破坏林地生态系统，将造成林地和林木资源的消耗，对森林资源的影响是客观存在的，但拟使用林地占项目区域林地总量比例很小，对森林资源数量的直接影响非常小。闭矿期建设单位将采取的回填复林措施，可使矿区内的生态系统逐渐恢复，不会永久性改变项目区内的土地利用性质。</w:t>
            </w:r>
          </w:p>
          <w:p>
            <w:pPr>
              <w:adjustRightInd w:val="0"/>
              <w:snapToGrid w:val="0"/>
              <w:spacing w:line="360" w:lineRule="auto"/>
              <w:ind w:firstLine="420" w:firstLineChars="200"/>
              <w:rPr>
                <w:rFonts w:ascii="宋体" w:hAnsi="宋体" w:cs="宋体"/>
                <w:bCs/>
                <w:color w:val="auto"/>
                <w:szCs w:val="21"/>
              </w:rPr>
            </w:pPr>
            <w:r>
              <w:rPr>
                <w:rFonts w:ascii="宋体" w:hAnsi="宋体" w:cs="宋体"/>
                <w:bCs/>
                <w:color w:val="auto"/>
                <w:szCs w:val="21"/>
              </w:rPr>
              <w:t>2</w:t>
            </w:r>
            <w:r>
              <w:rPr>
                <w:rFonts w:hint="eastAsia" w:ascii="宋体" w:hAnsi="宋体" w:cs="宋体"/>
                <w:bCs/>
                <w:color w:val="auto"/>
                <w:szCs w:val="21"/>
              </w:rPr>
              <w:t>、土壤影响分析</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项目建设期对土壤的影响，主要表现为对土壤理化性质、土壤肥力的影响和土壤污染三个方面。</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①土壤理化性质影响</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主要体现在：使用土地，减少土地资源，改变土壤利用方向；扰乱土壤表层、破坏土壤结构，混合土壤层次，影响土壤紧实度。工程建设开挖土壤，破坏植被，造成土壤侵蚀，引起土壤破坏，有可能促进附近土壤向沙化发展。</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②土壤肥力影响</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土壤中的有机质、氮、磷、钾等养分含量，均表现为表土层远高于心土层；施工期土石方的开挖与回填，将扰动甚至打乱原土体构型，使土壤肥力状况受到较大的影响。同时影响土壤环境条件，打破各成土因素之间的协调与平衡，改变土壤发育方向，有可能导致土壤退化或破坏。</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③土壤污染影响</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施工过程中将产生建筑施工垃圾、生活垃圾和污水，若不集中收集妥善处置，难以生物降解的固体废物残留于土壤中，将污染土壤表层。</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3、植被影响分析</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①对植被类型的影响</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施工过程中的开挖、表土堆放等工程活动，将剥离、清理及占压占地范围内的原有植被；施工人员的践踏、施工车辆和机具的碾压也将造成原有植被受到不同程度的破坏甚至死亡。此外施工便道在开拓推平中，也将清除压占宽度5～7m的地表植物。</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②对植物种群及多样性影响</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施工期对植物种群及多样性影响主要集中在露天采场、进场公路等，将对区域植物造成一定程度的破坏。</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③对植被生物量的影响</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项目建设期使植被生物量减少和丧失是工程产生的主要的负面影响之一。矿山各类新建工程占地范围内，该类型所占用区的植被生物量短时间内是无法恢复的。</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4、陆生动物影响分析</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施工开挖、运输、弃渣等施工活动，对区域内的动物活动范围将造成一定破坏，将迫使其迁往别处。由于动物的迁移性较强，且工程区附近同类生境分布较广泛，因此对陆生动物的影响有限。另外，随着施工人员的频繁活动，增加了对动物的潜在威胁。</w:t>
            </w:r>
          </w:p>
          <w:p>
            <w:pPr>
              <w:adjustRightInd w:val="0"/>
              <w:snapToGrid w:val="0"/>
              <w:spacing w:line="360" w:lineRule="auto"/>
              <w:ind w:firstLine="420" w:firstLineChars="200"/>
              <w:rPr>
                <w:rFonts w:ascii="宋体" w:hAnsi="宋体" w:cs="宋体"/>
                <w:bCs/>
                <w:color w:val="auto"/>
                <w:szCs w:val="21"/>
              </w:rPr>
            </w:pPr>
            <w:r>
              <w:rPr>
                <w:rFonts w:ascii="宋体" w:hAnsi="宋体" w:cs="宋体"/>
                <w:bCs/>
                <w:color w:val="auto"/>
                <w:szCs w:val="21"/>
              </w:rPr>
              <w:t>5</w:t>
            </w:r>
            <w:r>
              <w:rPr>
                <w:rFonts w:hint="eastAsia" w:ascii="宋体" w:hAnsi="宋体" w:cs="宋体"/>
                <w:bCs/>
                <w:color w:val="auto"/>
                <w:szCs w:val="21"/>
              </w:rPr>
              <w:t>、景观格局及景观稳定性</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①对景观格局的影响分析</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项目地处山区，景观格局以林地为基质，矿山道路为廊道，采矿区用地为斑块布局呈现。施工期间，矿区将开拓矿山道路、截排水沟的建设，将增加斑块及廊道数量，景观破碎程度增加。</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②对景观稳定性影响分析</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矿区周边区域人类干扰强度较强，该区域和周边的自然景观组分，对于干扰的抗性以及受到干扰后的自然调节能力相对较弱，形成了较大范围的生态稳定地带。</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6、自然系统生态完整性</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当人类活动大量占有植被面积，过多地干扰植被修补能力，自然体系就有可能失去原有的平衡，由平均生产力较高的自然体系衰退到生产力较低级别的自然体系。矿山的开采将不可避免地破坏一定面积的植被（灌草），第一性生产力的基质呈不可逆的破坏。工程占地引起生产力降低，因此平均生产能力呈下降趋势。</w:t>
            </w:r>
          </w:p>
          <w:p>
            <w:pPr>
              <w:adjustRightInd w:val="0"/>
              <w:snapToGrid w:val="0"/>
              <w:spacing w:line="360" w:lineRule="auto"/>
              <w:ind w:firstLine="420" w:firstLineChars="200"/>
              <w:rPr>
                <w:rFonts w:ascii="宋体" w:hAnsi="宋体" w:cs="宋体"/>
                <w:bCs/>
                <w:color w:val="auto"/>
                <w:szCs w:val="21"/>
              </w:rPr>
            </w:pPr>
            <w:r>
              <w:rPr>
                <w:rFonts w:ascii="宋体" w:hAnsi="宋体" w:cs="宋体"/>
                <w:bCs/>
                <w:color w:val="auto"/>
                <w:szCs w:val="21"/>
              </w:rPr>
              <w:t>7</w:t>
            </w:r>
            <w:r>
              <w:rPr>
                <w:rFonts w:hint="eastAsia" w:ascii="宋体" w:hAnsi="宋体" w:cs="宋体"/>
                <w:bCs/>
                <w:color w:val="auto"/>
                <w:szCs w:val="21"/>
              </w:rPr>
              <w:t>、水土流失影响分析</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建设项目施工时的施工机械、材料堆放、施工人员践踏等，将破坏一定区域内的植被并形成裸露表土，在降雨直接击溅侵蚀和地表径流的冲刷下造成水土流失；由于土体开挖，破坏了土壤原有结构，土粒间的粘着力变小、抗蚀抗冲能力减弱，造成水土流失；由于场地平整，破坏了原有地貌形态，将坡面漫流集中，增大了对土壤的冲刷力，加剧水土流失；由于建设初期产生的大量弃渣，为水土流失的发生发展创造了有利条件。</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高位水池的建设在施工过程中需进行截排水沟、沉沙池和土工布覆盖等措施的建设，以减小降雨过程中雨季径流对裸露的地表进行冲刷，减少水土流失。矿区建设高位水池等施工开挖松散土石方，如果未采取必要的防护措施，在降雨水力的作用下，形成坡面流失。同时因水土流失将泥沙随之汇入周边河流，不但污染水质，同时影响周边灌溉。</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施工期产生的水土流失对当地的农业生产会产生暂时性影响。项目在建设施工过程中必须重视对周围生态环境的保护，要在施工各个时段内做好各种防护措施，应尽量做到减少植被破坏、减少土方开挖工程量、力求做到挖填方平衡，并注意随挖随填，并及时填压夯实，使水土流失减少到最低限度，并且在施工完成时，及时做好恢复和补偿工作，加强绿化。</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二、大气环境影响分析</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1、施工扬尘</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施工期在开挖、运输、卸放等过程中产生扬尘。</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 xml:space="preserve">根据类似工程实地监测资料，TSP浓度介于1.5～3.0mg/m3，在正常情况下，50m～100m范围内其贡献值可满足环境空气质量二级标准；在大风（&gt;5级）情况下，100m～300m外可满足二级标准要求。施工活动产生的粉尘与二次扬尘可能对施工场区周围100m以内的环境空气质量有一定的影响。 </w:t>
            </w:r>
          </w:p>
          <w:p>
            <w:pPr>
              <w:adjustRightInd w:val="0"/>
              <w:snapToGrid w:val="0"/>
              <w:spacing w:line="360" w:lineRule="auto"/>
              <w:ind w:firstLine="420" w:firstLineChars="200"/>
              <w:rPr>
                <w:rFonts w:ascii="宋体" w:hAnsi="宋体" w:cs="宋体"/>
                <w:bCs/>
                <w:color w:val="auto"/>
                <w:szCs w:val="21"/>
              </w:rPr>
            </w:pPr>
            <w:r>
              <w:rPr>
                <w:rFonts w:ascii="宋体" w:hAnsi="宋体" w:cs="宋体"/>
                <w:bCs/>
                <w:color w:val="auto"/>
                <w:szCs w:val="21"/>
              </w:rPr>
              <w:t>2</w:t>
            </w:r>
            <w:r>
              <w:rPr>
                <w:rFonts w:hint="eastAsia" w:ascii="宋体" w:hAnsi="宋体" w:cs="宋体"/>
                <w:bCs/>
                <w:color w:val="auto"/>
                <w:szCs w:val="21"/>
              </w:rPr>
              <w:t>、施工燃油废气</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施工过程中所使用的施工机械基本上是重型机械，这些机械设备大多数以柴油作为燃料，机械尾气中污染物主要为NOx、非甲烷总烃等。</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三、水环境影响分析</w:t>
            </w:r>
          </w:p>
          <w:p>
            <w:pPr>
              <w:adjustRightInd w:val="0"/>
              <w:snapToGrid w:val="0"/>
              <w:spacing w:line="360" w:lineRule="auto"/>
              <w:ind w:firstLine="420" w:firstLineChars="200"/>
              <w:rPr>
                <w:rFonts w:ascii="宋体" w:hAnsi="宋体" w:cs="宋体"/>
                <w:bCs/>
                <w:color w:val="auto"/>
                <w:szCs w:val="21"/>
              </w:rPr>
            </w:pPr>
            <w:r>
              <w:rPr>
                <w:color w:val="auto"/>
              </w:rPr>
              <w:t>主要来源于施工过程降雨导致的散料和</w:t>
            </w:r>
            <w:r>
              <w:rPr>
                <w:rFonts w:hint="eastAsia"/>
                <w:color w:val="auto"/>
              </w:rPr>
              <w:t>泥浆</w:t>
            </w:r>
            <w:r>
              <w:rPr>
                <w:color w:val="auto"/>
              </w:rPr>
              <w:t>漫流，主要污染物为SS。另外，施工工人会产生少量生活污水。施工废水一旦不能得到妥善处理直接外排，将对附近地表水体造成污染影响。</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四、声环境影响分析</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施工噪声主要来源于各类机械设备和运输车辆噪声。类比同类施工情况，施工噪声源强在</w:t>
            </w:r>
            <w:r>
              <w:rPr>
                <w:bCs/>
                <w:color w:val="auto"/>
                <w:szCs w:val="21"/>
              </w:rPr>
              <w:t>85~100dB(A)</w:t>
            </w:r>
            <w:r>
              <w:rPr>
                <w:rFonts w:hint="eastAsia" w:ascii="宋体" w:hAnsi="宋体" w:cs="宋体"/>
                <w:bCs/>
                <w:color w:val="auto"/>
                <w:szCs w:val="21"/>
              </w:rPr>
              <w:t>之间。</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根据噪声衰减公式，预测施工期施工噪声的影响，预测值见下表。</w:t>
            </w:r>
          </w:p>
          <w:p>
            <w:pPr>
              <w:adjustRightInd w:val="0"/>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表4</w:t>
            </w:r>
            <w:r>
              <w:rPr>
                <w:rFonts w:ascii="宋体" w:hAnsi="宋体" w:cs="宋体"/>
                <w:b/>
                <w:bCs/>
                <w:color w:val="auto"/>
                <w:sz w:val="18"/>
                <w:szCs w:val="18"/>
              </w:rPr>
              <w:t xml:space="preserve">-1 </w:t>
            </w:r>
            <w:r>
              <w:rPr>
                <w:rFonts w:hint="eastAsia" w:ascii="宋体" w:hAnsi="宋体" w:cs="宋体"/>
                <w:b/>
                <w:bCs/>
                <w:color w:val="auto"/>
                <w:sz w:val="18"/>
                <w:szCs w:val="18"/>
              </w:rPr>
              <w:t>施工噪声预测结果表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1267"/>
              <w:gridCol w:w="475"/>
              <w:gridCol w:w="502"/>
              <w:gridCol w:w="438"/>
              <w:gridCol w:w="423"/>
              <w:gridCol w:w="481"/>
              <w:gridCol w:w="497"/>
              <w:gridCol w:w="478"/>
              <w:gridCol w:w="444"/>
              <w:gridCol w:w="468"/>
              <w:gridCol w:w="478"/>
              <w:gridCol w:w="488"/>
              <w:gridCol w:w="503"/>
              <w:gridCol w:w="5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0" w:hRule="atLeast"/>
                <w:jc w:val="center"/>
              </w:trPr>
              <w:tc>
                <w:tcPr>
                  <w:tcW w:w="851" w:type="pct"/>
                  <w:vMerge w:val="restart"/>
                  <w:vAlign w:val="center"/>
                </w:tcPr>
                <w:p>
                  <w:pPr>
                    <w:topLinePunct/>
                    <w:adjustRightInd w:val="0"/>
                    <w:spacing w:line="320" w:lineRule="exact"/>
                    <w:jc w:val="center"/>
                    <w:rPr>
                      <w:color w:val="auto"/>
                      <w:kern w:val="0"/>
                      <w:sz w:val="18"/>
                      <w:szCs w:val="18"/>
                      <w:lang w:val="zh-CN"/>
                    </w:rPr>
                  </w:pPr>
                  <w:r>
                    <w:rPr>
                      <w:color w:val="auto"/>
                      <w:kern w:val="0"/>
                      <w:sz w:val="18"/>
                      <w:szCs w:val="18"/>
                      <w:lang w:val="zh-CN"/>
                    </w:rPr>
                    <w:t>噪声源强值</w:t>
                  </w:r>
                </w:p>
                <w:p>
                  <w:pPr>
                    <w:topLinePunct/>
                    <w:adjustRightInd w:val="0"/>
                    <w:spacing w:line="320" w:lineRule="exact"/>
                    <w:jc w:val="center"/>
                    <w:rPr>
                      <w:color w:val="auto"/>
                      <w:kern w:val="0"/>
                      <w:sz w:val="18"/>
                      <w:szCs w:val="18"/>
                      <w:lang w:val="zh-CN"/>
                    </w:rPr>
                  </w:pPr>
                  <w:r>
                    <w:rPr>
                      <w:color w:val="auto"/>
                      <w:kern w:val="0"/>
                      <w:sz w:val="18"/>
                      <w:szCs w:val="18"/>
                      <w:lang w:val="zh-CN"/>
                    </w:rPr>
                    <w:t>（距源强1m处）</w:t>
                  </w:r>
                </w:p>
              </w:tc>
              <w:tc>
                <w:tcPr>
                  <w:tcW w:w="2824" w:type="pct"/>
                  <w:gridSpan w:val="9"/>
                  <w:vAlign w:val="center"/>
                </w:tcPr>
                <w:p>
                  <w:pPr>
                    <w:topLinePunct/>
                    <w:adjustRightInd w:val="0"/>
                    <w:spacing w:line="320" w:lineRule="exact"/>
                    <w:jc w:val="center"/>
                    <w:rPr>
                      <w:color w:val="auto"/>
                      <w:kern w:val="0"/>
                      <w:sz w:val="18"/>
                      <w:szCs w:val="18"/>
                      <w:lang w:val="zh-CN"/>
                    </w:rPr>
                  </w:pPr>
                  <w:r>
                    <w:rPr>
                      <w:color w:val="auto"/>
                      <w:kern w:val="0"/>
                      <w:sz w:val="18"/>
                      <w:szCs w:val="18"/>
                      <w:lang w:val="zh-CN"/>
                    </w:rPr>
                    <w:t>噪声级</w:t>
                  </w:r>
                </w:p>
              </w:tc>
              <w:tc>
                <w:tcPr>
                  <w:tcW w:w="649" w:type="pct"/>
                  <w:gridSpan w:val="2"/>
                  <w:vAlign w:val="center"/>
                </w:tcPr>
                <w:p>
                  <w:pPr>
                    <w:topLinePunct/>
                    <w:adjustRightInd w:val="0"/>
                    <w:spacing w:line="320" w:lineRule="exact"/>
                    <w:jc w:val="center"/>
                    <w:rPr>
                      <w:color w:val="auto"/>
                      <w:kern w:val="0"/>
                      <w:sz w:val="18"/>
                      <w:szCs w:val="18"/>
                      <w:lang w:val="zh-CN"/>
                    </w:rPr>
                  </w:pPr>
                  <w:r>
                    <w:rPr>
                      <w:color w:val="auto"/>
                      <w:kern w:val="0"/>
                      <w:sz w:val="18"/>
                      <w:szCs w:val="18"/>
                      <w:lang w:val="zh-CN"/>
                    </w:rPr>
                    <w:t>场界标准</w:t>
                  </w:r>
                </w:p>
              </w:tc>
              <w:tc>
                <w:tcPr>
                  <w:tcW w:w="677" w:type="pct"/>
                  <w:gridSpan w:val="2"/>
                  <w:vAlign w:val="center"/>
                </w:tcPr>
                <w:p>
                  <w:pPr>
                    <w:topLinePunct/>
                    <w:adjustRightInd w:val="0"/>
                    <w:spacing w:line="320" w:lineRule="exact"/>
                    <w:jc w:val="center"/>
                    <w:rPr>
                      <w:color w:val="auto"/>
                      <w:kern w:val="0"/>
                      <w:sz w:val="18"/>
                      <w:szCs w:val="18"/>
                      <w:lang w:val="zh-CN"/>
                    </w:rPr>
                  </w:pPr>
                  <w:r>
                    <w:rPr>
                      <w:color w:val="auto"/>
                      <w:kern w:val="0"/>
                      <w:sz w:val="18"/>
                      <w:szCs w:val="18"/>
                      <w:lang w:val="zh-CN"/>
                    </w:rPr>
                    <w:t>达标距离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0" w:hRule="atLeast"/>
                <w:jc w:val="center"/>
              </w:trPr>
              <w:tc>
                <w:tcPr>
                  <w:tcW w:w="851" w:type="pct"/>
                  <w:vMerge w:val="continue"/>
                  <w:vAlign w:val="center"/>
                </w:tcPr>
                <w:p>
                  <w:pPr>
                    <w:widowControl/>
                    <w:spacing w:line="320" w:lineRule="exact"/>
                    <w:jc w:val="left"/>
                    <w:rPr>
                      <w:color w:val="auto"/>
                      <w:kern w:val="0"/>
                      <w:sz w:val="18"/>
                      <w:szCs w:val="18"/>
                      <w:lang w:val="zh-CN"/>
                    </w:rPr>
                  </w:pPr>
                </w:p>
              </w:tc>
              <w:tc>
                <w:tcPr>
                  <w:tcW w:w="319" w:type="pct"/>
                  <w:vAlign w:val="center"/>
                </w:tcPr>
                <w:p>
                  <w:pPr>
                    <w:topLinePunct/>
                    <w:adjustRightInd w:val="0"/>
                    <w:spacing w:line="320" w:lineRule="exact"/>
                    <w:jc w:val="center"/>
                    <w:rPr>
                      <w:color w:val="auto"/>
                      <w:kern w:val="0"/>
                      <w:sz w:val="18"/>
                      <w:szCs w:val="18"/>
                    </w:rPr>
                  </w:pPr>
                  <w:r>
                    <w:rPr>
                      <w:color w:val="auto"/>
                      <w:kern w:val="0"/>
                      <w:sz w:val="18"/>
                      <w:szCs w:val="18"/>
                    </w:rPr>
                    <w:t>5m</w:t>
                  </w:r>
                </w:p>
              </w:tc>
              <w:tc>
                <w:tcPr>
                  <w:tcW w:w="337" w:type="pct"/>
                  <w:vAlign w:val="center"/>
                </w:tcPr>
                <w:p>
                  <w:pPr>
                    <w:topLinePunct/>
                    <w:adjustRightInd w:val="0"/>
                    <w:spacing w:line="320" w:lineRule="exact"/>
                    <w:jc w:val="center"/>
                    <w:rPr>
                      <w:color w:val="auto"/>
                      <w:kern w:val="0"/>
                      <w:sz w:val="18"/>
                      <w:szCs w:val="18"/>
                    </w:rPr>
                  </w:pPr>
                  <w:r>
                    <w:rPr>
                      <w:color w:val="auto"/>
                      <w:kern w:val="0"/>
                      <w:sz w:val="18"/>
                      <w:szCs w:val="18"/>
                      <w:lang w:val="zh-CN"/>
                    </w:rPr>
                    <w:t>10m</w:t>
                  </w:r>
                </w:p>
              </w:tc>
              <w:tc>
                <w:tcPr>
                  <w:tcW w:w="294" w:type="pct"/>
                  <w:vAlign w:val="center"/>
                </w:tcPr>
                <w:p>
                  <w:pPr>
                    <w:topLinePunct/>
                    <w:adjustRightInd w:val="0"/>
                    <w:spacing w:line="320" w:lineRule="exact"/>
                    <w:jc w:val="center"/>
                    <w:rPr>
                      <w:color w:val="auto"/>
                      <w:kern w:val="0"/>
                      <w:sz w:val="18"/>
                      <w:szCs w:val="18"/>
                    </w:rPr>
                  </w:pPr>
                  <w:r>
                    <w:rPr>
                      <w:color w:val="auto"/>
                      <w:kern w:val="0"/>
                      <w:sz w:val="18"/>
                      <w:szCs w:val="18"/>
                    </w:rPr>
                    <w:t>18m</w:t>
                  </w:r>
                </w:p>
              </w:tc>
              <w:tc>
                <w:tcPr>
                  <w:tcW w:w="284" w:type="pct"/>
                  <w:vAlign w:val="center"/>
                </w:tcPr>
                <w:p>
                  <w:pPr>
                    <w:topLinePunct/>
                    <w:adjustRightInd w:val="0"/>
                    <w:spacing w:line="320" w:lineRule="exact"/>
                    <w:jc w:val="center"/>
                    <w:rPr>
                      <w:color w:val="auto"/>
                      <w:kern w:val="0"/>
                      <w:sz w:val="18"/>
                      <w:szCs w:val="18"/>
                      <w:lang w:val="zh-CN"/>
                    </w:rPr>
                  </w:pPr>
                  <w:r>
                    <w:rPr>
                      <w:color w:val="auto"/>
                      <w:kern w:val="0"/>
                      <w:sz w:val="18"/>
                      <w:szCs w:val="18"/>
                      <w:lang w:val="zh-CN"/>
                    </w:rPr>
                    <w:t>20m</w:t>
                  </w:r>
                </w:p>
              </w:tc>
              <w:tc>
                <w:tcPr>
                  <w:tcW w:w="323" w:type="pct"/>
                  <w:vAlign w:val="center"/>
                </w:tcPr>
                <w:p>
                  <w:pPr>
                    <w:topLinePunct/>
                    <w:adjustRightInd w:val="0"/>
                    <w:spacing w:line="320" w:lineRule="exact"/>
                    <w:jc w:val="center"/>
                    <w:rPr>
                      <w:color w:val="auto"/>
                      <w:kern w:val="0"/>
                      <w:sz w:val="18"/>
                      <w:szCs w:val="18"/>
                      <w:lang w:val="zh-CN"/>
                    </w:rPr>
                  </w:pPr>
                  <w:r>
                    <w:rPr>
                      <w:color w:val="auto"/>
                      <w:kern w:val="0"/>
                      <w:sz w:val="18"/>
                      <w:szCs w:val="18"/>
                      <w:lang w:val="zh-CN"/>
                    </w:rPr>
                    <w:t>3</w:t>
                  </w:r>
                  <w:r>
                    <w:rPr>
                      <w:color w:val="auto"/>
                      <w:kern w:val="0"/>
                      <w:sz w:val="18"/>
                      <w:szCs w:val="18"/>
                    </w:rPr>
                    <w:t>0</w:t>
                  </w:r>
                  <w:r>
                    <w:rPr>
                      <w:color w:val="auto"/>
                      <w:kern w:val="0"/>
                      <w:sz w:val="18"/>
                      <w:szCs w:val="18"/>
                      <w:lang w:val="zh-CN"/>
                    </w:rPr>
                    <w:t>m</w:t>
                  </w:r>
                </w:p>
              </w:tc>
              <w:tc>
                <w:tcPr>
                  <w:tcW w:w="334" w:type="pct"/>
                  <w:vAlign w:val="center"/>
                </w:tcPr>
                <w:p>
                  <w:pPr>
                    <w:topLinePunct/>
                    <w:adjustRightInd w:val="0"/>
                    <w:spacing w:line="320" w:lineRule="exact"/>
                    <w:jc w:val="center"/>
                    <w:rPr>
                      <w:color w:val="auto"/>
                      <w:kern w:val="0"/>
                      <w:sz w:val="18"/>
                      <w:szCs w:val="18"/>
                    </w:rPr>
                  </w:pPr>
                  <w:r>
                    <w:rPr>
                      <w:color w:val="auto"/>
                      <w:kern w:val="0"/>
                      <w:sz w:val="18"/>
                      <w:szCs w:val="18"/>
                    </w:rPr>
                    <w:t>40m</w:t>
                  </w:r>
                </w:p>
              </w:tc>
              <w:tc>
                <w:tcPr>
                  <w:tcW w:w="321" w:type="pct"/>
                  <w:vAlign w:val="center"/>
                </w:tcPr>
                <w:p>
                  <w:pPr>
                    <w:topLinePunct/>
                    <w:adjustRightInd w:val="0"/>
                    <w:spacing w:line="320" w:lineRule="exact"/>
                    <w:jc w:val="center"/>
                    <w:rPr>
                      <w:color w:val="auto"/>
                      <w:kern w:val="0"/>
                      <w:sz w:val="18"/>
                      <w:szCs w:val="18"/>
                      <w:lang w:val="zh-CN"/>
                    </w:rPr>
                  </w:pPr>
                  <w:r>
                    <w:rPr>
                      <w:color w:val="auto"/>
                      <w:kern w:val="0"/>
                      <w:sz w:val="18"/>
                      <w:szCs w:val="18"/>
                      <w:lang w:val="zh-CN"/>
                    </w:rPr>
                    <w:t>50m</w:t>
                  </w:r>
                </w:p>
              </w:tc>
              <w:tc>
                <w:tcPr>
                  <w:tcW w:w="298" w:type="pct"/>
                  <w:vAlign w:val="center"/>
                </w:tcPr>
                <w:p>
                  <w:pPr>
                    <w:topLinePunct/>
                    <w:adjustRightInd w:val="0"/>
                    <w:spacing w:line="320" w:lineRule="exact"/>
                    <w:jc w:val="center"/>
                    <w:rPr>
                      <w:color w:val="auto"/>
                      <w:kern w:val="0"/>
                      <w:sz w:val="18"/>
                      <w:szCs w:val="18"/>
                      <w:lang w:val="zh-CN"/>
                    </w:rPr>
                  </w:pPr>
                  <w:r>
                    <w:rPr>
                      <w:color w:val="auto"/>
                      <w:kern w:val="0"/>
                      <w:sz w:val="18"/>
                      <w:szCs w:val="18"/>
                    </w:rPr>
                    <w:t>56</w:t>
                  </w:r>
                  <w:r>
                    <w:rPr>
                      <w:color w:val="auto"/>
                      <w:kern w:val="0"/>
                      <w:sz w:val="18"/>
                      <w:szCs w:val="18"/>
                      <w:lang w:val="zh-CN"/>
                    </w:rPr>
                    <w:t>m</w:t>
                  </w:r>
                </w:p>
              </w:tc>
              <w:tc>
                <w:tcPr>
                  <w:tcW w:w="313" w:type="pct"/>
                  <w:vAlign w:val="center"/>
                </w:tcPr>
                <w:p>
                  <w:pPr>
                    <w:topLinePunct/>
                    <w:adjustRightInd w:val="0"/>
                    <w:spacing w:line="320" w:lineRule="exact"/>
                    <w:jc w:val="center"/>
                    <w:rPr>
                      <w:color w:val="auto"/>
                      <w:kern w:val="0"/>
                      <w:sz w:val="18"/>
                      <w:szCs w:val="18"/>
                    </w:rPr>
                  </w:pPr>
                  <w:r>
                    <w:rPr>
                      <w:color w:val="auto"/>
                      <w:kern w:val="0"/>
                      <w:sz w:val="18"/>
                      <w:szCs w:val="18"/>
                    </w:rPr>
                    <w:t>100m</w:t>
                  </w:r>
                </w:p>
              </w:tc>
              <w:tc>
                <w:tcPr>
                  <w:tcW w:w="321" w:type="pct"/>
                  <w:vAlign w:val="center"/>
                </w:tcPr>
                <w:p>
                  <w:pPr>
                    <w:topLinePunct/>
                    <w:spacing w:line="320" w:lineRule="exact"/>
                    <w:jc w:val="center"/>
                    <w:rPr>
                      <w:color w:val="auto"/>
                      <w:sz w:val="18"/>
                      <w:szCs w:val="18"/>
                    </w:rPr>
                  </w:pPr>
                  <w:r>
                    <w:rPr>
                      <w:color w:val="auto"/>
                      <w:sz w:val="18"/>
                      <w:szCs w:val="18"/>
                    </w:rPr>
                    <w:t>昼间</w:t>
                  </w:r>
                </w:p>
              </w:tc>
              <w:tc>
                <w:tcPr>
                  <w:tcW w:w="328" w:type="pct"/>
                  <w:vAlign w:val="center"/>
                </w:tcPr>
                <w:p>
                  <w:pPr>
                    <w:topLinePunct/>
                    <w:spacing w:line="320" w:lineRule="exact"/>
                    <w:jc w:val="center"/>
                    <w:rPr>
                      <w:color w:val="auto"/>
                      <w:sz w:val="18"/>
                      <w:szCs w:val="18"/>
                    </w:rPr>
                  </w:pPr>
                  <w:r>
                    <w:rPr>
                      <w:color w:val="auto"/>
                      <w:sz w:val="18"/>
                      <w:szCs w:val="18"/>
                    </w:rPr>
                    <w:t>夜间</w:t>
                  </w:r>
                </w:p>
              </w:tc>
              <w:tc>
                <w:tcPr>
                  <w:tcW w:w="338" w:type="pct"/>
                  <w:vAlign w:val="center"/>
                </w:tcPr>
                <w:p>
                  <w:pPr>
                    <w:topLinePunct/>
                    <w:spacing w:line="320" w:lineRule="exact"/>
                    <w:jc w:val="center"/>
                    <w:rPr>
                      <w:color w:val="auto"/>
                      <w:sz w:val="18"/>
                      <w:szCs w:val="18"/>
                    </w:rPr>
                  </w:pPr>
                  <w:r>
                    <w:rPr>
                      <w:color w:val="auto"/>
                      <w:sz w:val="18"/>
                      <w:szCs w:val="18"/>
                    </w:rPr>
                    <w:t>昼间</w:t>
                  </w:r>
                </w:p>
              </w:tc>
              <w:tc>
                <w:tcPr>
                  <w:tcW w:w="338" w:type="pct"/>
                  <w:vAlign w:val="center"/>
                </w:tcPr>
                <w:p>
                  <w:pPr>
                    <w:topLinePunct/>
                    <w:spacing w:line="320" w:lineRule="exact"/>
                    <w:jc w:val="center"/>
                    <w:rPr>
                      <w:color w:val="auto"/>
                      <w:sz w:val="18"/>
                      <w:szCs w:val="18"/>
                    </w:rPr>
                  </w:pPr>
                  <w:r>
                    <w:rPr>
                      <w:color w:val="auto"/>
                      <w:sz w:val="18"/>
                      <w:szCs w:val="18"/>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0" w:hRule="atLeast"/>
                <w:jc w:val="center"/>
              </w:trPr>
              <w:tc>
                <w:tcPr>
                  <w:tcW w:w="851" w:type="pct"/>
                  <w:vAlign w:val="center"/>
                </w:tcPr>
                <w:p>
                  <w:pPr>
                    <w:topLinePunct/>
                    <w:spacing w:line="320" w:lineRule="exact"/>
                    <w:jc w:val="center"/>
                    <w:rPr>
                      <w:color w:val="auto"/>
                      <w:kern w:val="0"/>
                      <w:sz w:val="18"/>
                      <w:szCs w:val="18"/>
                      <w:lang w:val="zh-CN"/>
                    </w:rPr>
                  </w:pPr>
                  <w:r>
                    <w:rPr>
                      <w:color w:val="auto"/>
                      <w:kern w:val="0"/>
                      <w:sz w:val="18"/>
                      <w:szCs w:val="18"/>
                      <w:lang w:val="zh-CN"/>
                    </w:rPr>
                    <w:t>施工</w:t>
                  </w:r>
                  <w:r>
                    <w:rPr>
                      <w:color w:val="auto"/>
                      <w:kern w:val="0"/>
                      <w:sz w:val="18"/>
                      <w:szCs w:val="18"/>
                    </w:rPr>
                    <w:t>噪声</w:t>
                  </w:r>
                </w:p>
              </w:tc>
              <w:tc>
                <w:tcPr>
                  <w:tcW w:w="319" w:type="pct"/>
                  <w:vAlign w:val="center"/>
                </w:tcPr>
                <w:p>
                  <w:pPr>
                    <w:topLinePunct/>
                    <w:spacing w:line="320" w:lineRule="exact"/>
                    <w:jc w:val="center"/>
                    <w:rPr>
                      <w:color w:val="auto"/>
                      <w:kern w:val="0"/>
                      <w:sz w:val="18"/>
                      <w:szCs w:val="18"/>
                    </w:rPr>
                  </w:pPr>
                  <w:r>
                    <w:rPr>
                      <w:color w:val="auto"/>
                      <w:kern w:val="0"/>
                      <w:sz w:val="18"/>
                      <w:szCs w:val="18"/>
                    </w:rPr>
                    <w:t>76.0</w:t>
                  </w:r>
                </w:p>
              </w:tc>
              <w:tc>
                <w:tcPr>
                  <w:tcW w:w="337" w:type="pct"/>
                  <w:vAlign w:val="center"/>
                </w:tcPr>
                <w:p>
                  <w:pPr>
                    <w:topLinePunct/>
                    <w:spacing w:line="320" w:lineRule="exact"/>
                    <w:jc w:val="center"/>
                    <w:rPr>
                      <w:color w:val="auto"/>
                      <w:sz w:val="18"/>
                      <w:szCs w:val="18"/>
                    </w:rPr>
                  </w:pPr>
                  <w:r>
                    <w:rPr>
                      <w:color w:val="auto"/>
                      <w:sz w:val="18"/>
                      <w:szCs w:val="18"/>
                    </w:rPr>
                    <w:t>70.0</w:t>
                  </w:r>
                </w:p>
              </w:tc>
              <w:tc>
                <w:tcPr>
                  <w:tcW w:w="294" w:type="pct"/>
                  <w:vAlign w:val="center"/>
                </w:tcPr>
                <w:p>
                  <w:pPr>
                    <w:topLinePunct/>
                    <w:spacing w:line="320" w:lineRule="exact"/>
                    <w:jc w:val="center"/>
                    <w:rPr>
                      <w:color w:val="auto"/>
                      <w:sz w:val="18"/>
                      <w:szCs w:val="18"/>
                    </w:rPr>
                  </w:pPr>
                  <w:r>
                    <w:rPr>
                      <w:color w:val="auto"/>
                      <w:sz w:val="18"/>
                      <w:szCs w:val="18"/>
                    </w:rPr>
                    <w:t>64.9</w:t>
                  </w:r>
                </w:p>
              </w:tc>
              <w:tc>
                <w:tcPr>
                  <w:tcW w:w="284" w:type="pct"/>
                  <w:vAlign w:val="center"/>
                </w:tcPr>
                <w:p>
                  <w:pPr>
                    <w:topLinePunct/>
                    <w:spacing w:line="320" w:lineRule="exact"/>
                    <w:jc w:val="center"/>
                    <w:rPr>
                      <w:color w:val="auto"/>
                      <w:sz w:val="18"/>
                      <w:szCs w:val="18"/>
                    </w:rPr>
                  </w:pPr>
                  <w:r>
                    <w:rPr>
                      <w:color w:val="auto"/>
                      <w:sz w:val="18"/>
                      <w:szCs w:val="18"/>
                    </w:rPr>
                    <w:t>64.0</w:t>
                  </w:r>
                </w:p>
              </w:tc>
              <w:tc>
                <w:tcPr>
                  <w:tcW w:w="323" w:type="pct"/>
                  <w:vAlign w:val="center"/>
                </w:tcPr>
                <w:p>
                  <w:pPr>
                    <w:topLinePunct/>
                    <w:spacing w:line="320" w:lineRule="exact"/>
                    <w:jc w:val="center"/>
                    <w:rPr>
                      <w:color w:val="auto"/>
                      <w:sz w:val="18"/>
                      <w:szCs w:val="18"/>
                    </w:rPr>
                  </w:pPr>
                  <w:r>
                    <w:rPr>
                      <w:color w:val="auto"/>
                      <w:sz w:val="18"/>
                      <w:szCs w:val="18"/>
                    </w:rPr>
                    <w:t>60.0</w:t>
                  </w:r>
                </w:p>
              </w:tc>
              <w:tc>
                <w:tcPr>
                  <w:tcW w:w="334" w:type="pct"/>
                  <w:vAlign w:val="center"/>
                </w:tcPr>
                <w:p>
                  <w:pPr>
                    <w:topLinePunct/>
                    <w:spacing w:line="320" w:lineRule="exact"/>
                    <w:jc w:val="center"/>
                    <w:rPr>
                      <w:color w:val="auto"/>
                      <w:sz w:val="18"/>
                      <w:szCs w:val="18"/>
                    </w:rPr>
                  </w:pPr>
                  <w:r>
                    <w:rPr>
                      <w:color w:val="auto"/>
                      <w:sz w:val="18"/>
                      <w:szCs w:val="18"/>
                    </w:rPr>
                    <w:t>58.0</w:t>
                  </w:r>
                </w:p>
              </w:tc>
              <w:tc>
                <w:tcPr>
                  <w:tcW w:w="321" w:type="pct"/>
                  <w:vAlign w:val="center"/>
                </w:tcPr>
                <w:p>
                  <w:pPr>
                    <w:topLinePunct/>
                    <w:spacing w:line="320" w:lineRule="exact"/>
                    <w:jc w:val="center"/>
                    <w:rPr>
                      <w:color w:val="auto"/>
                      <w:sz w:val="18"/>
                      <w:szCs w:val="18"/>
                    </w:rPr>
                  </w:pPr>
                  <w:r>
                    <w:rPr>
                      <w:color w:val="auto"/>
                      <w:sz w:val="18"/>
                      <w:szCs w:val="18"/>
                    </w:rPr>
                    <w:t>56.0</w:t>
                  </w:r>
                </w:p>
              </w:tc>
              <w:tc>
                <w:tcPr>
                  <w:tcW w:w="298" w:type="pct"/>
                  <w:vAlign w:val="center"/>
                </w:tcPr>
                <w:p>
                  <w:pPr>
                    <w:topLinePunct/>
                    <w:spacing w:line="320" w:lineRule="exact"/>
                    <w:jc w:val="center"/>
                    <w:rPr>
                      <w:color w:val="auto"/>
                      <w:sz w:val="18"/>
                      <w:szCs w:val="18"/>
                    </w:rPr>
                  </w:pPr>
                  <w:r>
                    <w:rPr>
                      <w:color w:val="auto"/>
                      <w:sz w:val="18"/>
                      <w:szCs w:val="18"/>
                    </w:rPr>
                    <w:t>55.0</w:t>
                  </w:r>
                </w:p>
              </w:tc>
              <w:tc>
                <w:tcPr>
                  <w:tcW w:w="313" w:type="pct"/>
                  <w:vAlign w:val="center"/>
                </w:tcPr>
                <w:p>
                  <w:pPr>
                    <w:topLinePunct/>
                    <w:spacing w:line="320" w:lineRule="exact"/>
                    <w:jc w:val="center"/>
                    <w:rPr>
                      <w:color w:val="auto"/>
                      <w:sz w:val="18"/>
                      <w:szCs w:val="18"/>
                    </w:rPr>
                  </w:pPr>
                  <w:r>
                    <w:rPr>
                      <w:color w:val="auto"/>
                      <w:sz w:val="18"/>
                      <w:szCs w:val="18"/>
                    </w:rPr>
                    <w:t>50.0</w:t>
                  </w:r>
                </w:p>
              </w:tc>
              <w:tc>
                <w:tcPr>
                  <w:tcW w:w="321" w:type="pct"/>
                  <w:vAlign w:val="center"/>
                </w:tcPr>
                <w:p>
                  <w:pPr>
                    <w:topLinePunct/>
                    <w:spacing w:line="320" w:lineRule="exact"/>
                    <w:jc w:val="center"/>
                    <w:rPr>
                      <w:color w:val="auto"/>
                      <w:sz w:val="18"/>
                      <w:szCs w:val="18"/>
                    </w:rPr>
                  </w:pPr>
                  <w:r>
                    <w:rPr>
                      <w:color w:val="auto"/>
                      <w:sz w:val="18"/>
                      <w:szCs w:val="18"/>
                    </w:rPr>
                    <w:t>70</w:t>
                  </w:r>
                </w:p>
              </w:tc>
              <w:tc>
                <w:tcPr>
                  <w:tcW w:w="328" w:type="pct"/>
                  <w:vAlign w:val="center"/>
                </w:tcPr>
                <w:p>
                  <w:pPr>
                    <w:topLinePunct/>
                    <w:spacing w:line="320" w:lineRule="exact"/>
                    <w:jc w:val="center"/>
                    <w:rPr>
                      <w:color w:val="auto"/>
                      <w:sz w:val="18"/>
                      <w:szCs w:val="18"/>
                    </w:rPr>
                  </w:pPr>
                  <w:r>
                    <w:rPr>
                      <w:color w:val="auto"/>
                      <w:sz w:val="18"/>
                      <w:szCs w:val="18"/>
                    </w:rPr>
                    <w:t>55</w:t>
                  </w:r>
                </w:p>
              </w:tc>
              <w:tc>
                <w:tcPr>
                  <w:tcW w:w="338" w:type="pct"/>
                  <w:vAlign w:val="center"/>
                </w:tcPr>
                <w:p>
                  <w:pPr>
                    <w:topLinePunct/>
                    <w:spacing w:line="320" w:lineRule="exact"/>
                    <w:jc w:val="center"/>
                    <w:rPr>
                      <w:color w:val="auto"/>
                      <w:sz w:val="18"/>
                      <w:szCs w:val="18"/>
                    </w:rPr>
                  </w:pPr>
                  <w:r>
                    <w:rPr>
                      <w:color w:val="auto"/>
                      <w:sz w:val="18"/>
                      <w:szCs w:val="18"/>
                    </w:rPr>
                    <w:t>10m</w:t>
                  </w:r>
                </w:p>
              </w:tc>
              <w:tc>
                <w:tcPr>
                  <w:tcW w:w="338" w:type="pct"/>
                  <w:vAlign w:val="center"/>
                </w:tcPr>
                <w:p>
                  <w:pPr>
                    <w:topLinePunct/>
                    <w:spacing w:line="320" w:lineRule="exact"/>
                    <w:jc w:val="center"/>
                    <w:rPr>
                      <w:color w:val="auto"/>
                      <w:sz w:val="18"/>
                      <w:szCs w:val="18"/>
                    </w:rPr>
                  </w:pPr>
                  <w:r>
                    <w:rPr>
                      <w:color w:val="auto"/>
                      <w:sz w:val="18"/>
                      <w:szCs w:val="18"/>
                    </w:rPr>
                    <w:t>56m</w:t>
                  </w:r>
                </w:p>
              </w:tc>
            </w:tr>
          </w:tbl>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从上表可看出，该项施工期间产生的施工噪声，昼间将对10m范围内、夜间将对56m范围内的敏感目标造成噪声污染影响。</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五、固体废物影响分析</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主要包括矿山基建产生的植被枝丫、弃土废石、建筑垃圾、废弃建材及包装材料等。施工工人会产生少量的生活垃圾。</w:t>
            </w:r>
          </w:p>
          <w:p>
            <w:pPr>
              <w:adjustRightInd w:val="0"/>
              <w:snapToGrid w:val="0"/>
              <w:spacing w:line="360" w:lineRule="auto"/>
              <w:ind w:firstLine="420" w:firstLineChars="200"/>
              <w:rPr>
                <w:rFonts w:ascii="宋体" w:hAnsi="宋体" w:cs="宋体"/>
                <w:bCs/>
                <w:color w:val="auto"/>
                <w:szCs w:val="21"/>
              </w:rPr>
            </w:pPr>
            <w:r>
              <w:rPr>
                <w:rFonts w:hint="eastAsia" w:ascii="宋体" w:hAnsi="宋体" w:cs="宋体"/>
                <w:bCs/>
                <w:color w:val="auto"/>
                <w:szCs w:val="21"/>
              </w:rPr>
              <w:t>施工期固废若不能得到妥善处置，极有可能加重水土流失，对区域植被和土地造成破坏，造成二次污染。</w:t>
            </w:r>
          </w:p>
          <w:p>
            <w:pPr>
              <w:adjustRightInd w:val="0"/>
              <w:snapToGrid w:val="0"/>
              <w:spacing w:line="360" w:lineRule="auto"/>
              <w:rPr>
                <w:rFonts w:ascii="宋体" w:hAnsi="宋体" w:cs="宋体"/>
                <w:bCs/>
                <w:color w:val="auto"/>
                <w:szCs w:val="21"/>
              </w:rPr>
            </w:pPr>
          </w:p>
          <w:p>
            <w:pPr>
              <w:adjustRightInd w:val="0"/>
              <w:snapToGrid w:val="0"/>
              <w:spacing w:line="360" w:lineRule="auto"/>
              <w:ind w:firstLine="420" w:firstLineChars="200"/>
              <w:rPr>
                <w:rFonts w:ascii="宋体" w:hAnsi="宋体" w:cs="宋体"/>
                <w:bCs/>
                <w:color w:val="auto"/>
                <w:szCs w:val="21"/>
              </w:rPr>
            </w:pPr>
          </w:p>
          <w:p>
            <w:pPr>
              <w:adjustRightInd w:val="0"/>
              <w:snapToGrid w:val="0"/>
              <w:spacing w:line="360" w:lineRule="auto"/>
              <w:ind w:firstLine="420" w:firstLineChars="200"/>
              <w:rPr>
                <w:rFonts w:ascii="宋体" w:hAnsi="宋体" w:cs="宋体"/>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879" w:type="dxa"/>
            <w:tcMar>
              <w:left w:w="28" w:type="dxa"/>
              <w:right w:w="28" w:type="dxa"/>
            </w:tcMar>
            <w:vAlign w:val="center"/>
          </w:tcPr>
          <w:p>
            <w:pPr>
              <w:pStyle w:val="12"/>
              <w:adjustRightInd w:val="0"/>
              <w:snapToGrid w:val="0"/>
              <w:spacing w:before="0" w:beforeAutospacing="0" w:after="0" w:afterAutospacing="0" w:line="360" w:lineRule="auto"/>
              <w:jc w:val="center"/>
              <w:rPr>
                <w:rFonts w:cs="宋体"/>
                <w:bCs/>
                <w:color w:val="auto"/>
                <w:kern w:val="2"/>
                <w:sz w:val="21"/>
                <w:szCs w:val="21"/>
              </w:rPr>
            </w:pPr>
            <w:r>
              <w:rPr>
                <w:rFonts w:hint="eastAsia" w:cs="宋体"/>
                <w:bCs/>
                <w:color w:val="auto"/>
                <w:spacing w:val="10"/>
                <w:kern w:val="2"/>
                <w:sz w:val="21"/>
                <w:szCs w:val="21"/>
              </w:rPr>
              <w:t>运营期生态环境影响分析</w:t>
            </w:r>
          </w:p>
        </w:tc>
        <w:tc>
          <w:tcPr>
            <w:tcW w:w="8363" w:type="dxa"/>
          </w:tcPr>
          <w:p>
            <w:pPr>
              <w:adjustRightInd w:val="0"/>
              <w:snapToGrid w:val="0"/>
              <w:spacing w:line="360" w:lineRule="auto"/>
              <w:rPr>
                <w:rFonts w:ascii="宋体" w:hAnsi="宋体" w:cs="宋体"/>
                <w:b/>
                <w:color w:val="auto"/>
                <w:szCs w:val="21"/>
              </w:rPr>
            </w:pPr>
            <w:r>
              <w:rPr>
                <w:rFonts w:hint="eastAsia" w:ascii="宋体" w:hAnsi="宋体" w:cs="宋体"/>
                <w:b/>
                <w:color w:val="auto"/>
                <w:szCs w:val="21"/>
              </w:rPr>
              <w:t>一、生态环境影响分析</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1、植被影响分析</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①对地表植被群落的影响</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 xml:space="preserve">项目占用土地的植物多为分布较广的一般植物，不会因项目的建设而使某个植物种类消失，只是一定程度上的数量减少。因此，项目的建设对拟使用林地的植物物种丰富度几乎没有影响，也不会影响植物物种的多样性。  </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②外来有害物种对生态系统的影响</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项目实施期间工程人员进出项目区范围内，工程建筑材料及其车辆的进入，人们将会有意无意地将某些外来物种带进该区域，在沿线形成的裸地有可能形成外来物种的入侵通道，外来有害物种可能会对水体、土壤和空气造成污染。例如，一些外来物种可能会吸收大量的有毒物质，影响水体的质量和生物多样性。外来物种可能会改变生态系统的结构和功能，因为它们可能会占据原本属于本地物种的生态位，从而改变生态系统的食物链和食物网。这种改变可能会导致生态系统的稳定性和生产力下降。</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2、动物影响分析</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对动物的影响主要表现为道路的阻隔、露天采场及加工场设备振动噪声等对动物的干扰。</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生产期进场道路的使用，可能对行动较为迟缓的爬行类有一定的隔离作用，但对一般禽类和昆虫而言，道路的阻隔效果不明显。项目建成后，由于大量的机械作业和工人的活动，以往在项目区过境休息的鸟类受到惊扰后，将被迫改变休息场所不在项目区停留。</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由于本项目占地面积较小，周边区域的森林生态系统占地广且丰富，项目区内无鸟类的觅食地、栖息地和繁殖地，仅为鸟类飞行途中的短暂休息场所。由于鸟类的迁徙性较强，可以选择在其他区域休息、停留。因此，本项目的建设不会区域野生动物的生境造成破坏。</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3、对生物多样性的影响</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物种多样性是一个地区生物物种的数量、物种密度和特有种比例的多样化特性，是衡量一个地区生物资源丰富程度的客观指标。本项目建设占地区域面积较小，区域内无野生动物觅食地、栖息地和繁殖地，也无野生植物的重要生境存在。因此将对沿线植物和动物物种多样性产生的影响较小。</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二、大气环境影响分析</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营运期废气主要是矿山开采工作面凿岩、爆破、矿石采选过程中产生的粉（扬）尘、表土临时堆场扬尘、汽车运输的道路扬尘、爆破废气、燃油废气等；加工区生产时的进料、破碎、筛分、输送等环节粉尘、产品及原矿堆放产生的扬尘等，另外还有少量的食堂油烟。</w:t>
            </w:r>
          </w:p>
          <w:p>
            <w:pPr>
              <w:adjustRightInd w:val="0"/>
              <w:snapToGrid w:val="0"/>
              <w:spacing w:line="360" w:lineRule="auto"/>
              <w:ind w:firstLine="420" w:firstLineChars="200"/>
              <w:rPr>
                <w:color w:val="auto"/>
                <w:kern w:val="0"/>
                <w:szCs w:val="21"/>
              </w:rPr>
            </w:pPr>
            <w:r>
              <w:rPr>
                <w:rFonts w:hint="eastAsia" w:ascii="宋体" w:hAnsi="宋体" w:cs="宋体"/>
                <w:color w:val="auto"/>
                <w:kern w:val="0"/>
                <w:szCs w:val="21"/>
              </w:rPr>
              <w:t>①</w:t>
            </w:r>
            <w:r>
              <w:rPr>
                <w:color w:val="auto"/>
                <w:kern w:val="0"/>
                <w:szCs w:val="21"/>
              </w:rPr>
              <w:t>凿岩钻孔粉尘</w:t>
            </w:r>
          </w:p>
          <w:p>
            <w:pPr>
              <w:adjustRightInd w:val="0"/>
              <w:snapToGrid w:val="0"/>
              <w:spacing w:line="360" w:lineRule="auto"/>
              <w:ind w:firstLine="420" w:firstLineChars="200"/>
              <w:rPr>
                <w:color w:val="auto"/>
                <w:kern w:val="0"/>
                <w:szCs w:val="21"/>
              </w:rPr>
            </w:pPr>
            <w:r>
              <w:rPr>
                <w:color w:val="auto"/>
                <w:kern w:val="0"/>
                <w:szCs w:val="21"/>
              </w:rPr>
              <w:t>项目采用中深孔微差爆破、非电雷管起爆，钻孔深度小于12m，钻孔时粉尘的产生量不大，查阅《逸散性工业粉尘控制技术》（中国环境科学出版社，1989年）可知，凿岩钻孔时逸散粉尘产生量为0.004kg/t石料。本项目矿山开采量250万t/a，则矿山凿岩钻孔时逸散粉尘产生量为10t/a。爆破次数约63次/年，每次爆破前的钻孔时长约10h，则钻孔粉尘产生速率为15.87kg/h。</w:t>
            </w:r>
          </w:p>
          <w:p>
            <w:pPr>
              <w:adjustRightInd w:val="0"/>
              <w:snapToGrid w:val="0"/>
              <w:spacing w:line="360" w:lineRule="auto"/>
              <w:ind w:firstLine="420" w:firstLineChars="200"/>
              <w:rPr>
                <w:color w:val="auto"/>
                <w:kern w:val="0"/>
                <w:szCs w:val="21"/>
              </w:rPr>
            </w:pPr>
            <w:r>
              <w:rPr>
                <w:rFonts w:hint="eastAsia" w:ascii="宋体" w:hAnsi="宋体" w:cs="宋体"/>
                <w:color w:val="auto"/>
                <w:kern w:val="0"/>
                <w:szCs w:val="21"/>
              </w:rPr>
              <w:t>②</w:t>
            </w:r>
            <w:r>
              <w:rPr>
                <w:color w:val="auto"/>
                <w:kern w:val="0"/>
                <w:szCs w:val="21"/>
              </w:rPr>
              <w:t>爆破粉尘</w:t>
            </w:r>
          </w:p>
          <w:p>
            <w:pPr>
              <w:adjustRightInd w:val="0"/>
              <w:snapToGrid w:val="0"/>
              <w:spacing w:line="360" w:lineRule="auto"/>
              <w:ind w:firstLine="420" w:firstLineChars="200"/>
              <w:rPr>
                <w:color w:val="auto"/>
                <w:kern w:val="0"/>
                <w:szCs w:val="21"/>
              </w:rPr>
            </w:pPr>
            <w:r>
              <w:rPr>
                <w:color w:val="auto"/>
                <w:kern w:val="0"/>
                <w:szCs w:val="21"/>
              </w:rPr>
              <w:t>根据首都经济贸易大学张兴凯及北京科技大学李怀宇编写的《露天矿爆破粉尘排放量的计算分析》，爆破粉尘产生量为54.2kg/t炸药。粉尘在30~70s内浓度达到最大（1602mg/m</w:t>
            </w:r>
            <w:r>
              <w:rPr>
                <w:color w:val="auto"/>
                <w:kern w:val="0"/>
                <w:szCs w:val="21"/>
                <w:vertAlign w:val="superscript"/>
              </w:rPr>
              <w:t>3</w:t>
            </w:r>
            <w:r>
              <w:rPr>
                <w:color w:val="auto"/>
                <w:kern w:val="0"/>
                <w:szCs w:val="21"/>
              </w:rPr>
              <w:t>），在30min内可基本沉降。本项目年开采250万吨，每次爆破矿石量为4万吨（约14815m</w:t>
            </w:r>
            <w:r>
              <w:rPr>
                <w:color w:val="auto"/>
                <w:kern w:val="0"/>
                <w:szCs w:val="21"/>
                <w:vertAlign w:val="superscript"/>
              </w:rPr>
              <w:t>3</w:t>
            </w:r>
            <w:r>
              <w:rPr>
                <w:color w:val="auto"/>
                <w:kern w:val="0"/>
                <w:szCs w:val="21"/>
              </w:rPr>
              <w:t>），则需要爆破63次，平均5天爆破一次。矿石爆破单位消耗炸药量为0.136kg/t，炸药使用量为5440kg/次（342.72t/a），则项目爆破粉尘产生量为294.85kg/次（18.58t/a）。</w:t>
            </w:r>
          </w:p>
          <w:p>
            <w:pPr>
              <w:adjustRightInd w:val="0"/>
              <w:snapToGrid w:val="0"/>
              <w:spacing w:line="360" w:lineRule="auto"/>
              <w:ind w:firstLine="420" w:firstLineChars="200"/>
              <w:rPr>
                <w:color w:val="auto"/>
                <w:kern w:val="0"/>
                <w:szCs w:val="21"/>
              </w:rPr>
            </w:pPr>
            <w:r>
              <w:rPr>
                <w:rFonts w:hint="eastAsia" w:ascii="宋体" w:hAnsi="宋体" w:cs="宋体"/>
                <w:color w:val="auto"/>
                <w:kern w:val="0"/>
                <w:szCs w:val="21"/>
              </w:rPr>
              <w:t>③</w:t>
            </w:r>
            <w:r>
              <w:rPr>
                <w:color w:val="auto"/>
                <w:kern w:val="0"/>
                <w:szCs w:val="21"/>
              </w:rPr>
              <w:t>矿石采选（铲装）扬尘</w:t>
            </w:r>
          </w:p>
          <w:p>
            <w:pPr>
              <w:adjustRightInd w:val="0"/>
              <w:snapToGrid w:val="0"/>
              <w:spacing w:line="360" w:lineRule="auto"/>
              <w:ind w:firstLine="420" w:firstLineChars="200"/>
              <w:rPr>
                <w:color w:val="auto"/>
                <w:kern w:val="0"/>
                <w:szCs w:val="21"/>
              </w:rPr>
            </w:pPr>
            <w:r>
              <w:rPr>
                <w:color w:val="auto"/>
                <w:kern w:val="0"/>
                <w:szCs w:val="21"/>
              </w:rPr>
              <w:t>爆破后的矿石原料采用液压挖掘机（斗容1.2m</w:t>
            </w:r>
            <w:r>
              <w:rPr>
                <w:color w:val="auto"/>
                <w:kern w:val="0"/>
                <w:szCs w:val="21"/>
                <w:vertAlign w:val="superscript"/>
              </w:rPr>
              <w:t>3</w:t>
            </w:r>
            <w:r>
              <w:rPr>
                <w:color w:val="auto"/>
                <w:kern w:val="0"/>
                <w:szCs w:val="21"/>
              </w:rPr>
              <w:t>）进行矿石采装工作，对松动的原矿进行剥离，同时挖掘机配置液压破碎头对大块矿石进行二次破碎，将原矿粒径控制在500mm以下，在堆积、铲装、二次破碎过程中产生一定量的粉尘，根据《逸散性工业粉尘控制技术》（中国环境科学出版社，1989年）中的经验估算，矿石铲装逸散性粉尘排放量为0.02kg/t，则矿石采选（铲装）扬尘产生量为50t/a，产生速率为10.42kg/h。</w:t>
            </w:r>
          </w:p>
          <w:p>
            <w:pPr>
              <w:adjustRightInd w:val="0"/>
              <w:snapToGrid w:val="0"/>
              <w:spacing w:line="360" w:lineRule="auto"/>
              <w:ind w:firstLine="420" w:firstLineChars="200"/>
              <w:rPr>
                <w:color w:val="auto"/>
                <w:kern w:val="0"/>
                <w:szCs w:val="21"/>
              </w:rPr>
            </w:pPr>
            <w:r>
              <w:rPr>
                <w:rFonts w:hint="eastAsia" w:ascii="宋体" w:hAnsi="宋体" w:cs="宋体"/>
                <w:color w:val="auto"/>
                <w:kern w:val="0"/>
                <w:szCs w:val="21"/>
              </w:rPr>
              <w:t>④</w:t>
            </w:r>
            <w:r>
              <w:rPr>
                <w:color w:val="auto"/>
                <w:kern w:val="0"/>
                <w:szCs w:val="21"/>
              </w:rPr>
              <w:t>运输道路的扬尘</w:t>
            </w:r>
          </w:p>
          <w:p>
            <w:pPr>
              <w:adjustRightInd w:val="0"/>
              <w:snapToGrid w:val="0"/>
              <w:spacing w:line="360" w:lineRule="auto"/>
              <w:ind w:firstLine="420" w:firstLineChars="200"/>
              <w:rPr>
                <w:color w:val="auto"/>
                <w:kern w:val="0"/>
                <w:szCs w:val="21"/>
              </w:rPr>
            </w:pPr>
            <w:r>
              <w:rPr>
                <w:color w:val="auto"/>
                <w:kern w:val="0"/>
                <w:szCs w:val="21"/>
              </w:rPr>
              <w:t>本项目全部采用汽车转运，矿石平均每天运输量约为8333吨、表土废石平均每天运输量约为270吨，每辆汽车载重能力按35吨计（空车8吨），每天车辆运输246车次，平均行驶距离300m。加工区原料运输车辆约246车次/d，平均行驶距离130m；产品对外运输汽车载重能力按35吨计（空车8吨），每天车辆运输240车次，平均行驶距离120m。运输车辆在矿区、加工区行驶，必然产生一定量的扬尘，在一定的气象条件下，运输扬尘产生量与车速、路面平整度及表面粉状物料含量、湿度及车况有关。</w:t>
            </w:r>
          </w:p>
          <w:p>
            <w:pPr>
              <w:tabs>
                <w:tab w:val="left" w:pos="2867"/>
              </w:tabs>
              <w:spacing w:line="400" w:lineRule="exact"/>
              <w:ind w:firstLine="420" w:firstLineChars="200"/>
              <w:rPr>
                <w:color w:val="auto"/>
                <w:kern w:val="0"/>
                <w:szCs w:val="21"/>
              </w:rPr>
            </w:pPr>
            <w:r>
              <w:rPr>
                <w:color w:val="auto"/>
                <w:kern w:val="0"/>
                <w:szCs w:val="21"/>
              </w:rPr>
              <w:t>项目车辆行驶产生的扬尘量可按下列经验公式计算：</w:t>
            </w:r>
          </w:p>
          <w:p>
            <w:pPr>
              <w:tabs>
                <w:tab w:val="left" w:pos="2867"/>
              </w:tabs>
              <w:spacing w:line="400" w:lineRule="exact"/>
              <w:ind w:firstLine="420" w:firstLineChars="200"/>
              <w:rPr>
                <w:color w:val="auto"/>
                <w:kern w:val="0"/>
                <w:szCs w:val="21"/>
              </w:rPr>
            </w:pPr>
            <w:r>
              <w:rPr>
                <w:color w:val="auto"/>
                <w:kern w:val="0"/>
                <w:szCs w:val="21"/>
              </w:rPr>
              <w:pict>
                <v:shape id="对象 877" o:spid="_x0000_s1070" o:spt="75" type="#_x0000_t75" style="position:absolute;left:0pt;margin-left:140.95pt;margin-top:1.3pt;height:16.9pt;width:134.9pt;z-index:251660288;mso-width-relative:page;mso-height-relative:page;" o:ole="t" filled="f" o:preferrelative="t" stroked="f" coordsize="21600,21600">
                  <v:path/>
                  <v:fill on="f" focussize="0,0"/>
                  <v:stroke on="f" joinstyle="miter"/>
                  <v:imagedata r:id="rId23" o:title=""/>
                  <o:lock v:ext="edit" aspectratio="t"/>
                </v:shape>
                <o:OLEObject Type="Embed" ProgID="Equation.3" ShapeID="对象 877" DrawAspect="Content" ObjectID="_1468075725" r:id="rId22">
                  <o:LockedField>false</o:LockedField>
                </o:OLEObject>
              </w:pict>
            </w:r>
          </w:p>
          <w:p>
            <w:pPr>
              <w:tabs>
                <w:tab w:val="left" w:pos="2867"/>
              </w:tabs>
              <w:spacing w:line="400" w:lineRule="exact"/>
              <w:ind w:firstLine="420" w:firstLineChars="200"/>
              <w:rPr>
                <w:color w:val="auto"/>
                <w:kern w:val="0"/>
                <w:szCs w:val="21"/>
              </w:rPr>
            </w:pPr>
            <w:r>
              <w:rPr>
                <w:color w:val="auto"/>
                <w:kern w:val="0"/>
                <w:szCs w:val="21"/>
              </w:rPr>
              <w:t>式中：Q—汽车行驶时扬尘，kg/km·辆；</w:t>
            </w:r>
          </w:p>
          <w:p>
            <w:pPr>
              <w:tabs>
                <w:tab w:val="left" w:pos="2867"/>
              </w:tabs>
              <w:spacing w:line="400" w:lineRule="exact"/>
              <w:ind w:firstLine="1050" w:firstLineChars="500"/>
              <w:rPr>
                <w:color w:val="auto"/>
                <w:kern w:val="0"/>
                <w:szCs w:val="21"/>
              </w:rPr>
            </w:pPr>
            <w:r>
              <w:rPr>
                <w:color w:val="auto"/>
                <w:kern w:val="0"/>
                <w:szCs w:val="21"/>
              </w:rPr>
              <w:t>V—汽车速度，km/h；</w:t>
            </w:r>
          </w:p>
          <w:p>
            <w:pPr>
              <w:tabs>
                <w:tab w:val="left" w:pos="2867"/>
              </w:tabs>
              <w:spacing w:line="400" w:lineRule="exact"/>
              <w:ind w:firstLine="1050" w:firstLineChars="500"/>
              <w:rPr>
                <w:color w:val="auto"/>
                <w:kern w:val="0"/>
                <w:szCs w:val="21"/>
              </w:rPr>
            </w:pPr>
            <w:r>
              <w:rPr>
                <w:color w:val="auto"/>
                <w:kern w:val="0"/>
                <w:szCs w:val="21"/>
              </w:rPr>
              <w:t>W—汽车载重量，t/辆；</w:t>
            </w:r>
          </w:p>
          <w:p>
            <w:pPr>
              <w:adjustRightInd w:val="0"/>
              <w:snapToGrid w:val="0"/>
              <w:spacing w:line="360" w:lineRule="auto"/>
              <w:ind w:firstLine="1050" w:firstLineChars="500"/>
              <w:rPr>
                <w:rFonts w:ascii="宋体" w:hAnsi="宋体" w:cs="宋体"/>
                <w:color w:val="auto"/>
                <w:kern w:val="0"/>
                <w:szCs w:val="21"/>
              </w:rPr>
            </w:pPr>
            <w:r>
              <w:rPr>
                <w:color w:val="auto"/>
                <w:kern w:val="0"/>
                <w:szCs w:val="21"/>
              </w:rPr>
              <w:t>P—路面情况，以平均</w:t>
            </w:r>
            <w:r>
              <w:rPr>
                <w:rFonts w:hint="eastAsia"/>
                <w:color w:val="auto"/>
                <w:kern w:val="0"/>
                <w:szCs w:val="21"/>
              </w:rPr>
              <w:t>每平方米</w:t>
            </w:r>
            <w:r>
              <w:rPr>
                <w:color w:val="auto"/>
                <w:kern w:val="0"/>
                <w:szCs w:val="21"/>
              </w:rPr>
              <w:t>路面灰尘覆盖率表示，kg/m</w:t>
            </w:r>
            <w:r>
              <w:rPr>
                <w:color w:val="auto"/>
                <w:kern w:val="0"/>
                <w:szCs w:val="21"/>
                <w:vertAlign w:val="superscript"/>
              </w:rPr>
              <w:t>2</w:t>
            </w:r>
            <w:r>
              <w:rPr>
                <w:color w:val="auto"/>
                <w:kern w:val="0"/>
                <w:szCs w:val="21"/>
              </w:rPr>
              <w:t>。</w:t>
            </w:r>
          </w:p>
          <w:p>
            <w:pPr>
              <w:adjustRightInd w:val="0"/>
              <w:snapToGrid w:val="0"/>
              <w:spacing w:line="360" w:lineRule="auto"/>
              <w:ind w:firstLine="420" w:firstLineChars="200"/>
              <w:rPr>
                <w:color w:val="auto"/>
                <w:kern w:val="0"/>
                <w:szCs w:val="21"/>
              </w:rPr>
            </w:pPr>
            <w:r>
              <w:rPr>
                <w:color w:val="auto"/>
                <w:kern w:val="0"/>
                <w:szCs w:val="21"/>
              </w:rPr>
              <w:t>按上式计算，则项目汽车动力起尘量见下表。</w:t>
            </w:r>
          </w:p>
          <w:p>
            <w:pPr>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表4</w:t>
            </w:r>
            <w:r>
              <w:rPr>
                <w:rFonts w:ascii="宋体" w:hAnsi="宋体" w:cs="宋体"/>
                <w:b/>
                <w:color w:val="auto"/>
                <w:kern w:val="0"/>
                <w:sz w:val="18"/>
                <w:szCs w:val="18"/>
              </w:rPr>
              <w:t>-2</w:t>
            </w:r>
            <w:r>
              <w:rPr>
                <w:rFonts w:hint="eastAsia" w:ascii="宋体" w:hAnsi="宋体" w:cs="宋体"/>
                <w:b/>
                <w:color w:val="auto"/>
                <w:kern w:val="0"/>
                <w:sz w:val="18"/>
                <w:szCs w:val="18"/>
              </w:rPr>
              <w:t xml:space="preserve"> 汽车动力起尘量预测表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762"/>
              <w:gridCol w:w="1114"/>
              <w:gridCol w:w="1029"/>
              <w:gridCol w:w="1132"/>
              <w:gridCol w:w="19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515" w:type="pct"/>
                  <w:gridSpan w:val="2"/>
                  <w:vMerge w:val="restart"/>
                  <w:vAlign w:val="center"/>
                </w:tcPr>
                <w:p>
                  <w:pPr>
                    <w:spacing w:line="220" w:lineRule="exact"/>
                    <w:ind w:left="-105" w:leftChars="-50" w:right="-105" w:rightChars="-50"/>
                    <w:jc w:val="center"/>
                    <w:rPr>
                      <w:bCs/>
                      <w:color w:val="auto"/>
                      <w:sz w:val="18"/>
                      <w:szCs w:val="18"/>
                    </w:rPr>
                  </w:pPr>
                  <w:r>
                    <w:rPr>
                      <w:bCs/>
                      <w:color w:val="auto"/>
                      <w:sz w:val="18"/>
                      <w:szCs w:val="18"/>
                    </w:rPr>
                    <w:t>项目</w:t>
                  </w:r>
                </w:p>
              </w:tc>
              <w:tc>
                <w:tcPr>
                  <w:tcW w:w="748" w:type="pct"/>
                  <w:vMerge w:val="restart"/>
                  <w:vAlign w:val="center"/>
                </w:tcPr>
                <w:p>
                  <w:pPr>
                    <w:spacing w:line="220" w:lineRule="exact"/>
                    <w:ind w:left="-105" w:leftChars="-50" w:right="-105" w:rightChars="-50"/>
                    <w:jc w:val="center"/>
                    <w:rPr>
                      <w:bCs/>
                      <w:color w:val="auto"/>
                      <w:sz w:val="18"/>
                      <w:szCs w:val="18"/>
                    </w:rPr>
                  </w:pPr>
                  <w:r>
                    <w:rPr>
                      <w:bCs/>
                      <w:color w:val="auto"/>
                      <w:sz w:val="18"/>
                      <w:szCs w:val="18"/>
                    </w:rPr>
                    <w:t>开采区</w:t>
                  </w:r>
                </w:p>
              </w:tc>
              <w:tc>
                <w:tcPr>
                  <w:tcW w:w="1451" w:type="pct"/>
                  <w:gridSpan w:val="2"/>
                  <w:vAlign w:val="center"/>
                </w:tcPr>
                <w:p>
                  <w:pPr>
                    <w:spacing w:line="220" w:lineRule="exact"/>
                    <w:ind w:left="-105" w:leftChars="-50" w:right="-105" w:rightChars="-50"/>
                    <w:jc w:val="center"/>
                    <w:rPr>
                      <w:bCs/>
                      <w:color w:val="auto"/>
                      <w:sz w:val="18"/>
                      <w:szCs w:val="18"/>
                    </w:rPr>
                  </w:pPr>
                  <w:r>
                    <w:rPr>
                      <w:bCs/>
                      <w:color w:val="auto"/>
                      <w:sz w:val="18"/>
                      <w:szCs w:val="18"/>
                    </w:rPr>
                    <w:t>加工区</w:t>
                  </w:r>
                </w:p>
              </w:tc>
              <w:tc>
                <w:tcPr>
                  <w:tcW w:w="1286" w:type="pct"/>
                  <w:vMerge w:val="restart"/>
                  <w:vAlign w:val="center"/>
                </w:tcPr>
                <w:p>
                  <w:pPr>
                    <w:spacing w:line="220" w:lineRule="exact"/>
                    <w:ind w:left="-105" w:leftChars="-50" w:right="-105" w:rightChars="-50"/>
                    <w:jc w:val="center"/>
                    <w:rPr>
                      <w:bCs/>
                      <w:color w:val="auto"/>
                      <w:sz w:val="18"/>
                      <w:szCs w:val="18"/>
                    </w:rPr>
                  </w:pPr>
                  <w:r>
                    <w:rPr>
                      <w:bCs/>
                      <w:color w:val="auto"/>
                      <w:sz w:val="18"/>
                      <w:szCs w:val="18"/>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515" w:type="pct"/>
                  <w:gridSpan w:val="2"/>
                  <w:vMerge w:val="continue"/>
                  <w:vAlign w:val="center"/>
                </w:tcPr>
                <w:p>
                  <w:pPr>
                    <w:spacing w:line="220" w:lineRule="exact"/>
                    <w:ind w:left="-105" w:leftChars="-50" w:right="-105" w:rightChars="-50"/>
                    <w:jc w:val="center"/>
                    <w:rPr>
                      <w:bCs/>
                      <w:color w:val="auto"/>
                      <w:sz w:val="18"/>
                      <w:szCs w:val="18"/>
                    </w:rPr>
                  </w:pPr>
                </w:p>
              </w:tc>
              <w:tc>
                <w:tcPr>
                  <w:tcW w:w="748" w:type="pct"/>
                  <w:vMerge w:val="continue"/>
                  <w:vAlign w:val="center"/>
                </w:tcPr>
                <w:p>
                  <w:pPr>
                    <w:spacing w:line="220" w:lineRule="exact"/>
                    <w:ind w:left="-105" w:leftChars="-50" w:right="-105" w:rightChars="-50"/>
                    <w:jc w:val="center"/>
                    <w:rPr>
                      <w:bCs/>
                      <w:color w:val="auto"/>
                      <w:sz w:val="18"/>
                      <w:szCs w:val="18"/>
                    </w:rPr>
                  </w:pPr>
                </w:p>
              </w:tc>
              <w:tc>
                <w:tcPr>
                  <w:tcW w:w="691" w:type="pct"/>
                  <w:vAlign w:val="center"/>
                </w:tcPr>
                <w:p>
                  <w:pPr>
                    <w:spacing w:line="220" w:lineRule="exact"/>
                    <w:ind w:left="-105" w:leftChars="-50" w:right="-105" w:rightChars="-50"/>
                    <w:jc w:val="center"/>
                    <w:rPr>
                      <w:bCs/>
                      <w:color w:val="auto"/>
                      <w:sz w:val="18"/>
                      <w:szCs w:val="18"/>
                    </w:rPr>
                  </w:pPr>
                  <w:r>
                    <w:rPr>
                      <w:bCs/>
                      <w:color w:val="auto"/>
                      <w:sz w:val="18"/>
                      <w:szCs w:val="18"/>
                    </w:rPr>
                    <w:t>原矿运输</w:t>
                  </w:r>
                </w:p>
              </w:tc>
              <w:tc>
                <w:tcPr>
                  <w:tcW w:w="760" w:type="pct"/>
                  <w:vAlign w:val="center"/>
                </w:tcPr>
                <w:p>
                  <w:pPr>
                    <w:spacing w:line="220" w:lineRule="exact"/>
                    <w:ind w:left="-105" w:leftChars="-50" w:right="-105" w:rightChars="-50"/>
                    <w:jc w:val="center"/>
                    <w:rPr>
                      <w:bCs/>
                      <w:color w:val="auto"/>
                      <w:sz w:val="18"/>
                      <w:szCs w:val="18"/>
                    </w:rPr>
                  </w:pPr>
                  <w:r>
                    <w:rPr>
                      <w:bCs/>
                      <w:color w:val="auto"/>
                      <w:sz w:val="18"/>
                      <w:szCs w:val="18"/>
                    </w:rPr>
                    <w:t>产品运输</w:t>
                  </w:r>
                </w:p>
              </w:tc>
              <w:tc>
                <w:tcPr>
                  <w:tcW w:w="1286" w:type="pct"/>
                  <w:vMerge w:val="continue"/>
                  <w:vAlign w:val="center"/>
                </w:tcPr>
                <w:p>
                  <w:pPr>
                    <w:spacing w:line="220" w:lineRule="exact"/>
                    <w:ind w:left="-105" w:leftChars="-50" w:right="-105" w:rightChars="-50"/>
                    <w:jc w:val="center"/>
                    <w:rPr>
                      <w:bCs/>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5" w:type="pct"/>
                  <w:gridSpan w:val="2"/>
                  <w:vAlign w:val="center"/>
                </w:tcPr>
                <w:p>
                  <w:pPr>
                    <w:spacing w:line="220" w:lineRule="exact"/>
                    <w:ind w:left="-105" w:leftChars="-50" w:right="-105" w:rightChars="-50"/>
                    <w:jc w:val="center"/>
                    <w:rPr>
                      <w:color w:val="auto"/>
                      <w:sz w:val="18"/>
                      <w:szCs w:val="18"/>
                    </w:rPr>
                  </w:pPr>
                  <w:r>
                    <w:rPr>
                      <w:color w:val="auto"/>
                      <w:sz w:val="18"/>
                      <w:szCs w:val="18"/>
                    </w:rPr>
                    <w:t>V（km/h）</w:t>
                  </w:r>
                </w:p>
              </w:tc>
              <w:tc>
                <w:tcPr>
                  <w:tcW w:w="748" w:type="pct"/>
                  <w:vAlign w:val="center"/>
                </w:tcPr>
                <w:p>
                  <w:pPr>
                    <w:spacing w:line="220" w:lineRule="exact"/>
                    <w:ind w:left="-105" w:leftChars="-50" w:right="-105" w:rightChars="-50"/>
                    <w:jc w:val="center"/>
                    <w:rPr>
                      <w:color w:val="auto"/>
                      <w:sz w:val="18"/>
                      <w:szCs w:val="18"/>
                    </w:rPr>
                  </w:pPr>
                  <w:r>
                    <w:rPr>
                      <w:color w:val="auto"/>
                      <w:sz w:val="18"/>
                      <w:szCs w:val="18"/>
                    </w:rPr>
                    <w:t>5</w:t>
                  </w:r>
                </w:p>
              </w:tc>
              <w:tc>
                <w:tcPr>
                  <w:tcW w:w="691" w:type="pct"/>
                  <w:vAlign w:val="center"/>
                </w:tcPr>
                <w:p>
                  <w:pPr>
                    <w:spacing w:line="220" w:lineRule="exact"/>
                    <w:ind w:left="-105" w:leftChars="-50" w:right="-105" w:rightChars="-50"/>
                    <w:jc w:val="center"/>
                    <w:rPr>
                      <w:color w:val="auto"/>
                      <w:sz w:val="18"/>
                      <w:szCs w:val="18"/>
                    </w:rPr>
                  </w:pPr>
                  <w:r>
                    <w:rPr>
                      <w:color w:val="auto"/>
                      <w:sz w:val="18"/>
                      <w:szCs w:val="18"/>
                    </w:rPr>
                    <w:t>5</w:t>
                  </w:r>
                </w:p>
              </w:tc>
              <w:tc>
                <w:tcPr>
                  <w:tcW w:w="760" w:type="pct"/>
                  <w:vAlign w:val="center"/>
                </w:tcPr>
                <w:p>
                  <w:pPr>
                    <w:spacing w:line="220" w:lineRule="exact"/>
                    <w:ind w:left="-105" w:leftChars="-50" w:right="-105" w:rightChars="-50"/>
                    <w:jc w:val="center"/>
                    <w:rPr>
                      <w:color w:val="auto"/>
                      <w:sz w:val="18"/>
                      <w:szCs w:val="18"/>
                    </w:rPr>
                  </w:pPr>
                  <w:r>
                    <w:rPr>
                      <w:color w:val="auto"/>
                      <w:sz w:val="18"/>
                      <w:szCs w:val="18"/>
                    </w:rPr>
                    <w:t>5</w:t>
                  </w:r>
                </w:p>
              </w:tc>
              <w:tc>
                <w:tcPr>
                  <w:tcW w:w="1286" w:type="pct"/>
                  <w:vAlign w:val="center"/>
                </w:tcPr>
                <w:p>
                  <w:pPr>
                    <w:spacing w:line="220" w:lineRule="exact"/>
                    <w:ind w:left="-105" w:leftChars="-50" w:right="-105" w:rightChars="-5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5" w:type="pct"/>
                  <w:gridSpan w:val="2"/>
                  <w:vAlign w:val="center"/>
                </w:tcPr>
                <w:p>
                  <w:pPr>
                    <w:spacing w:line="220" w:lineRule="exact"/>
                    <w:ind w:left="-105" w:leftChars="-50" w:right="-105" w:rightChars="-50"/>
                    <w:jc w:val="center"/>
                    <w:rPr>
                      <w:color w:val="auto"/>
                      <w:sz w:val="18"/>
                      <w:szCs w:val="18"/>
                    </w:rPr>
                  </w:pPr>
                  <w:r>
                    <w:rPr>
                      <w:color w:val="auto"/>
                      <w:sz w:val="18"/>
                      <w:szCs w:val="18"/>
                    </w:rPr>
                    <w:t>W（t/辆）</w:t>
                  </w:r>
                </w:p>
              </w:tc>
              <w:tc>
                <w:tcPr>
                  <w:tcW w:w="748" w:type="pct"/>
                  <w:vAlign w:val="center"/>
                </w:tcPr>
                <w:p>
                  <w:pPr>
                    <w:spacing w:line="220" w:lineRule="exact"/>
                    <w:ind w:left="-105" w:leftChars="-50" w:right="-105" w:rightChars="-50"/>
                    <w:jc w:val="center"/>
                    <w:rPr>
                      <w:color w:val="auto"/>
                      <w:sz w:val="18"/>
                      <w:szCs w:val="18"/>
                    </w:rPr>
                  </w:pPr>
                  <w:r>
                    <w:rPr>
                      <w:color w:val="auto"/>
                      <w:sz w:val="18"/>
                      <w:szCs w:val="18"/>
                    </w:rPr>
                    <w:t>35</w:t>
                  </w:r>
                </w:p>
              </w:tc>
              <w:tc>
                <w:tcPr>
                  <w:tcW w:w="691" w:type="pct"/>
                  <w:vAlign w:val="center"/>
                </w:tcPr>
                <w:p>
                  <w:pPr>
                    <w:spacing w:line="220" w:lineRule="exact"/>
                    <w:ind w:left="-105" w:leftChars="-50" w:right="-105" w:rightChars="-50"/>
                    <w:jc w:val="center"/>
                    <w:rPr>
                      <w:color w:val="auto"/>
                      <w:sz w:val="18"/>
                      <w:szCs w:val="18"/>
                    </w:rPr>
                  </w:pPr>
                  <w:r>
                    <w:rPr>
                      <w:color w:val="auto"/>
                      <w:sz w:val="18"/>
                      <w:szCs w:val="18"/>
                    </w:rPr>
                    <w:t>35</w:t>
                  </w:r>
                </w:p>
              </w:tc>
              <w:tc>
                <w:tcPr>
                  <w:tcW w:w="760" w:type="pct"/>
                  <w:vAlign w:val="center"/>
                </w:tcPr>
                <w:p>
                  <w:pPr>
                    <w:spacing w:line="220" w:lineRule="exact"/>
                    <w:ind w:left="-105" w:leftChars="-50" w:right="-105" w:rightChars="-50"/>
                    <w:jc w:val="center"/>
                    <w:rPr>
                      <w:color w:val="auto"/>
                      <w:sz w:val="18"/>
                      <w:szCs w:val="18"/>
                    </w:rPr>
                  </w:pPr>
                  <w:r>
                    <w:rPr>
                      <w:color w:val="auto"/>
                      <w:sz w:val="18"/>
                      <w:szCs w:val="18"/>
                    </w:rPr>
                    <w:t>35</w:t>
                  </w:r>
                </w:p>
              </w:tc>
              <w:tc>
                <w:tcPr>
                  <w:tcW w:w="1286" w:type="pct"/>
                  <w:vAlign w:val="center"/>
                </w:tcPr>
                <w:p>
                  <w:pPr>
                    <w:spacing w:line="220" w:lineRule="exact"/>
                    <w:ind w:left="-105" w:leftChars="-50" w:right="-105" w:rightChars="-5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5" w:type="pct"/>
                  <w:gridSpan w:val="2"/>
                  <w:vAlign w:val="center"/>
                </w:tcPr>
                <w:p>
                  <w:pPr>
                    <w:spacing w:line="220" w:lineRule="exact"/>
                    <w:ind w:left="-105" w:leftChars="-50" w:right="-105" w:rightChars="-50"/>
                    <w:jc w:val="center"/>
                    <w:rPr>
                      <w:color w:val="auto"/>
                      <w:sz w:val="18"/>
                      <w:szCs w:val="18"/>
                    </w:rPr>
                  </w:pPr>
                  <w:r>
                    <w:rPr>
                      <w:color w:val="auto"/>
                      <w:sz w:val="18"/>
                      <w:szCs w:val="18"/>
                    </w:rPr>
                    <w:t>P（kg/m</w:t>
                  </w:r>
                  <w:r>
                    <w:rPr>
                      <w:color w:val="auto"/>
                      <w:sz w:val="18"/>
                      <w:szCs w:val="18"/>
                      <w:vertAlign w:val="superscript"/>
                    </w:rPr>
                    <w:t>2</w:t>
                  </w:r>
                  <w:r>
                    <w:rPr>
                      <w:color w:val="auto"/>
                      <w:sz w:val="18"/>
                      <w:szCs w:val="18"/>
                    </w:rPr>
                    <w:t>）</w:t>
                  </w:r>
                </w:p>
              </w:tc>
              <w:tc>
                <w:tcPr>
                  <w:tcW w:w="748" w:type="pct"/>
                  <w:vAlign w:val="center"/>
                </w:tcPr>
                <w:p>
                  <w:pPr>
                    <w:spacing w:line="220" w:lineRule="exact"/>
                    <w:ind w:left="-105" w:leftChars="-50" w:right="-105" w:rightChars="-50"/>
                    <w:jc w:val="center"/>
                    <w:rPr>
                      <w:color w:val="auto"/>
                      <w:sz w:val="18"/>
                      <w:szCs w:val="18"/>
                    </w:rPr>
                  </w:pPr>
                  <w:r>
                    <w:rPr>
                      <w:color w:val="auto"/>
                      <w:sz w:val="18"/>
                      <w:szCs w:val="18"/>
                    </w:rPr>
                    <w:t>0.4</w:t>
                  </w:r>
                </w:p>
              </w:tc>
              <w:tc>
                <w:tcPr>
                  <w:tcW w:w="691" w:type="pct"/>
                  <w:vAlign w:val="center"/>
                </w:tcPr>
                <w:p>
                  <w:pPr>
                    <w:spacing w:line="220" w:lineRule="exact"/>
                    <w:ind w:left="-105" w:leftChars="-50" w:right="-105" w:rightChars="-50"/>
                    <w:jc w:val="center"/>
                    <w:rPr>
                      <w:color w:val="auto"/>
                      <w:sz w:val="18"/>
                      <w:szCs w:val="18"/>
                    </w:rPr>
                  </w:pPr>
                  <w:r>
                    <w:rPr>
                      <w:color w:val="auto"/>
                      <w:sz w:val="18"/>
                      <w:szCs w:val="18"/>
                    </w:rPr>
                    <w:t>0.2</w:t>
                  </w:r>
                </w:p>
              </w:tc>
              <w:tc>
                <w:tcPr>
                  <w:tcW w:w="760" w:type="pct"/>
                  <w:vAlign w:val="center"/>
                </w:tcPr>
                <w:p>
                  <w:pPr>
                    <w:spacing w:line="220" w:lineRule="exact"/>
                    <w:ind w:left="-105" w:leftChars="-50" w:right="-105" w:rightChars="-50"/>
                    <w:jc w:val="center"/>
                    <w:rPr>
                      <w:color w:val="auto"/>
                      <w:sz w:val="18"/>
                      <w:szCs w:val="18"/>
                    </w:rPr>
                  </w:pPr>
                  <w:r>
                    <w:rPr>
                      <w:color w:val="auto"/>
                      <w:sz w:val="18"/>
                      <w:szCs w:val="18"/>
                    </w:rPr>
                    <w:t>0.2</w:t>
                  </w:r>
                </w:p>
              </w:tc>
              <w:tc>
                <w:tcPr>
                  <w:tcW w:w="1286" w:type="pct"/>
                  <w:vAlign w:val="center"/>
                </w:tcPr>
                <w:p>
                  <w:pPr>
                    <w:spacing w:line="220" w:lineRule="exact"/>
                    <w:ind w:left="-105" w:leftChars="-50" w:right="-105" w:rightChars="-5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04" w:type="pct"/>
                  <w:vMerge w:val="restart"/>
                  <w:vAlign w:val="center"/>
                </w:tcPr>
                <w:p>
                  <w:pPr>
                    <w:spacing w:line="220" w:lineRule="exact"/>
                    <w:ind w:left="-105" w:leftChars="-50" w:right="-105" w:rightChars="-50"/>
                    <w:jc w:val="center"/>
                    <w:rPr>
                      <w:color w:val="auto"/>
                      <w:sz w:val="18"/>
                      <w:szCs w:val="18"/>
                    </w:rPr>
                  </w:pPr>
                  <w:r>
                    <w:rPr>
                      <w:color w:val="auto"/>
                      <w:sz w:val="18"/>
                      <w:szCs w:val="18"/>
                    </w:rPr>
                    <w:t>Q（kg/km·辆）</w:t>
                  </w:r>
                </w:p>
              </w:tc>
              <w:tc>
                <w:tcPr>
                  <w:tcW w:w="512" w:type="pct"/>
                  <w:vAlign w:val="center"/>
                </w:tcPr>
                <w:p>
                  <w:pPr>
                    <w:spacing w:line="220" w:lineRule="exact"/>
                    <w:ind w:left="-105" w:leftChars="-50" w:right="-105" w:rightChars="-50"/>
                    <w:jc w:val="center"/>
                    <w:rPr>
                      <w:color w:val="auto"/>
                      <w:sz w:val="18"/>
                      <w:szCs w:val="18"/>
                    </w:rPr>
                  </w:pPr>
                  <w:r>
                    <w:rPr>
                      <w:color w:val="auto"/>
                      <w:sz w:val="18"/>
                      <w:szCs w:val="18"/>
                    </w:rPr>
                    <w:t>空车</w:t>
                  </w:r>
                </w:p>
              </w:tc>
              <w:tc>
                <w:tcPr>
                  <w:tcW w:w="748" w:type="pct"/>
                  <w:vAlign w:val="center"/>
                </w:tcPr>
                <w:p>
                  <w:pPr>
                    <w:spacing w:line="220" w:lineRule="exact"/>
                    <w:ind w:left="-105" w:leftChars="-50" w:right="-105" w:rightChars="-50"/>
                    <w:jc w:val="center"/>
                    <w:rPr>
                      <w:color w:val="auto"/>
                      <w:sz w:val="18"/>
                      <w:szCs w:val="18"/>
                    </w:rPr>
                  </w:pPr>
                  <w:r>
                    <w:rPr>
                      <w:rFonts w:hint="eastAsia"/>
                      <w:color w:val="auto"/>
                      <w:sz w:val="18"/>
                      <w:szCs w:val="18"/>
                    </w:rPr>
                    <w:t>0</w:t>
                  </w:r>
                  <w:r>
                    <w:rPr>
                      <w:color w:val="auto"/>
                      <w:sz w:val="18"/>
                      <w:szCs w:val="18"/>
                    </w:rPr>
                    <w:t>.120</w:t>
                  </w:r>
                </w:p>
              </w:tc>
              <w:tc>
                <w:tcPr>
                  <w:tcW w:w="691" w:type="pct"/>
                  <w:vAlign w:val="center"/>
                </w:tcPr>
                <w:p>
                  <w:pPr>
                    <w:spacing w:line="220" w:lineRule="exact"/>
                    <w:ind w:left="-105" w:leftChars="-50" w:right="-105" w:rightChars="-50"/>
                    <w:jc w:val="center"/>
                    <w:rPr>
                      <w:color w:val="auto"/>
                      <w:sz w:val="18"/>
                      <w:szCs w:val="18"/>
                    </w:rPr>
                  </w:pPr>
                  <w:r>
                    <w:rPr>
                      <w:rFonts w:hint="eastAsia"/>
                      <w:color w:val="auto"/>
                      <w:sz w:val="18"/>
                      <w:szCs w:val="18"/>
                    </w:rPr>
                    <w:t>0</w:t>
                  </w:r>
                  <w:r>
                    <w:rPr>
                      <w:color w:val="auto"/>
                      <w:sz w:val="18"/>
                      <w:szCs w:val="18"/>
                    </w:rPr>
                    <w:t>.073</w:t>
                  </w:r>
                </w:p>
              </w:tc>
              <w:tc>
                <w:tcPr>
                  <w:tcW w:w="760" w:type="pct"/>
                  <w:vAlign w:val="center"/>
                </w:tcPr>
                <w:p>
                  <w:pPr>
                    <w:spacing w:line="220" w:lineRule="exact"/>
                    <w:ind w:left="-105" w:leftChars="-50" w:right="-105" w:rightChars="-50"/>
                    <w:jc w:val="center"/>
                    <w:rPr>
                      <w:color w:val="auto"/>
                      <w:sz w:val="18"/>
                      <w:szCs w:val="18"/>
                    </w:rPr>
                  </w:pPr>
                  <w:r>
                    <w:rPr>
                      <w:rFonts w:hint="eastAsia"/>
                      <w:color w:val="auto"/>
                      <w:sz w:val="18"/>
                      <w:szCs w:val="18"/>
                    </w:rPr>
                    <w:t>0</w:t>
                  </w:r>
                  <w:r>
                    <w:rPr>
                      <w:color w:val="auto"/>
                      <w:sz w:val="18"/>
                      <w:szCs w:val="18"/>
                    </w:rPr>
                    <w:t>.073</w:t>
                  </w:r>
                </w:p>
              </w:tc>
              <w:tc>
                <w:tcPr>
                  <w:tcW w:w="1286" w:type="pct"/>
                  <w:vAlign w:val="center"/>
                </w:tcPr>
                <w:p>
                  <w:pPr>
                    <w:spacing w:line="220" w:lineRule="exact"/>
                    <w:ind w:left="-105" w:leftChars="-50" w:right="-105" w:rightChars="-5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04" w:type="pct"/>
                  <w:vMerge w:val="continue"/>
                  <w:vAlign w:val="center"/>
                </w:tcPr>
                <w:p>
                  <w:pPr>
                    <w:spacing w:line="220" w:lineRule="exact"/>
                    <w:ind w:left="-105" w:leftChars="-50" w:right="-105" w:rightChars="-50"/>
                    <w:jc w:val="center"/>
                    <w:rPr>
                      <w:color w:val="auto"/>
                      <w:sz w:val="18"/>
                      <w:szCs w:val="18"/>
                    </w:rPr>
                  </w:pPr>
                </w:p>
              </w:tc>
              <w:tc>
                <w:tcPr>
                  <w:tcW w:w="512" w:type="pct"/>
                  <w:vAlign w:val="center"/>
                </w:tcPr>
                <w:p>
                  <w:pPr>
                    <w:spacing w:line="220" w:lineRule="exact"/>
                    <w:ind w:left="-105" w:leftChars="-50" w:right="-105" w:rightChars="-50"/>
                    <w:jc w:val="center"/>
                    <w:rPr>
                      <w:color w:val="auto"/>
                      <w:sz w:val="18"/>
                      <w:szCs w:val="18"/>
                    </w:rPr>
                  </w:pPr>
                  <w:r>
                    <w:rPr>
                      <w:color w:val="auto"/>
                      <w:sz w:val="18"/>
                      <w:szCs w:val="18"/>
                    </w:rPr>
                    <w:t>载重车</w:t>
                  </w:r>
                </w:p>
              </w:tc>
              <w:tc>
                <w:tcPr>
                  <w:tcW w:w="748" w:type="pct"/>
                  <w:vAlign w:val="center"/>
                </w:tcPr>
                <w:p>
                  <w:pPr>
                    <w:spacing w:line="220" w:lineRule="exact"/>
                    <w:ind w:left="-105" w:leftChars="-50" w:right="-105" w:rightChars="-50"/>
                    <w:jc w:val="center"/>
                    <w:rPr>
                      <w:color w:val="auto"/>
                      <w:sz w:val="18"/>
                      <w:szCs w:val="18"/>
                    </w:rPr>
                  </w:pPr>
                  <w:r>
                    <w:rPr>
                      <w:color w:val="auto"/>
                      <w:sz w:val="18"/>
                      <w:szCs w:val="18"/>
                    </w:rPr>
                    <w:t>0.419</w:t>
                  </w:r>
                </w:p>
              </w:tc>
              <w:tc>
                <w:tcPr>
                  <w:tcW w:w="691" w:type="pct"/>
                  <w:vAlign w:val="center"/>
                </w:tcPr>
                <w:p>
                  <w:pPr>
                    <w:spacing w:line="220" w:lineRule="exact"/>
                    <w:ind w:left="-105" w:leftChars="-50" w:right="-105" w:rightChars="-50"/>
                    <w:jc w:val="center"/>
                    <w:rPr>
                      <w:color w:val="auto"/>
                      <w:sz w:val="18"/>
                      <w:szCs w:val="18"/>
                    </w:rPr>
                  </w:pPr>
                  <w:r>
                    <w:rPr>
                      <w:color w:val="auto"/>
                      <w:sz w:val="18"/>
                      <w:szCs w:val="18"/>
                    </w:rPr>
                    <w:t>0.255</w:t>
                  </w:r>
                </w:p>
              </w:tc>
              <w:tc>
                <w:tcPr>
                  <w:tcW w:w="760" w:type="pct"/>
                  <w:vAlign w:val="center"/>
                </w:tcPr>
                <w:p>
                  <w:pPr>
                    <w:spacing w:line="220" w:lineRule="exact"/>
                    <w:ind w:left="-105" w:leftChars="-50" w:right="-105" w:rightChars="-50"/>
                    <w:jc w:val="center"/>
                    <w:rPr>
                      <w:color w:val="auto"/>
                      <w:sz w:val="18"/>
                      <w:szCs w:val="18"/>
                    </w:rPr>
                  </w:pPr>
                  <w:r>
                    <w:rPr>
                      <w:color w:val="auto"/>
                      <w:sz w:val="18"/>
                      <w:szCs w:val="18"/>
                    </w:rPr>
                    <w:t>0.255</w:t>
                  </w:r>
                </w:p>
              </w:tc>
              <w:tc>
                <w:tcPr>
                  <w:tcW w:w="1286" w:type="pct"/>
                  <w:vAlign w:val="center"/>
                </w:tcPr>
                <w:p>
                  <w:pPr>
                    <w:spacing w:line="220" w:lineRule="exact"/>
                    <w:ind w:left="-105" w:leftChars="-50" w:right="-105" w:rightChars="-5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5" w:type="pct"/>
                  <w:gridSpan w:val="2"/>
                  <w:vAlign w:val="center"/>
                </w:tcPr>
                <w:p>
                  <w:pPr>
                    <w:spacing w:line="220" w:lineRule="exact"/>
                    <w:ind w:left="-105" w:leftChars="-50" w:right="-105" w:rightChars="-50"/>
                    <w:jc w:val="center"/>
                    <w:rPr>
                      <w:color w:val="auto"/>
                      <w:sz w:val="18"/>
                      <w:szCs w:val="18"/>
                    </w:rPr>
                  </w:pPr>
                  <w:r>
                    <w:rPr>
                      <w:color w:val="auto"/>
                      <w:sz w:val="18"/>
                      <w:szCs w:val="18"/>
                    </w:rPr>
                    <w:t>行驶距离（km）</w:t>
                  </w:r>
                </w:p>
              </w:tc>
              <w:tc>
                <w:tcPr>
                  <w:tcW w:w="748" w:type="pct"/>
                  <w:vAlign w:val="center"/>
                </w:tcPr>
                <w:p>
                  <w:pPr>
                    <w:spacing w:line="220" w:lineRule="exact"/>
                    <w:ind w:left="-105" w:leftChars="-50" w:right="-105" w:rightChars="-50"/>
                    <w:jc w:val="center"/>
                    <w:rPr>
                      <w:color w:val="auto"/>
                      <w:sz w:val="18"/>
                      <w:szCs w:val="18"/>
                    </w:rPr>
                  </w:pPr>
                  <w:r>
                    <w:rPr>
                      <w:color w:val="auto"/>
                      <w:sz w:val="18"/>
                      <w:szCs w:val="18"/>
                    </w:rPr>
                    <w:t>0.3</w:t>
                  </w:r>
                </w:p>
              </w:tc>
              <w:tc>
                <w:tcPr>
                  <w:tcW w:w="691" w:type="pct"/>
                  <w:vAlign w:val="center"/>
                </w:tcPr>
                <w:p>
                  <w:pPr>
                    <w:spacing w:line="220" w:lineRule="exact"/>
                    <w:ind w:left="-105" w:leftChars="-50" w:right="-105" w:rightChars="-50"/>
                    <w:jc w:val="center"/>
                    <w:rPr>
                      <w:color w:val="auto"/>
                      <w:sz w:val="18"/>
                      <w:szCs w:val="18"/>
                    </w:rPr>
                  </w:pPr>
                  <w:r>
                    <w:rPr>
                      <w:color w:val="auto"/>
                      <w:sz w:val="18"/>
                      <w:szCs w:val="18"/>
                    </w:rPr>
                    <w:t>0.13</w:t>
                  </w:r>
                </w:p>
              </w:tc>
              <w:tc>
                <w:tcPr>
                  <w:tcW w:w="760" w:type="pct"/>
                  <w:vAlign w:val="center"/>
                </w:tcPr>
                <w:p>
                  <w:pPr>
                    <w:spacing w:line="220" w:lineRule="exact"/>
                    <w:ind w:left="-105" w:leftChars="-50" w:right="-105" w:rightChars="-50"/>
                    <w:jc w:val="center"/>
                    <w:rPr>
                      <w:color w:val="auto"/>
                      <w:sz w:val="18"/>
                      <w:szCs w:val="18"/>
                    </w:rPr>
                  </w:pPr>
                  <w:r>
                    <w:rPr>
                      <w:color w:val="auto"/>
                      <w:sz w:val="18"/>
                      <w:szCs w:val="18"/>
                    </w:rPr>
                    <w:t>0.12</w:t>
                  </w:r>
                </w:p>
              </w:tc>
              <w:tc>
                <w:tcPr>
                  <w:tcW w:w="1286" w:type="pct"/>
                  <w:vAlign w:val="center"/>
                </w:tcPr>
                <w:p>
                  <w:pPr>
                    <w:spacing w:line="220" w:lineRule="exact"/>
                    <w:ind w:left="-105" w:leftChars="-50" w:right="-105" w:rightChars="-5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5" w:type="pct"/>
                  <w:gridSpan w:val="2"/>
                  <w:vAlign w:val="center"/>
                </w:tcPr>
                <w:p>
                  <w:pPr>
                    <w:spacing w:line="220" w:lineRule="exact"/>
                    <w:ind w:left="-105" w:leftChars="-50" w:right="-105" w:rightChars="-50"/>
                    <w:jc w:val="center"/>
                    <w:rPr>
                      <w:color w:val="auto"/>
                      <w:sz w:val="18"/>
                      <w:szCs w:val="18"/>
                    </w:rPr>
                  </w:pPr>
                  <w:r>
                    <w:rPr>
                      <w:color w:val="auto"/>
                      <w:sz w:val="18"/>
                      <w:szCs w:val="18"/>
                    </w:rPr>
                    <w:t>运输量（t/d）</w:t>
                  </w:r>
                </w:p>
              </w:tc>
              <w:tc>
                <w:tcPr>
                  <w:tcW w:w="748" w:type="pct"/>
                  <w:vAlign w:val="center"/>
                </w:tcPr>
                <w:p>
                  <w:pPr>
                    <w:spacing w:line="220" w:lineRule="exact"/>
                    <w:ind w:left="-105" w:leftChars="-50" w:right="-105" w:rightChars="-50"/>
                    <w:jc w:val="center"/>
                    <w:rPr>
                      <w:color w:val="auto"/>
                      <w:sz w:val="18"/>
                      <w:szCs w:val="18"/>
                    </w:rPr>
                  </w:pPr>
                  <w:r>
                    <w:rPr>
                      <w:rFonts w:hint="eastAsia"/>
                      <w:color w:val="auto"/>
                      <w:sz w:val="18"/>
                      <w:szCs w:val="18"/>
                    </w:rPr>
                    <w:t>8</w:t>
                  </w:r>
                  <w:r>
                    <w:rPr>
                      <w:color w:val="auto"/>
                      <w:sz w:val="18"/>
                      <w:szCs w:val="18"/>
                    </w:rPr>
                    <w:t>603</w:t>
                  </w:r>
                </w:p>
              </w:tc>
              <w:tc>
                <w:tcPr>
                  <w:tcW w:w="691" w:type="pct"/>
                  <w:vAlign w:val="center"/>
                </w:tcPr>
                <w:p>
                  <w:pPr>
                    <w:spacing w:line="220" w:lineRule="exact"/>
                    <w:ind w:left="-105" w:leftChars="-50" w:right="-105" w:rightChars="-50"/>
                    <w:jc w:val="center"/>
                    <w:rPr>
                      <w:color w:val="auto"/>
                      <w:sz w:val="18"/>
                      <w:szCs w:val="18"/>
                    </w:rPr>
                  </w:pPr>
                  <w:r>
                    <w:rPr>
                      <w:rFonts w:hint="eastAsia"/>
                      <w:color w:val="auto"/>
                      <w:sz w:val="18"/>
                      <w:szCs w:val="18"/>
                    </w:rPr>
                    <w:t>8</w:t>
                  </w:r>
                  <w:r>
                    <w:rPr>
                      <w:color w:val="auto"/>
                      <w:sz w:val="18"/>
                      <w:szCs w:val="18"/>
                    </w:rPr>
                    <w:t>603</w:t>
                  </w:r>
                </w:p>
              </w:tc>
              <w:tc>
                <w:tcPr>
                  <w:tcW w:w="760" w:type="pct"/>
                  <w:vAlign w:val="center"/>
                </w:tcPr>
                <w:p>
                  <w:pPr>
                    <w:spacing w:line="220" w:lineRule="exact"/>
                    <w:ind w:left="-105" w:leftChars="-50" w:right="-105" w:rightChars="-50"/>
                    <w:jc w:val="center"/>
                    <w:rPr>
                      <w:color w:val="auto"/>
                      <w:sz w:val="18"/>
                      <w:szCs w:val="18"/>
                    </w:rPr>
                  </w:pPr>
                  <w:r>
                    <w:rPr>
                      <w:color w:val="auto"/>
                      <w:sz w:val="18"/>
                      <w:szCs w:val="18"/>
                    </w:rPr>
                    <w:t>8333</w:t>
                  </w:r>
                </w:p>
              </w:tc>
              <w:tc>
                <w:tcPr>
                  <w:tcW w:w="1286" w:type="pct"/>
                  <w:vAlign w:val="center"/>
                </w:tcPr>
                <w:p>
                  <w:pPr>
                    <w:spacing w:line="220" w:lineRule="exact"/>
                    <w:ind w:left="-105" w:leftChars="-50" w:right="-105" w:rightChars="-5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15" w:type="pct"/>
                  <w:gridSpan w:val="2"/>
                  <w:vAlign w:val="center"/>
                </w:tcPr>
                <w:p>
                  <w:pPr>
                    <w:spacing w:line="220" w:lineRule="exact"/>
                    <w:ind w:left="-105" w:leftChars="-50" w:right="-105" w:rightChars="-50"/>
                    <w:jc w:val="center"/>
                    <w:rPr>
                      <w:color w:val="auto"/>
                      <w:sz w:val="18"/>
                      <w:szCs w:val="18"/>
                    </w:rPr>
                  </w:pPr>
                  <w:r>
                    <w:rPr>
                      <w:color w:val="auto"/>
                      <w:sz w:val="18"/>
                      <w:szCs w:val="18"/>
                    </w:rPr>
                    <w:t>粉尘产生量</w:t>
                  </w:r>
                </w:p>
              </w:tc>
              <w:tc>
                <w:tcPr>
                  <w:tcW w:w="748" w:type="pct"/>
                  <w:vAlign w:val="center"/>
                </w:tcPr>
                <w:p>
                  <w:pPr>
                    <w:spacing w:line="220" w:lineRule="exact"/>
                    <w:ind w:left="-105" w:leftChars="-50" w:right="-105" w:rightChars="-50"/>
                    <w:jc w:val="center"/>
                    <w:rPr>
                      <w:color w:val="auto"/>
                      <w:sz w:val="18"/>
                      <w:szCs w:val="18"/>
                    </w:rPr>
                  </w:pPr>
                  <w:r>
                    <w:rPr>
                      <w:color w:val="auto"/>
                      <w:sz w:val="18"/>
                      <w:szCs w:val="18"/>
                    </w:rPr>
                    <w:t>1.131t/a、3.770kg/d、0.236kg/h</w:t>
                  </w:r>
                </w:p>
              </w:tc>
              <w:tc>
                <w:tcPr>
                  <w:tcW w:w="691" w:type="pct"/>
                  <w:vAlign w:val="center"/>
                </w:tcPr>
                <w:p>
                  <w:pPr>
                    <w:spacing w:line="220" w:lineRule="exact"/>
                    <w:ind w:left="-105" w:leftChars="-50" w:right="-105" w:rightChars="-50"/>
                    <w:jc w:val="center"/>
                    <w:rPr>
                      <w:color w:val="auto"/>
                      <w:sz w:val="18"/>
                      <w:szCs w:val="18"/>
                    </w:rPr>
                  </w:pPr>
                  <w:r>
                    <w:rPr>
                      <w:color w:val="auto"/>
                      <w:sz w:val="18"/>
                      <w:szCs w:val="18"/>
                    </w:rPr>
                    <w:t>0.367t/a、1.223kg/d、0.076kg/h</w:t>
                  </w:r>
                </w:p>
              </w:tc>
              <w:tc>
                <w:tcPr>
                  <w:tcW w:w="760" w:type="pct"/>
                  <w:vAlign w:val="center"/>
                </w:tcPr>
                <w:p>
                  <w:pPr>
                    <w:spacing w:line="220" w:lineRule="exact"/>
                    <w:ind w:left="-105" w:leftChars="-50" w:right="-105" w:rightChars="-50"/>
                    <w:jc w:val="center"/>
                    <w:rPr>
                      <w:color w:val="auto"/>
                      <w:sz w:val="18"/>
                      <w:szCs w:val="18"/>
                    </w:rPr>
                  </w:pPr>
                  <w:r>
                    <w:rPr>
                      <w:color w:val="auto"/>
                      <w:sz w:val="18"/>
                      <w:szCs w:val="18"/>
                    </w:rPr>
                    <w:t>0.328t/a、1.093kg/d、0.067kg/h</w:t>
                  </w:r>
                </w:p>
              </w:tc>
              <w:tc>
                <w:tcPr>
                  <w:tcW w:w="1286" w:type="pct"/>
                  <w:vAlign w:val="center"/>
                </w:tcPr>
                <w:p>
                  <w:pPr>
                    <w:spacing w:line="220" w:lineRule="exact"/>
                    <w:ind w:left="-105" w:leftChars="-50" w:right="-105" w:rightChars="-50"/>
                    <w:jc w:val="center"/>
                    <w:rPr>
                      <w:color w:val="auto"/>
                      <w:sz w:val="18"/>
                      <w:szCs w:val="18"/>
                    </w:rPr>
                  </w:pPr>
                  <w:r>
                    <w:rPr>
                      <w:color w:val="auto"/>
                      <w:sz w:val="18"/>
                      <w:szCs w:val="18"/>
                    </w:rPr>
                    <w:t>加工区合计：0.695t/a、2.316kg/d、0.143kg/h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15" w:type="pct"/>
                  <w:gridSpan w:val="2"/>
                  <w:vAlign w:val="center"/>
                </w:tcPr>
                <w:p>
                  <w:pPr>
                    <w:spacing w:line="220" w:lineRule="exact"/>
                    <w:ind w:left="-105" w:leftChars="-50" w:right="-105" w:rightChars="-50"/>
                    <w:jc w:val="center"/>
                    <w:rPr>
                      <w:color w:val="auto"/>
                      <w:sz w:val="18"/>
                      <w:szCs w:val="18"/>
                    </w:rPr>
                  </w:pPr>
                  <w:r>
                    <w:rPr>
                      <w:color w:val="auto"/>
                      <w:sz w:val="18"/>
                      <w:szCs w:val="18"/>
                    </w:rPr>
                    <w:t>合 计</w:t>
                  </w:r>
                </w:p>
              </w:tc>
              <w:tc>
                <w:tcPr>
                  <w:tcW w:w="3485" w:type="pct"/>
                  <w:gridSpan w:val="4"/>
                  <w:vAlign w:val="center"/>
                </w:tcPr>
                <w:p>
                  <w:pPr>
                    <w:spacing w:line="220" w:lineRule="exact"/>
                    <w:ind w:left="-105" w:leftChars="-50" w:right="-105" w:rightChars="-50"/>
                    <w:jc w:val="center"/>
                    <w:rPr>
                      <w:color w:val="auto"/>
                      <w:sz w:val="18"/>
                      <w:szCs w:val="18"/>
                    </w:rPr>
                  </w:pPr>
                  <w:r>
                    <w:rPr>
                      <w:color w:val="auto"/>
                      <w:sz w:val="18"/>
                      <w:szCs w:val="18"/>
                    </w:rPr>
                    <w:t>1.826t/a、6.086kg/d、0.469kg/h</w:t>
                  </w:r>
                </w:p>
              </w:tc>
            </w:tr>
          </w:tbl>
          <w:p>
            <w:pPr>
              <w:tabs>
                <w:tab w:val="left" w:pos="2867"/>
              </w:tabs>
              <w:spacing w:line="400" w:lineRule="exact"/>
              <w:ind w:firstLine="422" w:firstLineChars="200"/>
              <w:rPr>
                <w:b/>
                <w:bCs/>
                <w:color w:val="auto"/>
              </w:rPr>
            </w:pPr>
            <w:r>
              <w:rPr>
                <w:rFonts w:hint="eastAsia" w:ascii="宋体" w:hAnsi="宋体" w:cs="宋体"/>
                <w:b/>
                <w:bCs/>
                <w:color w:val="auto"/>
              </w:rPr>
              <w:t>⑤</w:t>
            </w:r>
            <w:r>
              <w:rPr>
                <w:b/>
                <w:bCs/>
                <w:color w:val="auto"/>
              </w:rPr>
              <w:t>堆场扬尘</w:t>
            </w:r>
          </w:p>
          <w:p>
            <w:pPr>
              <w:tabs>
                <w:tab w:val="left" w:pos="2867"/>
              </w:tabs>
              <w:spacing w:line="400" w:lineRule="exact"/>
              <w:ind w:firstLine="420" w:firstLineChars="200"/>
              <w:rPr>
                <w:color w:val="auto"/>
              </w:rPr>
            </w:pPr>
            <w:r>
              <w:rPr>
                <w:color w:val="auto"/>
              </w:rPr>
              <w:t>矿山拟设置1个露天表土临时堆场，面积约16000m</w:t>
            </w:r>
            <w:r>
              <w:rPr>
                <w:color w:val="auto"/>
                <w:vertAlign w:val="superscript"/>
              </w:rPr>
              <w:t>2</w:t>
            </w:r>
            <w:r>
              <w:rPr>
                <w:color w:val="auto"/>
              </w:rPr>
              <w:t>；加工区原矿临时堆场面积</w:t>
            </w:r>
            <w:r>
              <w:rPr>
                <w:rFonts w:hint="eastAsia"/>
                <w:color w:val="auto"/>
              </w:rPr>
              <w:t>约</w:t>
            </w:r>
            <w:r>
              <w:rPr>
                <w:color w:val="auto"/>
              </w:rPr>
              <w:t>2000m</w:t>
            </w:r>
            <w:r>
              <w:rPr>
                <w:color w:val="auto"/>
                <w:vertAlign w:val="superscript"/>
              </w:rPr>
              <w:t>2</w:t>
            </w:r>
            <w:r>
              <w:rPr>
                <w:color w:val="auto"/>
              </w:rPr>
              <w:t>；产品堆场面积约5000m</w:t>
            </w:r>
            <w:r>
              <w:rPr>
                <w:color w:val="auto"/>
                <w:vertAlign w:val="superscript"/>
              </w:rPr>
              <w:t>2</w:t>
            </w:r>
            <w:r>
              <w:rPr>
                <w:color w:val="auto"/>
              </w:rPr>
              <w:t>；堆场在大风天气会产生一定的堆场扬尘。</w:t>
            </w:r>
          </w:p>
          <w:p>
            <w:pPr>
              <w:tabs>
                <w:tab w:val="left" w:pos="2867"/>
              </w:tabs>
              <w:spacing w:line="400" w:lineRule="exact"/>
              <w:ind w:firstLine="420" w:firstLineChars="200"/>
              <w:rPr>
                <w:color w:val="auto"/>
              </w:rPr>
            </w:pPr>
            <w:r>
              <w:rPr>
                <w:color w:val="auto"/>
              </w:rPr>
              <w:t>堆场起尘量计算公式（采用清华大学在霍州电厂现场试验的模式）：</w:t>
            </w:r>
          </w:p>
          <w:p>
            <w:pPr>
              <w:tabs>
                <w:tab w:val="left" w:pos="2867"/>
              </w:tabs>
              <w:spacing w:line="400" w:lineRule="exact"/>
              <w:ind w:firstLine="420" w:firstLineChars="200"/>
              <w:jc w:val="center"/>
              <w:rPr>
                <w:color w:val="auto"/>
              </w:rPr>
            </w:pPr>
            <w:r>
              <w:rPr>
                <w:color w:val="auto"/>
              </w:rPr>
              <w:t>Qm=11.7U</w:t>
            </w:r>
            <w:r>
              <w:rPr>
                <w:color w:val="auto"/>
                <w:vertAlign w:val="superscript"/>
              </w:rPr>
              <w:t>2.45</w:t>
            </w:r>
            <w:r>
              <w:rPr>
                <w:color w:val="auto"/>
              </w:rPr>
              <w:t>·S</w:t>
            </w:r>
            <w:r>
              <w:rPr>
                <w:color w:val="auto"/>
                <w:vertAlign w:val="superscript"/>
              </w:rPr>
              <w:t>0.345</w:t>
            </w:r>
            <w:r>
              <w:rPr>
                <w:color w:val="auto"/>
              </w:rPr>
              <w:t>·e</w:t>
            </w:r>
            <w:r>
              <w:rPr>
                <w:color w:val="auto"/>
                <w:vertAlign w:val="superscript"/>
              </w:rPr>
              <w:t>-0.55W</w:t>
            </w:r>
          </w:p>
          <w:p>
            <w:pPr>
              <w:tabs>
                <w:tab w:val="left" w:pos="2867"/>
              </w:tabs>
              <w:spacing w:line="400" w:lineRule="exact"/>
              <w:ind w:firstLine="420" w:firstLineChars="200"/>
              <w:rPr>
                <w:color w:val="auto"/>
              </w:rPr>
            </w:pPr>
            <w:r>
              <w:rPr>
                <w:color w:val="auto"/>
              </w:rPr>
              <w:t>式中：Q</w:t>
            </w:r>
            <w:r>
              <w:rPr>
                <w:color w:val="auto"/>
                <w:vertAlign w:val="subscript"/>
              </w:rPr>
              <w:t>m</w:t>
            </w:r>
            <w:r>
              <w:rPr>
                <w:color w:val="auto"/>
              </w:rPr>
              <w:t>—堆场起尘量，mg/s；</w:t>
            </w:r>
          </w:p>
          <w:p>
            <w:pPr>
              <w:tabs>
                <w:tab w:val="left" w:pos="2867"/>
              </w:tabs>
              <w:spacing w:line="400" w:lineRule="exact"/>
              <w:ind w:firstLine="1050" w:firstLineChars="500"/>
              <w:rPr>
                <w:color w:val="auto"/>
              </w:rPr>
            </w:pPr>
            <w:r>
              <w:rPr>
                <w:color w:val="auto"/>
              </w:rPr>
              <w:t>U—起尘风速，m/s；本项目位于</w:t>
            </w:r>
            <w:r>
              <w:rPr>
                <w:rFonts w:hint="eastAsia"/>
                <w:color w:val="auto"/>
              </w:rPr>
              <w:t>宣汉县</w:t>
            </w:r>
            <w:r>
              <w:rPr>
                <w:color w:val="auto"/>
              </w:rPr>
              <w:t>，常年风速取1.7m/s。</w:t>
            </w:r>
          </w:p>
          <w:p>
            <w:pPr>
              <w:tabs>
                <w:tab w:val="left" w:pos="2867"/>
              </w:tabs>
              <w:spacing w:line="400" w:lineRule="exact"/>
              <w:ind w:firstLine="1050" w:firstLineChars="500"/>
              <w:rPr>
                <w:color w:val="auto"/>
              </w:rPr>
            </w:pPr>
            <w:r>
              <w:rPr>
                <w:color w:val="auto"/>
              </w:rPr>
              <w:t>S—堆场面积；</w:t>
            </w:r>
          </w:p>
          <w:p>
            <w:pPr>
              <w:tabs>
                <w:tab w:val="left" w:pos="2867"/>
              </w:tabs>
              <w:spacing w:line="400" w:lineRule="exact"/>
              <w:ind w:firstLine="1050" w:firstLineChars="500"/>
              <w:rPr>
                <w:color w:val="auto"/>
              </w:rPr>
            </w:pPr>
            <w:r>
              <w:rPr>
                <w:color w:val="auto"/>
              </w:rPr>
              <w:t>W—物料湿度，一般表土含水率取6%。</w:t>
            </w:r>
          </w:p>
          <w:p>
            <w:pPr>
              <w:adjustRightInd w:val="0"/>
              <w:snapToGrid w:val="0"/>
              <w:spacing w:line="360" w:lineRule="auto"/>
              <w:ind w:firstLine="420" w:firstLineChars="200"/>
              <w:rPr>
                <w:color w:val="auto"/>
                <w:kern w:val="0"/>
                <w:szCs w:val="21"/>
              </w:rPr>
            </w:pPr>
            <w:r>
              <w:rPr>
                <w:color w:val="auto"/>
              </w:rPr>
              <w:t>经计算，在不采取控制措施的情况下，起风天气表土临时堆场起尘量为1171.86mg/s、36.956t/a；原矿堆场起尘量为571.89mg/s、18.035t/a；产品堆场起尘量为784.51mg/s、24.740t/a。</w:t>
            </w:r>
          </w:p>
          <w:p>
            <w:pPr>
              <w:adjustRightInd w:val="0"/>
              <w:snapToGrid w:val="0"/>
              <w:spacing w:line="360" w:lineRule="auto"/>
              <w:ind w:firstLine="420" w:firstLineChars="200"/>
              <w:rPr>
                <w:color w:val="auto"/>
                <w:kern w:val="0"/>
                <w:szCs w:val="21"/>
              </w:rPr>
            </w:pPr>
            <w:r>
              <w:rPr>
                <w:rFonts w:hint="eastAsia" w:ascii="宋体" w:hAnsi="宋体" w:cs="宋体"/>
                <w:color w:val="auto"/>
                <w:kern w:val="0"/>
                <w:szCs w:val="21"/>
              </w:rPr>
              <w:t>⑥</w:t>
            </w:r>
            <w:r>
              <w:rPr>
                <w:color w:val="auto"/>
                <w:kern w:val="0"/>
                <w:szCs w:val="21"/>
              </w:rPr>
              <w:t>生产粉尘</w:t>
            </w:r>
          </w:p>
          <w:p>
            <w:pPr>
              <w:adjustRightInd w:val="0"/>
              <w:snapToGrid w:val="0"/>
              <w:spacing w:line="360" w:lineRule="auto"/>
              <w:ind w:firstLine="420" w:firstLineChars="200"/>
              <w:rPr>
                <w:rFonts w:ascii="宋体" w:hAnsi="宋体" w:cs="宋体"/>
                <w:color w:val="auto"/>
                <w:kern w:val="0"/>
                <w:szCs w:val="21"/>
              </w:rPr>
            </w:pPr>
            <w:r>
              <w:rPr>
                <w:color w:val="auto"/>
                <w:kern w:val="0"/>
                <w:szCs w:val="21"/>
              </w:rPr>
              <w:t>参考《三废处理工程技术手册-废气卷</w:t>
            </w:r>
            <w:r>
              <w:rPr>
                <w:rFonts w:hint="eastAsia"/>
                <w:color w:val="auto"/>
                <w:kern w:val="0"/>
                <w:szCs w:val="21"/>
                <w:lang w:eastAsia="zh-CN"/>
              </w:rPr>
              <w:t>》《</w:t>
            </w:r>
            <w:r>
              <w:rPr>
                <w:color w:val="auto"/>
                <w:kern w:val="0"/>
                <w:szCs w:val="21"/>
              </w:rPr>
              <w:t>逸散性工业粉尘控制技术》（中国环境科学出版社）和同类企业类比调查，结合本项目生产工艺，矿石进料、破碎时均采取喷雾措施，控制粉尘，矿石的含水率较重。因此本项目矿石加工过程中在无控制措施的情况下，加工生产线运行时粉尘产生系数取值为：卸料取0.02kg/t，一级破碎0.1kg/t，二级破碎取0.3kg/t，整形取0.15kg/t；</w:t>
            </w:r>
            <w:r>
              <w:rPr>
                <w:rFonts w:hint="eastAsia"/>
                <w:color w:val="auto"/>
                <w:kern w:val="0"/>
                <w:szCs w:val="21"/>
              </w:rPr>
              <w:t>本项目</w:t>
            </w:r>
            <w:r>
              <w:rPr>
                <w:color w:val="auto"/>
                <w:kern w:val="0"/>
                <w:szCs w:val="21"/>
              </w:rPr>
              <w:t>拟对一级、二级筛分处</w:t>
            </w:r>
            <w:r>
              <w:rPr>
                <w:rFonts w:hint="eastAsia"/>
                <w:color w:val="auto"/>
                <w:kern w:val="0"/>
                <w:szCs w:val="21"/>
              </w:rPr>
              <w:t>采用</w:t>
            </w:r>
            <w:r>
              <w:rPr>
                <w:color w:val="auto"/>
                <w:kern w:val="0"/>
                <w:szCs w:val="21"/>
              </w:rPr>
              <w:t>水冲洗，洗砂环节也会添加大量水，</w:t>
            </w:r>
            <w:r>
              <w:rPr>
                <w:rFonts w:hint="eastAsia"/>
                <w:color w:val="auto"/>
                <w:kern w:val="0"/>
                <w:szCs w:val="21"/>
              </w:rPr>
              <w:t>故</w:t>
            </w:r>
            <w:r>
              <w:rPr>
                <w:color w:val="auto"/>
                <w:kern w:val="0"/>
                <w:szCs w:val="21"/>
              </w:rPr>
              <w:t>该环节基本不会产生粉尘。项目采用平稳输送，且输送带全部采取封闭，不考虑输送环节粉尘。</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经计算，项目生产线各环节粉尘产生情况见下表。</w:t>
            </w:r>
          </w:p>
          <w:p>
            <w:pPr>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表4</w:t>
            </w:r>
            <w:r>
              <w:rPr>
                <w:rFonts w:ascii="宋体" w:hAnsi="宋体" w:cs="宋体"/>
                <w:b/>
                <w:color w:val="auto"/>
                <w:kern w:val="0"/>
                <w:sz w:val="18"/>
                <w:szCs w:val="18"/>
              </w:rPr>
              <w:t xml:space="preserve">-3 </w:t>
            </w:r>
            <w:r>
              <w:rPr>
                <w:rFonts w:hint="eastAsia" w:ascii="宋体" w:hAnsi="宋体" w:cs="宋体"/>
                <w:b/>
                <w:color w:val="auto"/>
                <w:kern w:val="0"/>
                <w:sz w:val="18"/>
                <w:szCs w:val="18"/>
              </w:rPr>
              <w:t>项目加工场生产粉尘产生情况表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50"/>
              <w:gridCol w:w="2218"/>
              <w:gridCol w:w="1226"/>
              <w:gridCol w:w="1226"/>
              <w:gridCol w:w="12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1041" w:type="pct"/>
                  <w:vAlign w:val="center"/>
                </w:tcPr>
                <w:p>
                  <w:pPr>
                    <w:adjustRightInd w:val="0"/>
                    <w:snapToGrid w:val="0"/>
                    <w:spacing w:line="320" w:lineRule="exact"/>
                    <w:jc w:val="center"/>
                    <w:rPr>
                      <w:bCs/>
                      <w:color w:val="auto"/>
                      <w:sz w:val="18"/>
                      <w:szCs w:val="18"/>
                    </w:rPr>
                  </w:pPr>
                  <w:r>
                    <w:rPr>
                      <w:bCs/>
                      <w:color w:val="auto"/>
                      <w:sz w:val="18"/>
                      <w:szCs w:val="18"/>
                    </w:rPr>
                    <w:t>产污环节</w:t>
                  </w:r>
                </w:p>
              </w:tc>
              <w:tc>
                <w:tcPr>
                  <w:tcW w:w="1489" w:type="pct"/>
                  <w:vAlign w:val="center"/>
                </w:tcPr>
                <w:p>
                  <w:pPr>
                    <w:adjustRightInd w:val="0"/>
                    <w:snapToGrid w:val="0"/>
                    <w:spacing w:line="320" w:lineRule="exact"/>
                    <w:jc w:val="center"/>
                    <w:rPr>
                      <w:bCs/>
                      <w:color w:val="auto"/>
                      <w:sz w:val="18"/>
                      <w:szCs w:val="18"/>
                    </w:rPr>
                  </w:pPr>
                  <w:r>
                    <w:rPr>
                      <w:bCs/>
                      <w:color w:val="auto"/>
                      <w:sz w:val="18"/>
                      <w:szCs w:val="18"/>
                    </w:rPr>
                    <w:t>产污系数</w:t>
                  </w:r>
                </w:p>
              </w:tc>
              <w:tc>
                <w:tcPr>
                  <w:tcW w:w="823" w:type="pct"/>
                  <w:vAlign w:val="center"/>
                </w:tcPr>
                <w:p>
                  <w:pPr>
                    <w:adjustRightInd w:val="0"/>
                    <w:snapToGrid w:val="0"/>
                    <w:spacing w:line="280" w:lineRule="exact"/>
                    <w:jc w:val="center"/>
                    <w:rPr>
                      <w:bCs/>
                      <w:color w:val="auto"/>
                      <w:sz w:val="18"/>
                      <w:szCs w:val="18"/>
                    </w:rPr>
                  </w:pPr>
                  <w:r>
                    <w:rPr>
                      <w:bCs/>
                      <w:color w:val="auto"/>
                      <w:sz w:val="18"/>
                      <w:szCs w:val="18"/>
                    </w:rPr>
                    <w:t>生产规模</w:t>
                  </w:r>
                </w:p>
              </w:tc>
              <w:tc>
                <w:tcPr>
                  <w:tcW w:w="823" w:type="pct"/>
                  <w:vAlign w:val="center"/>
                </w:tcPr>
                <w:p>
                  <w:pPr>
                    <w:adjustRightInd w:val="0"/>
                    <w:snapToGrid w:val="0"/>
                    <w:spacing w:line="280" w:lineRule="exact"/>
                    <w:jc w:val="center"/>
                    <w:rPr>
                      <w:bCs/>
                      <w:color w:val="auto"/>
                      <w:sz w:val="18"/>
                      <w:szCs w:val="18"/>
                    </w:rPr>
                  </w:pPr>
                  <w:r>
                    <w:rPr>
                      <w:bCs/>
                      <w:color w:val="auto"/>
                      <w:sz w:val="18"/>
                      <w:szCs w:val="18"/>
                    </w:rPr>
                    <w:t>产生量</w:t>
                  </w:r>
                </w:p>
              </w:tc>
              <w:tc>
                <w:tcPr>
                  <w:tcW w:w="823" w:type="pct"/>
                  <w:vAlign w:val="center"/>
                </w:tcPr>
                <w:p>
                  <w:pPr>
                    <w:adjustRightInd w:val="0"/>
                    <w:snapToGrid w:val="0"/>
                    <w:spacing w:line="280" w:lineRule="exact"/>
                    <w:jc w:val="center"/>
                    <w:rPr>
                      <w:bCs/>
                      <w:color w:val="auto"/>
                      <w:sz w:val="18"/>
                      <w:szCs w:val="18"/>
                    </w:rPr>
                  </w:pPr>
                  <w:r>
                    <w:rPr>
                      <w:bCs/>
                      <w:color w:val="auto"/>
                      <w:sz w:val="18"/>
                      <w:szCs w:val="18"/>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3" w:hRule="atLeast"/>
                <w:jc w:val="center"/>
              </w:trPr>
              <w:tc>
                <w:tcPr>
                  <w:tcW w:w="1041" w:type="pct"/>
                  <w:vAlign w:val="center"/>
                </w:tcPr>
                <w:p>
                  <w:pPr>
                    <w:adjustRightInd w:val="0"/>
                    <w:snapToGrid w:val="0"/>
                    <w:spacing w:line="280" w:lineRule="exact"/>
                    <w:jc w:val="center"/>
                    <w:rPr>
                      <w:color w:val="auto"/>
                      <w:sz w:val="18"/>
                      <w:szCs w:val="18"/>
                    </w:rPr>
                  </w:pPr>
                  <w:r>
                    <w:rPr>
                      <w:color w:val="auto"/>
                      <w:sz w:val="18"/>
                      <w:szCs w:val="18"/>
                    </w:rPr>
                    <w:t>卸料</w:t>
                  </w:r>
                </w:p>
              </w:tc>
              <w:tc>
                <w:tcPr>
                  <w:tcW w:w="1489" w:type="pct"/>
                  <w:vAlign w:val="center"/>
                </w:tcPr>
                <w:p>
                  <w:pPr>
                    <w:adjustRightInd w:val="0"/>
                    <w:snapToGrid w:val="0"/>
                    <w:spacing w:line="280" w:lineRule="exact"/>
                    <w:jc w:val="center"/>
                    <w:rPr>
                      <w:color w:val="auto"/>
                      <w:sz w:val="18"/>
                      <w:szCs w:val="18"/>
                    </w:rPr>
                  </w:pPr>
                  <w:r>
                    <w:rPr>
                      <w:color w:val="auto"/>
                      <w:sz w:val="18"/>
                      <w:szCs w:val="18"/>
                    </w:rPr>
                    <w:t>0.02kg/t-原料</w:t>
                  </w:r>
                </w:p>
              </w:tc>
              <w:tc>
                <w:tcPr>
                  <w:tcW w:w="823" w:type="pct"/>
                  <w:vAlign w:val="center"/>
                </w:tcPr>
                <w:p>
                  <w:pPr>
                    <w:adjustRightInd w:val="0"/>
                    <w:snapToGrid w:val="0"/>
                    <w:spacing w:line="280" w:lineRule="exact"/>
                    <w:jc w:val="center"/>
                    <w:rPr>
                      <w:color w:val="auto"/>
                      <w:sz w:val="18"/>
                      <w:szCs w:val="18"/>
                    </w:rPr>
                  </w:pPr>
                  <w:r>
                    <w:rPr>
                      <w:color w:val="auto"/>
                      <w:sz w:val="18"/>
                      <w:szCs w:val="18"/>
                    </w:rPr>
                    <w:t>250万t/a</w:t>
                  </w:r>
                </w:p>
              </w:tc>
              <w:tc>
                <w:tcPr>
                  <w:tcW w:w="823" w:type="pct"/>
                  <w:vAlign w:val="center"/>
                </w:tcPr>
                <w:p>
                  <w:pPr>
                    <w:adjustRightInd w:val="0"/>
                    <w:snapToGrid w:val="0"/>
                    <w:spacing w:line="280" w:lineRule="exact"/>
                    <w:jc w:val="center"/>
                    <w:rPr>
                      <w:color w:val="auto"/>
                      <w:sz w:val="18"/>
                      <w:szCs w:val="18"/>
                    </w:rPr>
                  </w:pPr>
                  <w:r>
                    <w:rPr>
                      <w:color w:val="auto"/>
                      <w:sz w:val="18"/>
                      <w:szCs w:val="18"/>
                    </w:rPr>
                    <w:t>50.0t/a</w:t>
                  </w:r>
                </w:p>
              </w:tc>
              <w:tc>
                <w:tcPr>
                  <w:tcW w:w="823" w:type="pct"/>
                  <w:vAlign w:val="center"/>
                </w:tcPr>
                <w:p>
                  <w:pPr>
                    <w:adjustRightInd w:val="0"/>
                    <w:snapToGrid w:val="0"/>
                    <w:spacing w:line="280" w:lineRule="exact"/>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3" w:hRule="atLeast"/>
                <w:jc w:val="center"/>
              </w:trPr>
              <w:tc>
                <w:tcPr>
                  <w:tcW w:w="1041" w:type="pct"/>
                  <w:vAlign w:val="center"/>
                </w:tcPr>
                <w:p>
                  <w:pPr>
                    <w:adjustRightInd w:val="0"/>
                    <w:snapToGrid w:val="0"/>
                    <w:spacing w:line="280" w:lineRule="exact"/>
                    <w:jc w:val="center"/>
                    <w:rPr>
                      <w:color w:val="auto"/>
                      <w:sz w:val="18"/>
                      <w:szCs w:val="18"/>
                    </w:rPr>
                  </w:pPr>
                  <w:r>
                    <w:rPr>
                      <w:color w:val="auto"/>
                      <w:sz w:val="18"/>
                      <w:szCs w:val="18"/>
                    </w:rPr>
                    <w:t>一级破碎</w:t>
                  </w:r>
                </w:p>
              </w:tc>
              <w:tc>
                <w:tcPr>
                  <w:tcW w:w="1489" w:type="pct"/>
                  <w:vAlign w:val="center"/>
                </w:tcPr>
                <w:p>
                  <w:pPr>
                    <w:adjustRightInd w:val="0"/>
                    <w:snapToGrid w:val="0"/>
                    <w:spacing w:line="280" w:lineRule="exact"/>
                    <w:jc w:val="center"/>
                    <w:rPr>
                      <w:color w:val="auto"/>
                      <w:sz w:val="18"/>
                      <w:szCs w:val="18"/>
                    </w:rPr>
                  </w:pPr>
                  <w:r>
                    <w:rPr>
                      <w:color w:val="auto"/>
                      <w:sz w:val="18"/>
                      <w:szCs w:val="18"/>
                    </w:rPr>
                    <w:t>0.1kg/t-原料</w:t>
                  </w:r>
                </w:p>
              </w:tc>
              <w:tc>
                <w:tcPr>
                  <w:tcW w:w="823" w:type="pct"/>
                  <w:vAlign w:val="center"/>
                </w:tcPr>
                <w:p>
                  <w:pPr>
                    <w:adjustRightInd w:val="0"/>
                    <w:snapToGrid w:val="0"/>
                    <w:spacing w:line="280" w:lineRule="exact"/>
                    <w:jc w:val="center"/>
                    <w:rPr>
                      <w:color w:val="auto"/>
                      <w:sz w:val="18"/>
                      <w:szCs w:val="18"/>
                    </w:rPr>
                  </w:pPr>
                  <w:r>
                    <w:rPr>
                      <w:color w:val="auto"/>
                      <w:sz w:val="18"/>
                      <w:szCs w:val="18"/>
                    </w:rPr>
                    <w:t>250万t/a</w:t>
                  </w:r>
                </w:p>
              </w:tc>
              <w:tc>
                <w:tcPr>
                  <w:tcW w:w="823" w:type="pct"/>
                  <w:vAlign w:val="center"/>
                </w:tcPr>
                <w:p>
                  <w:pPr>
                    <w:adjustRightInd w:val="0"/>
                    <w:snapToGrid w:val="0"/>
                    <w:spacing w:line="280" w:lineRule="exact"/>
                    <w:jc w:val="center"/>
                    <w:rPr>
                      <w:color w:val="auto"/>
                      <w:sz w:val="18"/>
                      <w:szCs w:val="18"/>
                    </w:rPr>
                  </w:pPr>
                  <w:r>
                    <w:rPr>
                      <w:color w:val="auto"/>
                      <w:sz w:val="18"/>
                      <w:szCs w:val="18"/>
                    </w:rPr>
                    <w:t>250.0t/a</w:t>
                  </w:r>
                </w:p>
              </w:tc>
              <w:tc>
                <w:tcPr>
                  <w:tcW w:w="823" w:type="pct"/>
                  <w:vAlign w:val="center"/>
                </w:tcPr>
                <w:p>
                  <w:pPr>
                    <w:adjustRightInd w:val="0"/>
                    <w:snapToGrid w:val="0"/>
                    <w:spacing w:line="280" w:lineRule="exact"/>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3" w:hRule="atLeast"/>
                <w:jc w:val="center"/>
              </w:trPr>
              <w:tc>
                <w:tcPr>
                  <w:tcW w:w="1041" w:type="pct"/>
                  <w:vAlign w:val="center"/>
                </w:tcPr>
                <w:p>
                  <w:pPr>
                    <w:adjustRightInd w:val="0"/>
                    <w:snapToGrid w:val="0"/>
                    <w:spacing w:line="280" w:lineRule="exact"/>
                    <w:jc w:val="center"/>
                    <w:rPr>
                      <w:color w:val="auto"/>
                      <w:sz w:val="18"/>
                      <w:szCs w:val="18"/>
                    </w:rPr>
                  </w:pPr>
                  <w:r>
                    <w:rPr>
                      <w:color w:val="auto"/>
                      <w:sz w:val="18"/>
                      <w:szCs w:val="18"/>
                    </w:rPr>
                    <w:t>二级破碎</w:t>
                  </w:r>
                </w:p>
              </w:tc>
              <w:tc>
                <w:tcPr>
                  <w:tcW w:w="1489" w:type="pct"/>
                  <w:vAlign w:val="center"/>
                </w:tcPr>
                <w:p>
                  <w:pPr>
                    <w:adjustRightInd w:val="0"/>
                    <w:snapToGrid w:val="0"/>
                    <w:spacing w:line="280" w:lineRule="exact"/>
                    <w:jc w:val="center"/>
                    <w:rPr>
                      <w:color w:val="auto"/>
                      <w:sz w:val="18"/>
                      <w:szCs w:val="18"/>
                    </w:rPr>
                  </w:pPr>
                  <w:r>
                    <w:rPr>
                      <w:color w:val="auto"/>
                      <w:sz w:val="18"/>
                      <w:szCs w:val="18"/>
                    </w:rPr>
                    <w:t>0.3kg/t-原料</w:t>
                  </w:r>
                </w:p>
              </w:tc>
              <w:tc>
                <w:tcPr>
                  <w:tcW w:w="823" w:type="pct"/>
                  <w:vAlign w:val="center"/>
                </w:tcPr>
                <w:p>
                  <w:pPr>
                    <w:adjustRightInd w:val="0"/>
                    <w:snapToGrid w:val="0"/>
                    <w:spacing w:line="280" w:lineRule="exact"/>
                    <w:jc w:val="center"/>
                    <w:rPr>
                      <w:color w:val="auto"/>
                      <w:sz w:val="18"/>
                      <w:szCs w:val="18"/>
                    </w:rPr>
                  </w:pPr>
                  <w:r>
                    <w:rPr>
                      <w:color w:val="auto"/>
                      <w:sz w:val="18"/>
                      <w:szCs w:val="18"/>
                    </w:rPr>
                    <w:t>250万t/a</w:t>
                  </w:r>
                </w:p>
              </w:tc>
              <w:tc>
                <w:tcPr>
                  <w:tcW w:w="823" w:type="pct"/>
                  <w:vAlign w:val="center"/>
                </w:tcPr>
                <w:p>
                  <w:pPr>
                    <w:adjustRightInd w:val="0"/>
                    <w:snapToGrid w:val="0"/>
                    <w:spacing w:line="280" w:lineRule="exact"/>
                    <w:jc w:val="center"/>
                    <w:rPr>
                      <w:color w:val="auto"/>
                      <w:sz w:val="18"/>
                      <w:szCs w:val="18"/>
                    </w:rPr>
                  </w:pPr>
                  <w:r>
                    <w:rPr>
                      <w:color w:val="auto"/>
                      <w:sz w:val="18"/>
                      <w:szCs w:val="18"/>
                    </w:rPr>
                    <w:t>750.0t/a</w:t>
                  </w:r>
                </w:p>
              </w:tc>
              <w:tc>
                <w:tcPr>
                  <w:tcW w:w="823" w:type="pct"/>
                  <w:vAlign w:val="center"/>
                </w:tcPr>
                <w:p>
                  <w:pPr>
                    <w:adjustRightInd w:val="0"/>
                    <w:snapToGrid w:val="0"/>
                    <w:spacing w:line="280" w:lineRule="exact"/>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3" w:hRule="atLeast"/>
                <w:jc w:val="center"/>
              </w:trPr>
              <w:tc>
                <w:tcPr>
                  <w:tcW w:w="1041" w:type="pct"/>
                  <w:vAlign w:val="center"/>
                </w:tcPr>
                <w:p>
                  <w:pPr>
                    <w:adjustRightInd w:val="0"/>
                    <w:snapToGrid w:val="0"/>
                    <w:spacing w:line="280" w:lineRule="exact"/>
                    <w:jc w:val="center"/>
                    <w:rPr>
                      <w:color w:val="auto"/>
                      <w:sz w:val="18"/>
                      <w:szCs w:val="18"/>
                    </w:rPr>
                  </w:pPr>
                  <w:r>
                    <w:rPr>
                      <w:color w:val="auto"/>
                      <w:sz w:val="18"/>
                      <w:szCs w:val="18"/>
                    </w:rPr>
                    <w:t>一级筛分</w:t>
                  </w:r>
                </w:p>
              </w:tc>
              <w:tc>
                <w:tcPr>
                  <w:tcW w:w="1489" w:type="pct"/>
                  <w:vAlign w:val="center"/>
                </w:tcPr>
                <w:p>
                  <w:pPr>
                    <w:adjustRightInd w:val="0"/>
                    <w:snapToGrid w:val="0"/>
                    <w:spacing w:line="280" w:lineRule="exact"/>
                    <w:jc w:val="center"/>
                    <w:rPr>
                      <w:color w:val="auto"/>
                      <w:sz w:val="18"/>
                      <w:szCs w:val="18"/>
                    </w:rPr>
                  </w:pPr>
                  <w:r>
                    <w:rPr>
                      <w:color w:val="auto"/>
                      <w:sz w:val="18"/>
                      <w:szCs w:val="18"/>
                    </w:rPr>
                    <w:t>0</w:t>
                  </w:r>
                </w:p>
              </w:tc>
              <w:tc>
                <w:tcPr>
                  <w:tcW w:w="823" w:type="pct"/>
                  <w:vAlign w:val="center"/>
                </w:tcPr>
                <w:p>
                  <w:pPr>
                    <w:adjustRightInd w:val="0"/>
                    <w:snapToGrid w:val="0"/>
                    <w:spacing w:line="280" w:lineRule="exact"/>
                    <w:jc w:val="center"/>
                    <w:rPr>
                      <w:color w:val="auto"/>
                      <w:sz w:val="18"/>
                      <w:szCs w:val="18"/>
                    </w:rPr>
                  </w:pPr>
                  <w:r>
                    <w:rPr>
                      <w:color w:val="auto"/>
                      <w:sz w:val="18"/>
                      <w:szCs w:val="18"/>
                    </w:rPr>
                    <w:t>250万t/a</w:t>
                  </w:r>
                </w:p>
              </w:tc>
              <w:tc>
                <w:tcPr>
                  <w:tcW w:w="823" w:type="pct"/>
                  <w:vAlign w:val="center"/>
                </w:tcPr>
                <w:p>
                  <w:pPr>
                    <w:adjustRightInd w:val="0"/>
                    <w:snapToGrid w:val="0"/>
                    <w:spacing w:line="280" w:lineRule="exact"/>
                    <w:jc w:val="center"/>
                    <w:rPr>
                      <w:color w:val="auto"/>
                      <w:sz w:val="18"/>
                      <w:szCs w:val="18"/>
                    </w:rPr>
                  </w:pPr>
                  <w:r>
                    <w:rPr>
                      <w:color w:val="auto"/>
                      <w:sz w:val="18"/>
                      <w:szCs w:val="18"/>
                    </w:rPr>
                    <w:t>-</w:t>
                  </w:r>
                </w:p>
              </w:tc>
              <w:tc>
                <w:tcPr>
                  <w:tcW w:w="823" w:type="pct"/>
                  <w:vAlign w:val="center"/>
                </w:tcPr>
                <w:p>
                  <w:pPr>
                    <w:adjustRightInd w:val="0"/>
                    <w:snapToGrid w:val="0"/>
                    <w:spacing w:line="280" w:lineRule="exact"/>
                    <w:jc w:val="center"/>
                    <w:rPr>
                      <w:color w:val="auto"/>
                      <w:sz w:val="18"/>
                      <w:szCs w:val="18"/>
                    </w:rPr>
                  </w:pPr>
                  <w:r>
                    <w:rPr>
                      <w:color w:val="auto"/>
                      <w:sz w:val="18"/>
                      <w:szCs w:val="18"/>
                    </w:rPr>
                    <w:t>加水冲洗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3" w:hRule="atLeast"/>
                <w:jc w:val="center"/>
              </w:trPr>
              <w:tc>
                <w:tcPr>
                  <w:tcW w:w="1041" w:type="pct"/>
                  <w:vAlign w:val="center"/>
                </w:tcPr>
                <w:p>
                  <w:pPr>
                    <w:adjustRightInd w:val="0"/>
                    <w:snapToGrid w:val="0"/>
                    <w:spacing w:line="280" w:lineRule="exact"/>
                    <w:jc w:val="center"/>
                    <w:rPr>
                      <w:color w:val="auto"/>
                      <w:sz w:val="18"/>
                      <w:szCs w:val="18"/>
                    </w:rPr>
                  </w:pPr>
                  <w:r>
                    <w:rPr>
                      <w:color w:val="auto"/>
                      <w:sz w:val="18"/>
                      <w:szCs w:val="18"/>
                    </w:rPr>
                    <w:t>整形</w:t>
                  </w:r>
                </w:p>
              </w:tc>
              <w:tc>
                <w:tcPr>
                  <w:tcW w:w="1489" w:type="pct"/>
                  <w:vAlign w:val="center"/>
                </w:tcPr>
                <w:p>
                  <w:pPr>
                    <w:adjustRightInd w:val="0"/>
                    <w:snapToGrid w:val="0"/>
                    <w:spacing w:line="280" w:lineRule="exact"/>
                    <w:jc w:val="center"/>
                    <w:rPr>
                      <w:color w:val="auto"/>
                      <w:sz w:val="18"/>
                      <w:szCs w:val="18"/>
                    </w:rPr>
                  </w:pPr>
                  <w:r>
                    <w:rPr>
                      <w:color w:val="auto"/>
                      <w:sz w:val="18"/>
                      <w:szCs w:val="18"/>
                    </w:rPr>
                    <w:t>0.15kg/t-原料</w:t>
                  </w:r>
                </w:p>
              </w:tc>
              <w:tc>
                <w:tcPr>
                  <w:tcW w:w="823" w:type="pct"/>
                  <w:vAlign w:val="center"/>
                </w:tcPr>
                <w:p>
                  <w:pPr>
                    <w:adjustRightInd w:val="0"/>
                    <w:snapToGrid w:val="0"/>
                    <w:spacing w:line="280" w:lineRule="exact"/>
                    <w:jc w:val="center"/>
                    <w:rPr>
                      <w:color w:val="auto"/>
                      <w:sz w:val="18"/>
                      <w:szCs w:val="18"/>
                    </w:rPr>
                  </w:pPr>
                  <w:r>
                    <w:rPr>
                      <w:color w:val="auto"/>
                      <w:sz w:val="18"/>
                      <w:szCs w:val="18"/>
                    </w:rPr>
                    <w:t>250万t/a</w:t>
                  </w:r>
                </w:p>
              </w:tc>
              <w:tc>
                <w:tcPr>
                  <w:tcW w:w="823" w:type="pct"/>
                  <w:vAlign w:val="center"/>
                </w:tcPr>
                <w:p>
                  <w:pPr>
                    <w:adjustRightInd w:val="0"/>
                    <w:snapToGrid w:val="0"/>
                    <w:spacing w:line="280" w:lineRule="exact"/>
                    <w:jc w:val="center"/>
                    <w:rPr>
                      <w:color w:val="auto"/>
                      <w:sz w:val="18"/>
                      <w:szCs w:val="18"/>
                    </w:rPr>
                  </w:pPr>
                  <w:r>
                    <w:rPr>
                      <w:color w:val="auto"/>
                      <w:sz w:val="18"/>
                      <w:szCs w:val="18"/>
                    </w:rPr>
                    <w:t>375.0t/a</w:t>
                  </w:r>
                </w:p>
              </w:tc>
              <w:tc>
                <w:tcPr>
                  <w:tcW w:w="823" w:type="pct"/>
                  <w:vAlign w:val="center"/>
                </w:tcPr>
                <w:p>
                  <w:pPr>
                    <w:adjustRightInd w:val="0"/>
                    <w:snapToGrid w:val="0"/>
                    <w:spacing w:line="280" w:lineRule="exact"/>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3" w:hRule="atLeast"/>
                <w:jc w:val="center"/>
              </w:trPr>
              <w:tc>
                <w:tcPr>
                  <w:tcW w:w="1041" w:type="pct"/>
                  <w:vAlign w:val="center"/>
                </w:tcPr>
                <w:p>
                  <w:pPr>
                    <w:adjustRightInd w:val="0"/>
                    <w:snapToGrid w:val="0"/>
                    <w:spacing w:line="280" w:lineRule="exact"/>
                    <w:jc w:val="center"/>
                    <w:rPr>
                      <w:color w:val="auto"/>
                      <w:sz w:val="18"/>
                      <w:szCs w:val="18"/>
                    </w:rPr>
                  </w:pPr>
                  <w:r>
                    <w:rPr>
                      <w:color w:val="auto"/>
                      <w:sz w:val="18"/>
                      <w:szCs w:val="18"/>
                    </w:rPr>
                    <w:t>二级筛分</w:t>
                  </w:r>
                </w:p>
              </w:tc>
              <w:tc>
                <w:tcPr>
                  <w:tcW w:w="1489" w:type="pct"/>
                  <w:vAlign w:val="center"/>
                </w:tcPr>
                <w:p>
                  <w:pPr>
                    <w:adjustRightInd w:val="0"/>
                    <w:snapToGrid w:val="0"/>
                    <w:spacing w:line="280" w:lineRule="exact"/>
                    <w:jc w:val="center"/>
                    <w:rPr>
                      <w:color w:val="auto"/>
                      <w:sz w:val="18"/>
                      <w:szCs w:val="18"/>
                    </w:rPr>
                  </w:pPr>
                  <w:r>
                    <w:rPr>
                      <w:color w:val="auto"/>
                      <w:sz w:val="18"/>
                      <w:szCs w:val="18"/>
                    </w:rPr>
                    <w:t>0</w:t>
                  </w:r>
                </w:p>
              </w:tc>
              <w:tc>
                <w:tcPr>
                  <w:tcW w:w="823" w:type="pct"/>
                  <w:vAlign w:val="center"/>
                </w:tcPr>
                <w:p>
                  <w:pPr>
                    <w:adjustRightInd w:val="0"/>
                    <w:snapToGrid w:val="0"/>
                    <w:spacing w:line="280" w:lineRule="exact"/>
                    <w:jc w:val="center"/>
                    <w:rPr>
                      <w:color w:val="auto"/>
                      <w:sz w:val="18"/>
                      <w:szCs w:val="18"/>
                    </w:rPr>
                  </w:pPr>
                  <w:r>
                    <w:rPr>
                      <w:color w:val="auto"/>
                      <w:sz w:val="18"/>
                      <w:szCs w:val="18"/>
                    </w:rPr>
                    <w:t>250万t/a</w:t>
                  </w:r>
                </w:p>
              </w:tc>
              <w:tc>
                <w:tcPr>
                  <w:tcW w:w="823" w:type="pct"/>
                  <w:vAlign w:val="center"/>
                </w:tcPr>
                <w:p>
                  <w:pPr>
                    <w:adjustRightInd w:val="0"/>
                    <w:snapToGrid w:val="0"/>
                    <w:spacing w:line="280" w:lineRule="exact"/>
                    <w:jc w:val="center"/>
                    <w:rPr>
                      <w:color w:val="auto"/>
                      <w:sz w:val="18"/>
                      <w:szCs w:val="18"/>
                    </w:rPr>
                  </w:pPr>
                  <w:r>
                    <w:rPr>
                      <w:color w:val="auto"/>
                      <w:sz w:val="18"/>
                      <w:szCs w:val="18"/>
                    </w:rPr>
                    <w:t>-</w:t>
                  </w:r>
                </w:p>
              </w:tc>
              <w:tc>
                <w:tcPr>
                  <w:tcW w:w="823" w:type="pct"/>
                  <w:vAlign w:val="center"/>
                </w:tcPr>
                <w:p>
                  <w:pPr>
                    <w:adjustRightInd w:val="0"/>
                    <w:snapToGrid w:val="0"/>
                    <w:spacing w:line="280" w:lineRule="exact"/>
                    <w:jc w:val="center"/>
                    <w:rPr>
                      <w:color w:val="auto"/>
                      <w:sz w:val="18"/>
                      <w:szCs w:val="18"/>
                    </w:rPr>
                  </w:pPr>
                  <w:r>
                    <w:rPr>
                      <w:color w:val="auto"/>
                      <w:sz w:val="18"/>
                      <w:szCs w:val="18"/>
                    </w:rPr>
                    <w:t>加水冲洗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1041" w:type="pct"/>
                  <w:vAlign w:val="center"/>
                </w:tcPr>
                <w:p>
                  <w:pPr>
                    <w:adjustRightInd w:val="0"/>
                    <w:snapToGrid w:val="0"/>
                    <w:spacing w:line="280" w:lineRule="exact"/>
                    <w:jc w:val="center"/>
                    <w:rPr>
                      <w:color w:val="auto"/>
                      <w:sz w:val="18"/>
                      <w:szCs w:val="18"/>
                    </w:rPr>
                  </w:pPr>
                  <w:r>
                    <w:rPr>
                      <w:color w:val="auto"/>
                      <w:sz w:val="18"/>
                      <w:szCs w:val="18"/>
                    </w:rPr>
                    <w:t>合计</w:t>
                  </w:r>
                </w:p>
              </w:tc>
              <w:tc>
                <w:tcPr>
                  <w:tcW w:w="1489" w:type="pct"/>
                  <w:vAlign w:val="center"/>
                </w:tcPr>
                <w:p>
                  <w:pPr>
                    <w:adjustRightInd w:val="0"/>
                    <w:snapToGrid w:val="0"/>
                    <w:spacing w:line="280" w:lineRule="exact"/>
                    <w:jc w:val="center"/>
                    <w:rPr>
                      <w:color w:val="auto"/>
                      <w:sz w:val="18"/>
                      <w:szCs w:val="18"/>
                    </w:rPr>
                  </w:pPr>
                  <w:r>
                    <w:rPr>
                      <w:color w:val="auto"/>
                      <w:sz w:val="18"/>
                      <w:szCs w:val="18"/>
                    </w:rPr>
                    <w:t>/</w:t>
                  </w:r>
                </w:p>
              </w:tc>
              <w:tc>
                <w:tcPr>
                  <w:tcW w:w="823" w:type="pct"/>
                  <w:vAlign w:val="center"/>
                </w:tcPr>
                <w:p>
                  <w:pPr>
                    <w:adjustRightInd w:val="0"/>
                    <w:snapToGrid w:val="0"/>
                    <w:spacing w:line="280" w:lineRule="exact"/>
                    <w:jc w:val="center"/>
                    <w:rPr>
                      <w:color w:val="auto"/>
                      <w:sz w:val="18"/>
                      <w:szCs w:val="18"/>
                    </w:rPr>
                  </w:pPr>
                  <w:r>
                    <w:rPr>
                      <w:color w:val="auto"/>
                      <w:sz w:val="18"/>
                      <w:szCs w:val="18"/>
                    </w:rPr>
                    <w:t>/</w:t>
                  </w:r>
                </w:p>
              </w:tc>
              <w:tc>
                <w:tcPr>
                  <w:tcW w:w="823" w:type="pct"/>
                  <w:vAlign w:val="center"/>
                </w:tcPr>
                <w:p>
                  <w:pPr>
                    <w:adjustRightInd w:val="0"/>
                    <w:snapToGrid w:val="0"/>
                    <w:spacing w:line="280" w:lineRule="exact"/>
                    <w:jc w:val="center"/>
                    <w:rPr>
                      <w:color w:val="auto"/>
                      <w:sz w:val="18"/>
                      <w:szCs w:val="18"/>
                    </w:rPr>
                  </w:pPr>
                  <w:r>
                    <w:rPr>
                      <w:color w:val="auto"/>
                      <w:sz w:val="18"/>
                      <w:szCs w:val="18"/>
                    </w:rPr>
                    <w:t>1425t/a</w:t>
                  </w:r>
                </w:p>
              </w:tc>
              <w:tc>
                <w:tcPr>
                  <w:tcW w:w="823" w:type="pct"/>
                  <w:vAlign w:val="center"/>
                </w:tcPr>
                <w:p>
                  <w:pPr>
                    <w:adjustRightInd w:val="0"/>
                    <w:snapToGrid w:val="0"/>
                    <w:spacing w:line="280" w:lineRule="exact"/>
                    <w:jc w:val="center"/>
                    <w:rPr>
                      <w:color w:val="auto"/>
                      <w:sz w:val="18"/>
                      <w:szCs w:val="18"/>
                    </w:rPr>
                  </w:pPr>
                </w:p>
              </w:tc>
            </w:tr>
          </w:tbl>
          <w:p>
            <w:pPr>
              <w:adjustRightInd w:val="0"/>
              <w:snapToGrid w:val="0"/>
              <w:spacing w:line="360" w:lineRule="auto"/>
              <w:ind w:firstLine="420" w:firstLineChars="200"/>
              <w:rPr>
                <w:color w:val="auto"/>
                <w:kern w:val="0"/>
                <w:szCs w:val="21"/>
              </w:rPr>
            </w:pPr>
            <w:r>
              <w:rPr>
                <w:rFonts w:hint="eastAsia" w:ascii="宋体" w:hAnsi="宋体" w:cs="宋体"/>
                <w:color w:val="auto"/>
                <w:kern w:val="0"/>
                <w:szCs w:val="21"/>
              </w:rPr>
              <w:t>⑦</w:t>
            </w:r>
            <w:r>
              <w:rPr>
                <w:color w:val="auto"/>
                <w:kern w:val="0"/>
                <w:szCs w:val="21"/>
              </w:rPr>
              <w:t>产品装车扬尘</w:t>
            </w:r>
          </w:p>
          <w:p>
            <w:pPr>
              <w:adjustRightInd w:val="0"/>
              <w:snapToGrid w:val="0"/>
              <w:spacing w:line="360" w:lineRule="auto"/>
              <w:ind w:firstLine="420" w:firstLineChars="200"/>
              <w:rPr>
                <w:color w:val="auto"/>
                <w:kern w:val="0"/>
                <w:szCs w:val="21"/>
              </w:rPr>
            </w:pPr>
            <w:r>
              <w:rPr>
                <w:color w:val="auto"/>
                <w:kern w:val="0"/>
                <w:szCs w:val="21"/>
              </w:rPr>
              <w:t>产品外运时，采用铲车装车，在装车时砂石下落过程会产生扬尘。水洗过的产品含水率较高，铲装粉尘</w:t>
            </w:r>
            <w:r>
              <w:rPr>
                <w:rFonts w:hint="eastAsia"/>
                <w:color w:val="auto"/>
                <w:kern w:val="0"/>
                <w:szCs w:val="21"/>
              </w:rPr>
              <w:t>量</w:t>
            </w:r>
            <w:r>
              <w:rPr>
                <w:color w:val="auto"/>
                <w:kern w:val="0"/>
                <w:szCs w:val="21"/>
              </w:rPr>
              <w:t>极小，未经水洗（一级筛分后）的产品含水率相对较低，铲装时逸散粉尘产生量按0.02kg/t-产品计算。本项目未经水洗的产品量为75万t/a，则铲装时逸散粉尘产生量为15t/a。</w:t>
            </w:r>
          </w:p>
          <w:p>
            <w:pPr>
              <w:adjustRightInd w:val="0"/>
              <w:snapToGrid w:val="0"/>
              <w:spacing w:line="360" w:lineRule="auto"/>
              <w:ind w:firstLine="420" w:firstLineChars="200"/>
              <w:rPr>
                <w:color w:val="auto"/>
                <w:kern w:val="0"/>
                <w:szCs w:val="21"/>
              </w:rPr>
            </w:pPr>
            <w:r>
              <w:rPr>
                <w:color w:val="auto"/>
                <w:kern w:val="0"/>
                <w:szCs w:val="21"/>
              </w:rPr>
              <w:t>粉（扬）尘排入外部环境会对大气空气污染影响，对植被的光合作用和生产造成危害。若由长期在粉尘下工作的人员吸入肺部后，易造成尘肺病发生。</w:t>
            </w:r>
          </w:p>
          <w:p>
            <w:pPr>
              <w:adjustRightInd w:val="0"/>
              <w:snapToGrid w:val="0"/>
              <w:spacing w:line="360" w:lineRule="auto"/>
              <w:ind w:firstLine="420" w:firstLineChars="200"/>
              <w:rPr>
                <w:color w:val="auto"/>
                <w:kern w:val="0"/>
                <w:szCs w:val="21"/>
              </w:rPr>
            </w:pPr>
            <w:r>
              <w:rPr>
                <w:rFonts w:hint="eastAsia" w:ascii="宋体" w:hAnsi="宋体" w:cs="宋体"/>
                <w:color w:val="auto"/>
                <w:kern w:val="0"/>
                <w:szCs w:val="21"/>
              </w:rPr>
              <w:t>⑧</w:t>
            </w:r>
            <w:r>
              <w:rPr>
                <w:color w:val="auto"/>
                <w:kern w:val="0"/>
                <w:szCs w:val="21"/>
              </w:rPr>
              <w:t>爆破废气</w:t>
            </w:r>
          </w:p>
          <w:p>
            <w:pPr>
              <w:adjustRightInd w:val="0"/>
              <w:snapToGrid w:val="0"/>
              <w:spacing w:line="360" w:lineRule="auto"/>
              <w:ind w:firstLine="420" w:firstLineChars="200"/>
              <w:rPr>
                <w:color w:val="auto"/>
                <w:kern w:val="0"/>
                <w:szCs w:val="21"/>
              </w:rPr>
            </w:pPr>
            <w:r>
              <w:rPr>
                <w:color w:val="auto"/>
                <w:kern w:val="0"/>
                <w:szCs w:val="21"/>
              </w:rPr>
              <w:t>项目矿山爆破采用硝铵类炸药，主要成分为硝酸铵、TNT、木粉，爆炸时产生的气体主要有CO、CO</w:t>
            </w:r>
            <w:r>
              <w:rPr>
                <w:color w:val="auto"/>
                <w:kern w:val="0"/>
                <w:szCs w:val="21"/>
                <w:vertAlign w:val="subscript"/>
              </w:rPr>
              <w:t>2</w:t>
            </w:r>
            <w:r>
              <w:rPr>
                <w:color w:val="auto"/>
                <w:kern w:val="0"/>
                <w:szCs w:val="21"/>
              </w:rPr>
              <w:t>、H</w:t>
            </w:r>
            <w:r>
              <w:rPr>
                <w:color w:val="auto"/>
                <w:kern w:val="0"/>
                <w:szCs w:val="21"/>
                <w:vertAlign w:val="subscript"/>
              </w:rPr>
              <w:t>2</w:t>
            </w:r>
            <w:r>
              <w:rPr>
                <w:color w:val="auto"/>
                <w:kern w:val="0"/>
                <w:szCs w:val="21"/>
              </w:rPr>
              <w:t>O、NOx、O</w:t>
            </w:r>
            <w:r>
              <w:rPr>
                <w:color w:val="auto"/>
                <w:kern w:val="0"/>
                <w:szCs w:val="21"/>
                <w:vertAlign w:val="subscript"/>
              </w:rPr>
              <w:t>2</w:t>
            </w:r>
            <w:r>
              <w:rPr>
                <w:color w:val="auto"/>
                <w:kern w:val="0"/>
                <w:szCs w:val="21"/>
              </w:rPr>
              <w:t>、N</w:t>
            </w:r>
            <w:r>
              <w:rPr>
                <w:color w:val="auto"/>
                <w:kern w:val="0"/>
                <w:szCs w:val="21"/>
                <w:vertAlign w:val="subscript"/>
              </w:rPr>
              <w:t>2</w:t>
            </w:r>
            <w:r>
              <w:rPr>
                <w:color w:val="auto"/>
                <w:kern w:val="0"/>
                <w:szCs w:val="21"/>
              </w:rPr>
              <w:t>等，其中有毒有害气体主要是CO和NOx。根据《爆破工程施工安全技术标准实用手册》，硝铵炸药爆炸时产生CO为3.6kg/t，NOx为32kg/t。本项目矿山开采过程中年使用炸药量为300t/a，经计算得出爆破废气主要污染物产生量分别为CO：1.08t/a、NOx：9.6t/a。</w:t>
            </w:r>
          </w:p>
          <w:p>
            <w:pPr>
              <w:adjustRightInd w:val="0"/>
              <w:snapToGrid w:val="0"/>
              <w:spacing w:line="360" w:lineRule="auto"/>
              <w:ind w:firstLine="420" w:firstLineChars="200"/>
              <w:rPr>
                <w:color w:val="auto"/>
                <w:kern w:val="0"/>
                <w:szCs w:val="21"/>
              </w:rPr>
            </w:pPr>
            <w:r>
              <w:rPr>
                <w:rFonts w:hint="eastAsia" w:ascii="宋体" w:hAnsi="宋体" w:cs="宋体"/>
                <w:color w:val="auto"/>
                <w:kern w:val="0"/>
                <w:szCs w:val="21"/>
              </w:rPr>
              <w:t>⑨</w:t>
            </w:r>
            <w:r>
              <w:rPr>
                <w:color w:val="auto"/>
                <w:kern w:val="0"/>
                <w:szCs w:val="21"/>
              </w:rPr>
              <w:t>机械燃油尾气</w:t>
            </w:r>
          </w:p>
          <w:p>
            <w:pPr>
              <w:adjustRightInd w:val="0"/>
              <w:snapToGrid w:val="0"/>
              <w:spacing w:line="360" w:lineRule="auto"/>
              <w:ind w:firstLine="420" w:firstLineChars="200"/>
              <w:rPr>
                <w:rFonts w:ascii="宋体" w:hAnsi="宋体" w:cs="宋体"/>
                <w:color w:val="auto"/>
                <w:kern w:val="0"/>
                <w:szCs w:val="21"/>
              </w:rPr>
            </w:pPr>
            <w:r>
              <w:rPr>
                <w:color w:val="auto"/>
                <w:kern w:val="0"/>
                <w:szCs w:val="21"/>
              </w:rPr>
              <w:t>矿山开采使用的挖机、钻机等机械设备运行时，以及矿石运输车辆在启动、行驶时，均会产生少量的燃油废气。其主要污染物质为CXH</w:t>
            </w:r>
            <w:r>
              <w:rPr>
                <w:color w:val="auto"/>
                <w:kern w:val="0"/>
                <w:szCs w:val="21"/>
                <w:vertAlign w:val="subscript"/>
              </w:rPr>
              <w:t>X</w:t>
            </w:r>
            <w:r>
              <w:rPr>
                <w:color w:val="auto"/>
                <w:kern w:val="0"/>
                <w:szCs w:val="21"/>
              </w:rPr>
              <w:t>、CO、NO</w:t>
            </w:r>
            <w:r>
              <w:rPr>
                <w:color w:val="auto"/>
                <w:kern w:val="0"/>
                <w:szCs w:val="21"/>
                <w:vertAlign w:val="subscript"/>
              </w:rPr>
              <w:t>X</w:t>
            </w:r>
            <w:r>
              <w:rPr>
                <w:color w:val="auto"/>
                <w:kern w:val="0"/>
                <w:szCs w:val="21"/>
              </w:rPr>
              <w:t>、烟尘。本项目年使用柴油量约为875000L。根据《环境保护实用数据手册》中的相关数据，计算出项目燃油设备，废气污染物排放情况见下表。</w:t>
            </w:r>
          </w:p>
          <w:p>
            <w:pPr>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表4</w:t>
            </w:r>
            <w:r>
              <w:rPr>
                <w:rFonts w:ascii="宋体" w:hAnsi="宋体" w:cs="宋体"/>
                <w:b/>
                <w:color w:val="auto"/>
                <w:kern w:val="0"/>
                <w:sz w:val="18"/>
                <w:szCs w:val="18"/>
              </w:rPr>
              <w:t>-4</w:t>
            </w:r>
            <w:r>
              <w:rPr>
                <w:rFonts w:hint="eastAsia" w:ascii="宋体" w:hAnsi="宋体" w:cs="宋体"/>
                <w:b/>
                <w:color w:val="auto"/>
                <w:kern w:val="0"/>
                <w:sz w:val="18"/>
                <w:szCs w:val="18"/>
              </w:rPr>
              <w:t xml:space="preserve"> 柴油机动车排污系数表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82"/>
              <w:gridCol w:w="2482"/>
              <w:gridCol w:w="24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667" w:type="pct"/>
                  <w:vAlign w:val="center"/>
                </w:tcPr>
                <w:p>
                  <w:pPr>
                    <w:spacing w:line="220" w:lineRule="exact"/>
                    <w:ind w:left="-105" w:leftChars="-50" w:right="-105" w:rightChars="-50"/>
                    <w:jc w:val="center"/>
                    <w:rPr>
                      <w:bCs/>
                      <w:color w:val="auto"/>
                      <w:sz w:val="18"/>
                      <w:szCs w:val="18"/>
                    </w:rPr>
                  </w:pPr>
                  <w:r>
                    <w:rPr>
                      <w:bCs/>
                      <w:color w:val="auto"/>
                      <w:sz w:val="18"/>
                      <w:szCs w:val="18"/>
                    </w:rPr>
                    <w:t>污染物</w:t>
                  </w:r>
                </w:p>
              </w:tc>
              <w:tc>
                <w:tcPr>
                  <w:tcW w:w="1667" w:type="pct"/>
                  <w:vAlign w:val="center"/>
                </w:tcPr>
                <w:p>
                  <w:pPr>
                    <w:spacing w:line="220" w:lineRule="exact"/>
                    <w:ind w:left="-105" w:leftChars="-50" w:right="-105" w:rightChars="-50"/>
                    <w:jc w:val="center"/>
                    <w:rPr>
                      <w:bCs/>
                      <w:color w:val="auto"/>
                      <w:sz w:val="18"/>
                      <w:szCs w:val="18"/>
                    </w:rPr>
                  </w:pPr>
                  <w:r>
                    <w:rPr>
                      <w:bCs/>
                      <w:color w:val="auto"/>
                      <w:sz w:val="18"/>
                      <w:szCs w:val="18"/>
                    </w:rPr>
                    <w:t>排污系数（g/L）</w:t>
                  </w:r>
                </w:p>
              </w:tc>
              <w:tc>
                <w:tcPr>
                  <w:tcW w:w="1667" w:type="pct"/>
                  <w:vAlign w:val="center"/>
                </w:tcPr>
                <w:p>
                  <w:pPr>
                    <w:spacing w:line="220" w:lineRule="exact"/>
                    <w:ind w:left="-105" w:leftChars="-50" w:right="-105" w:rightChars="-50"/>
                    <w:jc w:val="center"/>
                    <w:rPr>
                      <w:bCs/>
                      <w:color w:val="auto"/>
                      <w:sz w:val="18"/>
                      <w:szCs w:val="18"/>
                    </w:rPr>
                  </w:pPr>
                  <w:r>
                    <w:rPr>
                      <w:bCs/>
                      <w:color w:val="auto"/>
                      <w:sz w:val="18"/>
                      <w:szCs w:val="18"/>
                    </w:rPr>
                    <w:t>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667" w:type="pct"/>
                  <w:vAlign w:val="center"/>
                </w:tcPr>
                <w:p>
                  <w:pPr>
                    <w:spacing w:line="220" w:lineRule="exact"/>
                    <w:ind w:left="-105" w:leftChars="-50" w:right="-105" w:rightChars="-50"/>
                    <w:jc w:val="center"/>
                    <w:rPr>
                      <w:color w:val="auto"/>
                      <w:sz w:val="18"/>
                      <w:szCs w:val="18"/>
                    </w:rPr>
                  </w:pPr>
                  <w:r>
                    <w:rPr>
                      <w:color w:val="auto"/>
                      <w:sz w:val="18"/>
                      <w:szCs w:val="18"/>
                    </w:rPr>
                    <w:t>SO</w:t>
                  </w:r>
                  <w:r>
                    <w:rPr>
                      <w:color w:val="auto"/>
                      <w:sz w:val="18"/>
                      <w:szCs w:val="18"/>
                      <w:vertAlign w:val="subscript"/>
                    </w:rPr>
                    <w:t>2</w:t>
                  </w:r>
                </w:p>
              </w:tc>
              <w:tc>
                <w:tcPr>
                  <w:tcW w:w="1667" w:type="pct"/>
                  <w:vAlign w:val="center"/>
                </w:tcPr>
                <w:p>
                  <w:pPr>
                    <w:spacing w:line="220" w:lineRule="exact"/>
                    <w:ind w:left="-105" w:leftChars="-50" w:right="-105" w:rightChars="-50"/>
                    <w:jc w:val="center"/>
                    <w:rPr>
                      <w:color w:val="auto"/>
                      <w:sz w:val="18"/>
                      <w:szCs w:val="18"/>
                    </w:rPr>
                  </w:pPr>
                  <w:r>
                    <w:rPr>
                      <w:color w:val="auto"/>
                      <w:sz w:val="18"/>
                      <w:szCs w:val="18"/>
                    </w:rPr>
                    <w:t>3.24</w:t>
                  </w:r>
                </w:p>
              </w:tc>
              <w:tc>
                <w:tcPr>
                  <w:tcW w:w="1667" w:type="pct"/>
                  <w:vAlign w:val="bottom"/>
                </w:tcPr>
                <w:p>
                  <w:pPr>
                    <w:spacing w:line="220" w:lineRule="exact"/>
                    <w:ind w:left="-105" w:leftChars="-50" w:right="-105" w:rightChars="-50"/>
                    <w:jc w:val="center"/>
                    <w:rPr>
                      <w:color w:val="auto"/>
                      <w:sz w:val="18"/>
                      <w:szCs w:val="18"/>
                    </w:rPr>
                  </w:pPr>
                  <w:r>
                    <w:rPr>
                      <w:color w:val="auto"/>
                      <w:sz w:val="18"/>
                      <w:szCs w:val="18"/>
                    </w:rPr>
                    <w:t>2.835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667" w:type="pct"/>
                  <w:vAlign w:val="center"/>
                </w:tcPr>
                <w:p>
                  <w:pPr>
                    <w:spacing w:line="220" w:lineRule="exact"/>
                    <w:ind w:left="-105" w:leftChars="-50" w:right="-105" w:rightChars="-50"/>
                    <w:jc w:val="center"/>
                    <w:rPr>
                      <w:color w:val="auto"/>
                      <w:sz w:val="18"/>
                      <w:szCs w:val="18"/>
                    </w:rPr>
                  </w:pPr>
                  <w:r>
                    <w:rPr>
                      <w:color w:val="auto"/>
                      <w:sz w:val="18"/>
                      <w:szCs w:val="18"/>
                    </w:rPr>
                    <w:t>CO</w:t>
                  </w:r>
                </w:p>
              </w:tc>
              <w:tc>
                <w:tcPr>
                  <w:tcW w:w="1667" w:type="pct"/>
                  <w:vAlign w:val="center"/>
                </w:tcPr>
                <w:p>
                  <w:pPr>
                    <w:spacing w:line="220" w:lineRule="exact"/>
                    <w:ind w:left="-105" w:leftChars="-50" w:right="-105" w:rightChars="-50"/>
                    <w:jc w:val="center"/>
                    <w:rPr>
                      <w:color w:val="auto"/>
                      <w:sz w:val="18"/>
                      <w:szCs w:val="18"/>
                    </w:rPr>
                  </w:pPr>
                  <w:r>
                    <w:rPr>
                      <w:color w:val="auto"/>
                      <w:sz w:val="18"/>
                      <w:szCs w:val="18"/>
                    </w:rPr>
                    <w:t>27.00</w:t>
                  </w:r>
                </w:p>
              </w:tc>
              <w:tc>
                <w:tcPr>
                  <w:tcW w:w="1667" w:type="pct"/>
                  <w:vAlign w:val="bottom"/>
                </w:tcPr>
                <w:p>
                  <w:pPr>
                    <w:spacing w:line="220" w:lineRule="exact"/>
                    <w:ind w:left="-105" w:leftChars="-50" w:right="-105" w:rightChars="-50"/>
                    <w:jc w:val="center"/>
                    <w:rPr>
                      <w:color w:val="auto"/>
                      <w:sz w:val="18"/>
                      <w:szCs w:val="18"/>
                    </w:rPr>
                  </w:pPr>
                  <w:r>
                    <w:rPr>
                      <w:color w:val="auto"/>
                      <w:sz w:val="18"/>
                      <w:szCs w:val="18"/>
                    </w:rPr>
                    <w:t>23.625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667" w:type="pct"/>
                  <w:vAlign w:val="center"/>
                </w:tcPr>
                <w:p>
                  <w:pPr>
                    <w:spacing w:line="220" w:lineRule="exact"/>
                    <w:ind w:left="-105" w:leftChars="-50" w:right="-105" w:rightChars="-50"/>
                    <w:jc w:val="center"/>
                    <w:rPr>
                      <w:color w:val="auto"/>
                      <w:sz w:val="18"/>
                      <w:szCs w:val="18"/>
                    </w:rPr>
                  </w:pPr>
                  <w:r>
                    <w:rPr>
                      <w:color w:val="auto"/>
                      <w:sz w:val="18"/>
                      <w:szCs w:val="18"/>
                    </w:rPr>
                    <w:t>NO</w:t>
                  </w:r>
                  <w:r>
                    <w:rPr>
                      <w:color w:val="auto"/>
                      <w:sz w:val="18"/>
                      <w:szCs w:val="18"/>
                      <w:vertAlign w:val="subscript"/>
                    </w:rPr>
                    <w:t>X</w:t>
                  </w:r>
                </w:p>
              </w:tc>
              <w:tc>
                <w:tcPr>
                  <w:tcW w:w="1667" w:type="pct"/>
                  <w:vAlign w:val="center"/>
                </w:tcPr>
                <w:p>
                  <w:pPr>
                    <w:spacing w:line="220" w:lineRule="exact"/>
                    <w:ind w:left="-105" w:leftChars="-50" w:right="-105" w:rightChars="-50"/>
                    <w:jc w:val="center"/>
                    <w:rPr>
                      <w:color w:val="auto"/>
                      <w:sz w:val="18"/>
                      <w:szCs w:val="18"/>
                    </w:rPr>
                  </w:pPr>
                  <w:r>
                    <w:rPr>
                      <w:color w:val="auto"/>
                      <w:sz w:val="18"/>
                      <w:szCs w:val="18"/>
                    </w:rPr>
                    <w:t>44.40</w:t>
                  </w:r>
                </w:p>
              </w:tc>
              <w:tc>
                <w:tcPr>
                  <w:tcW w:w="1667" w:type="pct"/>
                  <w:vAlign w:val="bottom"/>
                </w:tcPr>
                <w:p>
                  <w:pPr>
                    <w:spacing w:line="220" w:lineRule="exact"/>
                    <w:ind w:left="-105" w:leftChars="-50" w:right="-105" w:rightChars="-50"/>
                    <w:jc w:val="center"/>
                    <w:rPr>
                      <w:color w:val="auto"/>
                      <w:sz w:val="18"/>
                      <w:szCs w:val="18"/>
                    </w:rPr>
                  </w:pPr>
                  <w:r>
                    <w:rPr>
                      <w:color w:val="auto"/>
                      <w:sz w:val="18"/>
                      <w:szCs w:val="18"/>
                    </w:rPr>
                    <w:t>38.850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667" w:type="pct"/>
                  <w:vAlign w:val="center"/>
                </w:tcPr>
                <w:p>
                  <w:pPr>
                    <w:spacing w:line="220" w:lineRule="exact"/>
                    <w:ind w:left="-105" w:leftChars="-50" w:right="-105" w:rightChars="-50"/>
                    <w:jc w:val="center"/>
                    <w:rPr>
                      <w:color w:val="auto"/>
                      <w:sz w:val="18"/>
                      <w:szCs w:val="18"/>
                    </w:rPr>
                  </w:pPr>
                  <w:r>
                    <w:rPr>
                      <w:color w:val="auto"/>
                      <w:sz w:val="18"/>
                      <w:szCs w:val="18"/>
                    </w:rPr>
                    <w:t>烃类污染物</w:t>
                  </w:r>
                </w:p>
              </w:tc>
              <w:tc>
                <w:tcPr>
                  <w:tcW w:w="1667" w:type="pct"/>
                  <w:vAlign w:val="center"/>
                </w:tcPr>
                <w:p>
                  <w:pPr>
                    <w:spacing w:line="220" w:lineRule="exact"/>
                    <w:ind w:left="-105" w:leftChars="-50" w:right="-105" w:rightChars="-50"/>
                    <w:jc w:val="center"/>
                    <w:rPr>
                      <w:color w:val="auto"/>
                      <w:sz w:val="18"/>
                      <w:szCs w:val="18"/>
                    </w:rPr>
                  </w:pPr>
                  <w:r>
                    <w:rPr>
                      <w:color w:val="auto"/>
                      <w:sz w:val="18"/>
                      <w:szCs w:val="18"/>
                    </w:rPr>
                    <w:t>4.44</w:t>
                  </w:r>
                </w:p>
              </w:tc>
              <w:tc>
                <w:tcPr>
                  <w:tcW w:w="1667" w:type="pct"/>
                  <w:vAlign w:val="bottom"/>
                </w:tcPr>
                <w:p>
                  <w:pPr>
                    <w:spacing w:line="220" w:lineRule="exact"/>
                    <w:ind w:left="-105" w:leftChars="-50" w:right="-105" w:rightChars="-50"/>
                    <w:jc w:val="center"/>
                    <w:rPr>
                      <w:color w:val="auto"/>
                      <w:sz w:val="18"/>
                      <w:szCs w:val="18"/>
                    </w:rPr>
                  </w:pPr>
                  <w:r>
                    <w:rPr>
                      <w:color w:val="auto"/>
                      <w:sz w:val="18"/>
                      <w:szCs w:val="18"/>
                    </w:rPr>
                    <w:t>3.855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667" w:type="pct"/>
                  <w:vAlign w:val="center"/>
                </w:tcPr>
                <w:p>
                  <w:pPr>
                    <w:spacing w:line="220" w:lineRule="exact"/>
                    <w:ind w:left="-105" w:leftChars="-50" w:right="-105" w:rightChars="-50"/>
                    <w:jc w:val="center"/>
                    <w:rPr>
                      <w:color w:val="auto"/>
                      <w:sz w:val="18"/>
                      <w:szCs w:val="18"/>
                    </w:rPr>
                  </w:pPr>
                  <w:r>
                    <w:rPr>
                      <w:color w:val="auto"/>
                      <w:sz w:val="18"/>
                      <w:szCs w:val="18"/>
                    </w:rPr>
                    <w:t>烟尘</w:t>
                  </w:r>
                </w:p>
              </w:tc>
              <w:tc>
                <w:tcPr>
                  <w:tcW w:w="1667" w:type="pct"/>
                  <w:vAlign w:val="center"/>
                </w:tcPr>
                <w:p>
                  <w:pPr>
                    <w:spacing w:line="220" w:lineRule="exact"/>
                    <w:ind w:left="-105" w:leftChars="-50" w:right="-105" w:rightChars="-50"/>
                    <w:jc w:val="center"/>
                    <w:rPr>
                      <w:color w:val="auto"/>
                      <w:sz w:val="18"/>
                      <w:szCs w:val="18"/>
                    </w:rPr>
                  </w:pPr>
                  <w:r>
                    <w:rPr>
                      <w:color w:val="auto"/>
                      <w:sz w:val="18"/>
                      <w:szCs w:val="18"/>
                    </w:rPr>
                    <w:t>2.6</w:t>
                  </w:r>
                </w:p>
              </w:tc>
              <w:tc>
                <w:tcPr>
                  <w:tcW w:w="1667" w:type="pct"/>
                  <w:vAlign w:val="bottom"/>
                </w:tcPr>
                <w:p>
                  <w:pPr>
                    <w:spacing w:line="220" w:lineRule="exact"/>
                    <w:ind w:left="-105" w:leftChars="-50" w:right="-105" w:rightChars="-50"/>
                    <w:jc w:val="center"/>
                    <w:rPr>
                      <w:color w:val="auto"/>
                      <w:sz w:val="18"/>
                      <w:szCs w:val="18"/>
                    </w:rPr>
                  </w:pPr>
                  <w:r>
                    <w:rPr>
                      <w:color w:val="auto"/>
                      <w:sz w:val="18"/>
                      <w:szCs w:val="18"/>
                    </w:rPr>
                    <w:t>2.275</w:t>
                  </w:r>
                </w:p>
              </w:tc>
            </w:tr>
          </w:tbl>
          <w:p>
            <w:pPr>
              <w:adjustRightInd w:val="0"/>
              <w:snapToGrid w:val="0"/>
              <w:spacing w:line="360" w:lineRule="auto"/>
              <w:ind w:firstLine="420" w:firstLineChars="200"/>
              <w:rPr>
                <w:color w:val="auto"/>
                <w:kern w:val="0"/>
                <w:szCs w:val="21"/>
              </w:rPr>
            </w:pPr>
            <w:r>
              <w:rPr>
                <w:rFonts w:hint="eastAsia" w:ascii="宋体" w:hAnsi="宋体" w:cs="宋体"/>
                <w:color w:val="auto"/>
                <w:kern w:val="0"/>
                <w:szCs w:val="21"/>
              </w:rPr>
              <w:t>⑩</w:t>
            </w:r>
            <w:r>
              <w:rPr>
                <w:color w:val="auto"/>
                <w:kern w:val="0"/>
                <w:szCs w:val="21"/>
              </w:rPr>
              <w:t>食堂油烟</w:t>
            </w:r>
          </w:p>
          <w:p>
            <w:pPr>
              <w:adjustRightInd w:val="0"/>
              <w:snapToGrid w:val="0"/>
              <w:spacing w:line="360" w:lineRule="auto"/>
              <w:ind w:firstLine="420" w:firstLineChars="200"/>
              <w:rPr>
                <w:rFonts w:ascii="宋体" w:hAnsi="宋体" w:cs="宋体"/>
                <w:color w:val="auto"/>
                <w:kern w:val="0"/>
                <w:szCs w:val="21"/>
              </w:rPr>
            </w:pPr>
            <w:r>
              <w:rPr>
                <w:color w:val="auto"/>
                <w:kern w:val="0"/>
                <w:szCs w:val="21"/>
              </w:rPr>
              <w:t>本项目建成后矿区员工人数为40人、加工区员工58人，生活区</w:t>
            </w:r>
            <w:r>
              <w:rPr>
                <w:rFonts w:hint="eastAsia"/>
                <w:color w:val="auto"/>
                <w:kern w:val="0"/>
                <w:szCs w:val="21"/>
              </w:rPr>
              <w:t>设有</w:t>
            </w:r>
            <w:r>
              <w:rPr>
                <w:color w:val="auto"/>
                <w:kern w:val="0"/>
                <w:szCs w:val="21"/>
              </w:rPr>
              <w:t>员工食堂。厨房烹饪使用民用天然气或液化气做燃料，均属于清洁燃料产生的大气污染物较少。烹饪过程将产生油烟。由于项目食堂规模小，本次评价仅对食堂油烟定性分析</w:t>
            </w:r>
            <w:r>
              <w:rPr>
                <w:rFonts w:hint="eastAsia" w:ascii="宋体" w:hAnsi="宋体" w:cs="宋体"/>
                <w:color w:val="auto"/>
                <w:kern w:val="0"/>
                <w:szCs w:val="21"/>
              </w:rPr>
              <w:t>。</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三、地表水环境影响分析</w:t>
            </w:r>
          </w:p>
          <w:p>
            <w:pPr>
              <w:adjustRightInd w:val="0"/>
              <w:snapToGrid w:val="0"/>
              <w:spacing w:line="360" w:lineRule="auto"/>
              <w:ind w:firstLine="420" w:firstLineChars="200"/>
              <w:rPr>
                <w:color w:val="auto"/>
                <w:kern w:val="0"/>
                <w:szCs w:val="21"/>
              </w:rPr>
            </w:pPr>
            <w:r>
              <w:rPr>
                <w:color w:val="auto"/>
                <w:kern w:val="0"/>
                <w:szCs w:val="21"/>
              </w:rPr>
              <w:t>营运期废水包括采场初期雨水、车辆冲洗废水以及生活污水；加工区的洗选废水、车辆冲洗废水和生活污水。</w:t>
            </w:r>
          </w:p>
          <w:p>
            <w:pPr>
              <w:adjustRightInd w:val="0"/>
              <w:snapToGrid w:val="0"/>
              <w:spacing w:line="360" w:lineRule="auto"/>
              <w:ind w:firstLine="420" w:firstLineChars="200"/>
              <w:rPr>
                <w:color w:val="auto"/>
                <w:kern w:val="0"/>
                <w:szCs w:val="21"/>
              </w:rPr>
            </w:pPr>
            <w:r>
              <w:rPr>
                <w:rFonts w:hint="eastAsia"/>
                <w:color w:val="auto"/>
                <w:kern w:val="0"/>
                <w:szCs w:val="21"/>
              </w:rPr>
              <w:t>1、</w:t>
            </w:r>
            <w:r>
              <w:rPr>
                <w:color w:val="auto"/>
                <w:kern w:val="0"/>
                <w:szCs w:val="21"/>
              </w:rPr>
              <w:t>加工区生产废水、车辆冲洗废水</w:t>
            </w:r>
          </w:p>
          <w:p>
            <w:pPr>
              <w:adjustRightInd w:val="0"/>
              <w:snapToGrid w:val="0"/>
              <w:spacing w:line="360" w:lineRule="auto"/>
              <w:ind w:firstLine="420" w:firstLineChars="200"/>
              <w:rPr>
                <w:color w:val="auto"/>
                <w:kern w:val="0"/>
                <w:szCs w:val="21"/>
              </w:rPr>
            </w:pPr>
            <w:r>
              <w:rPr>
                <w:color w:val="auto"/>
                <w:kern w:val="0"/>
                <w:szCs w:val="21"/>
              </w:rPr>
              <w:t>根据水平衡分析，加工区生产废水主要为洗选环节产生的废水以及堆场渗滤液，废水量为5833.33</w:t>
            </w:r>
            <w:r>
              <w:rPr>
                <w:rFonts w:hint="eastAsia"/>
                <w:color w:val="auto"/>
                <w:kern w:val="0"/>
                <w:szCs w:val="21"/>
              </w:rPr>
              <w:t>m³</w:t>
            </w:r>
            <w:r>
              <w:rPr>
                <w:color w:val="auto"/>
                <w:kern w:val="0"/>
                <w:szCs w:val="21"/>
              </w:rPr>
              <w:t>/d（1749999</w:t>
            </w:r>
            <w:r>
              <w:rPr>
                <w:rFonts w:hint="eastAsia"/>
                <w:color w:val="auto"/>
                <w:kern w:val="0"/>
                <w:szCs w:val="21"/>
              </w:rPr>
              <w:t>m³</w:t>
            </w:r>
            <w:r>
              <w:rPr>
                <w:color w:val="auto"/>
                <w:kern w:val="0"/>
                <w:szCs w:val="21"/>
              </w:rPr>
              <w:t>/a），主要污染物为悬浮物，浓度可达20000mg/L。车辆冲洗废水产生于进出车辆冲洗台，废水量由进出车辆而定，平均废水量为34.56</w:t>
            </w:r>
            <w:r>
              <w:rPr>
                <w:rFonts w:hint="eastAsia"/>
                <w:color w:val="auto"/>
                <w:kern w:val="0"/>
                <w:szCs w:val="21"/>
              </w:rPr>
              <w:t>m³</w:t>
            </w:r>
            <w:r>
              <w:rPr>
                <w:color w:val="auto"/>
                <w:kern w:val="0"/>
                <w:szCs w:val="21"/>
              </w:rPr>
              <w:t>/d（矿区11.52</w:t>
            </w:r>
            <w:r>
              <w:rPr>
                <w:rFonts w:hint="eastAsia"/>
                <w:color w:val="auto"/>
                <w:kern w:val="0"/>
                <w:szCs w:val="21"/>
              </w:rPr>
              <w:t>m³</w:t>
            </w:r>
            <w:r>
              <w:rPr>
                <w:color w:val="auto"/>
                <w:kern w:val="0"/>
                <w:szCs w:val="21"/>
              </w:rPr>
              <w:t>/d、加工区23.04</w:t>
            </w:r>
            <w:r>
              <w:rPr>
                <w:rFonts w:hint="eastAsia"/>
                <w:color w:val="auto"/>
                <w:kern w:val="0"/>
                <w:szCs w:val="21"/>
              </w:rPr>
              <w:t>m³</w:t>
            </w:r>
            <w:r>
              <w:rPr>
                <w:color w:val="auto"/>
                <w:kern w:val="0"/>
                <w:szCs w:val="21"/>
              </w:rPr>
              <w:t>/d），主要污染物为悬浮物，浓度可达1000mg/L。该类废水若不能得到妥善收集处理直接外排，将对区域地表水体造成极大的污染；同时，矿山上的废水直排，对下游的植被、土壤也会造成污染，对区域景观会造成破坏，形成局部水土流失等。</w:t>
            </w:r>
          </w:p>
          <w:p>
            <w:pPr>
              <w:adjustRightInd w:val="0"/>
              <w:snapToGrid w:val="0"/>
              <w:spacing w:line="360" w:lineRule="auto"/>
              <w:ind w:firstLine="420" w:firstLineChars="200"/>
              <w:rPr>
                <w:color w:val="auto"/>
                <w:kern w:val="0"/>
                <w:szCs w:val="21"/>
              </w:rPr>
            </w:pPr>
            <w:r>
              <w:rPr>
                <w:color w:val="auto"/>
                <w:kern w:val="0"/>
                <w:szCs w:val="21"/>
              </w:rPr>
              <w:t>2</w:t>
            </w:r>
            <w:r>
              <w:rPr>
                <w:rFonts w:hint="eastAsia"/>
                <w:color w:val="auto"/>
                <w:kern w:val="0"/>
                <w:szCs w:val="21"/>
              </w:rPr>
              <w:t>、</w:t>
            </w:r>
            <w:r>
              <w:rPr>
                <w:color w:val="auto"/>
                <w:kern w:val="0"/>
                <w:szCs w:val="21"/>
              </w:rPr>
              <w:t>生活污水</w:t>
            </w:r>
          </w:p>
          <w:p>
            <w:pPr>
              <w:adjustRightInd w:val="0"/>
              <w:snapToGrid w:val="0"/>
              <w:spacing w:line="360" w:lineRule="auto"/>
              <w:ind w:firstLine="420" w:firstLineChars="200"/>
              <w:rPr>
                <w:color w:val="auto"/>
                <w:kern w:val="0"/>
                <w:szCs w:val="21"/>
              </w:rPr>
            </w:pPr>
            <w:r>
              <w:rPr>
                <w:color w:val="auto"/>
                <w:kern w:val="0"/>
                <w:szCs w:val="21"/>
              </w:rPr>
              <w:t>产生于</w:t>
            </w:r>
            <w:r>
              <w:rPr>
                <w:rFonts w:hint="eastAsia"/>
                <w:color w:val="auto"/>
                <w:kern w:val="0"/>
                <w:szCs w:val="21"/>
              </w:rPr>
              <w:t>员工</w:t>
            </w:r>
            <w:r>
              <w:rPr>
                <w:color w:val="auto"/>
                <w:kern w:val="0"/>
                <w:szCs w:val="21"/>
              </w:rPr>
              <w:t>生活区，污水产生量约7.84</w:t>
            </w:r>
            <w:r>
              <w:rPr>
                <w:rFonts w:hint="eastAsia"/>
                <w:color w:val="auto"/>
                <w:kern w:val="0"/>
                <w:szCs w:val="21"/>
              </w:rPr>
              <w:t>m³</w:t>
            </w:r>
            <w:r>
              <w:rPr>
                <w:color w:val="auto"/>
                <w:kern w:val="0"/>
                <w:szCs w:val="21"/>
              </w:rPr>
              <w:t>/d（2352</w:t>
            </w:r>
            <w:r>
              <w:rPr>
                <w:rFonts w:hint="eastAsia"/>
                <w:color w:val="auto"/>
                <w:kern w:val="0"/>
                <w:szCs w:val="21"/>
              </w:rPr>
              <w:t>m³</w:t>
            </w:r>
            <w:r>
              <w:rPr>
                <w:color w:val="auto"/>
                <w:kern w:val="0"/>
                <w:szCs w:val="21"/>
              </w:rPr>
              <w:t>/a），主要污染物为COD、BOD、氨氮、悬浮物、粪大肠菌群等，直接排放会对附近地表水体造成较大的污染。</w:t>
            </w:r>
          </w:p>
          <w:p>
            <w:pPr>
              <w:adjustRightInd w:val="0"/>
              <w:snapToGrid w:val="0"/>
              <w:spacing w:line="360" w:lineRule="auto"/>
              <w:ind w:firstLine="420" w:firstLineChars="200"/>
              <w:rPr>
                <w:color w:val="auto"/>
                <w:kern w:val="0"/>
                <w:szCs w:val="21"/>
              </w:rPr>
            </w:pPr>
            <w:r>
              <w:rPr>
                <w:rFonts w:hint="eastAsia"/>
                <w:color w:val="auto"/>
                <w:kern w:val="0"/>
                <w:szCs w:val="21"/>
              </w:rPr>
              <w:t>3、</w:t>
            </w:r>
            <w:r>
              <w:rPr>
                <w:color w:val="auto"/>
                <w:kern w:val="0"/>
                <w:szCs w:val="21"/>
              </w:rPr>
              <w:t>采场初期雨水</w:t>
            </w:r>
          </w:p>
          <w:p>
            <w:pPr>
              <w:adjustRightInd w:val="0"/>
              <w:snapToGrid w:val="0"/>
              <w:spacing w:line="360" w:lineRule="auto"/>
              <w:ind w:firstLine="420" w:firstLineChars="200"/>
              <w:rPr>
                <w:color w:val="auto"/>
                <w:kern w:val="0"/>
                <w:szCs w:val="21"/>
              </w:rPr>
            </w:pPr>
            <w:r>
              <w:rPr>
                <w:color w:val="auto"/>
                <w:kern w:val="0"/>
                <w:szCs w:val="21"/>
              </w:rPr>
              <w:t>采场初期雨水即降雨初期时的雨水。一般是指地面10~15mm厚已形成地表径流的降水，一般取降雨时前15分钟的雨水。由于降雨初期，雨水溶解了空气中的污染性气体，降落地面后，又冲刷采场和道路，使得前期雨水中含有大量的污染物质。《达州市中心城区暴雨强度公式》如下：</w:t>
            </w:r>
          </w:p>
          <w:p>
            <w:pPr>
              <w:adjustRightInd w:val="0"/>
              <w:snapToGrid w:val="0"/>
              <w:spacing w:line="360" w:lineRule="auto"/>
              <w:jc w:val="center"/>
              <w:rPr>
                <w:rFonts w:ascii="宋体" w:hAnsi="宋体" w:cs="宋体"/>
                <w:color w:val="auto"/>
                <w:kern w:val="0"/>
                <w:szCs w:val="21"/>
              </w:rPr>
            </w:pPr>
            <w:r>
              <w:rPr>
                <w:color w:val="auto"/>
              </w:rPr>
              <w:drawing>
                <wp:inline distT="0" distB="0" distL="0" distR="0">
                  <wp:extent cx="3057525" cy="2114550"/>
                  <wp:effectExtent l="1905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4"/>
                          <a:srcRect/>
                          <a:stretch>
                            <a:fillRect/>
                          </a:stretch>
                        </pic:blipFill>
                        <pic:spPr>
                          <a:xfrm>
                            <a:off x="0" y="0"/>
                            <a:ext cx="3057525" cy="2114550"/>
                          </a:xfrm>
                          <a:prstGeom prst="rect">
                            <a:avLst/>
                          </a:prstGeom>
                          <a:noFill/>
                          <a:ln w="9525" cmpd="sng">
                            <a:noFill/>
                            <a:miter lim="800000"/>
                            <a:headEnd/>
                            <a:tailEnd/>
                          </a:ln>
                        </pic:spPr>
                      </pic:pic>
                    </a:graphicData>
                  </a:graphic>
                </wp:inline>
              </w:drawing>
            </w:r>
          </w:p>
          <w:p>
            <w:pPr>
              <w:adjustRightInd w:val="0"/>
              <w:snapToGrid w:val="0"/>
              <w:spacing w:line="360" w:lineRule="auto"/>
              <w:ind w:firstLine="420" w:firstLineChars="200"/>
              <w:rPr>
                <w:rFonts w:ascii="宋体" w:hAnsi="宋体" w:cs="宋体"/>
                <w:color w:val="auto"/>
                <w:kern w:val="0"/>
                <w:szCs w:val="21"/>
              </w:rPr>
            </w:pPr>
            <w:r>
              <w:rPr>
                <w:color w:val="auto"/>
              </w:rPr>
              <w:t>项目矿山开采区域汇水面积约0.3756</w:t>
            </w:r>
            <w:r>
              <w:rPr>
                <w:rFonts w:hint="eastAsia"/>
                <w:color w:val="auto"/>
              </w:rPr>
              <w:t>k</w:t>
            </w:r>
            <w:r>
              <w:rPr>
                <w:color w:val="auto"/>
              </w:rPr>
              <w:t>m</w:t>
            </w:r>
            <w:r>
              <w:rPr>
                <w:color w:val="auto"/>
                <w:vertAlign w:val="superscript"/>
              </w:rPr>
              <w:t>2</w:t>
            </w:r>
            <w:r>
              <w:rPr>
                <w:color w:val="auto"/>
              </w:rPr>
              <w:t>，初期雨水取15min时长。经计算，项目采场初期雨水量约262m</w:t>
            </w:r>
            <w:r>
              <w:rPr>
                <w:color w:val="auto"/>
                <w:vertAlign w:val="superscript"/>
              </w:rPr>
              <w:t>3</w:t>
            </w:r>
            <w:r>
              <w:rPr>
                <w:color w:val="auto"/>
              </w:rPr>
              <w:t>/次。项目区内的雨水若不经收集，在场内漫流，会加剧局部水土流失，冲刷的泥土会影响河道行洪。</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四、声环境影响分析</w:t>
            </w:r>
          </w:p>
          <w:p>
            <w:pPr>
              <w:adjustRightInd w:val="0"/>
              <w:snapToGrid w:val="0"/>
              <w:spacing w:line="360" w:lineRule="auto"/>
              <w:ind w:firstLine="420" w:firstLineChars="200"/>
              <w:rPr>
                <w:color w:val="auto"/>
                <w:kern w:val="0"/>
                <w:szCs w:val="21"/>
              </w:rPr>
            </w:pPr>
            <w:r>
              <w:rPr>
                <w:color w:val="auto"/>
                <w:kern w:val="0"/>
                <w:szCs w:val="21"/>
              </w:rPr>
              <w:t>项目生产过程的噪声主要来自潜孔钻机、挖掘机、空压机、破碎机、筛分机、整形机、洗砂机、压滤机、水泵等设备。根据类比分析，其噪声源强在85～95dB(A)之间，主要是对附近声环境敏感目标造成影响，改变区域声环境。</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五、固体废物影响分析</w:t>
            </w:r>
          </w:p>
          <w:p>
            <w:pPr>
              <w:adjustRightInd w:val="0"/>
              <w:snapToGrid w:val="0"/>
              <w:spacing w:line="360" w:lineRule="auto"/>
              <w:ind w:firstLine="420" w:firstLineChars="200"/>
              <w:rPr>
                <w:rFonts w:ascii="宋体" w:hAnsi="宋体" w:cs="宋体"/>
                <w:color w:val="auto"/>
                <w:kern w:val="0"/>
                <w:szCs w:val="21"/>
              </w:rPr>
            </w:pPr>
            <w:r>
              <w:rPr>
                <w:rFonts w:hint="eastAsia" w:ascii="宋体" w:hAnsi="宋体" w:cs="宋体"/>
                <w:color w:val="auto"/>
                <w:kern w:val="0"/>
                <w:szCs w:val="21"/>
              </w:rPr>
              <w:t>主要包括：矿山开采产生的剥离表土及植被枝丫、沉淀池的沉淀底泥、机械设备维护产生的废矿物油等。办公生活用房会产生少量的生活垃圾。剥离的表土、沉淀池底泥等若随意堆放不能妥善处置，将对区域土地资源形成占压，发生滑坡形成泥石流加重水土流失。废矿物油属于危险废物，若发生泄漏将对区域地表水、地下水及土壤环境造成污染影响。</w:t>
            </w:r>
          </w:p>
          <w:p>
            <w:pPr>
              <w:adjustRightInd w:val="0"/>
              <w:snapToGrid w:val="0"/>
              <w:spacing w:line="360" w:lineRule="auto"/>
              <w:ind w:firstLine="420" w:firstLineChars="200"/>
              <w:rPr>
                <w:rFonts w:ascii="宋体" w:hAnsi="宋体" w:cs="宋体"/>
                <w:color w:val="auto"/>
                <w:kern w:val="0"/>
                <w:szCs w:val="21"/>
              </w:rPr>
            </w:pPr>
          </w:p>
          <w:p>
            <w:pPr>
              <w:adjustRightInd w:val="0"/>
              <w:snapToGrid w:val="0"/>
              <w:spacing w:line="360" w:lineRule="auto"/>
              <w:jc w:val="center"/>
              <w:rPr>
                <w:rFonts w:ascii="宋体" w:hAnsi="宋体" w:cs="宋体"/>
                <w:color w:val="auto"/>
                <w:kern w:val="0"/>
                <w:szCs w:val="21"/>
              </w:rPr>
            </w:pPr>
          </w:p>
          <w:p>
            <w:pPr>
              <w:adjustRightInd w:val="0"/>
              <w:snapToGrid w:val="0"/>
              <w:spacing w:line="360" w:lineRule="auto"/>
              <w:rPr>
                <w:rFonts w:ascii="宋体" w:hAnsi="宋体" w:cs="宋体"/>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Align w:val="center"/>
          </w:tcPr>
          <w:p>
            <w:pPr>
              <w:pStyle w:val="12"/>
              <w:adjustRightInd w:val="0"/>
              <w:snapToGrid w:val="0"/>
              <w:spacing w:before="0" w:beforeAutospacing="0" w:after="0" w:afterAutospacing="0" w:line="360" w:lineRule="auto"/>
              <w:jc w:val="center"/>
              <w:rPr>
                <w:rFonts w:cs="宋体"/>
                <w:bCs/>
                <w:color w:val="auto"/>
                <w:kern w:val="2"/>
                <w:sz w:val="21"/>
                <w:szCs w:val="21"/>
              </w:rPr>
            </w:pPr>
            <w:r>
              <w:rPr>
                <w:rFonts w:hint="eastAsia" w:cs="宋体"/>
                <w:bCs/>
                <w:color w:val="auto"/>
                <w:kern w:val="2"/>
                <w:sz w:val="21"/>
                <w:szCs w:val="21"/>
              </w:rPr>
              <w:t>选址选线环境合理性分析</w:t>
            </w:r>
          </w:p>
        </w:tc>
        <w:tc>
          <w:tcPr>
            <w:tcW w:w="8363" w:type="dxa"/>
          </w:tcPr>
          <w:p>
            <w:pPr>
              <w:adjustRightInd w:val="0"/>
              <w:snapToGrid w:val="0"/>
              <w:spacing w:line="360" w:lineRule="auto"/>
              <w:rPr>
                <w:rFonts w:ascii="宋体" w:hAnsi="宋体" w:cs="宋体"/>
                <w:b/>
                <w:color w:val="auto"/>
                <w:szCs w:val="21"/>
              </w:rPr>
            </w:pPr>
            <w:r>
              <w:rPr>
                <w:rFonts w:hint="eastAsia" w:ascii="宋体" w:hAnsi="宋体" w:cs="宋体"/>
                <w:b/>
                <w:color w:val="auto"/>
                <w:szCs w:val="21"/>
              </w:rPr>
              <w:t>一、项目矿区选址合理性分析</w:t>
            </w:r>
          </w:p>
          <w:p>
            <w:pPr>
              <w:spacing w:line="400" w:lineRule="exact"/>
              <w:ind w:firstLine="420" w:firstLineChars="200"/>
              <w:rPr>
                <w:bCs/>
                <w:color w:val="auto"/>
                <w:szCs w:val="21"/>
              </w:rPr>
            </w:pPr>
            <w:r>
              <w:rPr>
                <w:bCs/>
                <w:color w:val="auto"/>
                <w:szCs w:val="21"/>
              </w:rPr>
              <w:t>本项目矿区选址位于</w:t>
            </w:r>
            <w:r>
              <w:rPr>
                <w:rFonts w:hint="eastAsia" w:ascii="宋体" w:hAnsi="宋体" w:cs="宋体"/>
                <w:color w:val="auto"/>
                <w:szCs w:val="21"/>
              </w:rPr>
              <w:t>达州市宣汉县漆树土家族乡乘龙村</w:t>
            </w:r>
            <w:r>
              <w:rPr>
                <w:bCs/>
                <w:color w:val="auto"/>
                <w:szCs w:val="21"/>
              </w:rPr>
              <w:t>，该项目选址合理性主要体现在以下几个方面：</w:t>
            </w:r>
          </w:p>
          <w:p>
            <w:pPr>
              <w:spacing w:line="400" w:lineRule="exact"/>
              <w:ind w:firstLine="420" w:firstLineChars="200"/>
              <w:rPr>
                <w:bCs/>
                <w:color w:val="auto"/>
                <w:szCs w:val="21"/>
              </w:rPr>
            </w:pPr>
            <w:r>
              <w:rPr>
                <w:bCs/>
                <w:color w:val="auto"/>
                <w:szCs w:val="21"/>
              </w:rPr>
              <w:t>①查阅相关资料，项目用地区域及评价范围内，不涉及依法划定的自然保护区、风景名胜区、森林公园、重要湖泊周边、文物古迹所在地、地质遗迹保护区等。</w:t>
            </w:r>
          </w:p>
          <w:p>
            <w:pPr>
              <w:spacing w:line="400" w:lineRule="exact"/>
              <w:ind w:firstLine="420" w:firstLineChars="200"/>
              <w:rPr>
                <w:bCs/>
                <w:color w:val="auto"/>
                <w:szCs w:val="21"/>
              </w:rPr>
            </w:pPr>
            <w:r>
              <w:rPr>
                <w:bCs/>
                <w:color w:val="auto"/>
                <w:szCs w:val="21"/>
              </w:rPr>
              <w:t>②本项目矿权在出让前，</w:t>
            </w:r>
            <w:r>
              <w:rPr>
                <w:rFonts w:hint="eastAsia"/>
                <w:bCs/>
                <w:color w:val="auto"/>
                <w:szCs w:val="21"/>
              </w:rPr>
              <w:t>宣汉县</w:t>
            </w:r>
            <w:r>
              <w:rPr>
                <w:bCs/>
                <w:color w:val="auto"/>
                <w:szCs w:val="21"/>
              </w:rPr>
              <w:t>自然资源局已向达州市</w:t>
            </w:r>
            <w:r>
              <w:rPr>
                <w:rFonts w:hint="eastAsia"/>
                <w:bCs/>
                <w:color w:val="auto"/>
                <w:szCs w:val="21"/>
              </w:rPr>
              <w:t>宣汉</w:t>
            </w:r>
            <w:r>
              <w:rPr>
                <w:bCs/>
                <w:color w:val="auto"/>
                <w:szCs w:val="21"/>
              </w:rPr>
              <w:t>生态环境局、</w:t>
            </w:r>
            <w:r>
              <w:rPr>
                <w:rFonts w:hint="eastAsia"/>
                <w:bCs/>
                <w:color w:val="auto"/>
                <w:szCs w:val="21"/>
              </w:rPr>
              <w:t>宣汉县</w:t>
            </w:r>
            <w:r>
              <w:rPr>
                <w:bCs/>
                <w:color w:val="auto"/>
                <w:szCs w:val="21"/>
              </w:rPr>
              <w:t>应急管理局、</w:t>
            </w:r>
            <w:r>
              <w:rPr>
                <w:rFonts w:hint="eastAsia"/>
                <w:bCs/>
                <w:color w:val="auto"/>
                <w:szCs w:val="21"/>
              </w:rPr>
              <w:t>宣汉县</w:t>
            </w:r>
            <w:r>
              <w:rPr>
                <w:bCs/>
                <w:color w:val="auto"/>
                <w:szCs w:val="21"/>
              </w:rPr>
              <w:t>水务局、</w:t>
            </w:r>
            <w:r>
              <w:rPr>
                <w:rFonts w:hint="eastAsia"/>
                <w:bCs/>
                <w:color w:val="auto"/>
                <w:szCs w:val="21"/>
              </w:rPr>
              <w:t>宣汉县</w:t>
            </w:r>
            <w:r>
              <w:rPr>
                <w:bCs/>
                <w:color w:val="auto"/>
                <w:szCs w:val="21"/>
              </w:rPr>
              <w:t>交通运输局、</w:t>
            </w:r>
            <w:r>
              <w:rPr>
                <w:rFonts w:hint="eastAsia"/>
                <w:bCs/>
                <w:color w:val="auto"/>
                <w:szCs w:val="21"/>
              </w:rPr>
              <w:t>宣汉县</w:t>
            </w:r>
            <w:r>
              <w:rPr>
                <w:bCs/>
                <w:color w:val="auto"/>
                <w:szCs w:val="21"/>
              </w:rPr>
              <w:t>文化体育和旅游局、</w:t>
            </w:r>
            <w:r>
              <w:rPr>
                <w:rFonts w:hint="eastAsia"/>
                <w:bCs/>
                <w:color w:val="auto"/>
                <w:szCs w:val="21"/>
              </w:rPr>
              <w:t>宣汉县</w:t>
            </w:r>
            <w:r>
              <w:rPr>
                <w:bCs/>
                <w:color w:val="auto"/>
                <w:szCs w:val="21"/>
              </w:rPr>
              <w:t>农业农村局等相关部门征求了意见。本项目拟扩矿区不在各类依法设立的保护区范围，符合相关规划要求。</w:t>
            </w:r>
          </w:p>
          <w:p>
            <w:pPr>
              <w:spacing w:line="404" w:lineRule="exact"/>
              <w:ind w:firstLine="420" w:firstLineChars="200"/>
              <w:rPr>
                <w:bCs/>
                <w:color w:val="auto"/>
                <w:szCs w:val="21"/>
              </w:rPr>
            </w:pPr>
            <w:r>
              <w:rPr>
                <w:bCs/>
                <w:color w:val="auto"/>
                <w:szCs w:val="21"/>
              </w:rPr>
              <w:t>③</w:t>
            </w:r>
            <w:r>
              <w:rPr>
                <w:bCs/>
                <w:color w:val="auto"/>
                <w:szCs w:val="21"/>
                <w:lang w:val="zh-CN"/>
              </w:rPr>
              <w:t>根据调查，项目评价区域地表水体为</w:t>
            </w:r>
            <w:r>
              <w:rPr>
                <w:rFonts w:hint="eastAsia"/>
                <w:bCs/>
                <w:color w:val="auto"/>
                <w:szCs w:val="21"/>
                <w:lang w:val="zh-CN"/>
              </w:rPr>
              <w:t>东</w:t>
            </w:r>
            <w:r>
              <w:rPr>
                <w:bCs/>
                <w:color w:val="auto"/>
                <w:szCs w:val="21"/>
                <w:lang w:val="zh-CN"/>
              </w:rPr>
              <w:t>面的</w:t>
            </w:r>
            <w:r>
              <w:rPr>
                <w:rFonts w:hint="eastAsia"/>
                <w:bCs/>
                <w:color w:val="auto"/>
                <w:szCs w:val="21"/>
                <w:lang w:val="zh-CN"/>
              </w:rPr>
              <w:t>石溪河</w:t>
            </w:r>
            <w:r>
              <w:rPr>
                <w:bCs/>
                <w:color w:val="auto"/>
                <w:szCs w:val="21"/>
              </w:rPr>
              <w:t>（季节性冲沟），由矿区南面流向</w:t>
            </w:r>
            <w:r>
              <w:rPr>
                <w:rFonts w:hint="eastAsia"/>
                <w:bCs/>
                <w:color w:val="auto"/>
                <w:szCs w:val="21"/>
              </w:rPr>
              <w:t>北侧</w:t>
            </w:r>
            <w:r>
              <w:rPr>
                <w:bCs/>
                <w:color w:val="auto"/>
                <w:szCs w:val="21"/>
              </w:rPr>
              <w:t>，汇入</w:t>
            </w:r>
            <w:r>
              <w:rPr>
                <w:rFonts w:hint="eastAsia"/>
                <w:bCs/>
                <w:color w:val="auto"/>
                <w:szCs w:val="21"/>
              </w:rPr>
              <w:t>前河后最终汇入州河</w:t>
            </w:r>
            <w:r>
              <w:rPr>
                <w:bCs/>
                <w:color w:val="auto"/>
                <w:szCs w:val="21"/>
              </w:rPr>
              <w:t>。</w:t>
            </w:r>
            <w:r>
              <w:rPr>
                <w:bCs/>
                <w:color w:val="auto"/>
                <w:szCs w:val="21"/>
                <w:lang w:val="zh-CN"/>
              </w:rPr>
              <w:t>查阅达州市人民政府《关于划定万源市、宣汉县</w:t>
            </w:r>
            <w:r>
              <w:rPr>
                <w:rFonts w:hint="eastAsia"/>
                <w:bCs/>
                <w:color w:val="auto"/>
                <w:szCs w:val="21"/>
                <w:lang w:val="zh-CN"/>
              </w:rPr>
              <w:t>和</w:t>
            </w:r>
            <w:r>
              <w:rPr>
                <w:bCs/>
                <w:color w:val="auto"/>
                <w:szCs w:val="21"/>
                <w:lang w:val="zh-CN"/>
              </w:rPr>
              <w:t>大竹县乡镇及以下集中式饮用水水源地保护区的批复》（达市府函</w:t>
            </w:r>
            <w:r>
              <w:rPr>
                <w:rFonts w:eastAsia="新宋体"/>
                <w:bCs/>
                <w:color w:val="auto"/>
                <w:szCs w:val="21"/>
                <w:lang w:val="zh-CN"/>
              </w:rPr>
              <w:t>〔</w:t>
            </w:r>
            <w:r>
              <w:rPr>
                <w:bCs/>
                <w:color w:val="auto"/>
                <w:szCs w:val="21"/>
                <w:lang w:val="zh-CN"/>
              </w:rPr>
              <w:t>2020</w:t>
            </w:r>
            <w:r>
              <w:rPr>
                <w:rFonts w:eastAsia="新宋体"/>
                <w:bCs/>
                <w:color w:val="auto"/>
                <w:szCs w:val="21"/>
                <w:lang w:val="zh-CN"/>
              </w:rPr>
              <w:t>〕</w:t>
            </w:r>
            <w:r>
              <w:rPr>
                <w:bCs/>
                <w:color w:val="auto"/>
                <w:szCs w:val="21"/>
                <w:lang w:val="zh-CN"/>
              </w:rPr>
              <w:t>124号），项目附近地表水体</w:t>
            </w:r>
            <w:r>
              <w:rPr>
                <w:rFonts w:hint="eastAsia"/>
                <w:bCs/>
                <w:color w:val="auto"/>
                <w:szCs w:val="21"/>
                <w:lang w:val="zh-CN"/>
              </w:rPr>
              <w:t>石溪河</w:t>
            </w:r>
            <w:r>
              <w:rPr>
                <w:bCs/>
                <w:color w:val="auto"/>
                <w:szCs w:val="21"/>
                <w:lang w:val="zh-CN"/>
              </w:rPr>
              <w:t>上无饮用水取水点。因此，不属于饮用水源保护区范围</w:t>
            </w:r>
            <w:r>
              <w:rPr>
                <w:bCs/>
                <w:color w:val="auto"/>
                <w:szCs w:val="21"/>
              </w:rPr>
              <w:t>。</w:t>
            </w:r>
          </w:p>
          <w:p>
            <w:pPr>
              <w:spacing w:line="404" w:lineRule="exact"/>
              <w:ind w:firstLine="420" w:firstLineChars="200"/>
              <w:rPr>
                <w:bCs/>
                <w:color w:val="auto"/>
                <w:szCs w:val="21"/>
                <w:lang w:val="zh-CN"/>
              </w:rPr>
            </w:pPr>
            <w:r>
              <w:rPr>
                <w:bCs/>
                <w:color w:val="auto"/>
                <w:szCs w:val="21"/>
              </w:rPr>
              <w:t>④</w:t>
            </w:r>
            <w:r>
              <w:rPr>
                <w:bCs/>
                <w:color w:val="auto"/>
                <w:szCs w:val="21"/>
                <w:lang w:val="zh-CN"/>
              </w:rPr>
              <w:t>本项目</w:t>
            </w:r>
            <w:r>
              <w:rPr>
                <w:bCs/>
                <w:color w:val="auto"/>
                <w:szCs w:val="21"/>
              </w:rPr>
              <w:t>矿权范围</w:t>
            </w:r>
            <w:r>
              <w:rPr>
                <w:bCs/>
                <w:color w:val="auto"/>
                <w:szCs w:val="21"/>
                <w:lang w:val="zh-CN"/>
              </w:rPr>
              <w:t>不属于限制和禁止开采区，符合相关规划。根据《矿山生态环境保护与污染防治技术政策》（环发</w:t>
            </w:r>
            <w:r>
              <w:rPr>
                <w:rFonts w:hint="eastAsia"/>
                <w:bCs/>
                <w:color w:val="auto"/>
                <w:szCs w:val="21"/>
                <w:lang w:val="zh-CN"/>
              </w:rPr>
              <w:t>〔</w:t>
            </w:r>
            <w:r>
              <w:rPr>
                <w:bCs/>
                <w:color w:val="auto"/>
                <w:szCs w:val="21"/>
                <w:lang w:val="zh-CN"/>
              </w:rPr>
              <w:t>2005</w:t>
            </w:r>
            <w:r>
              <w:rPr>
                <w:rFonts w:hint="eastAsia"/>
                <w:bCs/>
                <w:color w:val="auto"/>
                <w:szCs w:val="21"/>
                <w:lang w:val="zh-CN"/>
              </w:rPr>
              <w:t>〕</w:t>
            </w:r>
            <w:r>
              <w:rPr>
                <w:bCs/>
                <w:color w:val="auto"/>
                <w:szCs w:val="21"/>
                <w:lang w:val="zh-CN"/>
              </w:rPr>
              <w:t>109号）中“禁止矿产资源开发活动”的相关规定，项目矿山选址符合《矿山生态环境保护与污染防治技术政策》（环发</w:t>
            </w:r>
            <w:r>
              <w:rPr>
                <w:rFonts w:hint="eastAsia"/>
                <w:bCs/>
                <w:color w:val="auto"/>
                <w:szCs w:val="21"/>
                <w:lang w:val="zh-CN"/>
              </w:rPr>
              <w:t>〔</w:t>
            </w:r>
            <w:r>
              <w:rPr>
                <w:bCs/>
                <w:color w:val="auto"/>
                <w:szCs w:val="21"/>
                <w:lang w:val="zh-CN"/>
              </w:rPr>
              <w:t>2005</w:t>
            </w:r>
            <w:r>
              <w:rPr>
                <w:rFonts w:hint="eastAsia"/>
                <w:bCs/>
                <w:color w:val="auto"/>
                <w:szCs w:val="21"/>
                <w:lang w:val="zh-CN"/>
              </w:rPr>
              <w:t>〕</w:t>
            </w:r>
            <w:r>
              <w:rPr>
                <w:bCs/>
                <w:color w:val="auto"/>
                <w:szCs w:val="21"/>
                <w:lang w:val="zh-CN"/>
              </w:rPr>
              <w:t>109号）中相关规定。</w:t>
            </w:r>
          </w:p>
          <w:p>
            <w:pPr>
              <w:spacing w:line="404" w:lineRule="exact"/>
              <w:ind w:firstLine="420" w:firstLineChars="200"/>
              <w:rPr>
                <w:bCs/>
                <w:color w:val="auto"/>
                <w:szCs w:val="21"/>
                <w:lang w:val="zh-CN"/>
              </w:rPr>
            </w:pPr>
            <w:r>
              <w:rPr>
                <w:bCs/>
                <w:color w:val="auto"/>
                <w:szCs w:val="21"/>
              </w:rPr>
              <w:t>⑤</w:t>
            </w:r>
            <w:r>
              <w:rPr>
                <w:bCs/>
                <w:color w:val="auto"/>
                <w:szCs w:val="21"/>
                <w:lang w:val="zh-CN"/>
              </w:rPr>
              <w:t>项目矿区占地主要为林地，</w:t>
            </w:r>
            <w:r>
              <w:rPr>
                <w:rFonts w:hint="eastAsia"/>
                <w:bCs/>
                <w:color w:val="auto"/>
                <w:szCs w:val="21"/>
                <w:lang w:val="zh-CN"/>
              </w:rPr>
              <w:t>根据宣汉县林业发展保护中心出具的说明，项目</w:t>
            </w:r>
            <w:r>
              <w:rPr>
                <w:bCs/>
                <w:color w:val="auto"/>
                <w:szCs w:val="21"/>
                <w:lang w:val="zh-CN"/>
              </w:rPr>
              <w:t>不</w:t>
            </w:r>
            <w:r>
              <w:rPr>
                <w:rFonts w:hint="eastAsia"/>
                <w:bCs/>
                <w:color w:val="auto"/>
                <w:szCs w:val="21"/>
                <w:lang w:val="zh-CN"/>
              </w:rPr>
              <w:t>占用天然林、公益林、湿地；不涉及自然保护区、风景名胜区、森林公园、世界文化和自然遗产地</w:t>
            </w:r>
            <w:r>
              <w:rPr>
                <w:bCs/>
                <w:color w:val="auto"/>
                <w:szCs w:val="21"/>
                <w:lang w:val="zh-CN"/>
              </w:rPr>
              <w:t>。</w:t>
            </w:r>
          </w:p>
          <w:p>
            <w:pPr>
              <w:spacing w:line="404" w:lineRule="exact"/>
              <w:ind w:firstLine="420" w:firstLineChars="200"/>
              <w:rPr>
                <w:bCs/>
                <w:color w:val="auto"/>
                <w:szCs w:val="21"/>
              </w:rPr>
            </w:pPr>
            <w:r>
              <w:rPr>
                <w:bCs/>
                <w:color w:val="auto"/>
                <w:szCs w:val="21"/>
              </w:rPr>
              <w:t>⑥根据项目外环境关系可知，项目周边主要为林地，</w:t>
            </w:r>
            <w:r>
              <w:rPr>
                <w:rFonts w:hint="eastAsia"/>
                <w:bCs/>
                <w:color w:val="auto"/>
                <w:szCs w:val="21"/>
              </w:rPr>
              <w:t>矿区5</w:t>
            </w:r>
            <w:r>
              <w:rPr>
                <w:bCs/>
                <w:color w:val="auto"/>
                <w:szCs w:val="21"/>
              </w:rPr>
              <w:t>00</w:t>
            </w:r>
            <w:r>
              <w:rPr>
                <w:rFonts w:hint="eastAsia"/>
                <w:bCs/>
                <w:color w:val="auto"/>
                <w:szCs w:val="21"/>
              </w:rPr>
              <w:t>m范围内无住户</w:t>
            </w:r>
            <w:r>
              <w:rPr>
                <w:bCs/>
                <w:color w:val="auto"/>
                <w:szCs w:val="21"/>
              </w:rPr>
              <w:t>。</w:t>
            </w:r>
            <w:r>
              <w:rPr>
                <w:rFonts w:hint="eastAsia"/>
                <w:bCs/>
                <w:color w:val="auto"/>
                <w:szCs w:val="21"/>
              </w:rPr>
              <w:t>漆树</w:t>
            </w:r>
            <w:r>
              <w:rPr>
                <w:bCs/>
                <w:color w:val="auto"/>
                <w:szCs w:val="21"/>
              </w:rPr>
              <w:t>场镇位于矿区</w:t>
            </w:r>
            <w:r>
              <w:rPr>
                <w:rFonts w:hint="eastAsia"/>
                <w:bCs/>
                <w:color w:val="auto"/>
                <w:szCs w:val="21"/>
              </w:rPr>
              <w:t>北</w:t>
            </w:r>
            <w:r>
              <w:rPr>
                <w:bCs/>
                <w:color w:val="auto"/>
                <w:szCs w:val="21"/>
              </w:rPr>
              <w:t>面，相距约1.9km，不属于</w:t>
            </w:r>
            <w:r>
              <w:rPr>
                <w:rFonts w:hint="eastAsia"/>
                <w:bCs/>
                <w:color w:val="auto"/>
                <w:szCs w:val="21"/>
              </w:rPr>
              <w:t>漆树场</w:t>
            </w:r>
            <w:r>
              <w:rPr>
                <w:bCs/>
                <w:color w:val="auto"/>
                <w:szCs w:val="21"/>
              </w:rPr>
              <w:t>镇建成区范围，之间有山体相隔且相互不在可视范围内。营运期通过采取相应的污染防治措施，基本不会对</w:t>
            </w:r>
            <w:r>
              <w:rPr>
                <w:rFonts w:hint="eastAsia"/>
                <w:bCs/>
                <w:color w:val="auto"/>
                <w:szCs w:val="21"/>
              </w:rPr>
              <w:t>居民</w:t>
            </w:r>
            <w:r>
              <w:rPr>
                <w:bCs/>
                <w:color w:val="auto"/>
                <w:szCs w:val="21"/>
              </w:rPr>
              <w:t>造成污染影响。项目的建设与周围环境</w:t>
            </w:r>
            <w:r>
              <w:rPr>
                <w:rFonts w:hint="eastAsia"/>
                <w:bCs/>
                <w:color w:val="auto"/>
                <w:szCs w:val="21"/>
              </w:rPr>
              <w:t>是</w:t>
            </w:r>
            <w:r>
              <w:rPr>
                <w:bCs/>
                <w:color w:val="auto"/>
                <w:szCs w:val="21"/>
              </w:rPr>
              <w:t>相容的。</w:t>
            </w:r>
          </w:p>
          <w:p>
            <w:pPr>
              <w:spacing w:line="404" w:lineRule="exact"/>
              <w:ind w:firstLine="420" w:firstLineChars="200"/>
              <w:rPr>
                <w:bCs/>
                <w:color w:val="auto"/>
                <w:szCs w:val="21"/>
              </w:rPr>
            </w:pPr>
            <w:r>
              <w:rPr>
                <w:bCs/>
                <w:color w:val="auto"/>
                <w:szCs w:val="21"/>
              </w:rPr>
              <w:t>⑦项目建设所在地水、电供应均有保证，</w:t>
            </w:r>
            <w:r>
              <w:rPr>
                <w:rFonts w:hint="eastAsia"/>
                <w:bCs/>
                <w:color w:val="auto"/>
                <w:szCs w:val="21"/>
              </w:rPr>
              <w:t>修建</w:t>
            </w:r>
            <w:r>
              <w:rPr>
                <w:bCs/>
                <w:color w:val="auto"/>
                <w:szCs w:val="21"/>
              </w:rPr>
              <w:t>运输道路与附近乡道公路连接，交通较为便利，能够满足本项目生产运输需求。</w:t>
            </w:r>
          </w:p>
          <w:p>
            <w:pPr>
              <w:spacing w:line="400" w:lineRule="exact"/>
              <w:ind w:firstLine="420" w:firstLineChars="200"/>
              <w:rPr>
                <w:bCs/>
                <w:color w:val="auto"/>
                <w:szCs w:val="21"/>
              </w:rPr>
            </w:pPr>
            <w:r>
              <w:rPr>
                <w:bCs/>
                <w:color w:val="auto"/>
                <w:szCs w:val="21"/>
              </w:rPr>
              <w:t>因此，本项目矿区选址</w:t>
            </w:r>
            <w:bookmarkStart w:id="40" w:name="_GoBack"/>
            <w:bookmarkEnd w:id="40"/>
            <w:r>
              <w:rPr>
                <w:bCs/>
                <w:color w:val="auto"/>
                <w:szCs w:val="21"/>
              </w:rPr>
              <w:t>是合理的。</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二、表土临时堆场选址合理性分析</w:t>
            </w:r>
          </w:p>
          <w:p>
            <w:pPr>
              <w:spacing w:line="400" w:lineRule="exact"/>
              <w:ind w:firstLine="420" w:firstLineChars="200"/>
              <w:rPr>
                <w:bCs/>
                <w:color w:val="auto"/>
                <w:szCs w:val="21"/>
              </w:rPr>
            </w:pPr>
            <w:r>
              <w:rPr>
                <w:bCs/>
                <w:color w:val="auto"/>
                <w:szCs w:val="21"/>
              </w:rPr>
              <w:t>（1）表土临时堆场外环境关系</w:t>
            </w:r>
          </w:p>
          <w:p>
            <w:pPr>
              <w:spacing w:line="400" w:lineRule="exact"/>
              <w:ind w:firstLine="420" w:firstLineChars="200"/>
              <w:rPr>
                <w:bCs/>
                <w:color w:val="auto"/>
                <w:szCs w:val="21"/>
              </w:rPr>
            </w:pPr>
            <w:r>
              <w:rPr>
                <w:bCs/>
                <w:color w:val="auto"/>
                <w:szCs w:val="21"/>
              </w:rPr>
              <w:t>根据设计资料，项目表土临时堆场拟设置于</w:t>
            </w:r>
            <w:r>
              <w:rPr>
                <w:rFonts w:hint="eastAsia"/>
                <w:bCs/>
                <w:color w:val="auto"/>
                <w:szCs w:val="21"/>
              </w:rPr>
              <w:t>采场西北侧。堆排总高度约 45m，最高堆排标高+1230m，最低堆排标高+1185m，设计容积约</w:t>
            </w:r>
            <w:r>
              <w:rPr>
                <w:bCs/>
                <w:color w:val="auto"/>
                <w:szCs w:val="21"/>
              </w:rPr>
              <w:t>14</w:t>
            </w:r>
            <w:r>
              <w:rPr>
                <w:rFonts w:hint="eastAsia"/>
                <w:bCs/>
                <w:color w:val="auto"/>
                <w:szCs w:val="21"/>
              </w:rPr>
              <w:t>万m³。</w:t>
            </w:r>
            <w:r>
              <w:rPr>
                <w:rFonts w:hint="eastAsia" w:ascii="宋体" w:hAnsi="宋体" w:cs="宋体"/>
                <w:color w:val="auto"/>
                <w:kern w:val="0"/>
                <w:szCs w:val="21"/>
              </w:rPr>
              <w:t>废料弃土场地</w:t>
            </w:r>
            <w:r>
              <w:rPr>
                <w:rFonts w:hint="eastAsia"/>
                <w:bCs/>
                <w:color w:val="auto"/>
                <w:szCs w:val="21"/>
              </w:rPr>
              <w:t>占地面积约24亩</w:t>
            </w:r>
            <w:r>
              <w:rPr>
                <w:bCs/>
                <w:color w:val="auto"/>
                <w:szCs w:val="21"/>
              </w:rPr>
              <w:t>。该处坡度相对较缓，</w:t>
            </w:r>
            <w:r>
              <w:rPr>
                <w:rFonts w:hint="eastAsia"/>
                <w:bCs/>
                <w:color w:val="auto"/>
                <w:szCs w:val="21"/>
              </w:rPr>
              <w:t>西南</w:t>
            </w:r>
            <w:r>
              <w:rPr>
                <w:bCs/>
                <w:color w:val="auto"/>
                <w:szCs w:val="21"/>
              </w:rPr>
              <w:t>高</w:t>
            </w:r>
            <w:r>
              <w:rPr>
                <w:rFonts w:hint="eastAsia"/>
                <w:bCs/>
                <w:color w:val="auto"/>
                <w:szCs w:val="21"/>
              </w:rPr>
              <w:t>东</w:t>
            </w:r>
            <w:r>
              <w:rPr>
                <w:bCs/>
                <w:color w:val="auto"/>
                <w:szCs w:val="21"/>
              </w:rPr>
              <w:t>北低，拟设</w:t>
            </w:r>
            <w:r>
              <w:rPr>
                <w:rFonts w:hint="eastAsia" w:ascii="宋体" w:hAnsi="宋体" w:cs="宋体"/>
                <w:color w:val="auto"/>
                <w:kern w:val="0"/>
                <w:szCs w:val="21"/>
              </w:rPr>
              <w:t>废料弃土场地</w:t>
            </w:r>
            <w:r>
              <w:rPr>
                <w:bCs/>
                <w:color w:val="auto"/>
                <w:szCs w:val="21"/>
              </w:rPr>
              <w:t>现状为旱地，主要种植玉米、土豆等农作物，其</w:t>
            </w:r>
            <w:r>
              <w:rPr>
                <w:rFonts w:hint="eastAsia"/>
                <w:bCs/>
                <w:color w:val="auto"/>
                <w:szCs w:val="21"/>
              </w:rPr>
              <w:t>南</w:t>
            </w:r>
            <w:r>
              <w:rPr>
                <w:bCs/>
                <w:color w:val="auto"/>
                <w:szCs w:val="21"/>
              </w:rPr>
              <w:t>面临矿权边界，东面为旱地、</w:t>
            </w:r>
            <w:r>
              <w:rPr>
                <w:rFonts w:hint="eastAsia"/>
                <w:bCs/>
                <w:color w:val="auto"/>
                <w:szCs w:val="21"/>
              </w:rPr>
              <w:t>南</w:t>
            </w:r>
            <w:r>
              <w:rPr>
                <w:bCs/>
                <w:color w:val="auto"/>
                <w:szCs w:val="21"/>
              </w:rPr>
              <w:t>面和西面为荒坡、</w:t>
            </w:r>
            <w:r>
              <w:rPr>
                <w:rFonts w:hint="eastAsia"/>
                <w:bCs/>
                <w:color w:val="auto"/>
                <w:szCs w:val="21"/>
              </w:rPr>
              <w:t>南</w:t>
            </w:r>
            <w:r>
              <w:rPr>
                <w:bCs/>
                <w:color w:val="auto"/>
                <w:szCs w:val="21"/>
              </w:rPr>
              <w:t>面为林地</w:t>
            </w:r>
            <w:r>
              <w:rPr>
                <w:rFonts w:hint="eastAsia"/>
                <w:bCs/>
                <w:color w:val="auto"/>
                <w:szCs w:val="21"/>
              </w:rPr>
              <w:t>。</w:t>
            </w:r>
            <w:r>
              <w:rPr>
                <w:bCs/>
                <w:color w:val="auto"/>
                <w:szCs w:val="21"/>
              </w:rPr>
              <w:t>拟设的</w:t>
            </w:r>
            <w:r>
              <w:rPr>
                <w:rFonts w:hint="eastAsia" w:ascii="宋体" w:hAnsi="宋体" w:cs="宋体"/>
                <w:color w:val="auto"/>
                <w:kern w:val="0"/>
                <w:szCs w:val="21"/>
              </w:rPr>
              <w:t>废料弃土场地</w:t>
            </w:r>
            <w:r>
              <w:rPr>
                <w:bCs/>
                <w:color w:val="auto"/>
                <w:szCs w:val="21"/>
              </w:rPr>
              <w:t>周围</w:t>
            </w:r>
            <w:r>
              <w:rPr>
                <w:rFonts w:hint="eastAsia"/>
                <w:bCs/>
                <w:color w:val="auto"/>
                <w:szCs w:val="21"/>
              </w:rPr>
              <w:t>5</w:t>
            </w:r>
            <w:r>
              <w:rPr>
                <w:bCs/>
                <w:color w:val="auto"/>
                <w:szCs w:val="21"/>
              </w:rPr>
              <w:t>00</w:t>
            </w:r>
            <w:r>
              <w:rPr>
                <w:rFonts w:hint="eastAsia"/>
                <w:bCs/>
                <w:color w:val="auto"/>
                <w:szCs w:val="21"/>
              </w:rPr>
              <w:t>m内无居民住户</w:t>
            </w:r>
            <w:r>
              <w:rPr>
                <w:bCs/>
                <w:color w:val="auto"/>
                <w:szCs w:val="21"/>
              </w:rPr>
              <w:t>。</w:t>
            </w:r>
          </w:p>
          <w:p>
            <w:pPr>
              <w:spacing w:line="400" w:lineRule="exact"/>
              <w:ind w:firstLine="420" w:firstLineChars="200"/>
              <w:rPr>
                <w:bCs/>
                <w:color w:val="auto"/>
                <w:szCs w:val="21"/>
              </w:rPr>
            </w:pPr>
            <w:r>
              <w:rPr>
                <w:bCs/>
                <w:color w:val="auto"/>
                <w:szCs w:val="21"/>
              </w:rPr>
              <w:t>（2）</w:t>
            </w:r>
            <w:r>
              <w:rPr>
                <w:rFonts w:hint="eastAsia" w:ascii="宋体" w:hAnsi="宋体" w:cs="宋体"/>
                <w:color w:val="auto"/>
                <w:kern w:val="0"/>
                <w:szCs w:val="21"/>
              </w:rPr>
              <w:t>废料弃土场地</w:t>
            </w:r>
            <w:r>
              <w:rPr>
                <w:bCs/>
                <w:color w:val="auto"/>
                <w:szCs w:val="21"/>
              </w:rPr>
              <w:t>选址合理性分析</w:t>
            </w:r>
          </w:p>
          <w:p>
            <w:pPr>
              <w:spacing w:line="400" w:lineRule="exact"/>
              <w:ind w:firstLine="420" w:firstLineChars="200"/>
              <w:rPr>
                <w:bCs/>
                <w:color w:val="auto"/>
                <w:szCs w:val="21"/>
              </w:rPr>
            </w:pPr>
            <w:r>
              <w:rPr>
                <w:rFonts w:hint="eastAsia" w:ascii="宋体" w:hAnsi="宋体" w:cs="宋体"/>
                <w:bCs/>
                <w:color w:val="auto"/>
                <w:szCs w:val="21"/>
              </w:rPr>
              <w:t>①</w:t>
            </w:r>
            <w:r>
              <w:rPr>
                <w:bCs/>
                <w:color w:val="auto"/>
                <w:szCs w:val="21"/>
              </w:rPr>
              <w:t>表土临时堆场占地地势</w:t>
            </w:r>
            <w:r>
              <w:rPr>
                <w:rFonts w:hint="eastAsia"/>
                <w:bCs/>
                <w:color w:val="auto"/>
                <w:szCs w:val="21"/>
              </w:rPr>
              <w:t>西南</w:t>
            </w:r>
            <w:r>
              <w:rPr>
                <w:bCs/>
                <w:color w:val="auto"/>
                <w:szCs w:val="21"/>
              </w:rPr>
              <w:t>高</w:t>
            </w:r>
            <w:r>
              <w:rPr>
                <w:rFonts w:hint="eastAsia"/>
                <w:bCs/>
                <w:color w:val="auto"/>
                <w:szCs w:val="21"/>
              </w:rPr>
              <w:t>东</w:t>
            </w:r>
            <w:r>
              <w:rPr>
                <w:bCs/>
                <w:color w:val="auto"/>
                <w:szCs w:val="21"/>
              </w:rPr>
              <w:t>北低，占地区域满足承载力要求。通过在地势低洼处建设拦渣坝，可有效防止滑坡等风险。</w:t>
            </w:r>
            <w:r>
              <w:rPr>
                <w:rFonts w:hint="eastAsia" w:ascii="宋体" w:hAnsi="宋体" w:cs="宋体"/>
                <w:color w:val="auto"/>
                <w:kern w:val="0"/>
                <w:szCs w:val="21"/>
              </w:rPr>
              <w:t>废料弃土场地</w:t>
            </w:r>
            <w:r>
              <w:rPr>
                <w:bCs/>
                <w:color w:val="auto"/>
                <w:szCs w:val="21"/>
              </w:rPr>
              <w:t>选址处植被主要为灌草丛，后期取土回填并采取植被恢复后，对区域植被生境造成的影响较小。</w:t>
            </w:r>
          </w:p>
          <w:p>
            <w:pPr>
              <w:spacing w:line="400" w:lineRule="exact"/>
              <w:ind w:firstLine="420" w:firstLineChars="200"/>
              <w:rPr>
                <w:bCs/>
                <w:color w:val="auto"/>
                <w:szCs w:val="21"/>
              </w:rPr>
            </w:pPr>
            <w:r>
              <w:rPr>
                <w:rFonts w:hint="eastAsia" w:ascii="宋体" w:hAnsi="宋体" w:cs="宋体"/>
                <w:bCs/>
                <w:color w:val="auto"/>
                <w:szCs w:val="21"/>
              </w:rPr>
              <w:t>②</w:t>
            </w:r>
            <w:r>
              <w:rPr>
                <w:rFonts w:hint="eastAsia" w:ascii="宋体" w:hAnsi="宋体" w:cs="宋体"/>
                <w:color w:val="auto"/>
                <w:kern w:val="0"/>
                <w:szCs w:val="21"/>
              </w:rPr>
              <w:t>废料弃土场地</w:t>
            </w:r>
            <w:r>
              <w:rPr>
                <w:bCs/>
                <w:color w:val="auto"/>
                <w:szCs w:val="21"/>
              </w:rPr>
              <w:t>设置在矿区范围</w:t>
            </w:r>
            <w:r>
              <w:rPr>
                <w:rFonts w:hint="eastAsia"/>
                <w:bCs/>
                <w:color w:val="auto"/>
                <w:szCs w:val="21"/>
              </w:rPr>
              <w:t>外</w:t>
            </w:r>
            <w:r>
              <w:rPr>
                <w:bCs/>
                <w:color w:val="auto"/>
                <w:szCs w:val="21"/>
              </w:rPr>
              <w:t>；开采期间不会</w:t>
            </w:r>
            <w:r>
              <w:rPr>
                <w:rFonts w:hint="eastAsia"/>
                <w:bCs/>
                <w:color w:val="auto"/>
                <w:szCs w:val="21"/>
              </w:rPr>
              <w:t>对其产生影响</w:t>
            </w:r>
            <w:r>
              <w:rPr>
                <w:bCs/>
                <w:color w:val="auto"/>
                <w:szCs w:val="21"/>
              </w:rPr>
              <w:t>，通过及时复垦从采空区可确保堆场有足够的容量；</w:t>
            </w:r>
            <w:r>
              <w:rPr>
                <w:rFonts w:hint="eastAsia"/>
                <w:bCs/>
                <w:color w:val="auto"/>
                <w:szCs w:val="21"/>
              </w:rPr>
              <w:t>开采结束后</w:t>
            </w:r>
            <w:r>
              <w:rPr>
                <w:bCs/>
                <w:color w:val="auto"/>
                <w:szCs w:val="21"/>
              </w:rPr>
              <w:t>，将</w:t>
            </w:r>
            <w:r>
              <w:rPr>
                <w:rFonts w:hint="eastAsia" w:ascii="宋体" w:hAnsi="宋体" w:cs="宋体"/>
                <w:color w:val="auto"/>
                <w:kern w:val="0"/>
                <w:szCs w:val="21"/>
              </w:rPr>
              <w:t>废料弃土场地</w:t>
            </w:r>
            <w:r>
              <w:rPr>
                <w:rFonts w:hint="eastAsia"/>
                <w:bCs/>
                <w:color w:val="auto"/>
                <w:szCs w:val="21"/>
              </w:rPr>
              <w:t>弃土</w:t>
            </w:r>
            <w:r>
              <w:rPr>
                <w:bCs/>
                <w:color w:val="auto"/>
                <w:szCs w:val="21"/>
              </w:rPr>
              <w:t>转移至采空区</w:t>
            </w:r>
            <w:r>
              <w:rPr>
                <w:rFonts w:hint="eastAsia"/>
                <w:bCs/>
                <w:color w:val="auto"/>
                <w:szCs w:val="21"/>
              </w:rPr>
              <w:t>复垦</w:t>
            </w:r>
            <w:r>
              <w:rPr>
                <w:bCs/>
                <w:color w:val="auto"/>
                <w:szCs w:val="21"/>
              </w:rPr>
              <w:t>，减少堆放带来的环境问题和安全</w:t>
            </w:r>
            <w:r>
              <w:rPr>
                <w:rFonts w:hint="eastAsia"/>
                <w:bCs/>
                <w:color w:val="auto"/>
                <w:szCs w:val="21"/>
              </w:rPr>
              <w:t>问</w:t>
            </w:r>
            <w:r>
              <w:rPr>
                <w:bCs/>
                <w:color w:val="auto"/>
                <w:szCs w:val="21"/>
              </w:rPr>
              <w:t>题。</w:t>
            </w:r>
          </w:p>
          <w:p>
            <w:pPr>
              <w:spacing w:line="400" w:lineRule="exact"/>
              <w:ind w:firstLine="420" w:firstLineChars="200"/>
              <w:rPr>
                <w:bCs/>
                <w:color w:val="auto"/>
                <w:szCs w:val="21"/>
              </w:rPr>
            </w:pPr>
            <w:r>
              <w:rPr>
                <w:rFonts w:hint="eastAsia" w:ascii="宋体" w:hAnsi="宋体" w:cs="宋体"/>
                <w:bCs/>
                <w:color w:val="auto"/>
                <w:szCs w:val="21"/>
              </w:rPr>
              <w:t>③</w:t>
            </w:r>
            <w:r>
              <w:rPr>
                <w:bCs/>
                <w:color w:val="auto"/>
                <w:szCs w:val="21"/>
              </w:rPr>
              <w:t>表土临时堆场设置尽量远离了附近地表冲沟，通过建设挡墙大大降低了溃坝、滑坡等事故发生的环境风险和污染影响。</w:t>
            </w:r>
          </w:p>
          <w:p>
            <w:pPr>
              <w:spacing w:line="400" w:lineRule="exact"/>
              <w:ind w:firstLine="420" w:firstLineChars="200"/>
              <w:rPr>
                <w:bCs/>
                <w:color w:val="auto"/>
                <w:szCs w:val="21"/>
              </w:rPr>
            </w:pPr>
            <w:r>
              <w:rPr>
                <w:rFonts w:hint="eastAsia" w:ascii="宋体" w:hAnsi="宋体" w:cs="宋体"/>
                <w:bCs/>
                <w:color w:val="auto"/>
                <w:szCs w:val="21"/>
              </w:rPr>
              <w:t>④</w:t>
            </w:r>
            <w:r>
              <w:rPr>
                <w:bCs/>
                <w:color w:val="auto"/>
                <w:szCs w:val="21"/>
              </w:rPr>
              <w:t>表土临时堆场距离周围农户较远，且中间有山体相隔，不会受堆场溃坝等危害；同时表土运输过程不会经过</w:t>
            </w:r>
            <w:r>
              <w:rPr>
                <w:rFonts w:hint="eastAsia"/>
                <w:bCs/>
                <w:color w:val="auto"/>
                <w:szCs w:val="21"/>
              </w:rPr>
              <w:t>居民区</w:t>
            </w:r>
            <w:r>
              <w:rPr>
                <w:bCs/>
                <w:color w:val="auto"/>
                <w:szCs w:val="21"/>
              </w:rPr>
              <w:t>，不会受运输扬尘污染。</w:t>
            </w:r>
          </w:p>
          <w:p>
            <w:pPr>
              <w:spacing w:line="400" w:lineRule="exact"/>
              <w:ind w:firstLine="420" w:firstLineChars="200"/>
              <w:rPr>
                <w:bCs/>
                <w:color w:val="auto"/>
                <w:szCs w:val="21"/>
              </w:rPr>
            </w:pPr>
            <w:r>
              <w:rPr>
                <w:rFonts w:hint="eastAsia" w:ascii="宋体" w:hAnsi="宋体" w:cs="宋体"/>
                <w:bCs/>
                <w:color w:val="auto"/>
                <w:szCs w:val="21"/>
              </w:rPr>
              <w:t>⑤</w:t>
            </w:r>
            <w:r>
              <w:rPr>
                <w:bCs/>
                <w:color w:val="auto"/>
                <w:szCs w:val="21"/>
              </w:rPr>
              <w:t>本项目</w:t>
            </w:r>
            <w:r>
              <w:rPr>
                <w:rFonts w:hint="eastAsia" w:ascii="宋体" w:hAnsi="宋体" w:cs="宋体"/>
                <w:color w:val="auto"/>
                <w:kern w:val="0"/>
                <w:szCs w:val="21"/>
              </w:rPr>
              <w:t>废料弃土场地</w:t>
            </w:r>
            <w:r>
              <w:rPr>
                <w:bCs/>
                <w:color w:val="auto"/>
                <w:szCs w:val="21"/>
              </w:rPr>
              <w:t>仅为临时堆场，后期将用于生态恢复。堆场在建设时将预留道路，方便机械设备操作取土。</w:t>
            </w:r>
          </w:p>
          <w:p>
            <w:pPr>
              <w:spacing w:line="400" w:lineRule="exact"/>
              <w:ind w:firstLine="420" w:firstLineChars="200"/>
              <w:rPr>
                <w:bCs/>
                <w:color w:val="auto"/>
                <w:szCs w:val="21"/>
              </w:rPr>
            </w:pPr>
            <w:r>
              <w:rPr>
                <w:rFonts w:hint="eastAsia" w:ascii="宋体" w:hAnsi="宋体" w:cs="宋体"/>
                <w:bCs/>
                <w:color w:val="auto"/>
                <w:szCs w:val="21"/>
              </w:rPr>
              <w:t>⑥</w:t>
            </w:r>
            <w:r>
              <w:rPr>
                <w:bCs/>
                <w:color w:val="auto"/>
                <w:szCs w:val="21"/>
              </w:rPr>
              <w:t>本项目表土临时堆场的建设符合《矿山生态环境保护与恢复治理技术规范（试行）》文件的相关要求。堆场将建设截排水工程等防护设施，坡脚采取挡墙或堡坎等防护措施，避免崩塌等地质灾害，并设置环境保护图形标志。</w:t>
            </w:r>
          </w:p>
          <w:p>
            <w:pPr>
              <w:spacing w:line="400" w:lineRule="exact"/>
              <w:ind w:firstLine="420" w:firstLineChars="200"/>
              <w:rPr>
                <w:bCs/>
                <w:color w:val="auto"/>
                <w:szCs w:val="21"/>
              </w:rPr>
            </w:pPr>
            <w:r>
              <w:rPr>
                <w:bCs/>
                <w:color w:val="auto"/>
                <w:szCs w:val="21"/>
              </w:rPr>
              <w:t>因此，本项目表土临时堆场选址是合理的。</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三、加工场选址合理性分析</w:t>
            </w:r>
          </w:p>
          <w:p>
            <w:pPr>
              <w:spacing w:line="400" w:lineRule="exact"/>
              <w:ind w:firstLine="420" w:firstLineChars="200"/>
              <w:rPr>
                <w:bCs/>
                <w:color w:val="auto"/>
                <w:szCs w:val="21"/>
              </w:rPr>
            </w:pPr>
            <w:r>
              <w:rPr>
                <w:rFonts w:hint="eastAsia" w:ascii="宋体" w:hAnsi="宋体" w:cs="宋体"/>
                <w:bCs/>
                <w:color w:val="auto"/>
                <w:szCs w:val="21"/>
              </w:rPr>
              <w:t>①</w:t>
            </w:r>
            <w:r>
              <w:rPr>
                <w:bCs/>
                <w:color w:val="auto"/>
                <w:szCs w:val="21"/>
              </w:rPr>
              <w:t>项目</w:t>
            </w:r>
            <w:r>
              <w:rPr>
                <w:rFonts w:hint="eastAsia"/>
                <w:bCs/>
                <w:color w:val="auto"/>
                <w:szCs w:val="21"/>
              </w:rPr>
              <w:t>加工区占地面积约176亩，位于露天采场北侧爆破警戒线范围外，破碎站卸料平台标高+1070m，矿石加工区标高+930m～+980m。加工生产区包含矿石生产场地、废料弃土场地、卸料平台及初碎车间、皮带走廊等，在一级、二级筛分机上方设置冲水装置，下方设置废水收集装置，筛分机后设置洗砂设备（螺旋洗砂机、脱水筛、尾砂回收机等）、废水处理设施及配套输送皮带等，形成“破碎+筛分+洗选”工艺</w:t>
            </w:r>
            <w:r>
              <w:rPr>
                <w:bCs/>
                <w:color w:val="auto"/>
                <w:szCs w:val="21"/>
              </w:rPr>
              <w:t>，利于生产管理、节约能源及生产成本。</w:t>
            </w:r>
          </w:p>
          <w:p>
            <w:pPr>
              <w:spacing w:line="400" w:lineRule="exact"/>
              <w:ind w:firstLine="420" w:firstLineChars="200"/>
              <w:rPr>
                <w:bCs/>
                <w:color w:val="auto"/>
                <w:szCs w:val="21"/>
              </w:rPr>
            </w:pPr>
            <w:r>
              <w:rPr>
                <w:rFonts w:hint="eastAsia" w:ascii="宋体" w:hAnsi="宋体" w:cs="宋体"/>
                <w:bCs/>
                <w:color w:val="auto"/>
                <w:szCs w:val="21"/>
              </w:rPr>
              <w:t>②</w:t>
            </w:r>
            <w:r>
              <w:rPr>
                <w:bCs/>
                <w:color w:val="auto"/>
                <w:szCs w:val="21"/>
              </w:rPr>
              <w:t>与饮用水源的位置关系</w:t>
            </w:r>
          </w:p>
          <w:p>
            <w:pPr>
              <w:spacing w:line="400" w:lineRule="exact"/>
              <w:ind w:firstLine="420" w:firstLineChars="200"/>
              <w:rPr>
                <w:bCs/>
                <w:color w:val="auto"/>
                <w:szCs w:val="21"/>
              </w:rPr>
            </w:pPr>
            <w:r>
              <w:rPr>
                <w:bCs/>
                <w:color w:val="auto"/>
                <w:szCs w:val="21"/>
              </w:rPr>
              <w:t>查阅达州市人民政府《关于划定万源市、宣汉县</w:t>
            </w:r>
            <w:r>
              <w:rPr>
                <w:rFonts w:hint="eastAsia"/>
                <w:bCs/>
                <w:color w:val="auto"/>
                <w:szCs w:val="21"/>
              </w:rPr>
              <w:t>和</w:t>
            </w:r>
            <w:r>
              <w:rPr>
                <w:bCs/>
                <w:color w:val="auto"/>
                <w:szCs w:val="21"/>
              </w:rPr>
              <w:t>大竹县乡镇及以下集中式饮用水水源地保护区的批复》（达市府函〔2020〕124号），项目附近地表水体</w:t>
            </w:r>
            <w:r>
              <w:rPr>
                <w:rFonts w:hint="eastAsia"/>
                <w:bCs/>
                <w:color w:val="auto"/>
                <w:szCs w:val="21"/>
              </w:rPr>
              <w:t>石溪河</w:t>
            </w:r>
            <w:r>
              <w:rPr>
                <w:bCs/>
                <w:color w:val="auto"/>
                <w:szCs w:val="21"/>
              </w:rPr>
              <w:t>无饮用水取水点。因此，不属于饮用水源保护区范围。</w:t>
            </w:r>
          </w:p>
          <w:p>
            <w:pPr>
              <w:spacing w:line="400" w:lineRule="exact"/>
              <w:ind w:firstLine="420" w:firstLineChars="200"/>
              <w:rPr>
                <w:bCs/>
                <w:color w:val="auto"/>
                <w:szCs w:val="21"/>
              </w:rPr>
            </w:pPr>
            <w:r>
              <w:rPr>
                <w:rFonts w:hint="eastAsia" w:ascii="宋体" w:hAnsi="宋体" w:cs="宋体"/>
                <w:bCs/>
                <w:color w:val="auto"/>
                <w:szCs w:val="21"/>
              </w:rPr>
              <w:t>③</w:t>
            </w:r>
            <w:r>
              <w:rPr>
                <w:bCs/>
                <w:color w:val="auto"/>
                <w:szCs w:val="21"/>
              </w:rPr>
              <w:t>项目建设影响区范围不涉及特殊环境敏感目标。项目建设区不属于城市建成区，评价范围内不涉及自然保护区、风景名胜区、基本农田、饮用水源地保护区等特殊环境敏感目标。</w:t>
            </w:r>
          </w:p>
          <w:p>
            <w:pPr>
              <w:spacing w:line="400" w:lineRule="exact"/>
              <w:ind w:firstLine="420" w:firstLineChars="200"/>
              <w:rPr>
                <w:bCs/>
                <w:color w:val="auto"/>
                <w:szCs w:val="21"/>
              </w:rPr>
            </w:pPr>
            <w:r>
              <w:rPr>
                <w:rFonts w:hint="eastAsia" w:ascii="宋体" w:hAnsi="宋体" w:cs="宋体"/>
                <w:bCs/>
                <w:color w:val="auto"/>
                <w:szCs w:val="21"/>
              </w:rPr>
              <w:t>④</w:t>
            </w:r>
            <w:r>
              <w:rPr>
                <w:bCs/>
                <w:color w:val="auto"/>
                <w:szCs w:val="21"/>
              </w:rPr>
              <w:t>本项目位于</w:t>
            </w:r>
            <w:r>
              <w:rPr>
                <w:rFonts w:hint="eastAsia"/>
                <w:bCs/>
                <w:color w:val="auto"/>
                <w:szCs w:val="21"/>
              </w:rPr>
              <w:t>漆树场镇</w:t>
            </w:r>
            <w:r>
              <w:rPr>
                <w:bCs/>
                <w:color w:val="auto"/>
                <w:szCs w:val="21"/>
              </w:rPr>
              <w:t>的</w:t>
            </w:r>
            <w:r>
              <w:rPr>
                <w:rFonts w:hint="eastAsia"/>
                <w:bCs/>
                <w:color w:val="auto"/>
                <w:szCs w:val="21"/>
              </w:rPr>
              <w:t>南</w:t>
            </w:r>
            <w:r>
              <w:rPr>
                <w:bCs/>
                <w:color w:val="auto"/>
                <w:szCs w:val="21"/>
              </w:rPr>
              <w:t>面相距约0.9km，建设区域不属于</w:t>
            </w:r>
            <w:r>
              <w:rPr>
                <w:rFonts w:hint="eastAsia"/>
                <w:bCs/>
                <w:color w:val="auto"/>
                <w:szCs w:val="21"/>
              </w:rPr>
              <w:t>漆树</w:t>
            </w:r>
            <w:r>
              <w:rPr>
                <w:bCs/>
                <w:color w:val="auto"/>
                <w:szCs w:val="21"/>
              </w:rPr>
              <w:t>场镇建成区范围，之间有山体相隔且相互不在可视范围内。</w:t>
            </w:r>
          </w:p>
          <w:p>
            <w:pPr>
              <w:spacing w:line="400" w:lineRule="exact"/>
              <w:ind w:firstLine="420" w:firstLineChars="200"/>
              <w:rPr>
                <w:bCs/>
                <w:color w:val="auto"/>
                <w:szCs w:val="21"/>
              </w:rPr>
            </w:pPr>
            <w:r>
              <w:rPr>
                <w:rFonts w:hint="eastAsia" w:ascii="宋体" w:hAnsi="宋体" w:cs="宋体"/>
                <w:bCs/>
                <w:color w:val="auto"/>
                <w:szCs w:val="21"/>
              </w:rPr>
              <w:t>⑤</w:t>
            </w:r>
            <w:r>
              <w:rPr>
                <w:bCs/>
                <w:color w:val="auto"/>
                <w:szCs w:val="21"/>
              </w:rPr>
              <w:t>项目区不涉及永久基本农田，周围</w:t>
            </w:r>
            <w:r>
              <w:rPr>
                <w:rFonts w:hint="eastAsia"/>
                <w:bCs/>
                <w:color w:val="auto"/>
                <w:szCs w:val="21"/>
              </w:rPr>
              <w:t>5</w:t>
            </w:r>
            <w:r>
              <w:rPr>
                <w:bCs/>
                <w:color w:val="auto"/>
                <w:szCs w:val="21"/>
              </w:rPr>
              <w:t>00</w:t>
            </w:r>
            <w:r>
              <w:rPr>
                <w:rFonts w:hint="eastAsia"/>
                <w:bCs/>
                <w:color w:val="auto"/>
                <w:szCs w:val="21"/>
              </w:rPr>
              <w:t>m范围内不存在居民住户</w:t>
            </w:r>
            <w:r>
              <w:rPr>
                <w:bCs/>
                <w:color w:val="auto"/>
                <w:szCs w:val="21"/>
              </w:rPr>
              <w:t>，附近地表水体为</w:t>
            </w:r>
            <w:r>
              <w:rPr>
                <w:rFonts w:hint="eastAsia"/>
                <w:bCs/>
                <w:color w:val="auto"/>
                <w:szCs w:val="21"/>
              </w:rPr>
              <w:t>东</w:t>
            </w:r>
            <w:r>
              <w:rPr>
                <w:bCs/>
                <w:color w:val="auto"/>
                <w:szCs w:val="21"/>
              </w:rPr>
              <w:t>面的</w:t>
            </w:r>
            <w:r>
              <w:rPr>
                <w:rFonts w:hint="eastAsia"/>
                <w:bCs/>
                <w:color w:val="auto"/>
                <w:szCs w:val="21"/>
              </w:rPr>
              <w:t>石溪河</w:t>
            </w:r>
            <w:r>
              <w:rPr>
                <w:bCs/>
                <w:color w:val="auto"/>
                <w:szCs w:val="21"/>
              </w:rPr>
              <w:t>，项目不排放废水；生产车间为全封闭式厂房，对外环境影响很小，因此与周围环境相容。</w:t>
            </w:r>
          </w:p>
          <w:p>
            <w:pPr>
              <w:spacing w:line="400" w:lineRule="exact"/>
              <w:ind w:firstLine="420" w:firstLineChars="200"/>
              <w:rPr>
                <w:bCs/>
                <w:color w:val="auto"/>
                <w:szCs w:val="21"/>
              </w:rPr>
            </w:pPr>
            <w:r>
              <w:rPr>
                <w:rFonts w:hint="eastAsia" w:ascii="宋体" w:hAnsi="宋体" w:cs="宋体"/>
                <w:bCs/>
                <w:color w:val="auto"/>
                <w:szCs w:val="21"/>
              </w:rPr>
              <w:t>⑥</w:t>
            </w:r>
            <w:r>
              <w:rPr>
                <w:bCs/>
                <w:color w:val="auto"/>
                <w:szCs w:val="21"/>
              </w:rPr>
              <w:t>项目距离项目建设区域所在地水、电供应均有保证，项目区域有村道与周围路网连接，能够满足本项目生产、生活需要以及运输要求。</w:t>
            </w:r>
          </w:p>
          <w:p>
            <w:pPr>
              <w:spacing w:line="400" w:lineRule="exact"/>
              <w:ind w:firstLine="420" w:firstLineChars="200"/>
              <w:rPr>
                <w:bCs/>
                <w:color w:val="auto"/>
                <w:szCs w:val="21"/>
              </w:rPr>
            </w:pPr>
            <w:r>
              <w:rPr>
                <w:bCs/>
                <w:color w:val="auto"/>
                <w:szCs w:val="21"/>
              </w:rPr>
              <w:t>综上分析，本项目加工区选址合理可行。</w:t>
            </w:r>
          </w:p>
          <w:p>
            <w:pPr>
              <w:adjustRightInd w:val="0"/>
              <w:snapToGrid w:val="0"/>
              <w:spacing w:line="360" w:lineRule="auto"/>
              <w:ind w:firstLine="420" w:firstLineChars="200"/>
              <w:rPr>
                <w:rFonts w:ascii="宋体" w:hAnsi="宋体" w:cs="宋体"/>
                <w:bCs/>
                <w:color w:val="auto"/>
                <w:szCs w:val="21"/>
              </w:rPr>
            </w:pPr>
          </w:p>
        </w:tc>
      </w:tr>
    </w:tbl>
    <w:p>
      <w:pPr>
        <w:pStyle w:val="12"/>
        <w:jc w:val="center"/>
        <w:rPr>
          <w:rFonts w:ascii="黑体" w:hAnsi="黑体" w:eastAsia="黑体"/>
          <w:snapToGrid w:val="0"/>
          <w:color w:val="auto"/>
          <w:sz w:val="36"/>
          <w:szCs w:val="36"/>
        </w:rPr>
        <w:sectPr>
          <w:pgSz w:w="11906" w:h="16838"/>
          <w:pgMar w:top="1440" w:right="1800" w:bottom="1440" w:left="1800" w:header="851" w:footer="1077" w:gutter="0"/>
          <w:cols w:space="720" w:num="1"/>
          <w:docGrid w:linePitch="312" w:charSpace="0"/>
        </w:sectPr>
      </w:pPr>
    </w:p>
    <w:p>
      <w:pPr>
        <w:pStyle w:val="1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五、主要生态环境保护措施</w:t>
      </w:r>
    </w:p>
    <w:tbl>
      <w:tblPr>
        <w:tblStyle w:val="14"/>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tcMar>
              <w:left w:w="28" w:type="dxa"/>
              <w:right w:w="28" w:type="dxa"/>
            </w:tcMar>
            <w:vAlign w:val="center"/>
          </w:tcPr>
          <w:p>
            <w:pPr>
              <w:adjustRightInd w:val="0"/>
              <w:snapToGrid w:val="0"/>
              <w:spacing w:line="360" w:lineRule="auto"/>
              <w:jc w:val="center"/>
              <w:rPr>
                <w:rFonts w:ascii="宋体" w:hAnsi="宋体"/>
                <w:bCs/>
                <w:color w:val="auto"/>
                <w:szCs w:val="21"/>
              </w:rPr>
            </w:pPr>
            <w:r>
              <w:rPr>
                <w:rFonts w:hint="eastAsia" w:ascii="宋体" w:hAnsi="宋体" w:cs="宋体"/>
                <w:bCs/>
                <w:color w:val="auto"/>
                <w:spacing w:val="10"/>
                <w:szCs w:val="21"/>
              </w:rPr>
              <w:t>施工期生态环境保护措施</w:t>
            </w:r>
          </w:p>
        </w:tc>
        <w:tc>
          <w:tcPr>
            <w:tcW w:w="8457" w:type="dxa"/>
          </w:tcPr>
          <w:p>
            <w:pPr>
              <w:adjustRightInd w:val="0"/>
              <w:snapToGrid w:val="0"/>
              <w:spacing w:line="360" w:lineRule="auto"/>
              <w:rPr>
                <w:rFonts w:ascii="宋体" w:hAnsi="宋体" w:cs="宋体"/>
                <w:b/>
                <w:color w:val="auto"/>
                <w:spacing w:val="10"/>
                <w:szCs w:val="21"/>
              </w:rPr>
            </w:pPr>
            <w:r>
              <w:rPr>
                <w:rFonts w:hint="eastAsia" w:ascii="宋体" w:hAnsi="宋体" w:cs="宋体"/>
                <w:b/>
                <w:color w:val="auto"/>
                <w:spacing w:val="10"/>
                <w:szCs w:val="21"/>
              </w:rPr>
              <w:t>一、生态环境保护措施</w:t>
            </w:r>
          </w:p>
          <w:p>
            <w:pPr>
              <w:adjustRightInd w:val="0"/>
              <w:snapToGrid w:val="0"/>
              <w:spacing w:line="360" w:lineRule="auto"/>
              <w:ind w:firstLine="420" w:firstLineChars="200"/>
              <w:rPr>
                <w:color w:val="auto"/>
                <w:kern w:val="0"/>
              </w:rPr>
            </w:pPr>
            <w:r>
              <w:rPr>
                <w:color w:val="auto"/>
                <w:kern w:val="0"/>
              </w:rPr>
              <w:t>施工期采取的生态保护措施如下：合理安排施工工期，优化施工方案，尽量选择在干旱季节开挖；在施工场地建排水沟和临时</w:t>
            </w:r>
            <w:r>
              <w:rPr>
                <w:rFonts w:hint="eastAsia"/>
                <w:color w:val="auto"/>
                <w:kern w:val="0"/>
              </w:rPr>
              <w:t>沉沙池</w:t>
            </w:r>
            <w:r>
              <w:rPr>
                <w:color w:val="auto"/>
                <w:kern w:val="0"/>
              </w:rPr>
              <w:t>，防止雨水冲刷场地；实行局部施工，采取修建挡土墙等措施对边坡、斜坡等进行防护；加强对施工人员的宣传教育和管理，切实</w:t>
            </w:r>
            <w:r>
              <w:rPr>
                <w:rFonts w:hint="eastAsia"/>
                <w:color w:val="auto"/>
                <w:kern w:val="0"/>
              </w:rPr>
              <w:t>有效地防止</w:t>
            </w:r>
            <w:r>
              <w:rPr>
                <w:color w:val="auto"/>
                <w:kern w:val="0"/>
              </w:rPr>
              <w:t>人为捕杀等行为的发生。严格控制工程开挖范围，禁止工程扩张至矿区范围外，尽量减少评价区内自然森林植被受到毁坏。临时堆场采取设排水沟、边坡防护等措施，落实水土流失防治。施工完成后立即进行临时施工占地的植被恢复；及时拆除临时设施，再塑施工迹地。矿山运输道路完工后及时硬化、两侧绿化种植。</w:t>
            </w:r>
          </w:p>
          <w:p>
            <w:pPr>
              <w:adjustRightInd w:val="0"/>
              <w:snapToGrid w:val="0"/>
              <w:spacing w:line="360" w:lineRule="auto"/>
              <w:rPr>
                <w:rFonts w:ascii="宋体" w:hAnsi="宋体" w:cs="宋体"/>
                <w:bCs/>
                <w:color w:val="auto"/>
                <w:spacing w:val="10"/>
                <w:szCs w:val="21"/>
              </w:rPr>
            </w:pPr>
            <w:r>
              <w:rPr>
                <w:rFonts w:hint="eastAsia" w:ascii="宋体" w:hAnsi="宋体" w:cs="宋体"/>
                <w:b/>
                <w:color w:val="auto"/>
                <w:spacing w:val="10"/>
                <w:szCs w:val="21"/>
              </w:rPr>
              <w:t>二、大气环境保护措施</w:t>
            </w:r>
          </w:p>
          <w:p>
            <w:pPr>
              <w:adjustRightInd w:val="0"/>
              <w:snapToGrid w:val="0"/>
              <w:spacing w:line="360" w:lineRule="auto"/>
              <w:ind w:firstLine="460" w:firstLineChars="200"/>
              <w:rPr>
                <w:bCs/>
                <w:color w:val="auto"/>
                <w:spacing w:val="10"/>
                <w:szCs w:val="21"/>
              </w:rPr>
            </w:pPr>
            <w:r>
              <w:rPr>
                <w:bCs/>
                <w:color w:val="auto"/>
                <w:spacing w:val="10"/>
                <w:szCs w:val="21"/>
              </w:rPr>
              <w:t>1、施工扬尘</w:t>
            </w:r>
          </w:p>
          <w:p>
            <w:pPr>
              <w:adjustRightInd w:val="0"/>
              <w:snapToGrid w:val="0"/>
              <w:spacing w:line="360" w:lineRule="auto"/>
              <w:ind w:firstLine="460" w:firstLineChars="200"/>
              <w:rPr>
                <w:bCs/>
                <w:color w:val="auto"/>
                <w:spacing w:val="10"/>
                <w:szCs w:val="21"/>
              </w:rPr>
            </w:pPr>
            <w:r>
              <w:rPr>
                <w:bCs/>
                <w:color w:val="auto"/>
                <w:spacing w:val="10"/>
                <w:szCs w:val="21"/>
              </w:rPr>
              <w:t>施工期在开挖、运输、卸放等过程中产生粉尘与二次扬尘。</w:t>
            </w:r>
          </w:p>
          <w:p>
            <w:pPr>
              <w:adjustRightInd w:val="0"/>
              <w:snapToGrid w:val="0"/>
              <w:spacing w:line="360" w:lineRule="auto"/>
              <w:ind w:firstLine="460" w:firstLineChars="200"/>
              <w:rPr>
                <w:bCs/>
                <w:color w:val="auto"/>
                <w:spacing w:val="10"/>
                <w:szCs w:val="21"/>
              </w:rPr>
            </w:pPr>
            <w:r>
              <w:rPr>
                <w:bCs/>
                <w:color w:val="auto"/>
                <w:spacing w:val="10"/>
                <w:szCs w:val="21"/>
              </w:rPr>
              <w:t>采取的防治措施：</w:t>
            </w:r>
            <w:r>
              <w:rPr>
                <w:rFonts w:hint="eastAsia" w:ascii="宋体" w:hAnsi="宋体" w:cs="宋体"/>
                <w:bCs/>
                <w:color w:val="auto"/>
                <w:spacing w:val="10"/>
                <w:szCs w:val="21"/>
              </w:rPr>
              <w:t>①</w:t>
            </w:r>
            <w:r>
              <w:rPr>
                <w:bCs/>
                <w:color w:val="auto"/>
                <w:spacing w:val="10"/>
                <w:szCs w:val="21"/>
              </w:rPr>
              <w:t>矿区上山道路表土开挖、转运、装卸等极易产生扬尘的施工环节尽量避免在大风干燥季节实施；</w:t>
            </w:r>
            <w:r>
              <w:rPr>
                <w:rFonts w:hint="eastAsia" w:ascii="宋体" w:hAnsi="宋体" w:cs="宋体"/>
                <w:bCs/>
                <w:color w:val="auto"/>
                <w:spacing w:val="10"/>
                <w:szCs w:val="21"/>
              </w:rPr>
              <w:t>②</w:t>
            </w:r>
            <w:r>
              <w:rPr>
                <w:bCs/>
                <w:color w:val="auto"/>
                <w:spacing w:val="10"/>
                <w:szCs w:val="21"/>
              </w:rPr>
              <w:t>加工区建筑材料运输车辆采取覆盖密闭运输，车辆装卸应尽量降低操作高度，粉粒物料严禁抛洒；</w:t>
            </w:r>
            <w:r>
              <w:rPr>
                <w:rFonts w:hint="eastAsia" w:ascii="宋体" w:hAnsi="宋体" w:cs="宋体"/>
                <w:bCs/>
                <w:color w:val="auto"/>
                <w:spacing w:val="10"/>
                <w:szCs w:val="21"/>
              </w:rPr>
              <w:t>③</w:t>
            </w:r>
            <w:r>
              <w:rPr>
                <w:bCs/>
                <w:color w:val="auto"/>
                <w:spacing w:val="10"/>
                <w:szCs w:val="21"/>
              </w:rPr>
              <w:t>矿山开挖的土石方运输车辆禁止冒顶装载、场内限速行驶，避免沿途尘土洒落、减少运输扬尘；</w:t>
            </w:r>
            <w:r>
              <w:rPr>
                <w:rFonts w:hint="eastAsia" w:ascii="宋体" w:hAnsi="宋体" w:cs="宋体"/>
                <w:bCs/>
                <w:color w:val="auto"/>
                <w:spacing w:val="10"/>
                <w:szCs w:val="21"/>
              </w:rPr>
              <w:t>④</w:t>
            </w:r>
            <w:r>
              <w:rPr>
                <w:bCs/>
                <w:color w:val="auto"/>
                <w:spacing w:val="10"/>
                <w:szCs w:val="21"/>
              </w:rPr>
              <w:t>施工现场配备雾炮机，采取喷雾降尘措施，进出口设置车辆冲洗台及沉淀池；</w:t>
            </w:r>
            <w:r>
              <w:rPr>
                <w:rFonts w:hint="eastAsia" w:ascii="宋体" w:hAnsi="宋体" w:cs="宋体"/>
                <w:bCs/>
                <w:color w:val="auto"/>
                <w:spacing w:val="10"/>
                <w:szCs w:val="21"/>
              </w:rPr>
              <w:t>⑤</w:t>
            </w:r>
            <w:r>
              <w:rPr>
                <w:bCs/>
                <w:color w:val="auto"/>
                <w:spacing w:val="10"/>
                <w:szCs w:val="21"/>
              </w:rPr>
              <w:t>施工机械设备采用先进环保型设备和轻质燃油，加强对机械、车辆的维修保养；</w:t>
            </w:r>
            <w:r>
              <w:rPr>
                <w:rFonts w:hint="eastAsia" w:ascii="宋体" w:hAnsi="宋体" w:cs="宋体"/>
                <w:bCs/>
                <w:color w:val="auto"/>
                <w:spacing w:val="10"/>
                <w:szCs w:val="21"/>
              </w:rPr>
              <w:t>⑥</w:t>
            </w:r>
            <w:r>
              <w:rPr>
                <w:bCs/>
                <w:color w:val="auto"/>
                <w:spacing w:val="10"/>
                <w:szCs w:val="21"/>
              </w:rPr>
              <w:t>尽快完成矿区内运输道路的硬化与绿化工程。</w:t>
            </w:r>
          </w:p>
          <w:p>
            <w:pPr>
              <w:adjustRightInd w:val="0"/>
              <w:snapToGrid w:val="0"/>
              <w:spacing w:line="360" w:lineRule="auto"/>
              <w:ind w:firstLine="460" w:firstLineChars="200"/>
              <w:rPr>
                <w:bCs/>
                <w:color w:val="auto"/>
                <w:spacing w:val="10"/>
                <w:szCs w:val="21"/>
              </w:rPr>
            </w:pPr>
            <w:r>
              <w:rPr>
                <w:bCs/>
                <w:color w:val="auto"/>
                <w:spacing w:val="10"/>
                <w:szCs w:val="21"/>
              </w:rPr>
              <w:t>2、燃油废气</w:t>
            </w:r>
          </w:p>
          <w:p>
            <w:pPr>
              <w:adjustRightInd w:val="0"/>
              <w:snapToGrid w:val="0"/>
              <w:spacing w:line="360" w:lineRule="auto"/>
              <w:ind w:firstLine="460" w:firstLineChars="200"/>
              <w:rPr>
                <w:bCs/>
                <w:color w:val="auto"/>
                <w:spacing w:val="10"/>
                <w:szCs w:val="21"/>
              </w:rPr>
            </w:pPr>
            <w:r>
              <w:rPr>
                <w:bCs/>
                <w:color w:val="auto"/>
                <w:spacing w:val="10"/>
                <w:szCs w:val="21"/>
              </w:rPr>
              <w:t>施工过程中所使用的施工机械基本上是重型机械，这些机械设备大多数以柴油作为燃料，机械尾气中污染物主要为NOx、非甲烷总烃、烟尘等。由于施工时间短，机械尾气污染物排放量很小，且施工区为农村地区，有利于污染物的扩散。</w:t>
            </w:r>
          </w:p>
          <w:p>
            <w:pPr>
              <w:adjustRightInd w:val="0"/>
              <w:snapToGrid w:val="0"/>
              <w:spacing w:line="360" w:lineRule="auto"/>
              <w:ind w:firstLine="460" w:firstLineChars="200"/>
              <w:rPr>
                <w:bCs/>
                <w:color w:val="auto"/>
                <w:spacing w:val="10"/>
                <w:szCs w:val="21"/>
              </w:rPr>
            </w:pPr>
            <w:r>
              <w:rPr>
                <w:bCs/>
                <w:color w:val="auto"/>
                <w:spacing w:val="10"/>
                <w:szCs w:val="21"/>
              </w:rPr>
              <w:t>3、对敏感点的影响</w:t>
            </w:r>
          </w:p>
          <w:p>
            <w:pPr>
              <w:adjustRightInd w:val="0"/>
              <w:snapToGrid w:val="0"/>
              <w:spacing w:line="360" w:lineRule="auto"/>
              <w:ind w:firstLine="460" w:firstLineChars="200"/>
              <w:rPr>
                <w:bCs/>
                <w:color w:val="auto"/>
                <w:spacing w:val="10"/>
                <w:szCs w:val="21"/>
              </w:rPr>
            </w:pPr>
            <w:r>
              <w:rPr>
                <w:bCs/>
                <w:color w:val="auto"/>
                <w:spacing w:val="10"/>
                <w:szCs w:val="21"/>
              </w:rPr>
              <w:t>由前文分析可知：工程施工对大气环境的影响范围为施工场界100m左右，根据现场踏勘，本项目1km范围内无医院、学校等环境敏感点分布，距离较近的散居农户分布在矿区的南面，距离较远，且位于山体另一侧，噪声因山体阻隔后影响较小。同时，由于工程量较小，工期较短，对敏感点的影响很小。</w:t>
            </w:r>
          </w:p>
          <w:p>
            <w:pPr>
              <w:adjustRightInd w:val="0"/>
              <w:snapToGrid w:val="0"/>
              <w:spacing w:line="360" w:lineRule="auto"/>
              <w:ind w:firstLine="460" w:firstLineChars="200"/>
              <w:rPr>
                <w:bCs/>
                <w:color w:val="auto"/>
                <w:spacing w:val="10"/>
                <w:szCs w:val="21"/>
              </w:rPr>
            </w:pPr>
            <w:r>
              <w:rPr>
                <w:bCs/>
                <w:color w:val="auto"/>
                <w:spacing w:val="10"/>
                <w:szCs w:val="21"/>
              </w:rPr>
              <w:t>综上所述，通过加强施工期间扬尘治理，施工作业对大气环境影响较小。</w:t>
            </w:r>
          </w:p>
          <w:p>
            <w:pPr>
              <w:adjustRightInd w:val="0"/>
              <w:snapToGrid w:val="0"/>
              <w:spacing w:line="360" w:lineRule="auto"/>
              <w:rPr>
                <w:rFonts w:ascii="宋体" w:hAnsi="宋体" w:cs="宋体"/>
                <w:b/>
                <w:color w:val="auto"/>
                <w:spacing w:val="10"/>
                <w:szCs w:val="21"/>
              </w:rPr>
            </w:pPr>
            <w:r>
              <w:rPr>
                <w:rFonts w:hint="eastAsia" w:ascii="宋体" w:hAnsi="宋体" w:cs="宋体"/>
                <w:b/>
                <w:color w:val="auto"/>
                <w:spacing w:val="10"/>
                <w:szCs w:val="21"/>
              </w:rPr>
              <w:t>三、水环境保护措施</w:t>
            </w:r>
          </w:p>
          <w:p>
            <w:pPr>
              <w:adjustRightInd w:val="0"/>
              <w:snapToGrid w:val="0"/>
              <w:spacing w:line="360" w:lineRule="auto"/>
              <w:ind w:firstLine="460" w:firstLineChars="200"/>
              <w:rPr>
                <w:bCs/>
                <w:color w:val="auto"/>
                <w:spacing w:val="10"/>
                <w:szCs w:val="21"/>
              </w:rPr>
            </w:pPr>
            <w:r>
              <w:rPr>
                <w:bCs/>
                <w:color w:val="auto"/>
                <w:spacing w:val="10"/>
                <w:szCs w:val="21"/>
              </w:rPr>
              <w:t>主要来源于各种设备的冲洗废水，施工过程降雨导致的散料和泥浆漫流，主要污染物为SS。施工工人会产生少量生活污水。</w:t>
            </w:r>
          </w:p>
          <w:p>
            <w:pPr>
              <w:adjustRightInd w:val="0"/>
              <w:snapToGrid w:val="0"/>
              <w:spacing w:line="360" w:lineRule="auto"/>
              <w:ind w:firstLine="460" w:firstLineChars="200"/>
              <w:rPr>
                <w:bCs/>
                <w:color w:val="auto"/>
                <w:spacing w:val="10"/>
                <w:szCs w:val="21"/>
              </w:rPr>
            </w:pPr>
            <w:r>
              <w:rPr>
                <w:bCs/>
                <w:color w:val="auto"/>
                <w:spacing w:val="10"/>
                <w:szCs w:val="21"/>
              </w:rPr>
              <w:t>采取的治理措施：</w:t>
            </w:r>
          </w:p>
          <w:p>
            <w:pPr>
              <w:adjustRightInd w:val="0"/>
              <w:snapToGrid w:val="0"/>
              <w:spacing w:line="360" w:lineRule="auto"/>
              <w:ind w:firstLine="460" w:firstLineChars="200"/>
              <w:rPr>
                <w:bCs/>
                <w:color w:val="auto"/>
                <w:spacing w:val="10"/>
                <w:szCs w:val="21"/>
              </w:rPr>
            </w:pPr>
            <w:r>
              <w:rPr>
                <w:rFonts w:hint="eastAsia" w:ascii="宋体" w:hAnsi="宋体" w:cs="宋体"/>
                <w:bCs/>
                <w:color w:val="auto"/>
                <w:spacing w:val="10"/>
                <w:szCs w:val="21"/>
              </w:rPr>
              <w:t>①</w:t>
            </w:r>
            <w:r>
              <w:rPr>
                <w:bCs/>
                <w:color w:val="auto"/>
                <w:spacing w:val="10"/>
                <w:szCs w:val="21"/>
              </w:rPr>
              <w:t>在施工场地设排水沟及沉淀池，将废水收集处理后全部回用。禁止废水无组织漫流，增大重复用水率，降低污水产生量。</w:t>
            </w:r>
          </w:p>
          <w:p>
            <w:pPr>
              <w:adjustRightInd w:val="0"/>
              <w:snapToGrid w:val="0"/>
              <w:spacing w:line="360" w:lineRule="auto"/>
              <w:ind w:firstLine="460" w:firstLineChars="200"/>
              <w:rPr>
                <w:bCs/>
                <w:color w:val="auto"/>
                <w:spacing w:val="10"/>
                <w:szCs w:val="21"/>
              </w:rPr>
            </w:pPr>
            <w:r>
              <w:rPr>
                <w:rFonts w:hint="eastAsia" w:ascii="宋体" w:hAnsi="宋体" w:cs="宋体"/>
                <w:bCs/>
                <w:color w:val="auto"/>
                <w:spacing w:val="10"/>
                <w:szCs w:val="21"/>
              </w:rPr>
              <w:t>②</w:t>
            </w:r>
            <w:r>
              <w:rPr>
                <w:bCs/>
                <w:color w:val="auto"/>
                <w:spacing w:val="10"/>
                <w:szCs w:val="21"/>
              </w:rPr>
              <w:t>加强施工机械管理，尽量避免跑、冒、滴、漏。</w:t>
            </w:r>
          </w:p>
          <w:p>
            <w:pPr>
              <w:adjustRightInd w:val="0"/>
              <w:snapToGrid w:val="0"/>
              <w:spacing w:line="360" w:lineRule="auto"/>
              <w:ind w:firstLine="460" w:firstLineChars="200"/>
              <w:rPr>
                <w:bCs/>
                <w:color w:val="auto"/>
                <w:spacing w:val="10"/>
                <w:szCs w:val="21"/>
              </w:rPr>
            </w:pPr>
            <w:r>
              <w:rPr>
                <w:rFonts w:hint="eastAsia" w:ascii="宋体" w:hAnsi="宋体" w:cs="宋体"/>
                <w:bCs/>
                <w:color w:val="auto"/>
                <w:spacing w:val="10"/>
                <w:szCs w:val="21"/>
              </w:rPr>
              <w:t>③</w:t>
            </w:r>
            <w:r>
              <w:rPr>
                <w:bCs/>
                <w:color w:val="auto"/>
                <w:spacing w:val="10"/>
                <w:szCs w:val="21"/>
              </w:rPr>
              <w:t>建材必须远离水体堆放，并设雨棚遮挡，必要时设防护围栏。</w:t>
            </w:r>
          </w:p>
          <w:p>
            <w:pPr>
              <w:adjustRightInd w:val="0"/>
              <w:snapToGrid w:val="0"/>
              <w:spacing w:line="360" w:lineRule="auto"/>
              <w:ind w:firstLine="460" w:firstLineChars="200"/>
              <w:rPr>
                <w:bCs/>
                <w:color w:val="auto"/>
                <w:spacing w:val="10"/>
                <w:szCs w:val="21"/>
              </w:rPr>
            </w:pPr>
            <w:r>
              <w:rPr>
                <w:rFonts w:hint="eastAsia" w:ascii="宋体" w:hAnsi="宋体" w:cs="宋体"/>
                <w:bCs/>
                <w:color w:val="auto"/>
                <w:spacing w:val="10"/>
                <w:szCs w:val="21"/>
              </w:rPr>
              <w:t>④</w:t>
            </w:r>
            <w:r>
              <w:rPr>
                <w:bCs/>
                <w:color w:val="auto"/>
                <w:spacing w:val="10"/>
                <w:szCs w:val="21"/>
              </w:rPr>
              <w:t>完工后尽快绿化或硬化地面。</w:t>
            </w:r>
          </w:p>
          <w:p>
            <w:pPr>
              <w:adjustRightInd w:val="0"/>
              <w:snapToGrid w:val="0"/>
              <w:spacing w:line="360" w:lineRule="auto"/>
              <w:ind w:firstLine="460" w:firstLineChars="200"/>
              <w:rPr>
                <w:bCs/>
                <w:color w:val="auto"/>
                <w:spacing w:val="10"/>
                <w:szCs w:val="21"/>
              </w:rPr>
            </w:pPr>
            <w:r>
              <w:rPr>
                <w:rFonts w:hint="eastAsia" w:ascii="宋体" w:hAnsi="宋体" w:cs="宋体"/>
                <w:bCs/>
                <w:color w:val="auto"/>
                <w:spacing w:val="10"/>
                <w:szCs w:val="21"/>
              </w:rPr>
              <w:t>⑤</w:t>
            </w:r>
            <w:r>
              <w:rPr>
                <w:bCs/>
                <w:color w:val="auto"/>
                <w:spacing w:val="10"/>
                <w:szCs w:val="21"/>
              </w:rPr>
              <w:t>施工人员产生的少量生活污水</w:t>
            </w:r>
            <w:r>
              <w:rPr>
                <w:rFonts w:hint="eastAsia"/>
                <w:bCs/>
                <w:color w:val="auto"/>
                <w:spacing w:val="10"/>
                <w:szCs w:val="21"/>
              </w:rPr>
              <w:t>经租用周边民房设置的</w:t>
            </w:r>
            <w:r>
              <w:rPr>
                <w:bCs/>
                <w:color w:val="auto"/>
                <w:spacing w:val="10"/>
                <w:szCs w:val="21"/>
              </w:rPr>
              <w:t>化粪池收集，定期清掏作农肥使用。</w:t>
            </w:r>
          </w:p>
          <w:p>
            <w:pPr>
              <w:adjustRightInd w:val="0"/>
              <w:snapToGrid w:val="0"/>
              <w:spacing w:line="360" w:lineRule="auto"/>
              <w:ind w:firstLine="460" w:firstLineChars="200"/>
              <w:rPr>
                <w:bCs/>
                <w:color w:val="auto"/>
                <w:spacing w:val="10"/>
                <w:szCs w:val="21"/>
              </w:rPr>
            </w:pPr>
            <w:r>
              <w:rPr>
                <w:bCs/>
                <w:color w:val="auto"/>
                <w:spacing w:val="10"/>
                <w:szCs w:val="21"/>
              </w:rPr>
              <w:t>采取上述措施后，施工废水不会对周围环境造成污染性影响。</w:t>
            </w:r>
          </w:p>
          <w:p>
            <w:pPr>
              <w:adjustRightInd w:val="0"/>
              <w:snapToGrid w:val="0"/>
              <w:spacing w:line="360" w:lineRule="auto"/>
              <w:rPr>
                <w:rFonts w:ascii="宋体" w:hAnsi="宋体" w:cs="宋体"/>
                <w:b/>
                <w:color w:val="auto"/>
                <w:spacing w:val="10"/>
                <w:szCs w:val="21"/>
              </w:rPr>
            </w:pPr>
            <w:r>
              <w:rPr>
                <w:rFonts w:hint="eastAsia" w:ascii="宋体" w:hAnsi="宋体" w:cs="宋体"/>
                <w:b/>
                <w:color w:val="auto"/>
                <w:spacing w:val="10"/>
                <w:szCs w:val="21"/>
              </w:rPr>
              <w:t>四、声环境保护措施</w:t>
            </w:r>
          </w:p>
          <w:p>
            <w:pPr>
              <w:adjustRightInd w:val="0"/>
              <w:snapToGrid w:val="0"/>
              <w:spacing w:line="360" w:lineRule="auto"/>
              <w:ind w:firstLine="460" w:firstLineChars="200"/>
              <w:rPr>
                <w:bCs/>
                <w:color w:val="auto"/>
                <w:spacing w:val="10"/>
                <w:szCs w:val="21"/>
              </w:rPr>
            </w:pPr>
            <w:r>
              <w:rPr>
                <w:bCs/>
                <w:color w:val="auto"/>
                <w:spacing w:val="10"/>
                <w:szCs w:val="21"/>
              </w:rPr>
              <w:t>建设单位在施工过程中需采取以下控制措施：</w:t>
            </w:r>
          </w:p>
          <w:p>
            <w:pPr>
              <w:adjustRightInd w:val="0"/>
              <w:snapToGrid w:val="0"/>
              <w:spacing w:line="360" w:lineRule="auto"/>
              <w:ind w:firstLine="460" w:firstLineChars="200"/>
              <w:rPr>
                <w:bCs/>
                <w:color w:val="auto"/>
                <w:spacing w:val="10"/>
                <w:szCs w:val="21"/>
              </w:rPr>
            </w:pPr>
            <w:r>
              <w:rPr>
                <w:rFonts w:hint="eastAsia" w:ascii="宋体" w:hAnsi="宋体" w:cs="宋体"/>
                <w:bCs/>
                <w:color w:val="auto"/>
                <w:spacing w:val="10"/>
                <w:szCs w:val="21"/>
              </w:rPr>
              <w:t>①</w:t>
            </w:r>
            <w:r>
              <w:rPr>
                <w:bCs/>
                <w:color w:val="auto"/>
                <w:spacing w:val="10"/>
                <w:szCs w:val="21"/>
              </w:rPr>
              <w:t>在满足工艺要求的前提下，首先选用先进、噪声较低的环保型施工机械和设备，并及时维修保养，严格按操作规程使用各类机械。</w:t>
            </w:r>
          </w:p>
          <w:p>
            <w:pPr>
              <w:adjustRightInd w:val="0"/>
              <w:snapToGrid w:val="0"/>
              <w:spacing w:line="360" w:lineRule="auto"/>
              <w:ind w:firstLine="460" w:firstLineChars="200"/>
              <w:rPr>
                <w:bCs/>
                <w:color w:val="auto"/>
                <w:spacing w:val="10"/>
                <w:szCs w:val="21"/>
              </w:rPr>
            </w:pPr>
            <w:r>
              <w:rPr>
                <w:rFonts w:hint="eastAsia" w:ascii="宋体" w:hAnsi="宋体" w:cs="宋体"/>
                <w:bCs/>
                <w:color w:val="auto"/>
                <w:spacing w:val="10"/>
                <w:szCs w:val="21"/>
              </w:rPr>
              <w:t>②</w:t>
            </w:r>
            <w:r>
              <w:rPr>
                <w:bCs/>
                <w:color w:val="auto"/>
                <w:spacing w:val="10"/>
                <w:szCs w:val="21"/>
              </w:rPr>
              <w:t>加强施工组织和施工管理，合理安排工期，尽量缩短施工期；应尽可能避免大量高噪声设备同时施工。</w:t>
            </w:r>
          </w:p>
          <w:p>
            <w:pPr>
              <w:adjustRightInd w:val="0"/>
              <w:snapToGrid w:val="0"/>
              <w:spacing w:line="360" w:lineRule="auto"/>
              <w:ind w:firstLine="460" w:firstLineChars="200"/>
              <w:rPr>
                <w:bCs/>
                <w:color w:val="auto"/>
                <w:spacing w:val="10"/>
                <w:szCs w:val="21"/>
              </w:rPr>
            </w:pPr>
            <w:r>
              <w:rPr>
                <w:rFonts w:hint="eastAsia" w:ascii="宋体" w:hAnsi="宋体" w:cs="宋体"/>
                <w:bCs/>
                <w:color w:val="auto"/>
                <w:spacing w:val="10"/>
                <w:szCs w:val="21"/>
              </w:rPr>
              <w:t>③</w:t>
            </w:r>
            <w:r>
              <w:rPr>
                <w:bCs/>
                <w:color w:val="auto"/>
                <w:spacing w:val="10"/>
                <w:szCs w:val="21"/>
              </w:rPr>
              <w:t>运输车辆进入施工现场应减速行驶、并禁止鸣笛。合理安排运输路线，物料运输通道尽量避开居民区和环境噪声敏感区。</w:t>
            </w:r>
          </w:p>
          <w:p>
            <w:pPr>
              <w:adjustRightInd w:val="0"/>
              <w:snapToGrid w:val="0"/>
              <w:spacing w:line="360" w:lineRule="auto"/>
              <w:ind w:firstLine="460" w:firstLineChars="200"/>
              <w:rPr>
                <w:bCs/>
                <w:color w:val="auto"/>
                <w:spacing w:val="10"/>
                <w:szCs w:val="21"/>
              </w:rPr>
            </w:pPr>
            <w:r>
              <w:rPr>
                <w:rFonts w:hint="eastAsia" w:ascii="宋体" w:hAnsi="宋体" w:cs="宋体"/>
                <w:bCs/>
                <w:color w:val="auto"/>
                <w:spacing w:val="10"/>
                <w:szCs w:val="21"/>
              </w:rPr>
              <w:t>④</w:t>
            </w:r>
            <w:r>
              <w:rPr>
                <w:bCs/>
                <w:color w:val="auto"/>
                <w:spacing w:val="10"/>
                <w:szCs w:val="21"/>
              </w:rPr>
              <w:t>坚持文明施工，降低人为噪声。</w:t>
            </w:r>
          </w:p>
          <w:p>
            <w:pPr>
              <w:adjustRightInd w:val="0"/>
              <w:snapToGrid w:val="0"/>
              <w:spacing w:line="360" w:lineRule="auto"/>
              <w:ind w:firstLine="460" w:firstLineChars="200"/>
              <w:rPr>
                <w:bCs/>
                <w:color w:val="auto"/>
                <w:spacing w:val="10"/>
                <w:szCs w:val="21"/>
              </w:rPr>
            </w:pPr>
            <w:r>
              <w:rPr>
                <w:bCs/>
                <w:color w:val="auto"/>
                <w:spacing w:val="10"/>
                <w:szCs w:val="21"/>
              </w:rPr>
              <w:t>评价认为，通过严格的施工管理，施工场界噪声能够满足《建筑施工场界噪声限值》(GBl2523-2011)的规定，不会对周围住户造成扰民影响。</w:t>
            </w:r>
          </w:p>
          <w:p>
            <w:pPr>
              <w:adjustRightInd w:val="0"/>
              <w:snapToGrid w:val="0"/>
              <w:spacing w:line="360" w:lineRule="auto"/>
              <w:rPr>
                <w:rFonts w:ascii="宋体" w:hAnsi="宋体" w:cs="宋体"/>
                <w:b/>
                <w:color w:val="auto"/>
                <w:spacing w:val="10"/>
                <w:szCs w:val="21"/>
              </w:rPr>
            </w:pPr>
            <w:r>
              <w:rPr>
                <w:rFonts w:hint="eastAsia" w:ascii="宋体" w:hAnsi="宋体" w:cs="宋体"/>
                <w:b/>
                <w:color w:val="auto"/>
                <w:spacing w:val="10"/>
                <w:szCs w:val="21"/>
              </w:rPr>
              <w:t>五、固体废物污染防治措施</w:t>
            </w:r>
          </w:p>
          <w:p>
            <w:pPr>
              <w:adjustRightInd w:val="0"/>
              <w:snapToGrid w:val="0"/>
              <w:spacing w:line="360" w:lineRule="auto"/>
              <w:ind w:firstLine="460" w:firstLineChars="200"/>
              <w:rPr>
                <w:rFonts w:ascii="宋体" w:hAnsi="宋体" w:cs="宋体"/>
                <w:bCs/>
                <w:color w:val="auto"/>
                <w:spacing w:val="10"/>
                <w:szCs w:val="21"/>
              </w:rPr>
            </w:pPr>
            <w:r>
              <w:rPr>
                <w:rFonts w:hint="eastAsia" w:ascii="宋体" w:hAnsi="宋体" w:cs="宋体"/>
                <w:bCs/>
                <w:color w:val="auto"/>
                <w:spacing w:val="10"/>
                <w:szCs w:val="21"/>
              </w:rPr>
              <w:t>主要包括矿山基建产生的植被枝丫、弃土废石、建筑垃圾、废弃建材及包装材料等。施工工人会产生少量的生活垃圾。</w:t>
            </w:r>
          </w:p>
          <w:p>
            <w:pPr>
              <w:adjustRightInd w:val="0"/>
              <w:snapToGrid w:val="0"/>
              <w:spacing w:line="360" w:lineRule="auto"/>
              <w:ind w:firstLine="460" w:firstLineChars="200"/>
              <w:rPr>
                <w:rFonts w:ascii="宋体" w:hAnsi="宋体" w:cs="宋体"/>
                <w:bCs/>
                <w:color w:val="auto"/>
                <w:spacing w:val="10"/>
                <w:szCs w:val="21"/>
              </w:rPr>
            </w:pPr>
            <w:r>
              <w:rPr>
                <w:rFonts w:hint="eastAsia" w:ascii="宋体" w:hAnsi="宋体" w:cs="宋体"/>
                <w:bCs/>
                <w:color w:val="auto"/>
                <w:spacing w:val="10"/>
                <w:szCs w:val="21"/>
              </w:rPr>
              <w:t>矿山基建产生的表土，设置规范的临时堆场堆存，采取相应的保护性措施，实行单采、单运、单独堆放，表层土必须用作迹地恢复的覆土。堆场底部应设防洪和排水设施，坡脚采取挡墙或堡坎等防护措施。</w:t>
            </w:r>
            <w:r>
              <w:rPr>
                <w:rFonts w:hint="eastAsia" w:ascii="宋体" w:hAnsi="宋体" w:cs="宋体"/>
                <w:color w:val="auto"/>
                <w:kern w:val="0"/>
                <w:szCs w:val="21"/>
              </w:rPr>
              <w:t>废料弃土场地</w:t>
            </w:r>
            <w:r>
              <w:rPr>
                <w:rFonts w:hint="eastAsia" w:ascii="宋体" w:hAnsi="宋体" w:cs="宋体"/>
                <w:bCs/>
                <w:color w:val="auto"/>
                <w:spacing w:val="10"/>
                <w:szCs w:val="21"/>
              </w:rPr>
              <w:t>的临空面应修筑挡渣墙（坝），可采用干砌石结构。落实边坡稳定及防坍塌的工程措施，预防地质灾害发生。</w:t>
            </w:r>
          </w:p>
          <w:p>
            <w:pPr>
              <w:adjustRightInd w:val="0"/>
              <w:snapToGrid w:val="0"/>
              <w:spacing w:line="360" w:lineRule="auto"/>
              <w:ind w:firstLine="460" w:firstLineChars="200"/>
              <w:rPr>
                <w:rFonts w:ascii="宋体" w:hAnsi="宋体" w:cs="宋体"/>
                <w:bCs/>
                <w:color w:val="auto"/>
                <w:spacing w:val="10"/>
                <w:szCs w:val="21"/>
              </w:rPr>
            </w:pPr>
            <w:r>
              <w:rPr>
                <w:rFonts w:hint="eastAsia" w:ascii="宋体" w:hAnsi="宋体" w:cs="宋体"/>
                <w:bCs/>
                <w:color w:val="auto"/>
                <w:spacing w:val="10"/>
                <w:szCs w:val="21"/>
              </w:rPr>
              <w:t>植被枝丫、废石及少量建筑垃圾，直接用于道路铺设或在矿区低洼处回填。废弃建材和包装材料，可收集后运至附近废品站外售。</w:t>
            </w:r>
          </w:p>
          <w:p>
            <w:pPr>
              <w:adjustRightInd w:val="0"/>
              <w:snapToGrid w:val="0"/>
              <w:spacing w:line="360" w:lineRule="auto"/>
              <w:ind w:firstLine="460" w:firstLineChars="200"/>
              <w:rPr>
                <w:rFonts w:ascii="宋体" w:hAnsi="宋体" w:cs="宋体"/>
                <w:bCs/>
                <w:color w:val="auto"/>
                <w:spacing w:val="10"/>
                <w:szCs w:val="21"/>
              </w:rPr>
            </w:pPr>
            <w:r>
              <w:rPr>
                <w:rFonts w:hint="eastAsia" w:ascii="宋体" w:hAnsi="宋体" w:cs="宋体"/>
                <w:bCs/>
                <w:color w:val="auto"/>
                <w:spacing w:val="10"/>
                <w:szCs w:val="21"/>
              </w:rPr>
              <w:t>采取上述措施后，施工期的固体废物不会对周边环境产生不利影响。</w:t>
            </w:r>
          </w:p>
          <w:p>
            <w:pPr>
              <w:adjustRightInd w:val="0"/>
              <w:snapToGrid w:val="0"/>
              <w:spacing w:line="360" w:lineRule="auto"/>
              <w:ind w:firstLine="460" w:firstLineChars="200"/>
              <w:rPr>
                <w:rFonts w:ascii="宋体" w:hAnsi="宋体" w:cs="宋体"/>
                <w:bCs/>
                <w:color w:val="auto"/>
                <w:spacing w:val="10"/>
                <w:szCs w:val="21"/>
              </w:rPr>
            </w:pPr>
            <w:r>
              <w:rPr>
                <w:rFonts w:hint="eastAsia" w:ascii="宋体" w:hAnsi="宋体" w:cs="宋体"/>
                <w:bCs/>
                <w:color w:val="auto"/>
                <w:spacing w:val="1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753" w:type="dxa"/>
            <w:tcMar>
              <w:left w:w="28" w:type="dxa"/>
              <w:right w:w="28" w:type="dxa"/>
            </w:tcMar>
            <w:vAlign w:val="center"/>
          </w:tcPr>
          <w:p>
            <w:pPr>
              <w:adjustRightInd w:val="0"/>
              <w:snapToGrid w:val="0"/>
              <w:spacing w:line="360" w:lineRule="auto"/>
              <w:jc w:val="center"/>
              <w:rPr>
                <w:rFonts w:ascii="宋体" w:hAnsi="宋体" w:cs="宋体"/>
                <w:bCs/>
                <w:color w:val="auto"/>
                <w:spacing w:val="10"/>
                <w:szCs w:val="21"/>
              </w:rPr>
            </w:pPr>
            <w:r>
              <w:rPr>
                <w:rFonts w:hint="eastAsia" w:ascii="宋体" w:hAnsi="宋体" w:cs="宋体"/>
                <w:bCs/>
                <w:color w:val="auto"/>
                <w:spacing w:val="10"/>
                <w:szCs w:val="21"/>
              </w:rPr>
              <w:t>运营期生态环境保护措施</w:t>
            </w:r>
          </w:p>
        </w:tc>
        <w:tc>
          <w:tcPr>
            <w:tcW w:w="8457" w:type="dxa"/>
          </w:tcPr>
          <w:p>
            <w:pPr>
              <w:adjustRightInd w:val="0"/>
              <w:snapToGrid w:val="0"/>
              <w:spacing w:line="360" w:lineRule="auto"/>
              <w:rPr>
                <w:rFonts w:ascii="宋体" w:hAnsi="宋体" w:cs="宋体"/>
                <w:b/>
                <w:color w:val="auto"/>
                <w:spacing w:val="10"/>
                <w:szCs w:val="21"/>
              </w:rPr>
            </w:pPr>
            <w:r>
              <w:rPr>
                <w:rFonts w:hint="eastAsia" w:ascii="宋体" w:hAnsi="宋体" w:cs="宋体"/>
                <w:b/>
                <w:color w:val="auto"/>
                <w:spacing w:val="10"/>
                <w:szCs w:val="21"/>
              </w:rPr>
              <w:t>一、生态环境保护措施</w:t>
            </w:r>
          </w:p>
          <w:p>
            <w:pPr>
              <w:adjustRightInd w:val="0"/>
              <w:snapToGrid w:val="0"/>
              <w:spacing w:line="360" w:lineRule="auto"/>
              <w:ind w:firstLine="420"/>
              <w:rPr>
                <w:color w:val="auto"/>
                <w:kern w:val="0"/>
                <w:szCs w:val="21"/>
              </w:rPr>
            </w:pPr>
            <w:r>
              <w:rPr>
                <w:rFonts w:hint="eastAsia"/>
                <w:color w:val="auto"/>
                <w:kern w:val="0"/>
                <w:szCs w:val="21"/>
              </w:rPr>
              <w:t>1、</w:t>
            </w:r>
            <w:r>
              <w:rPr>
                <w:color w:val="auto"/>
                <w:kern w:val="0"/>
                <w:szCs w:val="21"/>
              </w:rPr>
              <w:t>运营期生态保护措施</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①</w:t>
            </w:r>
            <w:r>
              <w:rPr>
                <w:color w:val="auto"/>
                <w:kern w:val="0"/>
                <w:szCs w:val="21"/>
              </w:rPr>
              <w:t>合理进行矿区平面布置，矿山基建、开采和其他活动必须在规定的范围内进行，采矿活动应尽量减少和控制生态环境的影响范围和程度。矿山开采以“在保护中开发，开发中保护”为指导，遵循“边开采边绿化”的原则，做到项目完工一台阶，矿区复垦绿化一台阶，及时对形成的最终边坡进行复绿工作。项目已委托有资质的单位编制了《水土保持方案》，在开采中严格按照审批后的水土保持方案中提出的水土流失防治措施。</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②</w:t>
            </w:r>
            <w:r>
              <w:rPr>
                <w:color w:val="auto"/>
                <w:kern w:val="0"/>
                <w:szCs w:val="21"/>
              </w:rPr>
              <w:t>合理安排开采计划和作业时间，尽量避免在雨季进行开采作业，及时转运矿石，减少矿石堆放时间，防止雨季矿石淋滤水对土壤和地下水的污染影响。</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③</w:t>
            </w:r>
            <w:r>
              <w:rPr>
                <w:color w:val="auto"/>
                <w:kern w:val="0"/>
                <w:szCs w:val="21"/>
              </w:rPr>
              <w:t>剥离的表土应设置专门的临时堆场堆放，以利于土壤用于土地复垦，堆放区边界可采用编织土袋拦挡、塑料彩条布覆盖等临时防护措施，有利于水土保持和植被恢复。开采的废石及时运至加工区综合利用，不设置堆场。</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④</w:t>
            </w:r>
            <w:r>
              <w:rPr>
                <w:color w:val="auto"/>
                <w:kern w:val="0"/>
                <w:szCs w:val="21"/>
              </w:rPr>
              <w:t>为补偿占地损失的生物量，要求对矿山周边和空地、道路两侧等处采取乔木、灌木多层植被，设置绿化带，加大种草种花面积。根据工程区域地形、地貌、土壤特点，因地制宜选择耐旱性、经济性好的适生物种，以本地植被为主，及时对矿区范围内的裸露地表进行植被恢复。</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⑤</w:t>
            </w:r>
            <w:r>
              <w:rPr>
                <w:color w:val="auto"/>
                <w:kern w:val="0"/>
                <w:szCs w:val="21"/>
              </w:rPr>
              <w:t>项目采取放炮落矿、分台阶开采，自上而下开采，一定程度上减少了水土流失，减少对生态环境的破坏，采区边界设计修建截排水沟保持排水通畅。采场底盘要形成坡度5~7‰的正坡，以保障采区平面正常排水。在矿区</w:t>
            </w:r>
            <w:r>
              <w:rPr>
                <w:rFonts w:hint="eastAsia"/>
                <w:color w:val="auto"/>
                <w:kern w:val="0"/>
                <w:szCs w:val="21"/>
              </w:rPr>
              <w:t>西</w:t>
            </w:r>
            <w:r>
              <w:rPr>
                <w:color w:val="auto"/>
                <w:kern w:val="0"/>
                <w:szCs w:val="21"/>
              </w:rPr>
              <w:t>面地势高处及南北两侧山脊处设置截水沟约300m，并与矿区周边自然沟道相接，截水沟梯形断面，底宽0.6m，口宽1.3m，深0.7m，内坡比为2:1，沟壁采用20cm厚M7.5浆砌片石衬砌。并在矿区北侧坡脚设置废水处理设施，各开采台阶采场边缘设置截水沟，将采场初期雨水引至废水处理设施，处理后作为生产用水回用。废水处理沉淀池设置溢流口接入</w:t>
            </w:r>
            <w:r>
              <w:rPr>
                <w:rFonts w:hint="eastAsia"/>
                <w:color w:val="auto"/>
                <w:kern w:val="0"/>
                <w:szCs w:val="21"/>
              </w:rPr>
              <w:t>东</w:t>
            </w:r>
            <w:r>
              <w:rPr>
                <w:color w:val="auto"/>
                <w:kern w:val="0"/>
                <w:szCs w:val="21"/>
              </w:rPr>
              <w:t>侧</w:t>
            </w:r>
            <w:r>
              <w:rPr>
                <w:rFonts w:hint="eastAsia"/>
                <w:color w:val="auto"/>
                <w:kern w:val="0"/>
                <w:szCs w:val="21"/>
              </w:rPr>
              <w:t>石溪</w:t>
            </w:r>
            <w:r>
              <w:rPr>
                <w:color w:val="auto"/>
                <w:kern w:val="0"/>
                <w:szCs w:val="21"/>
              </w:rPr>
              <w:t>河，防止暴雨天气场内积水造成垮塌。</w:t>
            </w:r>
          </w:p>
          <w:p>
            <w:pPr>
              <w:adjustRightInd w:val="0"/>
              <w:snapToGrid w:val="0"/>
              <w:spacing w:line="360" w:lineRule="auto"/>
              <w:jc w:val="center"/>
              <w:rPr>
                <w:rFonts w:ascii="宋体" w:hAnsi="宋体" w:cs="宋体"/>
                <w:color w:val="auto"/>
                <w:kern w:val="0"/>
                <w:szCs w:val="21"/>
              </w:rPr>
            </w:pPr>
            <w:r>
              <w:rPr>
                <w:rFonts w:eastAsia="黑体"/>
                <w:color w:val="auto"/>
                <w:kern w:val="0"/>
                <w:sz w:val="20"/>
                <w:szCs w:val="20"/>
              </w:rPr>
              <w:drawing>
                <wp:inline distT="0" distB="0" distL="0" distR="0">
                  <wp:extent cx="4610100" cy="1847850"/>
                  <wp:effectExtent l="1905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25"/>
                          <a:srcRect t="14369" b="5502"/>
                          <a:stretch>
                            <a:fillRect/>
                          </a:stretch>
                        </pic:blipFill>
                        <pic:spPr>
                          <a:xfrm>
                            <a:off x="0" y="0"/>
                            <a:ext cx="4610100" cy="1847850"/>
                          </a:xfrm>
                          <a:prstGeom prst="rect">
                            <a:avLst/>
                          </a:prstGeom>
                          <a:noFill/>
                          <a:ln w="9525" cmpd="sng">
                            <a:noFill/>
                            <a:miter lim="800000"/>
                            <a:headEnd/>
                            <a:tailEnd/>
                          </a:ln>
                        </pic:spPr>
                      </pic:pic>
                    </a:graphicData>
                  </a:graphic>
                </wp:inline>
              </w:drawing>
            </w:r>
          </w:p>
          <w:p>
            <w:pPr>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图5</w:t>
            </w:r>
            <w:r>
              <w:rPr>
                <w:rFonts w:ascii="宋体" w:hAnsi="宋体" w:cs="宋体"/>
                <w:b/>
                <w:color w:val="auto"/>
                <w:kern w:val="0"/>
                <w:sz w:val="18"/>
                <w:szCs w:val="18"/>
              </w:rPr>
              <w:t xml:space="preserve">-1 </w:t>
            </w:r>
            <w:r>
              <w:rPr>
                <w:rFonts w:hint="eastAsia" w:ascii="宋体" w:hAnsi="宋体" w:cs="宋体"/>
                <w:b/>
                <w:color w:val="auto"/>
                <w:kern w:val="0"/>
                <w:sz w:val="18"/>
                <w:szCs w:val="18"/>
              </w:rPr>
              <w:t>截洪沟断面图</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 xml:space="preserve">⑥加强职工的宣传教育，严禁捕杀野生动物、破坏采矿区外植被，提高他们爱护动物、保护环境的意识，将生产活动限制在矿区范围内。 </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通过落实上述生态环境保护措施后，本项目营运期的生态环境影响较小，措施合理有效、经济合理、技术可行。</w:t>
            </w:r>
          </w:p>
          <w:p>
            <w:pPr>
              <w:adjustRightInd w:val="0"/>
              <w:snapToGrid w:val="0"/>
              <w:spacing w:line="360" w:lineRule="auto"/>
              <w:ind w:firstLine="420" w:firstLineChars="200"/>
              <w:rPr>
                <w:rFonts w:ascii="宋体" w:hAnsi="宋体" w:cs="宋体"/>
                <w:color w:val="auto"/>
                <w:kern w:val="0"/>
                <w:szCs w:val="21"/>
              </w:rPr>
            </w:pPr>
            <w:r>
              <w:rPr>
                <w:rFonts w:ascii="宋体" w:hAnsi="宋体" w:cs="宋体"/>
                <w:color w:val="auto"/>
                <w:kern w:val="0"/>
                <w:szCs w:val="21"/>
              </w:rPr>
              <w:t>2</w:t>
            </w:r>
            <w:r>
              <w:rPr>
                <w:rFonts w:hint="eastAsia" w:ascii="宋体" w:hAnsi="宋体" w:cs="宋体"/>
                <w:color w:val="auto"/>
                <w:kern w:val="0"/>
                <w:szCs w:val="21"/>
              </w:rPr>
              <w:t>、闭矿后矿区生态恢复措施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①矿山开采应及时对形成的最终边坡采取合理的护坡墙、抗滑桩、平台坡面绿化等有效的控制措施，避免在闭矿期发生边坡失稳，而对环境造成影响。矿山关闭后，采矿权人必须依法办理闭矿或停办手续，及时编制矿山闭矿生态环境恢复方案，具体生态恢复措施以编制的闭矿生态恢复方案为准，按规定的时间完成矿山环境恢复治理工作。</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②矿山服务期满后，除部分永久占地外，需对其余不可再利用的设施进行拆除，将产生的建筑垃圾、生产过程中的原料等全部清理外运，对土地进行复垦和植被恢复，尽可能地将人类活动痕迹消除。复垦和植被恢复的物种选择应从当地的自然条件出发，既要达到快速恢复的目的，又要考虑适宜性以及恢复后植被的多样性，防止生态入侵问题。宜在安全、清扫平台的外侧砌筑0.5m高的挡土墙，然后回填0.4m厚的腐殖土，种植适宜当地气候、土质的植物，绿化平台及坡面。</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③复垦的总原则是：工业场地必须复垦并进行植被恢复、重建。闭矿5年内，使矿区绿化率不少于60％，矿区地质环境问题得到有效解决。最终使矿山生态环境恢复治理达到绿色矿山要求。</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④场区生态恢复和景观生态重建的指导思想是坚持“统一规划，分类指导，综合治理，保证效益”，采取工程措施和生物措施相结合，草灌乔相结合，经济效益和生态效益相结合的方法。</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⑤表土临时堆场应尽快实施压实覆土、种草和植树，以减少风起扬尘造成的污染。</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通过矿山生态恢复措施，使被破坏的植被和地貌形态基本得到恢复和重建，形成新的自然复合体，植被群落和动物种群逐渐趋向多样化，生态系统逐渐向良性循环方向发展，并与矿区周围的生态系统及地貌景观融为一体，保持区域生态系统的连续性和整体性。土地利用率和生产力不断得到恢复和提高，生态环境可基本恢复到开采前水平。</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3、闭矿后开采边坡防护措施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矿山关闭前，首先应对边坡进行安全评估，然后进行治理。一般采石场边坡的治理方法有以下几种：</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①当坡度不符合要求时，开采面已过山顶的边坡可以进行削坡减载；对于高度不大的此类边坡，也可填方压坡脚。</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②对富水地区边坡必须进行疏干排水，必要时可钻引水孔排水。</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③对于地质条件易造成滑坡或小范围岩层滑动的岩体，须采用抗滑桩，挡石坝方法治理。</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④对于边坡石质较软，岩石风化严重，易造成小范围塌方的削坡后低处宜用挡土墙支挡，高处可采用框格式拱墙护坡。</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⑤为防止滚石伤人，坡面要进行严格的检查撬毛工作，然后可结合绿化工程在坡面上铺设金属网，或塑料格栅网阻挡滚石。</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4、水土保持措施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（1）矿山开采区水土保持措施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1）预防措施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矿山开挖裸露面呈阶梯状，为避免特殊情况下可能发生的开挖面崩塌，要求开挖坡面必须按照主体工程设计的稳定坡面开挖，而且在爆破时爆破范围不宜过大，爆破深度不宜过深。在爆破过程中，应在矿区警戒范围内设置警示牌。在采矿中采用湿式作业，选用带除尘设施的凿岩设备，对各个产尘点进行喷雾洒水等降尘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矿山开采过程中应定期检查边坡的稳定状况，及时清理松动浮石，对稳定性较差的软弱岩层最终边坡，应采取锚喷、浆砌等局部或全部加固措施。临近边坡处应采用控制爆破，保证边坡不受破坏而保持稳定。对边坡应进行定点定期观测，包括坡体表面和内部位移观测、地下水位动态观测、爆破震动观测等。此外还应根据岩土的性质、赋存条件分别设置合理的台阶高度、安全平台宽度、清扫平台宽度和台阶边坡角，使采场最终边坡角控制在稳定边坡角值之内。</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2）生产运行期防护措施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①工程措施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a.</w:t>
            </w:r>
            <w:r>
              <w:rPr>
                <w:rFonts w:hint="eastAsia"/>
                <w:color w:val="auto"/>
              </w:rPr>
              <w:t xml:space="preserve"> </w:t>
            </w:r>
            <w:r>
              <w:rPr>
                <w:rFonts w:hint="eastAsia" w:ascii="宋体" w:hAnsi="宋体" w:cs="宋体"/>
                <w:color w:val="auto"/>
                <w:kern w:val="0"/>
                <w:szCs w:val="21"/>
              </w:rPr>
              <w:t>土地整治</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在矿山终了平台回铺表土后，需对已经形成的露天开采平台及坡面进行复垦和平整，翻松等土地整治改造，改造后进行景观绿化。</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b</w:t>
            </w:r>
            <w:r>
              <w:rPr>
                <w:rFonts w:ascii="宋体" w:hAnsi="宋体" w:cs="宋体"/>
                <w:color w:val="auto"/>
                <w:kern w:val="0"/>
                <w:szCs w:val="21"/>
              </w:rPr>
              <w:t>.</w:t>
            </w:r>
            <w:r>
              <w:rPr>
                <w:rFonts w:hint="eastAsia"/>
                <w:color w:val="auto"/>
              </w:rPr>
              <w:t xml:space="preserve"> </w:t>
            </w:r>
            <w:r>
              <w:rPr>
                <w:rFonts w:hint="eastAsia" w:ascii="宋体" w:hAnsi="宋体" w:cs="宋体"/>
                <w:color w:val="auto"/>
                <w:kern w:val="0"/>
                <w:szCs w:val="21"/>
              </w:rPr>
              <w:t>表土回铺</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矿区开采方式采用自上而下的方式，根据本项目采矿场开发利用方案和土地复垦报告等相关资料，在本水土保持方案服务期内，共形成 9 个平台，为达到植物生长的立地条件，共需回铺表土11.19万m³，前期剥离堆放的表土能够满足本项目绿化覆土的需求。</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c</w:t>
            </w:r>
            <w:r>
              <w:rPr>
                <w:rFonts w:ascii="宋体" w:hAnsi="宋体" w:cs="宋体"/>
                <w:color w:val="auto"/>
                <w:kern w:val="0"/>
                <w:szCs w:val="21"/>
              </w:rPr>
              <w:t>.</w:t>
            </w:r>
            <w:r>
              <w:rPr>
                <w:rFonts w:hint="eastAsia"/>
                <w:color w:val="auto"/>
              </w:rPr>
              <w:t xml:space="preserve"> </w:t>
            </w:r>
            <w:r>
              <w:rPr>
                <w:rFonts w:hint="eastAsia" w:ascii="宋体" w:hAnsi="宋体" w:cs="宋体"/>
                <w:color w:val="auto"/>
                <w:kern w:val="0"/>
                <w:szCs w:val="21"/>
              </w:rPr>
              <w:t>截水沟及沉砂池</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为了排导项目区场内和场外雨水，在采场内及采场外布设截水沟。</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本矿山开采形成的最终边坡后汇水面积较大,因此需要在露天边坡上设置截水沟，以排出场内汇水，排水沟尾部与自然沟渠相连，以达到汇水外排的目的。</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排水沟尾部与邻近的自然沟渠相连，以达到汇水外排的目的。露天采场截排水沟长度4118m，并在末端修筑沉砂池，共计 3 座。经过计算，结合项目区实际情况以及当地传统，确定本方案截水沟类型为:采用矩形断面，采用 M7.5 浆砌块石筑砌，壁厚 0.24m,沟底采用10cm 的 C15 砼底板。截水沟尾部与邻近的自然沟渠相连，以达到汇水外排的目的，并在末端修筑沉砂池。</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2）植物措施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鉴于本项目区位于宣汉县，结合周边区域山地植被类型和气候条件，综合分析，适合种植柳杉和水杉，灌木选择刺槐，草本选择白茅和爬山虎。为提高果木的成活率，在刚栽植第一年和管护期，以加压水管管灌的方式在苗木栽植时进行浇水灌溉。由于当地降雨量能够满足后期植被生长的需求，后期完全靠自然降水。柳杉和水杉种植方式采用带土穴植，种植穴规格为 0.8m×0.8m×0.8m，株距 4m×4m，穴内填土，并增施化肥和保水剂。</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在采场平台及坡面种植爬山虎，爬山虎属多年生大型落叶木质藤本植物，用扦插繁殖，成活率达 95%，株距 1m×1m，嫩枝扦插于每年 6～7 月，采集半木质化嫩枝，剪成 10～15cm长的插穗，上剪口距芽 1cm 左右平剪，下剪口距芽 0.5cm 斜剪；硬枝扦插则于每年落叶后土壤结冻前，选取直径 0.5cm 左右、长 10～15cm 的休眠枝，剪穗方法同嫩枝扦插。</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3）临时措施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a.</w:t>
            </w:r>
            <w:r>
              <w:rPr>
                <w:rFonts w:hint="eastAsia"/>
                <w:color w:val="auto"/>
              </w:rPr>
              <w:t xml:space="preserve"> </w:t>
            </w:r>
            <w:r>
              <w:rPr>
                <w:rFonts w:hint="eastAsia" w:ascii="宋体" w:hAnsi="宋体" w:cs="宋体"/>
                <w:color w:val="auto"/>
                <w:kern w:val="0"/>
                <w:szCs w:val="21"/>
              </w:rPr>
              <w:t>临时排水沟和临时沉砂池</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为有效防止地表径流对采场工程区土地复垦区域的冲刷影响，在上侧汇水坡面开挖土质排水沟。</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本项目临时排水沟采用矩形断面，设计净空底宽为 30cm，沟深 30cm，侧墙采用 C20砼现浇，厚为 20cm，底板采用 C20 砼现浇，厚度为 10cm。在施工期为防止雨水携带泥砂进入周边排水系统，在本方案新增设置临时沉砂池，沉砂池断面为：长×宽×高＝2.0m×1.0m×1.0m，侧墙采用素土夯实。经计算，采场工程区共需布设临时排水沟总长约 2500m，共需设置临时沉沙凼 20 座。</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b.</w:t>
            </w:r>
            <w:r>
              <w:rPr>
                <w:rFonts w:hint="eastAsia"/>
                <w:color w:val="auto"/>
              </w:rPr>
              <w:t xml:space="preserve"> </w:t>
            </w:r>
            <w:r>
              <w:rPr>
                <w:rFonts w:hint="eastAsia" w:ascii="宋体" w:hAnsi="宋体" w:cs="宋体"/>
                <w:color w:val="auto"/>
                <w:kern w:val="0"/>
                <w:szCs w:val="21"/>
              </w:rPr>
              <w:t>防雨布遮盖</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本项目矿山开采形式为露天开采，为防治在矿山开采过程中的水土流失，本方案设计对矿山开采过程中未开采的界面进行防雨布临时遮盖。在截水沟施工过程中后，为防止截水沟施工开挖过程中开挖土石方遭受地表径流冲刷产生水土流失，应做好开挖土石方的临时防护措施，本方案设计采用土工布对堆放的开挖土石方进行防雨布覆盖。</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2</w:t>
            </w:r>
            <w:r>
              <w:rPr>
                <w:rFonts w:hint="eastAsia" w:ascii="宋体" w:hAnsi="宋体" w:cs="宋体"/>
                <w:color w:val="auto"/>
                <w:kern w:val="0"/>
                <w:szCs w:val="21"/>
              </w:rPr>
              <w:t>）矿山加工区水土保持措施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1）工程措施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为了防止地表径流对矿山加工厂工程区冲刷产生破坏，有效防治水土流失，在生产生活设施工程区内主要建构筑物四周修建排水沟，地坪设计为从建筑物向道路方向倾斜。场地的雨水经排水沟汇集后从高到低排出项目区。排水坡向最小为 0.5%，采用矩形断面，沟底、沟邦的厚度均为 0.3 m，水沟全部采用 M7.5 浆砌片石砌筑，M10 水泥砂浆勾缝、抹面，长度为 750m。</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2）植物措施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在矿山加工厂工程区采用乔草相接合进行绿化，以形成较为良好的景观效果，在植物配置方面，树种草种尽量选用本地适生树种且具有一定抗尘吸附功能的景观树种。经分析，本项目乔木植柳杉和水杉，草本选择白茅和爬山虎。栽植整地采用穴状整地，整地规格为30cm×30cm。</w:t>
            </w:r>
          </w:p>
          <w:p>
            <w:pPr>
              <w:adjustRightInd w:val="0"/>
              <w:snapToGrid w:val="0"/>
              <w:spacing w:line="360" w:lineRule="auto"/>
              <w:ind w:firstLine="420"/>
              <w:rPr>
                <w:rFonts w:ascii="宋体" w:hAnsi="宋体" w:cs="宋体"/>
                <w:color w:val="auto"/>
                <w:kern w:val="0"/>
                <w:szCs w:val="21"/>
              </w:rPr>
            </w:pPr>
            <w:r>
              <w:rPr>
                <w:rFonts w:ascii="宋体" w:hAnsi="宋体" w:cs="宋体"/>
                <w:color w:val="auto"/>
                <w:kern w:val="0"/>
                <w:szCs w:val="21"/>
              </w:rPr>
              <w:t>3</w:t>
            </w:r>
            <w:r>
              <w:rPr>
                <w:rFonts w:hint="eastAsia" w:ascii="宋体" w:hAnsi="宋体" w:cs="宋体"/>
                <w:color w:val="auto"/>
                <w:kern w:val="0"/>
                <w:szCs w:val="21"/>
              </w:rPr>
              <w:t>）临时措施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①临时排水、沉沙措施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本方案计划在矿山加工厂工程场地四周新增临时排水措施，新增的临时排水沟汇集外来雨水及场内地面雨水，沿场地四周开挖布设，就近接入附近沟渠中，接入布设一个沉沙池。</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本项目临时排水沟采用矩形断面，设计净空底宽为 30cm，沟深 30cm，侧墙采用 C20砼现浇，厚为 20cm，底板采用 C20 砼现浇，厚度为 10cm。在施工期为防止雨水携带泥砂进入周边排水系统，在本方案新增设置临时沉砂池，沉砂池断面为：长×宽×高＝2.0m×1.0m×1.0m，侧墙采用素土夯实。经计算，矿山加工厂工程区共需布设临时排水沟总长约1300m，共需设置临时沉沙凼 4 座。根据项目区地势，在坡度较大区域设置一个临时沉沙池，沟道采用人工开挖，挖成后拍实，沉沙池中的水就近排至附近天然排水沟中。</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②防雨布遮盖</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在材料堆放区域和表土堆放区域补充防雨布遮盖措施。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3</w:t>
            </w:r>
            <w:r>
              <w:rPr>
                <w:rFonts w:hint="eastAsia" w:ascii="宋体" w:hAnsi="宋体" w:cs="宋体"/>
                <w:color w:val="auto"/>
                <w:kern w:val="0"/>
                <w:szCs w:val="21"/>
              </w:rPr>
              <w:t>）矿山道路水土保持措施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1）工程措施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①排水沟</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主体工程中在矿山道路一侧修建排水沟，疏导雨水。排水沟设计规格：采用矩形结构，沟底、沟邦的厚度均为 0.3 m，水沟全部采用 M7.5 浆砌片石砌筑，M10 水泥砂浆勾缝、抹面，长度为 2400m。</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②表土剥离及绿化覆土</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由于项目场地在对堆土前需对场地内挖填微地形改造，改造后将重塑地貌，地表无表层营养土，不利于绿化植被的生长，在场地平整后需对矿山道路工程区进行撒草籽绿化，防治新的水土流失问题。因此对矿山道路工程区采取剥离表土和表土回覆措施，绿化覆土来源为前期剥离的表土。</w:t>
            </w:r>
          </w:p>
          <w:p>
            <w:pPr>
              <w:adjustRightInd w:val="0"/>
              <w:snapToGrid w:val="0"/>
              <w:spacing w:line="360" w:lineRule="auto"/>
              <w:ind w:firstLine="420"/>
              <w:rPr>
                <w:rFonts w:ascii="宋体" w:hAnsi="宋体" w:cs="宋体"/>
                <w:color w:val="auto"/>
                <w:kern w:val="0"/>
                <w:szCs w:val="21"/>
              </w:rPr>
            </w:pPr>
            <w:r>
              <w:rPr>
                <w:rFonts w:ascii="宋体" w:hAnsi="宋体" w:cs="宋体"/>
                <w:color w:val="auto"/>
                <w:kern w:val="0"/>
                <w:szCs w:val="21"/>
              </w:rPr>
              <w:t>2</w:t>
            </w:r>
            <w:r>
              <w:rPr>
                <w:rFonts w:hint="eastAsia" w:ascii="宋体" w:hAnsi="宋体" w:cs="宋体"/>
                <w:color w:val="auto"/>
                <w:kern w:val="0"/>
                <w:szCs w:val="21"/>
              </w:rPr>
              <w:t>）植物措施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对占压其他土地区域进行撒播草籽，经统计约需要撒播灌草面积为 2.88hm</w:t>
            </w:r>
            <w:r>
              <w:rPr>
                <w:rFonts w:hint="eastAsia" w:ascii="宋体" w:hAnsi="宋体" w:cs="宋体"/>
                <w:color w:val="auto"/>
                <w:kern w:val="0"/>
                <w:szCs w:val="21"/>
                <w:vertAlign w:val="superscript"/>
              </w:rPr>
              <w:t>2</w:t>
            </w:r>
            <w:r>
              <w:rPr>
                <w:rFonts w:hint="eastAsia" w:ascii="宋体" w:hAnsi="宋体" w:cs="宋体"/>
                <w:color w:val="auto"/>
                <w:kern w:val="0"/>
                <w:szCs w:val="21"/>
              </w:rPr>
              <w:t>，撒播密度 60kg/hm</w:t>
            </w:r>
            <w:r>
              <w:rPr>
                <w:rFonts w:hint="eastAsia" w:ascii="宋体" w:hAnsi="宋体" w:cs="宋体"/>
                <w:color w:val="auto"/>
                <w:kern w:val="0"/>
                <w:szCs w:val="21"/>
                <w:vertAlign w:val="superscript"/>
              </w:rPr>
              <w:t>2</w:t>
            </w:r>
            <w:r>
              <w:rPr>
                <w:rFonts w:hint="eastAsia" w:ascii="宋体" w:hAnsi="宋体" w:cs="宋体"/>
                <w:color w:val="auto"/>
                <w:kern w:val="0"/>
                <w:szCs w:val="21"/>
              </w:rPr>
              <w:t>，草籽撒播量 29.4kg，草种选用当地草种，如白茅等。</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3）临时措施</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在矿山道路工程堆渣处增设临时排水措施，新增的临时排水沟汇集外来雨水，就近接入附近沟渠中，接入布设一个沉沙池。</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本项目临时排水沟采用矩形断面，设计净空底宽为 30cm，沟深 30cm，侧墙采用 C20砼现浇，厚为 20cm，底板采用 C20 砼现浇，厚度为 10cm。在施工期为防止雨水携带泥砂进入周边排水系统，在本方案新增设置临时沉砂池，沉砂池断面为：长×宽×高＝2.0m×1.0m×1.0m，侧墙采用素土夯实。经计算，矿山道路工程区共需布设临时排水沟总长约1850m，共需设置临时沉沙凼 10 座。根据项目区地势，在坡度较大区域设置一个临时沉沙池，沟道采用人工开挖，挖成后拍实，沉沙池中的水就近排至附近天然排水沟中。</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二、大气环境保护措施</w:t>
            </w:r>
          </w:p>
          <w:p>
            <w:pPr>
              <w:adjustRightInd w:val="0"/>
              <w:snapToGrid w:val="0"/>
              <w:spacing w:line="360" w:lineRule="auto"/>
              <w:ind w:firstLine="420"/>
              <w:rPr>
                <w:color w:val="auto"/>
                <w:kern w:val="0"/>
                <w:szCs w:val="21"/>
              </w:rPr>
            </w:pPr>
            <w:r>
              <w:rPr>
                <w:rFonts w:hint="eastAsia"/>
                <w:color w:val="auto"/>
                <w:kern w:val="0"/>
                <w:szCs w:val="21"/>
              </w:rPr>
              <w:t>1、</w:t>
            </w:r>
            <w:r>
              <w:rPr>
                <w:color w:val="auto"/>
                <w:kern w:val="0"/>
                <w:szCs w:val="21"/>
              </w:rPr>
              <w:t>拟采取的措施</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①</w:t>
            </w:r>
            <w:r>
              <w:rPr>
                <w:color w:val="auto"/>
                <w:kern w:val="0"/>
                <w:szCs w:val="21"/>
              </w:rPr>
              <w:t>凿岩钻孔粉尘</w:t>
            </w:r>
          </w:p>
          <w:p>
            <w:pPr>
              <w:adjustRightInd w:val="0"/>
              <w:snapToGrid w:val="0"/>
              <w:spacing w:line="360" w:lineRule="auto"/>
              <w:ind w:firstLine="420"/>
              <w:rPr>
                <w:color w:val="auto"/>
                <w:kern w:val="0"/>
                <w:szCs w:val="21"/>
              </w:rPr>
            </w:pPr>
            <w:r>
              <w:rPr>
                <w:color w:val="auto"/>
                <w:kern w:val="0"/>
                <w:szCs w:val="21"/>
              </w:rPr>
              <w:t>矿山选用自带收尘装置的环保型钻机设备，配合湿式凿岩钻孔、洒水保湿等措施，可有效控制粉尘的产生。</w:t>
            </w:r>
          </w:p>
          <w:p>
            <w:pPr>
              <w:adjustRightInd w:val="0"/>
              <w:snapToGrid w:val="0"/>
              <w:spacing w:line="360" w:lineRule="auto"/>
              <w:ind w:firstLine="420"/>
              <w:rPr>
                <w:color w:val="auto"/>
                <w:kern w:val="0"/>
                <w:szCs w:val="21"/>
              </w:rPr>
            </w:pPr>
            <w:r>
              <w:rPr>
                <w:color w:val="auto"/>
                <w:kern w:val="0"/>
                <w:szCs w:val="21"/>
              </w:rPr>
              <w:t>经类比分析，上述措施能够有效控制粉尘的产生，可降低约95%的逸散粉尘量，则钻孔时逸散粉尘排放量为0.5t/a，排放速率为0.794kg/h。</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②</w:t>
            </w:r>
            <w:r>
              <w:rPr>
                <w:color w:val="auto"/>
                <w:kern w:val="0"/>
                <w:szCs w:val="21"/>
              </w:rPr>
              <w:t>爆破粉尘</w:t>
            </w:r>
          </w:p>
          <w:p>
            <w:pPr>
              <w:adjustRightInd w:val="0"/>
              <w:snapToGrid w:val="0"/>
              <w:spacing w:line="360" w:lineRule="auto"/>
              <w:ind w:firstLine="420"/>
              <w:rPr>
                <w:color w:val="auto"/>
                <w:kern w:val="0"/>
                <w:szCs w:val="21"/>
              </w:rPr>
            </w:pPr>
            <w:r>
              <w:rPr>
                <w:color w:val="auto"/>
                <w:kern w:val="0"/>
                <w:szCs w:val="21"/>
              </w:rPr>
              <w:t>&lt;1&gt;合理安排爆破时间，尽量避免在大风天气安排爆破作业，降低风力扬尘；</w:t>
            </w:r>
          </w:p>
          <w:p>
            <w:pPr>
              <w:adjustRightInd w:val="0"/>
              <w:snapToGrid w:val="0"/>
              <w:spacing w:line="360" w:lineRule="auto"/>
              <w:ind w:firstLine="420"/>
              <w:rPr>
                <w:color w:val="auto"/>
                <w:kern w:val="0"/>
                <w:szCs w:val="21"/>
              </w:rPr>
            </w:pPr>
            <w:r>
              <w:rPr>
                <w:color w:val="auto"/>
                <w:kern w:val="0"/>
                <w:szCs w:val="21"/>
              </w:rPr>
              <w:t>&lt;2&gt;在爆破作业结束后，采用喷雾洒水装置（高压喷水枪或雾炮机等）对爆破作业面洒水抑尘等降尘措施。</w:t>
            </w:r>
          </w:p>
          <w:p>
            <w:pPr>
              <w:adjustRightInd w:val="0"/>
              <w:snapToGrid w:val="0"/>
              <w:spacing w:line="360" w:lineRule="auto"/>
              <w:ind w:firstLine="420"/>
              <w:rPr>
                <w:color w:val="auto"/>
                <w:kern w:val="0"/>
                <w:szCs w:val="21"/>
              </w:rPr>
            </w:pPr>
            <w:r>
              <w:rPr>
                <w:color w:val="auto"/>
                <w:kern w:val="0"/>
                <w:szCs w:val="21"/>
              </w:rPr>
              <w:t>类比同类项目，采取洒水降尘措施，可有效降低爆破粉尘的污染影响，对爆破粉尘的抑制率约为90%。则爆破粉尘排放量约为29.485kg/次（1.858t/a）。</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③</w:t>
            </w:r>
            <w:r>
              <w:rPr>
                <w:color w:val="auto"/>
                <w:kern w:val="0"/>
                <w:szCs w:val="21"/>
              </w:rPr>
              <w:t>矿石采选（铲装）扬尘</w:t>
            </w:r>
          </w:p>
          <w:p>
            <w:pPr>
              <w:adjustRightInd w:val="0"/>
              <w:snapToGrid w:val="0"/>
              <w:spacing w:line="360" w:lineRule="auto"/>
              <w:ind w:firstLine="420"/>
              <w:rPr>
                <w:color w:val="auto"/>
                <w:kern w:val="0"/>
                <w:szCs w:val="21"/>
              </w:rPr>
            </w:pPr>
            <w:r>
              <w:rPr>
                <w:color w:val="auto"/>
                <w:kern w:val="0"/>
                <w:szCs w:val="21"/>
              </w:rPr>
              <w:t>由于铲装扬尘排放点接近地面，大部分会自然沉降，能够飘散至高空的量较少，主要是对近距离环境和作业人员产生影响。</w:t>
            </w:r>
          </w:p>
          <w:p>
            <w:pPr>
              <w:adjustRightInd w:val="0"/>
              <w:snapToGrid w:val="0"/>
              <w:spacing w:line="360" w:lineRule="auto"/>
              <w:ind w:firstLine="420"/>
              <w:rPr>
                <w:color w:val="auto"/>
                <w:kern w:val="0"/>
                <w:szCs w:val="21"/>
              </w:rPr>
            </w:pPr>
            <w:r>
              <w:rPr>
                <w:color w:val="auto"/>
                <w:kern w:val="0"/>
                <w:szCs w:val="21"/>
              </w:rPr>
              <w:t>&lt;1&gt;在采场内配置雾炮机，在铲装作业前对矿石表面进行喷雾洒水，预先湿润矿石，使其保持一定的湿度，可以取得良好降尘效果。</w:t>
            </w:r>
          </w:p>
          <w:p>
            <w:pPr>
              <w:adjustRightInd w:val="0"/>
              <w:snapToGrid w:val="0"/>
              <w:spacing w:line="360" w:lineRule="auto"/>
              <w:ind w:firstLine="420"/>
              <w:rPr>
                <w:color w:val="auto"/>
                <w:kern w:val="0"/>
                <w:szCs w:val="21"/>
              </w:rPr>
            </w:pPr>
            <w:r>
              <w:rPr>
                <w:color w:val="auto"/>
                <w:kern w:val="0"/>
                <w:szCs w:val="21"/>
              </w:rPr>
              <w:t>&lt;2&gt;加强对操作人员的管理，强化其规范操作，低空落料，控制落料高差，减少粉尘产生。</w:t>
            </w:r>
          </w:p>
          <w:p>
            <w:pPr>
              <w:adjustRightInd w:val="0"/>
              <w:snapToGrid w:val="0"/>
              <w:spacing w:line="360" w:lineRule="auto"/>
              <w:ind w:firstLine="420"/>
              <w:rPr>
                <w:color w:val="auto"/>
                <w:kern w:val="0"/>
                <w:szCs w:val="21"/>
              </w:rPr>
            </w:pPr>
            <w:r>
              <w:rPr>
                <w:color w:val="auto"/>
                <w:kern w:val="0"/>
                <w:szCs w:val="21"/>
              </w:rPr>
              <w:t>&lt;3&gt;给现场作业人员发放阻尘防尘口罩，可进一步避免铲装扬尘对作业人员的健康影响。</w:t>
            </w:r>
          </w:p>
          <w:p>
            <w:pPr>
              <w:adjustRightInd w:val="0"/>
              <w:snapToGrid w:val="0"/>
              <w:spacing w:line="360" w:lineRule="auto"/>
              <w:ind w:firstLine="420"/>
              <w:rPr>
                <w:color w:val="auto"/>
                <w:kern w:val="0"/>
                <w:szCs w:val="21"/>
              </w:rPr>
            </w:pPr>
            <w:r>
              <w:rPr>
                <w:rFonts w:hint="eastAsia"/>
                <w:color w:val="auto"/>
                <w:kern w:val="0"/>
                <w:szCs w:val="21"/>
              </w:rPr>
              <w:t>通过雾炮机采用喷雾降尘，对扬尘的抑制效果较好</w:t>
            </w:r>
            <w:r>
              <w:rPr>
                <w:color w:val="auto"/>
                <w:kern w:val="0"/>
                <w:szCs w:val="21"/>
              </w:rPr>
              <w:t>，抑尘率可达到95%。则铲装扬尘排放量为2.5t/a，排放速率为0.521kg/h。</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④</w:t>
            </w:r>
            <w:r>
              <w:rPr>
                <w:color w:val="auto"/>
                <w:kern w:val="0"/>
                <w:szCs w:val="21"/>
              </w:rPr>
              <w:t>运输道路的扬尘</w:t>
            </w:r>
          </w:p>
          <w:p>
            <w:pPr>
              <w:adjustRightInd w:val="0"/>
              <w:snapToGrid w:val="0"/>
              <w:spacing w:line="360" w:lineRule="auto"/>
              <w:ind w:firstLine="420"/>
              <w:rPr>
                <w:color w:val="auto"/>
                <w:kern w:val="0"/>
                <w:szCs w:val="21"/>
              </w:rPr>
            </w:pPr>
            <w:r>
              <w:rPr>
                <w:color w:val="auto"/>
                <w:kern w:val="0"/>
                <w:szCs w:val="21"/>
              </w:rPr>
              <w:t>&lt;1&gt;在转运过程中，对进出场道路及矿区内道路采取地面硬化处理，安排专人对道路进行养护，避免出现坑洼，并适时对道路进行清扫、洒水防尘。矿区进出口设置车辆冲洗平台，加强进出车辆的冲洗，降低扬尘污染影响。</w:t>
            </w:r>
          </w:p>
          <w:p>
            <w:pPr>
              <w:adjustRightInd w:val="0"/>
              <w:snapToGrid w:val="0"/>
              <w:spacing w:line="360" w:lineRule="auto"/>
              <w:ind w:firstLine="420"/>
              <w:rPr>
                <w:color w:val="auto"/>
                <w:kern w:val="0"/>
                <w:szCs w:val="21"/>
              </w:rPr>
            </w:pPr>
            <w:r>
              <w:rPr>
                <w:color w:val="auto"/>
                <w:kern w:val="0"/>
                <w:szCs w:val="21"/>
              </w:rPr>
              <w:t>&lt;2&gt;加强物料的运输及装卸管理。为减少运输扬尘，加强运输车辆的管理，合理安排运输时间，尽量相对集中，运输车辆严禁超载（或物料装得过满），限制装载机、运输车辆等在场内的运行速度。</w:t>
            </w:r>
          </w:p>
          <w:p>
            <w:pPr>
              <w:adjustRightInd w:val="0"/>
              <w:snapToGrid w:val="0"/>
              <w:spacing w:line="360" w:lineRule="auto"/>
              <w:ind w:firstLine="420"/>
              <w:rPr>
                <w:color w:val="auto"/>
                <w:kern w:val="0"/>
                <w:szCs w:val="21"/>
              </w:rPr>
            </w:pPr>
            <w:r>
              <w:rPr>
                <w:color w:val="auto"/>
                <w:kern w:val="0"/>
                <w:szCs w:val="21"/>
              </w:rPr>
              <w:t>&lt;3&gt;为减少原矿及产品外运的扬尘污染，运输车辆应采取篷布遮盖、密闭运输，避免对村道公路沿线农户的正常生活造成影响。</w:t>
            </w:r>
          </w:p>
          <w:p>
            <w:pPr>
              <w:adjustRightInd w:val="0"/>
              <w:snapToGrid w:val="0"/>
              <w:spacing w:line="360" w:lineRule="auto"/>
              <w:ind w:firstLine="420"/>
              <w:rPr>
                <w:color w:val="auto"/>
                <w:kern w:val="0"/>
                <w:szCs w:val="21"/>
              </w:rPr>
            </w:pPr>
            <w:r>
              <w:rPr>
                <w:color w:val="auto"/>
                <w:kern w:val="0"/>
                <w:szCs w:val="21"/>
              </w:rPr>
              <w:t>&lt;4&gt;厂区内主要运输道路两侧适当的位置设置喷雾洒水系统，建议每隔15m安装1个喷头，以方便随时对道路的洒水，最大限度减少物料运输产生的交通扬尘。</w:t>
            </w:r>
          </w:p>
          <w:p>
            <w:pPr>
              <w:adjustRightInd w:val="0"/>
              <w:snapToGrid w:val="0"/>
              <w:spacing w:line="360" w:lineRule="auto"/>
              <w:ind w:firstLine="420"/>
              <w:rPr>
                <w:color w:val="auto"/>
                <w:kern w:val="0"/>
                <w:szCs w:val="21"/>
              </w:rPr>
            </w:pPr>
            <w:r>
              <w:rPr>
                <w:color w:val="auto"/>
                <w:kern w:val="0"/>
                <w:szCs w:val="21"/>
              </w:rPr>
              <w:t>&lt;5&gt;加工区内道路采取硬化措施，场地出入口建设车辆冲洗设施，并配备雾炮机，安装喷雾洒水装置等防尘设施，能有效控制道路运输扬尘，</w:t>
            </w:r>
            <w:r>
              <w:rPr>
                <w:rFonts w:hint="eastAsia"/>
                <w:color w:val="auto"/>
                <w:kern w:val="0"/>
                <w:szCs w:val="21"/>
              </w:rPr>
              <w:t>同时</w:t>
            </w:r>
            <w:r>
              <w:rPr>
                <w:color w:val="auto"/>
                <w:kern w:val="0"/>
                <w:szCs w:val="21"/>
              </w:rPr>
              <w:t>加强运行管理，能够满足相关的环保要求。</w:t>
            </w:r>
          </w:p>
          <w:p>
            <w:pPr>
              <w:adjustRightInd w:val="0"/>
              <w:snapToGrid w:val="0"/>
              <w:spacing w:line="360" w:lineRule="auto"/>
              <w:ind w:firstLine="420"/>
              <w:rPr>
                <w:color w:val="auto"/>
                <w:kern w:val="0"/>
                <w:szCs w:val="21"/>
              </w:rPr>
            </w:pPr>
            <w:r>
              <w:rPr>
                <w:color w:val="auto"/>
                <w:kern w:val="0"/>
                <w:szCs w:val="21"/>
              </w:rPr>
              <w:t>通过采取上述控制措施后，道路扬尘产生率可降低95%，经计算，道路扬尘无组织排放量为0.091t/a，排放速率为0.019kg/h。</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⑤</w:t>
            </w:r>
            <w:r>
              <w:rPr>
                <w:color w:val="auto"/>
                <w:kern w:val="0"/>
                <w:szCs w:val="21"/>
              </w:rPr>
              <w:t>堆场扬尘</w:t>
            </w:r>
          </w:p>
          <w:p>
            <w:pPr>
              <w:adjustRightInd w:val="0"/>
              <w:snapToGrid w:val="0"/>
              <w:spacing w:line="360" w:lineRule="auto"/>
              <w:ind w:firstLine="420"/>
              <w:rPr>
                <w:color w:val="auto"/>
                <w:kern w:val="0"/>
                <w:szCs w:val="21"/>
              </w:rPr>
            </w:pPr>
            <w:r>
              <w:rPr>
                <w:color w:val="auto"/>
                <w:kern w:val="0"/>
                <w:szCs w:val="21"/>
              </w:rPr>
              <w:t>表土临时堆场：&lt;1&gt;大风、干旱天气，对堆场表面进行喷雾洒水，保持表面处于湿润状态；&lt;2&gt;利用防尘网进行遮盖；&lt;3&gt;矿山开采实行“边采边填”，尽量降低堆场堆存量；&lt;4&gt;可根据当地情况，在</w:t>
            </w:r>
            <w:r>
              <w:rPr>
                <w:rFonts w:hint="eastAsia" w:ascii="宋体" w:hAnsi="宋体" w:cs="宋体"/>
                <w:color w:val="auto"/>
                <w:kern w:val="0"/>
                <w:szCs w:val="21"/>
              </w:rPr>
              <w:t>废料弃土场地</w:t>
            </w:r>
            <w:r>
              <w:rPr>
                <w:color w:val="auto"/>
                <w:kern w:val="0"/>
                <w:szCs w:val="21"/>
              </w:rPr>
              <w:t>表面播撒易成活植被种子，实行临时绿化防护。</w:t>
            </w:r>
          </w:p>
          <w:p>
            <w:pPr>
              <w:adjustRightInd w:val="0"/>
              <w:snapToGrid w:val="0"/>
              <w:spacing w:line="360" w:lineRule="auto"/>
              <w:ind w:firstLine="420"/>
              <w:rPr>
                <w:color w:val="auto"/>
                <w:kern w:val="0"/>
                <w:szCs w:val="21"/>
              </w:rPr>
            </w:pPr>
            <w:r>
              <w:rPr>
                <w:color w:val="auto"/>
                <w:kern w:val="0"/>
                <w:szCs w:val="21"/>
              </w:rPr>
              <w:t>类比分析，采取上述扬尘控制措施，能够降低约95%的堆场风力扬尘量，则表土临时堆场扬尘排放量约为1.848t/a。</w:t>
            </w:r>
          </w:p>
          <w:p>
            <w:pPr>
              <w:adjustRightInd w:val="0"/>
              <w:snapToGrid w:val="0"/>
              <w:spacing w:line="360" w:lineRule="auto"/>
              <w:ind w:firstLine="420"/>
              <w:rPr>
                <w:color w:val="auto"/>
                <w:kern w:val="0"/>
                <w:szCs w:val="21"/>
              </w:rPr>
            </w:pPr>
            <w:r>
              <w:rPr>
                <w:color w:val="auto"/>
                <w:kern w:val="0"/>
                <w:szCs w:val="21"/>
              </w:rPr>
              <w:t>加工区原矿堆场：&lt;1&gt;将露天堆场进行封闭，建成封闭式的堆场，仅留进出大门，平时处于关闭状态，运输时短暂开启，可杜绝风力扰动起尘。&lt;2&gt;堆场顶部安装喷雾洒水装置，抑制堆场扬尘。</w:t>
            </w:r>
          </w:p>
          <w:p>
            <w:pPr>
              <w:adjustRightInd w:val="0"/>
              <w:snapToGrid w:val="0"/>
              <w:spacing w:line="360" w:lineRule="auto"/>
              <w:ind w:firstLine="420"/>
              <w:rPr>
                <w:color w:val="auto"/>
                <w:kern w:val="0"/>
                <w:szCs w:val="21"/>
              </w:rPr>
            </w:pPr>
            <w:r>
              <w:rPr>
                <w:color w:val="auto"/>
                <w:kern w:val="0"/>
                <w:szCs w:val="21"/>
              </w:rPr>
              <w:t>加工区产品堆场：&lt;1&gt;由于项目大部分产品均经过水洗，产品含水率较高，堆放期间不易起尘，因此建议对堆场周围建设1.5m高围挡，产品堆放期间采用防尘网覆盖。&lt;2&gt;各产品堆存区之间设置分隔围挡，堆场周围安装喷雾洒水装置，抑制堆场扬尘。</w:t>
            </w:r>
          </w:p>
          <w:p>
            <w:pPr>
              <w:adjustRightInd w:val="0"/>
              <w:snapToGrid w:val="0"/>
              <w:spacing w:line="360" w:lineRule="auto"/>
              <w:ind w:firstLine="420"/>
              <w:rPr>
                <w:color w:val="auto"/>
                <w:kern w:val="0"/>
                <w:szCs w:val="21"/>
              </w:rPr>
            </w:pPr>
            <w:r>
              <w:rPr>
                <w:color w:val="auto"/>
                <w:kern w:val="0"/>
                <w:szCs w:val="21"/>
              </w:rPr>
              <w:t>采取上述治理措施，基本可抑制堆场起尘和排入环境空气，本报告按无措施下起尘量的1%计算排至环境空气的扬尘量。经估算，原矿临时堆场扬尘排放量约0.180t/a、产品堆场的扬尘排放约0.247t/a。</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⑥</w:t>
            </w:r>
            <w:r>
              <w:rPr>
                <w:color w:val="auto"/>
                <w:kern w:val="0"/>
                <w:szCs w:val="21"/>
              </w:rPr>
              <w:t>加工区生产粉尘</w:t>
            </w:r>
          </w:p>
          <w:p>
            <w:pPr>
              <w:adjustRightInd w:val="0"/>
              <w:snapToGrid w:val="0"/>
              <w:spacing w:line="360" w:lineRule="auto"/>
              <w:ind w:firstLine="420"/>
              <w:rPr>
                <w:color w:val="auto"/>
                <w:kern w:val="0"/>
                <w:szCs w:val="21"/>
              </w:rPr>
            </w:pPr>
            <w:r>
              <w:rPr>
                <w:color w:val="auto"/>
                <w:kern w:val="0"/>
                <w:szCs w:val="21"/>
              </w:rPr>
              <w:t>&lt;1&gt;</w:t>
            </w:r>
            <w:r>
              <w:rPr>
                <w:rFonts w:hint="eastAsia"/>
                <w:color w:val="auto"/>
                <w:kern w:val="0"/>
                <w:szCs w:val="21"/>
              </w:rPr>
              <w:t>生产加工厂房围挡封闭，给料、破碎、整形设置喷雾降尘，筛分环节采取喷淋洗石湿法作业控制粉尘</w:t>
            </w:r>
            <w:r>
              <w:rPr>
                <w:color w:val="auto"/>
                <w:kern w:val="0"/>
                <w:szCs w:val="21"/>
              </w:rPr>
              <w:t>，并在车间内布置多处喷雾降尘装置。各设备之间的输送皮带进行全封闭，进出料口在各封闭的车间内。落料口与皮带接口处安装柔性装置，抑制粉尘产生；皮带机采用平稳输送，减少输送粉尘产生。采取上述粉尘防治措施，给料机进料、整形等生产环节的产尘率将降低80%，各环节的粉尘产生后以无组织形式排放在封闭的车间内，通过车间门窗逸散至环境空气的按5%计。经计算，项目</w:t>
            </w:r>
            <w:r>
              <w:rPr>
                <w:rFonts w:hint="eastAsia"/>
                <w:color w:val="auto"/>
                <w:kern w:val="0"/>
                <w:szCs w:val="21"/>
              </w:rPr>
              <w:t>建设</w:t>
            </w:r>
            <w:r>
              <w:rPr>
                <w:color w:val="auto"/>
                <w:kern w:val="0"/>
                <w:szCs w:val="21"/>
              </w:rPr>
              <w:t>完成后车辆卸料环节粉尘排放量为0.5t/a、整形环节粉尘排放量为3.75t/a。</w:t>
            </w:r>
          </w:p>
          <w:p>
            <w:pPr>
              <w:adjustRightInd w:val="0"/>
              <w:snapToGrid w:val="0"/>
              <w:spacing w:line="360" w:lineRule="auto"/>
              <w:ind w:firstLine="420"/>
              <w:rPr>
                <w:color w:val="auto"/>
                <w:kern w:val="0"/>
                <w:szCs w:val="21"/>
              </w:rPr>
            </w:pPr>
            <w:r>
              <w:rPr>
                <w:color w:val="auto"/>
                <w:kern w:val="0"/>
                <w:szCs w:val="21"/>
              </w:rPr>
              <w:t>&lt;2&gt;加工区在进料口上方、筛分机及整形机进出口上方安装喷雾装置，降低矿石进出起尘；对2台破碎机</w:t>
            </w:r>
            <w:r>
              <w:rPr>
                <w:rFonts w:hint="eastAsia"/>
                <w:color w:val="auto"/>
                <w:kern w:val="0"/>
                <w:szCs w:val="21"/>
              </w:rPr>
              <w:t>设备设置封闭式车间，并在进出料口设置喷雾降尘措施</w:t>
            </w:r>
            <w:r>
              <w:rPr>
                <w:color w:val="auto"/>
                <w:kern w:val="0"/>
                <w:szCs w:val="21"/>
              </w:rPr>
              <w:t>。车间内沉降至地面的粉尘，应安排专人加强清扫，保持车间卫生，最大限度地减少逸散尘排至车间外的量，降低对周围大气环境的污染影响。</w:t>
            </w:r>
          </w:p>
          <w:p>
            <w:pPr>
              <w:adjustRightInd w:val="0"/>
              <w:snapToGrid w:val="0"/>
              <w:spacing w:line="360" w:lineRule="auto"/>
              <w:ind w:firstLine="420"/>
              <w:rPr>
                <w:color w:val="auto"/>
                <w:kern w:val="0"/>
                <w:szCs w:val="21"/>
              </w:rPr>
            </w:pPr>
            <w:r>
              <w:rPr>
                <w:color w:val="auto"/>
                <w:kern w:val="0"/>
                <w:szCs w:val="21"/>
              </w:rPr>
              <w:t>&lt;3&gt;</w:t>
            </w:r>
            <w:r>
              <w:rPr>
                <w:rFonts w:hint="eastAsia"/>
                <w:color w:val="auto"/>
                <w:kern w:val="0"/>
                <w:szCs w:val="21"/>
              </w:rPr>
              <w:t>本次加工场</w:t>
            </w:r>
            <w:r>
              <w:rPr>
                <w:color w:val="auto"/>
                <w:kern w:val="0"/>
                <w:szCs w:val="21"/>
              </w:rPr>
              <w:t>对一级、二级筛分机</w:t>
            </w:r>
            <w:r>
              <w:rPr>
                <w:rFonts w:hint="eastAsia"/>
                <w:color w:val="auto"/>
                <w:kern w:val="0"/>
                <w:szCs w:val="21"/>
              </w:rPr>
              <w:t>设置</w:t>
            </w:r>
            <w:r>
              <w:rPr>
                <w:color w:val="auto"/>
                <w:kern w:val="0"/>
                <w:szCs w:val="21"/>
              </w:rPr>
              <w:t>冲水设施，在筛分时</w:t>
            </w:r>
            <w:r>
              <w:rPr>
                <w:rFonts w:hint="eastAsia"/>
                <w:color w:val="auto"/>
                <w:kern w:val="0"/>
                <w:szCs w:val="21"/>
              </w:rPr>
              <w:t>有</w:t>
            </w:r>
            <w:r>
              <w:rPr>
                <w:color w:val="auto"/>
                <w:kern w:val="0"/>
                <w:szCs w:val="21"/>
              </w:rPr>
              <w:t>大量冲水，产生的粉尘量极少；洗砂设备工作时也有大量的冲水，因此不考虑该环节的粉尘。</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⑦</w:t>
            </w:r>
            <w:r>
              <w:rPr>
                <w:color w:val="auto"/>
                <w:kern w:val="0"/>
                <w:szCs w:val="21"/>
              </w:rPr>
              <w:t>产品装车扬尘</w:t>
            </w:r>
          </w:p>
          <w:p>
            <w:pPr>
              <w:adjustRightInd w:val="0"/>
              <w:snapToGrid w:val="0"/>
              <w:spacing w:line="360" w:lineRule="auto"/>
              <w:ind w:firstLine="420"/>
              <w:rPr>
                <w:color w:val="auto"/>
                <w:kern w:val="0"/>
                <w:szCs w:val="21"/>
              </w:rPr>
            </w:pPr>
            <w:r>
              <w:rPr>
                <w:color w:val="auto"/>
                <w:kern w:val="0"/>
                <w:szCs w:val="21"/>
              </w:rPr>
              <w:t>&lt;1&gt;产品铲装在封闭的产品堆场内进行，铲装作业扬尘排放点接近地面，大部分会自然沉降，能够飘散至高空的量较少，主要是对近距离环境和作业人员产生影响。</w:t>
            </w:r>
          </w:p>
          <w:p>
            <w:pPr>
              <w:adjustRightInd w:val="0"/>
              <w:snapToGrid w:val="0"/>
              <w:spacing w:line="360" w:lineRule="auto"/>
              <w:ind w:firstLine="420"/>
              <w:rPr>
                <w:color w:val="auto"/>
                <w:kern w:val="0"/>
                <w:szCs w:val="21"/>
              </w:rPr>
            </w:pPr>
            <w:r>
              <w:rPr>
                <w:color w:val="auto"/>
                <w:kern w:val="0"/>
                <w:szCs w:val="21"/>
              </w:rPr>
              <w:t>&lt;2&gt;在堆场顶部安装喷雾装置，在铲装作业前对石料表面进行喷雾洒水，预先湿润，使其保持一定的湿度，可以取得良好降尘效果。</w:t>
            </w:r>
          </w:p>
          <w:p>
            <w:pPr>
              <w:adjustRightInd w:val="0"/>
              <w:snapToGrid w:val="0"/>
              <w:spacing w:line="360" w:lineRule="auto"/>
              <w:ind w:firstLine="420"/>
              <w:rPr>
                <w:color w:val="auto"/>
                <w:kern w:val="0"/>
                <w:szCs w:val="21"/>
              </w:rPr>
            </w:pPr>
            <w:r>
              <w:rPr>
                <w:color w:val="auto"/>
                <w:kern w:val="0"/>
                <w:szCs w:val="21"/>
              </w:rPr>
              <w:t>&lt;3&gt;加强对操作人员的管理，强化其规范操作，低空落料，控制落料高差，减少粉尘产生。另外通过给现场作业人员发放阻尘效率高的防尘口罩，可进一步避免铲装扬尘对作业人员的健康影响。</w:t>
            </w:r>
          </w:p>
          <w:p>
            <w:pPr>
              <w:adjustRightInd w:val="0"/>
              <w:snapToGrid w:val="0"/>
              <w:spacing w:line="360" w:lineRule="auto"/>
              <w:ind w:firstLine="420"/>
              <w:rPr>
                <w:color w:val="auto"/>
                <w:kern w:val="0"/>
                <w:szCs w:val="21"/>
              </w:rPr>
            </w:pPr>
            <w:r>
              <w:rPr>
                <w:rFonts w:hint="eastAsia"/>
                <w:color w:val="auto"/>
                <w:kern w:val="0"/>
                <w:szCs w:val="21"/>
              </w:rPr>
              <w:t>通过雾炮机采用喷雾降尘，对扬尘的抑制效果较好</w:t>
            </w:r>
            <w:r>
              <w:rPr>
                <w:color w:val="auto"/>
                <w:kern w:val="0"/>
                <w:szCs w:val="21"/>
              </w:rPr>
              <w:t>，抑尘率可达到99%，通过堆场排出至环境中的量为0.15t/a。</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⑧</w:t>
            </w:r>
            <w:r>
              <w:rPr>
                <w:color w:val="auto"/>
                <w:kern w:val="0"/>
                <w:szCs w:val="21"/>
              </w:rPr>
              <w:t>爆破废气</w:t>
            </w:r>
          </w:p>
          <w:p>
            <w:pPr>
              <w:adjustRightInd w:val="0"/>
              <w:snapToGrid w:val="0"/>
              <w:spacing w:line="360" w:lineRule="auto"/>
              <w:ind w:firstLine="420"/>
              <w:rPr>
                <w:color w:val="auto"/>
                <w:kern w:val="0"/>
                <w:szCs w:val="21"/>
              </w:rPr>
            </w:pPr>
            <w:r>
              <w:rPr>
                <w:color w:val="auto"/>
                <w:kern w:val="0"/>
                <w:szCs w:val="21"/>
              </w:rPr>
              <w:t>本项目为露天矿开采，爆破废气全部以无组织形式排放，排放量分别为CO：1.08t/a、NOx：9.6t/a。当地的大气扩散能力较好，有毒有害气体难以在短时间内积聚，不对环境构成危害，单次爆破作业产生的废气量较小，且为间歇性排放，开采区较为开阔，易于稀释扩散，对环境影响不大。</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⑨</w:t>
            </w:r>
            <w:r>
              <w:rPr>
                <w:color w:val="auto"/>
                <w:kern w:val="0"/>
                <w:szCs w:val="21"/>
              </w:rPr>
              <w:t>机械燃油尾气</w:t>
            </w:r>
          </w:p>
          <w:p>
            <w:pPr>
              <w:adjustRightInd w:val="0"/>
              <w:snapToGrid w:val="0"/>
              <w:spacing w:line="360" w:lineRule="auto"/>
              <w:ind w:firstLine="420"/>
              <w:rPr>
                <w:color w:val="auto"/>
                <w:kern w:val="0"/>
                <w:szCs w:val="21"/>
              </w:rPr>
            </w:pPr>
            <w:r>
              <w:rPr>
                <w:color w:val="auto"/>
                <w:kern w:val="0"/>
                <w:szCs w:val="21"/>
              </w:rPr>
              <w:t>经现场踏勘，项目矿山开采区周围植被茂密，通过绿化吸收净化，对废气有一定的净化作用；同时，项目区位于农村地区，周边自然扩散条件较好，周围没有住户居住，燃油废气对周围环境影响较小。燃油废气排放量CO：23.625t/a、NOX：38.850t/a</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⑩</w:t>
            </w:r>
            <w:r>
              <w:rPr>
                <w:color w:val="auto"/>
                <w:kern w:val="0"/>
                <w:szCs w:val="21"/>
              </w:rPr>
              <w:t>食堂油烟</w:t>
            </w:r>
          </w:p>
          <w:p>
            <w:pPr>
              <w:adjustRightInd w:val="0"/>
              <w:snapToGrid w:val="0"/>
              <w:spacing w:line="360" w:lineRule="auto"/>
              <w:ind w:firstLine="420"/>
              <w:rPr>
                <w:color w:val="auto"/>
                <w:kern w:val="0"/>
                <w:szCs w:val="21"/>
              </w:rPr>
            </w:pPr>
            <w:r>
              <w:rPr>
                <w:color w:val="auto"/>
                <w:kern w:val="0"/>
                <w:szCs w:val="21"/>
              </w:rPr>
              <w:t>项目</w:t>
            </w:r>
            <w:r>
              <w:rPr>
                <w:rFonts w:hint="eastAsia"/>
                <w:color w:val="auto"/>
                <w:kern w:val="0"/>
                <w:szCs w:val="21"/>
              </w:rPr>
              <w:t>在矿山办公生活区</w:t>
            </w:r>
            <w:r>
              <w:rPr>
                <w:color w:val="auto"/>
                <w:kern w:val="0"/>
                <w:szCs w:val="21"/>
              </w:rPr>
              <w:t>设置食堂。</w:t>
            </w:r>
            <w:r>
              <w:rPr>
                <w:rFonts w:hint="eastAsia"/>
                <w:color w:val="auto"/>
                <w:kern w:val="0"/>
                <w:szCs w:val="21"/>
              </w:rPr>
              <w:t>供矿山职工及加工区职工就餐。本项目在</w:t>
            </w:r>
            <w:r>
              <w:rPr>
                <w:color w:val="auto"/>
                <w:kern w:val="0"/>
                <w:szCs w:val="21"/>
              </w:rPr>
              <w:t>食堂</w:t>
            </w:r>
            <w:r>
              <w:rPr>
                <w:rFonts w:hint="eastAsia"/>
                <w:color w:val="auto"/>
                <w:kern w:val="0"/>
                <w:szCs w:val="21"/>
              </w:rPr>
              <w:t>厨房设置</w:t>
            </w:r>
            <w:r>
              <w:rPr>
                <w:color w:val="auto"/>
                <w:kern w:val="0"/>
                <w:szCs w:val="21"/>
              </w:rPr>
              <w:t>一套油烟净化装置，油烟净化处理后引至屋顶排放</w:t>
            </w:r>
            <w:r>
              <w:rPr>
                <w:rFonts w:hint="eastAsia"/>
                <w:color w:val="auto"/>
                <w:kern w:val="0"/>
                <w:szCs w:val="21"/>
              </w:rPr>
              <w:t>，</w:t>
            </w:r>
            <w:r>
              <w:rPr>
                <w:color w:val="auto"/>
                <w:kern w:val="0"/>
                <w:szCs w:val="21"/>
              </w:rPr>
              <w:t>满足环保要求。</w:t>
            </w:r>
          </w:p>
          <w:p>
            <w:pPr>
              <w:adjustRightInd w:val="0"/>
              <w:snapToGrid w:val="0"/>
              <w:spacing w:line="360" w:lineRule="auto"/>
              <w:ind w:firstLine="420"/>
              <w:rPr>
                <w:color w:val="auto"/>
                <w:kern w:val="0"/>
                <w:szCs w:val="21"/>
              </w:rPr>
            </w:pPr>
            <w:r>
              <w:rPr>
                <w:color w:val="auto"/>
                <w:kern w:val="0"/>
                <w:szCs w:val="21"/>
              </w:rPr>
              <w:t>通过采取相应的污染治理措施，废气污染物均能做到达标排，对周边大气环境影响轻微，能够确保区域环境空气质量满足其功能区的要求。</w:t>
            </w:r>
          </w:p>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 xml:space="preserve">-1 </w:t>
            </w:r>
            <w:r>
              <w:rPr>
                <w:rFonts w:hint="eastAsia"/>
                <w:b/>
                <w:color w:val="auto"/>
                <w:kern w:val="0"/>
                <w:sz w:val="18"/>
                <w:szCs w:val="18"/>
              </w:rPr>
              <w:t>项目废气产排污节点、污染物及污染治理设施信息表</w:t>
            </w:r>
          </w:p>
          <w:tbl>
            <w:tblPr>
              <w:tblStyle w:val="14"/>
              <w:tblW w:w="8037"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866"/>
              <w:gridCol w:w="844"/>
              <w:gridCol w:w="1437"/>
              <w:gridCol w:w="761"/>
              <w:gridCol w:w="574"/>
              <w:gridCol w:w="1783"/>
              <w:gridCol w:w="790"/>
              <w:gridCol w:w="98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tblHeader/>
                <w:jc w:val="center"/>
              </w:trPr>
              <w:tc>
                <w:tcPr>
                  <w:tcW w:w="866" w:type="dxa"/>
                  <w:vMerge w:val="restart"/>
                  <w:tcBorders>
                    <w:top w:val="single" w:color="auto" w:sz="4" w:space="0"/>
                    <w:left w:val="nil"/>
                    <w:right w:val="single" w:color="000000" w:sz="4" w:space="0"/>
                  </w:tcBorders>
                  <w:vAlign w:val="center"/>
                </w:tcPr>
                <w:p>
                  <w:pPr>
                    <w:adjustRightInd w:val="0"/>
                    <w:snapToGrid w:val="0"/>
                    <w:jc w:val="center"/>
                    <w:rPr>
                      <w:bCs/>
                      <w:color w:val="auto"/>
                      <w:sz w:val="18"/>
                      <w:szCs w:val="18"/>
                    </w:rPr>
                  </w:pPr>
                  <w:r>
                    <w:rPr>
                      <w:bCs/>
                      <w:color w:val="auto"/>
                      <w:sz w:val="18"/>
                      <w:szCs w:val="18"/>
                    </w:rPr>
                    <w:t>生产线名称及编号</w:t>
                  </w:r>
                </w:p>
              </w:tc>
              <w:tc>
                <w:tcPr>
                  <w:tcW w:w="844" w:type="dxa"/>
                  <w:vMerge w:val="restart"/>
                  <w:tcBorders>
                    <w:top w:val="single" w:color="auto" w:sz="4" w:space="0"/>
                    <w:left w:val="single" w:color="000000" w:sz="4" w:space="0"/>
                    <w:right w:val="single" w:color="000000" w:sz="4" w:space="0"/>
                  </w:tcBorders>
                  <w:vAlign w:val="center"/>
                </w:tcPr>
                <w:p>
                  <w:pPr>
                    <w:adjustRightInd w:val="0"/>
                    <w:snapToGrid w:val="0"/>
                    <w:jc w:val="center"/>
                    <w:rPr>
                      <w:bCs/>
                      <w:color w:val="auto"/>
                      <w:sz w:val="18"/>
                      <w:szCs w:val="18"/>
                    </w:rPr>
                  </w:pPr>
                  <w:r>
                    <w:rPr>
                      <w:bCs/>
                      <w:color w:val="auto"/>
                      <w:sz w:val="18"/>
                      <w:szCs w:val="18"/>
                    </w:rPr>
                    <w:t>主要生产单元</w:t>
                  </w:r>
                </w:p>
              </w:tc>
              <w:tc>
                <w:tcPr>
                  <w:tcW w:w="1437" w:type="dxa"/>
                  <w:vMerge w:val="restart"/>
                  <w:tcBorders>
                    <w:top w:val="single" w:color="auto" w:sz="4" w:space="0"/>
                    <w:left w:val="single" w:color="000000" w:sz="4" w:space="0"/>
                    <w:right w:val="single" w:color="000000" w:sz="4" w:space="0"/>
                  </w:tcBorders>
                  <w:vAlign w:val="center"/>
                </w:tcPr>
                <w:p>
                  <w:pPr>
                    <w:adjustRightInd w:val="0"/>
                    <w:snapToGrid w:val="0"/>
                    <w:jc w:val="center"/>
                    <w:rPr>
                      <w:bCs/>
                      <w:color w:val="auto"/>
                      <w:sz w:val="18"/>
                      <w:szCs w:val="18"/>
                    </w:rPr>
                  </w:pPr>
                  <w:r>
                    <w:rPr>
                      <w:bCs/>
                      <w:color w:val="auto"/>
                      <w:sz w:val="18"/>
                      <w:szCs w:val="18"/>
                    </w:rPr>
                    <w:t>产污设施编号</w:t>
                  </w:r>
                </w:p>
              </w:tc>
              <w:tc>
                <w:tcPr>
                  <w:tcW w:w="761" w:type="dxa"/>
                  <w:vMerge w:val="restart"/>
                  <w:tcBorders>
                    <w:top w:val="single" w:color="auto" w:sz="4" w:space="0"/>
                    <w:left w:val="single" w:color="000000" w:sz="4" w:space="0"/>
                    <w:right w:val="single" w:color="000000" w:sz="4" w:space="0"/>
                  </w:tcBorders>
                  <w:vAlign w:val="center"/>
                </w:tcPr>
                <w:p>
                  <w:pPr>
                    <w:adjustRightInd w:val="0"/>
                    <w:snapToGrid w:val="0"/>
                    <w:jc w:val="center"/>
                    <w:rPr>
                      <w:bCs/>
                      <w:color w:val="auto"/>
                      <w:sz w:val="18"/>
                      <w:szCs w:val="18"/>
                    </w:rPr>
                  </w:pPr>
                  <w:r>
                    <w:rPr>
                      <w:bCs/>
                      <w:color w:val="auto"/>
                      <w:sz w:val="18"/>
                      <w:szCs w:val="18"/>
                    </w:rPr>
                    <w:t>污染物种类</w:t>
                  </w:r>
                </w:p>
              </w:tc>
              <w:tc>
                <w:tcPr>
                  <w:tcW w:w="574" w:type="dxa"/>
                  <w:vMerge w:val="restart"/>
                  <w:tcBorders>
                    <w:top w:val="single" w:color="auto" w:sz="4" w:space="0"/>
                    <w:left w:val="single" w:color="000000" w:sz="4" w:space="0"/>
                    <w:right w:val="single" w:color="000000" w:sz="4" w:space="0"/>
                  </w:tcBorders>
                  <w:vAlign w:val="center"/>
                </w:tcPr>
                <w:p>
                  <w:pPr>
                    <w:adjustRightInd w:val="0"/>
                    <w:snapToGrid w:val="0"/>
                    <w:jc w:val="center"/>
                    <w:rPr>
                      <w:bCs/>
                      <w:color w:val="auto"/>
                      <w:sz w:val="18"/>
                      <w:szCs w:val="18"/>
                    </w:rPr>
                  </w:pPr>
                  <w:r>
                    <w:rPr>
                      <w:bCs/>
                      <w:color w:val="auto"/>
                      <w:sz w:val="18"/>
                      <w:szCs w:val="18"/>
                    </w:rPr>
                    <w:t>排放形式</w:t>
                  </w:r>
                </w:p>
              </w:tc>
              <w:tc>
                <w:tcPr>
                  <w:tcW w:w="2573" w:type="dxa"/>
                  <w:gridSpan w:val="2"/>
                  <w:tcBorders>
                    <w:top w:val="single" w:color="auto" w:sz="4" w:space="0"/>
                    <w:left w:val="single" w:color="000000" w:sz="4" w:space="0"/>
                    <w:bottom w:val="single" w:color="auto" w:sz="4" w:space="0"/>
                    <w:right w:val="single" w:color="000000" w:sz="4" w:space="0"/>
                  </w:tcBorders>
                  <w:vAlign w:val="center"/>
                </w:tcPr>
                <w:p>
                  <w:pPr>
                    <w:adjustRightInd w:val="0"/>
                    <w:snapToGrid w:val="0"/>
                    <w:jc w:val="center"/>
                    <w:rPr>
                      <w:bCs/>
                      <w:color w:val="auto"/>
                      <w:sz w:val="18"/>
                      <w:szCs w:val="18"/>
                    </w:rPr>
                  </w:pPr>
                  <w:r>
                    <w:rPr>
                      <w:bCs/>
                      <w:color w:val="auto"/>
                      <w:sz w:val="18"/>
                      <w:szCs w:val="18"/>
                    </w:rPr>
                    <w:t>污染物治理设施</w:t>
                  </w:r>
                </w:p>
              </w:tc>
              <w:tc>
                <w:tcPr>
                  <w:tcW w:w="982" w:type="dxa"/>
                  <w:vMerge w:val="restart"/>
                  <w:tcBorders>
                    <w:top w:val="single" w:color="auto" w:sz="4" w:space="0"/>
                    <w:left w:val="single" w:color="000000" w:sz="4" w:space="0"/>
                    <w:right w:val="nil"/>
                  </w:tcBorders>
                  <w:vAlign w:val="center"/>
                </w:tcPr>
                <w:p>
                  <w:pPr>
                    <w:adjustRightInd w:val="0"/>
                    <w:snapToGrid w:val="0"/>
                    <w:jc w:val="center"/>
                    <w:rPr>
                      <w:bCs/>
                      <w:color w:val="auto"/>
                      <w:sz w:val="18"/>
                      <w:szCs w:val="18"/>
                    </w:rPr>
                  </w:pPr>
                  <w:r>
                    <w:rPr>
                      <w:bCs/>
                      <w:color w:val="auto"/>
                      <w:sz w:val="18"/>
                      <w:szCs w:val="18"/>
                    </w:rPr>
                    <w:t>排放口类型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5" w:hRule="atLeast"/>
                <w:tblHeader/>
                <w:jc w:val="center"/>
              </w:trPr>
              <w:tc>
                <w:tcPr>
                  <w:tcW w:w="866" w:type="dxa"/>
                  <w:vMerge w:val="continue"/>
                  <w:tcBorders>
                    <w:left w:val="nil"/>
                    <w:right w:val="single" w:color="000000" w:sz="4" w:space="0"/>
                  </w:tcBorders>
                  <w:vAlign w:val="center"/>
                </w:tcPr>
                <w:p>
                  <w:pPr>
                    <w:adjustRightInd w:val="0"/>
                    <w:snapToGrid w:val="0"/>
                    <w:jc w:val="center"/>
                    <w:rPr>
                      <w:bCs/>
                      <w:color w:val="auto"/>
                      <w:sz w:val="18"/>
                      <w:szCs w:val="18"/>
                    </w:rPr>
                  </w:pPr>
                </w:p>
              </w:tc>
              <w:tc>
                <w:tcPr>
                  <w:tcW w:w="844" w:type="dxa"/>
                  <w:vMerge w:val="continue"/>
                  <w:tcBorders>
                    <w:left w:val="single" w:color="000000" w:sz="4" w:space="0"/>
                    <w:right w:val="single" w:color="000000" w:sz="4" w:space="0"/>
                  </w:tcBorders>
                  <w:vAlign w:val="center"/>
                </w:tcPr>
                <w:p>
                  <w:pPr>
                    <w:adjustRightInd w:val="0"/>
                    <w:snapToGrid w:val="0"/>
                    <w:jc w:val="center"/>
                    <w:rPr>
                      <w:bCs/>
                      <w:color w:val="auto"/>
                      <w:sz w:val="18"/>
                      <w:szCs w:val="18"/>
                    </w:rPr>
                  </w:pPr>
                </w:p>
              </w:tc>
              <w:tc>
                <w:tcPr>
                  <w:tcW w:w="1437" w:type="dxa"/>
                  <w:vMerge w:val="continue"/>
                  <w:tcBorders>
                    <w:left w:val="single" w:color="000000" w:sz="4" w:space="0"/>
                    <w:bottom w:val="single" w:color="000000" w:sz="4" w:space="0"/>
                    <w:right w:val="single" w:color="000000" w:sz="4" w:space="0"/>
                  </w:tcBorders>
                  <w:vAlign w:val="center"/>
                </w:tcPr>
                <w:p>
                  <w:pPr>
                    <w:adjustRightInd w:val="0"/>
                    <w:snapToGrid w:val="0"/>
                    <w:jc w:val="center"/>
                    <w:rPr>
                      <w:bCs/>
                      <w:color w:val="auto"/>
                      <w:sz w:val="18"/>
                      <w:szCs w:val="18"/>
                    </w:rPr>
                  </w:pPr>
                </w:p>
              </w:tc>
              <w:tc>
                <w:tcPr>
                  <w:tcW w:w="761" w:type="dxa"/>
                  <w:vMerge w:val="continue"/>
                  <w:tcBorders>
                    <w:left w:val="single" w:color="000000" w:sz="4" w:space="0"/>
                    <w:right w:val="single" w:color="000000" w:sz="4" w:space="0"/>
                  </w:tcBorders>
                  <w:vAlign w:val="center"/>
                </w:tcPr>
                <w:p>
                  <w:pPr>
                    <w:adjustRightInd w:val="0"/>
                    <w:snapToGrid w:val="0"/>
                    <w:jc w:val="center"/>
                    <w:rPr>
                      <w:bCs/>
                      <w:color w:val="auto"/>
                      <w:sz w:val="18"/>
                      <w:szCs w:val="18"/>
                    </w:rPr>
                  </w:pPr>
                </w:p>
              </w:tc>
              <w:tc>
                <w:tcPr>
                  <w:tcW w:w="574" w:type="dxa"/>
                  <w:vMerge w:val="continue"/>
                  <w:tcBorders>
                    <w:left w:val="single" w:color="000000" w:sz="4" w:space="0"/>
                    <w:right w:val="single" w:color="000000" w:sz="4" w:space="0"/>
                  </w:tcBorders>
                  <w:vAlign w:val="center"/>
                </w:tcPr>
                <w:p>
                  <w:pPr>
                    <w:adjustRightInd w:val="0"/>
                    <w:snapToGrid w:val="0"/>
                    <w:jc w:val="center"/>
                    <w:rPr>
                      <w:bCs/>
                      <w:color w:val="auto"/>
                      <w:sz w:val="18"/>
                      <w:szCs w:val="18"/>
                    </w:rPr>
                  </w:pPr>
                </w:p>
              </w:tc>
              <w:tc>
                <w:tcPr>
                  <w:tcW w:w="1783" w:type="dxa"/>
                  <w:tcBorders>
                    <w:top w:val="single" w:color="auto" w:sz="4" w:space="0"/>
                    <w:left w:val="single" w:color="000000" w:sz="4" w:space="0"/>
                    <w:right w:val="single" w:color="000000" w:sz="4" w:space="0"/>
                  </w:tcBorders>
                  <w:vAlign w:val="center"/>
                </w:tcPr>
                <w:p>
                  <w:pPr>
                    <w:adjustRightInd w:val="0"/>
                    <w:snapToGrid w:val="0"/>
                    <w:jc w:val="center"/>
                    <w:rPr>
                      <w:bCs/>
                      <w:color w:val="auto"/>
                      <w:sz w:val="18"/>
                      <w:szCs w:val="18"/>
                    </w:rPr>
                  </w:pPr>
                  <w:r>
                    <w:rPr>
                      <w:bCs/>
                      <w:color w:val="auto"/>
                      <w:sz w:val="18"/>
                      <w:szCs w:val="18"/>
                    </w:rPr>
                    <w:t>污染物治理工艺</w:t>
                  </w:r>
                </w:p>
              </w:tc>
              <w:tc>
                <w:tcPr>
                  <w:tcW w:w="790" w:type="dxa"/>
                  <w:tcBorders>
                    <w:top w:val="single" w:color="auto" w:sz="4" w:space="0"/>
                    <w:left w:val="single" w:color="000000" w:sz="4" w:space="0"/>
                    <w:bottom w:val="single" w:color="auto" w:sz="4" w:space="0"/>
                    <w:right w:val="single" w:color="000000" w:sz="4" w:space="0"/>
                  </w:tcBorders>
                  <w:vAlign w:val="center"/>
                </w:tcPr>
                <w:p>
                  <w:pPr>
                    <w:adjustRightInd w:val="0"/>
                    <w:snapToGrid w:val="0"/>
                    <w:jc w:val="center"/>
                    <w:rPr>
                      <w:bCs/>
                      <w:color w:val="auto"/>
                      <w:sz w:val="18"/>
                      <w:szCs w:val="18"/>
                    </w:rPr>
                  </w:pPr>
                  <w:r>
                    <w:rPr>
                      <w:bCs/>
                      <w:color w:val="auto"/>
                      <w:sz w:val="18"/>
                      <w:szCs w:val="18"/>
                    </w:rPr>
                    <w:t>是否为可行技术</w:t>
                  </w:r>
                </w:p>
              </w:tc>
              <w:tc>
                <w:tcPr>
                  <w:tcW w:w="982" w:type="dxa"/>
                  <w:vMerge w:val="continue"/>
                  <w:tcBorders>
                    <w:left w:val="single" w:color="000000" w:sz="4" w:space="0"/>
                    <w:right w:val="nil"/>
                  </w:tcBorders>
                  <w:vAlign w:val="center"/>
                </w:tcPr>
                <w:p>
                  <w:pPr>
                    <w:adjustRightInd w:val="0"/>
                    <w:snapToGrid w:val="0"/>
                    <w:jc w:val="center"/>
                    <w:rPr>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5" w:hRule="atLeast"/>
                <w:tblHeader/>
                <w:jc w:val="center"/>
              </w:trPr>
              <w:tc>
                <w:tcPr>
                  <w:tcW w:w="866" w:type="dxa"/>
                  <w:vMerge w:val="restart"/>
                  <w:tcBorders>
                    <w:top w:val="single" w:color="000000" w:sz="4" w:space="0"/>
                    <w:left w:val="nil"/>
                    <w:right w:val="single" w:color="000000" w:sz="4" w:space="0"/>
                  </w:tcBorders>
                  <w:vAlign w:val="center"/>
                </w:tcPr>
                <w:p>
                  <w:pPr>
                    <w:adjustRightInd w:val="0"/>
                    <w:snapToGrid w:val="0"/>
                    <w:jc w:val="center"/>
                    <w:rPr>
                      <w:color w:val="auto"/>
                      <w:sz w:val="18"/>
                      <w:szCs w:val="18"/>
                    </w:rPr>
                  </w:pPr>
                  <w:r>
                    <w:rPr>
                      <w:color w:val="auto"/>
                      <w:sz w:val="18"/>
                      <w:szCs w:val="18"/>
                    </w:rPr>
                    <w:t>矿山开采SCX001</w:t>
                  </w:r>
                </w:p>
              </w:tc>
              <w:tc>
                <w:tcPr>
                  <w:tcW w:w="84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凿岩钻孔</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凿岩机MF0001</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粉尘</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自带收尘装置设备，湿式凿岩钻孔、洒水保湿</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jc w:val="center"/>
              </w:trPr>
              <w:tc>
                <w:tcPr>
                  <w:tcW w:w="866" w:type="dxa"/>
                  <w:vMerge w:val="continue"/>
                  <w:tcBorders>
                    <w:left w:val="nil"/>
                    <w:right w:val="single" w:color="000000" w:sz="4" w:space="0"/>
                  </w:tcBorders>
                  <w:vAlign w:val="center"/>
                </w:tcPr>
                <w:p>
                  <w:pPr>
                    <w:adjustRightInd w:val="0"/>
                    <w:snapToGrid w:val="0"/>
                    <w:jc w:val="center"/>
                    <w:rPr>
                      <w:color w:val="auto"/>
                      <w:sz w:val="18"/>
                      <w:szCs w:val="18"/>
                    </w:rPr>
                  </w:pPr>
                </w:p>
              </w:tc>
              <w:tc>
                <w:tcPr>
                  <w:tcW w:w="844" w:type="dxa"/>
                  <w:vMerge w:val="restart"/>
                  <w:tcBorders>
                    <w:top w:val="single" w:color="000000" w:sz="4" w:space="0"/>
                    <w:left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爆破</w:t>
                  </w:r>
                </w:p>
              </w:tc>
              <w:tc>
                <w:tcPr>
                  <w:tcW w:w="1437" w:type="dxa"/>
                  <w:vMerge w:val="restart"/>
                  <w:tcBorders>
                    <w:top w:val="single" w:color="000000" w:sz="4" w:space="0"/>
                    <w:left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爆破作业</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扬尘</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爆破后雾炮机洒水</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jc w:val="center"/>
              </w:trPr>
              <w:tc>
                <w:tcPr>
                  <w:tcW w:w="866" w:type="dxa"/>
                  <w:vMerge w:val="continue"/>
                  <w:tcBorders>
                    <w:left w:val="nil"/>
                    <w:right w:val="single" w:color="000000" w:sz="4" w:space="0"/>
                  </w:tcBorders>
                  <w:vAlign w:val="center"/>
                </w:tcPr>
                <w:p>
                  <w:pPr>
                    <w:adjustRightInd w:val="0"/>
                    <w:snapToGrid w:val="0"/>
                    <w:jc w:val="center"/>
                    <w:rPr>
                      <w:color w:val="auto"/>
                      <w:sz w:val="18"/>
                      <w:szCs w:val="18"/>
                    </w:rPr>
                  </w:pPr>
                </w:p>
              </w:tc>
              <w:tc>
                <w:tcPr>
                  <w:tcW w:w="844" w:type="dxa"/>
                  <w:vMerge w:val="continue"/>
                  <w:tcBorders>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p>
              </w:tc>
              <w:tc>
                <w:tcPr>
                  <w:tcW w:w="1437" w:type="dxa"/>
                  <w:vMerge w:val="continue"/>
                  <w:tcBorders>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CO、NOx</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大气扩散、自然稀释</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jc w:val="center"/>
              </w:trPr>
              <w:tc>
                <w:tcPr>
                  <w:tcW w:w="866" w:type="dxa"/>
                  <w:vMerge w:val="continue"/>
                  <w:tcBorders>
                    <w:left w:val="nil"/>
                    <w:right w:val="single" w:color="000000" w:sz="4" w:space="0"/>
                  </w:tcBorders>
                  <w:vAlign w:val="center"/>
                </w:tcPr>
                <w:p>
                  <w:pPr>
                    <w:adjustRightInd w:val="0"/>
                    <w:snapToGrid w:val="0"/>
                    <w:jc w:val="center"/>
                    <w:rPr>
                      <w:color w:val="auto"/>
                      <w:sz w:val="18"/>
                      <w:szCs w:val="18"/>
                    </w:rPr>
                  </w:pPr>
                </w:p>
              </w:tc>
              <w:tc>
                <w:tcPr>
                  <w:tcW w:w="844" w:type="dxa"/>
                  <w:tcBorders>
                    <w:top w:val="single" w:color="000000" w:sz="4" w:space="0"/>
                    <w:left w:val="single" w:color="000000" w:sz="4" w:space="0"/>
                    <w:bottom w:val="single" w:color="auto" w:sz="4" w:space="0"/>
                    <w:right w:val="single" w:color="000000" w:sz="4" w:space="0"/>
                  </w:tcBorders>
                  <w:vAlign w:val="center"/>
                </w:tcPr>
                <w:p>
                  <w:pPr>
                    <w:adjustRightInd w:val="0"/>
                    <w:snapToGrid w:val="0"/>
                    <w:jc w:val="center"/>
                    <w:rPr>
                      <w:color w:val="auto"/>
                      <w:sz w:val="18"/>
                      <w:szCs w:val="18"/>
                    </w:rPr>
                  </w:pPr>
                  <w:r>
                    <w:rPr>
                      <w:color w:val="auto"/>
                      <w:sz w:val="18"/>
                      <w:szCs w:val="18"/>
                    </w:rPr>
                    <w:t>矿石采选</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装载机MF0002</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粉尘</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lang w:val="zh-CN"/>
                    </w:rPr>
                  </w:pPr>
                  <w:r>
                    <w:rPr>
                      <w:color w:val="auto"/>
                      <w:sz w:val="18"/>
                      <w:szCs w:val="18"/>
                    </w:rPr>
                    <w:t>雾炮机喷雾洒水</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jc w:val="center"/>
              </w:trPr>
              <w:tc>
                <w:tcPr>
                  <w:tcW w:w="866" w:type="dxa"/>
                  <w:vMerge w:val="continue"/>
                  <w:tcBorders>
                    <w:left w:val="nil"/>
                    <w:right w:val="single" w:color="000000" w:sz="4" w:space="0"/>
                  </w:tcBorders>
                  <w:vAlign w:val="center"/>
                </w:tcPr>
                <w:p>
                  <w:pPr>
                    <w:adjustRightInd w:val="0"/>
                    <w:snapToGrid w:val="0"/>
                    <w:jc w:val="center"/>
                    <w:rPr>
                      <w:color w:val="auto"/>
                      <w:sz w:val="18"/>
                      <w:szCs w:val="18"/>
                    </w:rPr>
                  </w:pPr>
                </w:p>
              </w:tc>
              <w:tc>
                <w:tcPr>
                  <w:tcW w:w="844" w:type="dxa"/>
                  <w:tcBorders>
                    <w:top w:val="single" w:color="auto"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道路运输</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运输车辆</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扬尘</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喷雾洒水、车辆冲洗台</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jc w:val="center"/>
              </w:trPr>
              <w:tc>
                <w:tcPr>
                  <w:tcW w:w="866" w:type="dxa"/>
                  <w:vMerge w:val="restart"/>
                  <w:tcBorders>
                    <w:top w:val="single" w:color="auto" w:sz="4" w:space="0"/>
                    <w:left w:val="nil"/>
                    <w:right w:val="single" w:color="auto" w:sz="4" w:space="0"/>
                  </w:tcBorders>
                  <w:vAlign w:val="center"/>
                </w:tcPr>
                <w:p>
                  <w:pPr>
                    <w:adjustRightInd w:val="0"/>
                    <w:snapToGrid w:val="0"/>
                    <w:jc w:val="center"/>
                    <w:rPr>
                      <w:color w:val="auto"/>
                      <w:sz w:val="18"/>
                      <w:szCs w:val="18"/>
                    </w:rPr>
                  </w:pPr>
                  <w:r>
                    <w:rPr>
                      <w:color w:val="auto"/>
                      <w:sz w:val="18"/>
                      <w:szCs w:val="18"/>
                    </w:rPr>
                    <w:t>加工生产线SCX002</w:t>
                  </w:r>
                </w:p>
              </w:tc>
              <w:tc>
                <w:tcPr>
                  <w:tcW w:w="844" w:type="dxa"/>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卸料</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给料机MF0003</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粉尘</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lang w:val="zh-CN"/>
                    </w:rPr>
                  </w:pPr>
                  <w:r>
                    <w:rPr>
                      <w:color w:val="auto"/>
                      <w:sz w:val="18"/>
                      <w:szCs w:val="18"/>
                    </w:rPr>
                    <w:t>喷雾洒水、车间封闭</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jc w:val="center"/>
              </w:trPr>
              <w:tc>
                <w:tcPr>
                  <w:tcW w:w="866" w:type="dxa"/>
                  <w:vMerge w:val="continue"/>
                  <w:tcBorders>
                    <w:left w:val="nil"/>
                    <w:right w:val="single" w:color="auto" w:sz="4" w:space="0"/>
                  </w:tcBorders>
                  <w:vAlign w:val="center"/>
                </w:tcPr>
                <w:p>
                  <w:pPr>
                    <w:adjustRightInd w:val="0"/>
                    <w:snapToGrid w:val="0"/>
                    <w:jc w:val="center"/>
                    <w:rPr>
                      <w:color w:val="auto"/>
                      <w:sz w:val="18"/>
                      <w:szCs w:val="18"/>
                    </w:rPr>
                  </w:pPr>
                </w:p>
              </w:tc>
              <w:tc>
                <w:tcPr>
                  <w:tcW w:w="844" w:type="dxa"/>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一级破碎</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颚破机MF0004</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粉尘</w:t>
                  </w:r>
                </w:p>
              </w:tc>
              <w:tc>
                <w:tcPr>
                  <w:tcW w:w="574" w:type="dxa"/>
                  <w:vMerge w:val="restart"/>
                  <w:tcBorders>
                    <w:top w:val="single" w:color="000000" w:sz="4" w:space="0"/>
                    <w:left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vMerge w:val="restart"/>
                  <w:tcBorders>
                    <w:top w:val="single" w:color="000000" w:sz="4" w:space="0"/>
                    <w:left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喷雾洒水、车间封闭</w:t>
                  </w:r>
                </w:p>
              </w:tc>
              <w:tc>
                <w:tcPr>
                  <w:tcW w:w="790" w:type="dxa"/>
                  <w:vMerge w:val="restart"/>
                  <w:tcBorders>
                    <w:top w:val="single" w:color="000000" w:sz="4" w:space="0"/>
                    <w:left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vMerge w:val="restart"/>
                  <w:tcBorders>
                    <w:top w:val="single" w:color="000000" w:sz="4" w:space="0"/>
                    <w:left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jc w:val="center"/>
              </w:trPr>
              <w:tc>
                <w:tcPr>
                  <w:tcW w:w="866" w:type="dxa"/>
                  <w:vMerge w:val="continue"/>
                  <w:tcBorders>
                    <w:left w:val="nil"/>
                    <w:right w:val="single" w:color="auto" w:sz="4" w:space="0"/>
                  </w:tcBorders>
                  <w:vAlign w:val="center"/>
                </w:tcPr>
                <w:p>
                  <w:pPr>
                    <w:adjustRightInd w:val="0"/>
                    <w:snapToGrid w:val="0"/>
                    <w:jc w:val="center"/>
                    <w:rPr>
                      <w:color w:val="auto"/>
                      <w:sz w:val="18"/>
                      <w:szCs w:val="18"/>
                    </w:rPr>
                  </w:pPr>
                </w:p>
              </w:tc>
              <w:tc>
                <w:tcPr>
                  <w:tcW w:w="844" w:type="dxa"/>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二级破碎</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反击破机MF0005</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粉尘</w:t>
                  </w:r>
                </w:p>
              </w:tc>
              <w:tc>
                <w:tcPr>
                  <w:tcW w:w="574" w:type="dxa"/>
                  <w:vMerge w:val="continue"/>
                  <w:tcBorders>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p>
              </w:tc>
              <w:tc>
                <w:tcPr>
                  <w:tcW w:w="1783" w:type="dxa"/>
                  <w:vMerge w:val="continue"/>
                  <w:tcBorders>
                    <w:left w:val="single" w:color="000000" w:sz="4" w:space="0"/>
                    <w:bottom w:val="single" w:color="000000" w:sz="4" w:space="0"/>
                    <w:right w:val="single" w:color="000000" w:sz="4" w:space="0"/>
                  </w:tcBorders>
                  <w:vAlign w:val="center"/>
                </w:tcPr>
                <w:p>
                  <w:pPr>
                    <w:adjustRightInd w:val="0"/>
                    <w:snapToGrid w:val="0"/>
                    <w:jc w:val="center"/>
                    <w:rPr>
                      <w:color w:val="auto"/>
                      <w:sz w:val="18"/>
                      <w:szCs w:val="18"/>
                      <w:lang w:val="zh-CN"/>
                    </w:rPr>
                  </w:pPr>
                </w:p>
              </w:tc>
              <w:tc>
                <w:tcPr>
                  <w:tcW w:w="790" w:type="dxa"/>
                  <w:vMerge w:val="continue"/>
                  <w:tcBorders>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p>
              </w:tc>
              <w:tc>
                <w:tcPr>
                  <w:tcW w:w="982" w:type="dxa"/>
                  <w:vMerge w:val="continue"/>
                  <w:tcBorders>
                    <w:left w:val="single" w:color="000000" w:sz="4" w:space="0"/>
                    <w:bottom w:val="single" w:color="000000" w:sz="4" w:space="0"/>
                    <w:right w:val="nil"/>
                  </w:tcBorders>
                  <w:vAlign w:val="center"/>
                </w:tcPr>
                <w:p>
                  <w:pPr>
                    <w:adjustRightInd w:val="0"/>
                    <w:snapToGrid w:val="0"/>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jc w:val="center"/>
              </w:trPr>
              <w:tc>
                <w:tcPr>
                  <w:tcW w:w="866" w:type="dxa"/>
                  <w:vMerge w:val="continue"/>
                  <w:tcBorders>
                    <w:left w:val="nil"/>
                    <w:right w:val="single" w:color="auto" w:sz="4" w:space="0"/>
                  </w:tcBorders>
                  <w:vAlign w:val="center"/>
                </w:tcPr>
                <w:p>
                  <w:pPr>
                    <w:adjustRightInd w:val="0"/>
                    <w:snapToGrid w:val="0"/>
                    <w:jc w:val="center"/>
                    <w:rPr>
                      <w:color w:val="auto"/>
                      <w:sz w:val="18"/>
                      <w:szCs w:val="18"/>
                    </w:rPr>
                  </w:pPr>
                </w:p>
              </w:tc>
              <w:tc>
                <w:tcPr>
                  <w:tcW w:w="844" w:type="dxa"/>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一级筛分</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筛分机MF0006</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粉尘</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lang w:val="zh-CN"/>
                    </w:rPr>
                  </w:pPr>
                  <w:r>
                    <w:rPr>
                      <w:color w:val="auto"/>
                      <w:sz w:val="18"/>
                      <w:szCs w:val="18"/>
                    </w:rPr>
                    <w:t>喷水、车间封闭</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jc w:val="center"/>
              </w:trPr>
              <w:tc>
                <w:tcPr>
                  <w:tcW w:w="866" w:type="dxa"/>
                  <w:vMerge w:val="continue"/>
                  <w:tcBorders>
                    <w:left w:val="nil"/>
                    <w:right w:val="single" w:color="auto" w:sz="4" w:space="0"/>
                  </w:tcBorders>
                  <w:vAlign w:val="center"/>
                </w:tcPr>
                <w:p>
                  <w:pPr>
                    <w:adjustRightInd w:val="0"/>
                    <w:snapToGrid w:val="0"/>
                    <w:jc w:val="center"/>
                    <w:rPr>
                      <w:color w:val="auto"/>
                      <w:sz w:val="18"/>
                      <w:szCs w:val="18"/>
                    </w:rPr>
                  </w:pPr>
                </w:p>
              </w:tc>
              <w:tc>
                <w:tcPr>
                  <w:tcW w:w="844" w:type="dxa"/>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color w:val="auto"/>
                      <w:sz w:val="18"/>
                      <w:szCs w:val="18"/>
                    </w:rPr>
                  </w:pPr>
                  <w:r>
                    <w:rPr>
                      <w:rFonts w:hint="eastAsia"/>
                      <w:color w:val="auto"/>
                      <w:sz w:val="18"/>
                      <w:szCs w:val="18"/>
                    </w:rPr>
                    <w:t>二</w:t>
                  </w:r>
                  <w:r>
                    <w:rPr>
                      <w:color w:val="auto"/>
                      <w:sz w:val="18"/>
                      <w:szCs w:val="18"/>
                    </w:rPr>
                    <w:t>级筛分</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筛分机MF0006</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粉尘</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喷水、车间封闭</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jc w:val="center"/>
              </w:trPr>
              <w:tc>
                <w:tcPr>
                  <w:tcW w:w="866" w:type="dxa"/>
                  <w:vMerge w:val="continue"/>
                  <w:tcBorders>
                    <w:left w:val="nil"/>
                    <w:right w:val="single" w:color="auto" w:sz="4" w:space="0"/>
                  </w:tcBorders>
                  <w:vAlign w:val="center"/>
                </w:tcPr>
                <w:p>
                  <w:pPr>
                    <w:adjustRightInd w:val="0"/>
                    <w:snapToGrid w:val="0"/>
                    <w:jc w:val="center"/>
                    <w:rPr>
                      <w:color w:val="auto"/>
                      <w:sz w:val="18"/>
                      <w:szCs w:val="18"/>
                    </w:rPr>
                  </w:pPr>
                </w:p>
              </w:tc>
              <w:tc>
                <w:tcPr>
                  <w:tcW w:w="844" w:type="dxa"/>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整形</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整形机MF0007</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粉尘</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lang w:val="zh-CN"/>
                    </w:rPr>
                  </w:pPr>
                  <w:r>
                    <w:rPr>
                      <w:color w:val="auto"/>
                      <w:sz w:val="18"/>
                      <w:szCs w:val="18"/>
                    </w:rPr>
                    <w:t>喷雾洒水、车间封闭</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jc w:val="center"/>
              </w:trPr>
              <w:tc>
                <w:tcPr>
                  <w:tcW w:w="866" w:type="dxa"/>
                  <w:vMerge w:val="continue"/>
                  <w:tcBorders>
                    <w:left w:val="nil"/>
                    <w:right w:val="single" w:color="auto" w:sz="4" w:space="0"/>
                  </w:tcBorders>
                  <w:vAlign w:val="center"/>
                </w:tcPr>
                <w:p>
                  <w:pPr>
                    <w:adjustRightInd w:val="0"/>
                    <w:snapToGrid w:val="0"/>
                    <w:jc w:val="center"/>
                    <w:rPr>
                      <w:color w:val="auto"/>
                      <w:sz w:val="18"/>
                      <w:szCs w:val="18"/>
                    </w:rPr>
                  </w:pPr>
                </w:p>
              </w:tc>
              <w:tc>
                <w:tcPr>
                  <w:tcW w:w="844" w:type="dxa"/>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矿石输送</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输送皮带</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粉尘</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lang w:val="zh-CN"/>
                    </w:rPr>
                  </w:pPr>
                  <w:r>
                    <w:rPr>
                      <w:color w:val="auto"/>
                      <w:sz w:val="18"/>
                      <w:szCs w:val="18"/>
                    </w:rPr>
                    <w:t>平稳输送、皮带封闭</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jc w:val="center"/>
              </w:trPr>
              <w:tc>
                <w:tcPr>
                  <w:tcW w:w="866" w:type="dxa"/>
                  <w:vMerge w:val="continue"/>
                  <w:tcBorders>
                    <w:left w:val="nil"/>
                    <w:right w:val="single" w:color="auto" w:sz="4" w:space="0"/>
                  </w:tcBorders>
                  <w:vAlign w:val="center"/>
                </w:tcPr>
                <w:p>
                  <w:pPr>
                    <w:adjustRightInd w:val="0"/>
                    <w:snapToGrid w:val="0"/>
                    <w:jc w:val="center"/>
                    <w:rPr>
                      <w:color w:val="auto"/>
                      <w:sz w:val="18"/>
                      <w:szCs w:val="18"/>
                    </w:rPr>
                  </w:pPr>
                </w:p>
              </w:tc>
              <w:tc>
                <w:tcPr>
                  <w:tcW w:w="844" w:type="dxa"/>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运输道路</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运输车辆</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扬尘</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喷雾洒水、车辆冲洗台</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05" w:hRule="atLeast"/>
                <w:jc w:val="center"/>
              </w:trPr>
              <w:tc>
                <w:tcPr>
                  <w:tcW w:w="866" w:type="dxa"/>
                  <w:tcBorders>
                    <w:top w:val="single" w:color="auto" w:sz="4" w:space="0"/>
                    <w:left w:val="nil"/>
                    <w:bottom w:val="single" w:color="auto" w:sz="4" w:space="0"/>
                    <w:right w:val="single" w:color="auto" w:sz="4" w:space="0"/>
                  </w:tcBorders>
                  <w:vAlign w:val="center"/>
                </w:tcPr>
                <w:p>
                  <w:pPr>
                    <w:adjustRightInd w:val="0"/>
                    <w:snapToGrid w:val="0"/>
                    <w:jc w:val="center"/>
                    <w:rPr>
                      <w:color w:val="auto"/>
                      <w:sz w:val="18"/>
                      <w:szCs w:val="18"/>
                    </w:rPr>
                  </w:pPr>
                  <w:r>
                    <w:rPr>
                      <w:color w:val="auto"/>
                      <w:sz w:val="18"/>
                      <w:szCs w:val="18"/>
                    </w:rPr>
                    <w:t>产品堆场</w:t>
                  </w:r>
                </w:p>
              </w:tc>
              <w:tc>
                <w:tcPr>
                  <w:tcW w:w="844" w:type="dxa"/>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产品堆放、装车作业</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装载机</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扬尘</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lang w:val="zh-CN"/>
                    </w:rPr>
                  </w:pPr>
                  <w:r>
                    <w:rPr>
                      <w:color w:val="auto"/>
                      <w:sz w:val="18"/>
                      <w:szCs w:val="18"/>
                    </w:rPr>
                    <w:t>喷雾洒水、堆场封闭</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18" w:hRule="atLeast"/>
                <w:jc w:val="center"/>
              </w:trPr>
              <w:tc>
                <w:tcPr>
                  <w:tcW w:w="866" w:type="dxa"/>
                  <w:tcBorders>
                    <w:top w:val="single" w:color="auto" w:sz="4" w:space="0"/>
                    <w:left w:val="nil"/>
                    <w:bottom w:val="single" w:color="auto" w:sz="4" w:space="0"/>
                    <w:right w:val="single" w:color="auto" w:sz="4" w:space="0"/>
                  </w:tcBorders>
                  <w:vAlign w:val="center"/>
                </w:tcPr>
                <w:p>
                  <w:pPr>
                    <w:adjustRightInd w:val="0"/>
                    <w:snapToGrid w:val="0"/>
                    <w:jc w:val="center"/>
                    <w:rPr>
                      <w:color w:val="auto"/>
                      <w:sz w:val="18"/>
                      <w:szCs w:val="18"/>
                    </w:rPr>
                  </w:pPr>
                  <w:r>
                    <w:rPr>
                      <w:color w:val="auto"/>
                      <w:sz w:val="18"/>
                      <w:szCs w:val="18"/>
                    </w:rPr>
                    <w:t>表土临时堆场</w:t>
                  </w:r>
                </w:p>
              </w:tc>
              <w:tc>
                <w:tcPr>
                  <w:tcW w:w="844" w:type="dxa"/>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表土堆放</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表土临时堆场</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扬尘</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洒水保湿、防尘网覆盖、植草临时绿化</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62" w:hRule="atLeast"/>
                <w:jc w:val="center"/>
              </w:trPr>
              <w:tc>
                <w:tcPr>
                  <w:tcW w:w="866" w:type="dxa"/>
                  <w:tcBorders>
                    <w:top w:val="single" w:color="auto" w:sz="4" w:space="0"/>
                    <w:left w:val="nil"/>
                    <w:bottom w:val="single" w:color="auto" w:sz="4" w:space="0"/>
                    <w:right w:val="single" w:color="auto" w:sz="4" w:space="0"/>
                  </w:tcBorders>
                  <w:vAlign w:val="center"/>
                </w:tcPr>
                <w:p>
                  <w:pPr>
                    <w:adjustRightInd w:val="0"/>
                    <w:snapToGrid w:val="0"/>
                    <w:jc w:val="center"/>
                    <w:rPr>
                      <w:color w:val="auto"/>
                      <w:sz w:val="18"/>
                      <w:szCs w:val="18"/>
                    </w:rPr>
                  </w:pPr>
                  <w:r>
                    <w:rPr>
                      <w:color w:val="auto"/>
                      <w:sz w:val="18"/>
                      <w:szCs w:val="18"/>
                    </w:rPr>
                    <w:t>开采加工</w:t>
                  </w:r>
                </w:p>
              </w:tc>
              <w:tc>
                <w:tcPr>
                  <w:tcW w:w="844" w:type="dxa"/>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运输、铲装</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燃油设备</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CO、NOx</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大气扩散、自然稀释</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3" w:hRule="atLeast"/>
                <w:jc w:val="center"/>
              </w:trPr>
              <w:tc>
                <w:tcPr>
                  <w:tcW w:w="866" w:type="dxa"/>
                  <w:tcBorders>
                    <w:top w:val="single" w:color="auto" w:sz="4" w:space="0"/>
                    <w:left w:val="nil"/>
                    <w:bottom w:val="single" w:color="auto" w:sz="4" w:space="0"/>
                    <w:right w:val="single" w:color="auto" w:sz="4" w:space="0"/>
                  </w:tcBorders>
                  <w:vAlign w:val="center"/>
                </w:tcPr>
                <w:p>
                  <w:pPr>
                    <w:adjustRightInd w:val="0"/>
                    <w:snapToGrid w:val="0"/>
                    <w:jc w:val="center"/>
                    <w:rPr>
                      <w:color w:val="auto"/>
                      <w:sz w:val="18"/>
                      <w:szCs w:val="18"/>
                    </w:rPr>
                  </w:pPr>
                  <w:r>
                    <w:rPr>
                      <w:color w:val="auto"/>
                      <w:sz w:val="18"/>
                      <w:szCs w:val="18"/>
                    </w:rPr>
                    <w:t>食堂</w:t>
                  </w:r>
                </w:p>
              </w:tc>
              <w:tc>
                <w:tcPr>
                  <w:tcW w:w="844" w:type="dxa"/>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烹饪</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厨房MF0008</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油烟</w:t>
                  </w:r>
                </w:p>
              </w:tc>
              <w:tc>
                <w:tcPr>
                  <w:tcW w:w="57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无组织</w:t>
                  </w:r>
                </w:p>
              </w:tc>
              <w:tc>
                <w:tcPr>
                  <w:tcW w:w="178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 w:val="18"/>
                      <w:szCs w:val="18"/>
                    </w:rPr>
                  </w:pPr>
                  <w:r>
                    <w:rPr>
                      <w:color w:val="auto"/>
                      <w:sz w:val="18"/>
                      <w:szCs w:val="18"/>
                    </w:rPr>
                    <w:t>抽油烟机</w:t>
                  </w:r>
                </w:p>
              </w:tc>
              <w:tc>
                <w:tcPr>
                  <w:tcW w:w="790"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color w:val="auto"/>
                      <w:sz w:val="18"/>
                      <w:szCs w:val="18"/>
                    </w:rPr>
                  </w:pPr>
                  <w:r>
                    <w:rPr>
                      <w:color w:val="auto"/>
                      <w:sz w:val="18"/>
                      <w:szCs w:val="18"/>
                    </w:rPr>
                    <w:t>是</w:t>
                  </w:r>
                </w:p>
              </w:tc>
              <w:tc>
                <w:tcPr>
                  <w:tcW w:w="982" w:type="dxa"/>
                  <w:tcBorders>
                    <w:top w:val="single" w:color="000000" w:sz="4" w:space="0"/>
                    <w:left w:val="single" w:color="000000" w:sz="4" w:space="0"/>
                    <w:bottom w:val="single" w:color="000000" w:sz="4" w:space="0"/>
                    <w:right w:val="nil"/>
                  </w:tcBorders>
                  <w:vAlign w:val="center"/>
                </w:tcPr>
                <w:p>
                  <w:pPr>
                    <w:adjustRightInd w:val="0"/>
                    <w:snapToGrid w:val="0"/>
                    <w:jc w:val="center"/>
                    <w:rPr>
                      <w:color w:val="auto"/>
                      <w:sz w:val="18"/>
                      <w:szCs w:val="18"/>
                    </w:rPr>
                  </w:pPr>
                  <w:r>
                    <w:rPr>
                      <w:color w:val="auto"/>
                      <w:sz w:val="18"/>
                      <w:szCs w:val="18"/>
                    </w:rPr>
                    <w:t>/</w:t>
                  </w:r>
                </w:p>
              </w:tc>
            </w:tr>
          </w:tbl>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 xml:space="preserve">-2 </w:t>
            </w:r>
            <w:r>
              <w:rPr>
                <w:rFonts w:hint="eastAsia"/>
                <w:b/>
                <w:color w:val="auto"/>
                <w:kern w:val="0"/>
                <w:sz w:val="18"/>
                <w:szCs w:val="18"/>
              </w:rPr>
              <w:t>大气污染物无组织排放表</w:t>
            </w:r>
          </w:p>
          <w:tbl>
            <w:tblPr>
              <w:tblStyle w:val="14"/>
              <w:tblW w:w="80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76"/>
              <w:gridCol w:w="1292"/>
              <w:gridCol w:w="1230"/>
              <w:gridCol w:w="919"/>
              <w:gridCol w:w="856"/>
              <w:gridCol w:w="1604"/>
              <w:gridCol w:w="896"/>
              <w:gridCol w:w="8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Merge w:val="restart"/>
                  <w:vAlign w:val="center"/>
                </w:tcPr>
                <w:p>
                  <w:pPr>
                    <w:adjustRightInd w:val="0"/>
                    <w:snapToGrid w:val="0"/>
                    <w:jc w:val="center"/>
                    <w:rPr>
                      <w:bCs/>
                      <w:color w:val="auto"/>
                      <w:sz w:val="18"/>
                      <w:szCs w:val="18"/>
                    </w:rPr>
                  </w:pPr>
                  <w:r>
                    <w:rPr>
                      <w:bCs/>
                      <w:color w:val="auto"/>
                      <w:sz w:val="18"/>
                      <w:szCs w:val="18"/>
                    </w:rPr>
                    <w:t>序号</w:t>
                  </w:r>
                </w:p>
              </w:tc>
              <w:tc>
                <w:tcPr>
                  <w:tcW w:w="1292" w:type="dxa"/>
                  <w:vMerge w:val="restart"/>
                  <w:vAlign w:val="center"/>
                </w:tcPr>
                <w:p>
                  <w:pPr>
                    <w:adjustRightInd w:val="0"/>
                    <w:snapToGrid w:val="0"/>
                    <w:jc w:val="center"/>
                    <w:rPr>
                      <w:bCs/>
                      <w:color w:val="auto"/>
                      <w:sz w:val="18"/>
                      <w:szCs w:val="18"/>
                    </w:rPr>
                  </w:pPr>
                  <w:r>
                    <w:rPr>
                      <w:bCs/>
                      <w:color w:val="auto"/>
                      <w:sz w:val="18"/>
                      <w:szCs w:val="18"/>
                    </w:rPr>
                    <w:t>生产设施编号/无组织排放编号</w:t>
                  </w:r>
                </w:p>
              </w:tc>
              <w:tc>
                <w:tcPr>
                  <w:tcW w:w="1230" w:type="dxa"/>
                  <w:vMerge w:val="restart"/>
                  <w:vAlign w:val="center"/>
                </w:tcPr>
                <w:p>
                  <w:pPr>
                    <w:adjustRightInd w:val="0"/>
                    <w:snapToGrid w:val="0"/>
                    <w:jc w:val="center"/>
                    <w:rPr>
                      <w:bCs/>
                      <w:color w:val="auto"/>
                      <w:sz w:val="18"/>
                      <w:szCs w:val="18"/>
                    </w:rPr>
                  </w:pPr>
                  <w:r>
                    <w:rPr>
                      <w:bCs/>
                      <w:color w:val="auto"/>
                      <w:sz w:val="18"/>
                      <w:szCs w:val="18"/>
                    </w:rPr>
                    <w:t>产污</w:t>
                  </w:r>
                </w:p>
                <w:p>
                  <w:pPr>
                    <w:adjustRightInd w:val="0"/>
                    <w:snapToGrid w:val="0"/>
                    <w:jc w:val="center"/>
                    <w:rPr>
                      <w:bCs/>
                      <w:color w:val="auto"/>
                      <w:sz w:val="18"/>
                      <w:szCs w:val="18"/>
                    </w:rPr>
                  </w:pPr>
                  <w:r>
                    <w:rPr>
                      <w:bCs/>
                      <w:color w:val="auto"/>
                      <w:sz w:val="18"/>
                      <w:szCs w:val="18"/>
                    </w:rPr>
                    <w:t>环节</w:t>
                  </w:r>
                </w:p>
              </w:tc>
              <w:tc>
                <w:tcPr>
                  <w:tcW w:w="919" w:type="dxa"/>
                  <w:vMerge w:val="restart"/>
                  <w:vAlign w:val="center"/>
                </w:tcPr>
                <w:p>
                  <w:pPr>
                    <w:adjustRightInd w:val="0"/>
                    <w:snapToGrid w:val="0"/>
                    <w:jc w:val="center"/>
                    <w:rPr>
                      <w:bCs/>
                      <w:color w:val="auto"/>
                      <w:sz w:val="18"/>
                      <w:szCs w:val="18"/>
                    </w:rPr>
                  </w:pPr>
                  <w:r>
                    <w:rPr>
                      <w:bCs/>
                      <w:color w:val="auto"/>
                      <w:sz w:val="18"/>
                      <w:szCs w:val="18"/>
                    </w:rPr>
                    <w:t>污染物</w:t>
                  </w:r>
                </w:p>
                <w:p>
                  <w:pPr>
                    <w:adjustRightInd w:val="0"/>
                    <w:snapToGrid w:val="0"/>
                    <w:jc w:val="center"/>
                    <w:rPr>
                      <w:bCs/>
                      <w:color w:val="auto"/>
                      <w:sz w:val="18"/>
                      <w:szCs w:val="18"/>
                    </w:rPr>
                  </w:pPr>
                  <w:r>
                    <w:rPr>
                      <w:bCs/>
                      <w:color w:val="auto"/>
                      <w:sz w:val="18"/>
                      <w:szCs w:val="18"/>
                    </w:rPr>
                    <w:t>种类</w:t>
                  </w:r>
                </w:p>
              </w:tc>
              <w:tc>
                <w:tcPr>
                  <w:tcW w:w="856" w:type="dxa"/>
                  <w:vMerge w:val="restart"/>
                  <w:vAlign w:val="center"/>
                </w:tcPr>
                <w:p>
                  <w:pPr>
                    <w:adjustRightInd w:val="0"/>
                    <w:snapToGrid w:val="0"/>
                    <w:jc w:val="center"/>
                    <w:rPr>
                      <w:bCs/>
                      <w:color w:val="auto"/>
                      <w:sz w:val="18"/>
                      <w:szCs w:val="18"/>
                    </w:rPr>
                  </w:pPr>
                  <w:r>
                    <w:rPr>
                      <w:bCs/>
                      <w:color w:val="auto"/>
                      <w:sz w:val="18"/>
                      <w:szCs w:val="18"/>
                    </w:rPr>
                    <w:t>排放量</w:t>
                  </w:r>
                </w:p>
              </w:tc>
              <w:tc>
                <w:tcPr>
                  <w:tcW w:w="2500" w:type="dxa"/>
                  <w:gridSpan w:val="2"/>
                  <w:vAlign w:val="center"/>
                </w:tcPr>
                <w:p>
                  <w:pPr>
                    <w:adjustRightInd w:val="0"/>
                    <w:snapToGrid w:val="0"/>
                    <w:jc w:val="center"/>
                    <w:rPr>
                      <w:bCs/>
                      <w:color w:val="auto"/>
                      <w:sz w:val="18"/>
                      <w:szCs w:val="18"/>
                    </w:rPr>
                  </w:pPr>
                  <w:r>
                    <w:rPr>
                      <w:bCs/>
                      <w:color w:val="auto"/>
                      <w:sz w:val="18"/>
                      <w:szCs w:val="18"/>
                    </w:rPr>
                    <w:t>国家或地方污染物排放标准</w:t>
                  </w:r>
                </w:p>
              </w:tc>
              <w:tc>
                <w:tcPr>
                  <w:tcW w:w="823" w:type="dxa"/>
                  <w:vMerge w:val="restart"/>
                  <w:vAlign w:val="center"/>
                </w:tcPr>
                <w:p>
                  <w:pPr>
                    <w:adjustRightInd w:val="0"/>
                    <w:snapToGrid w:val="0"/>
                    <w:jc w:val="center"/>
                    <w:rPr>
                      <w:bCs/>
                      <w:color w:val="auto"/>
                      <w:sz w:val="18"/>
                      <w:szCs w:val="18"/>
                    </w:rPr>
                  </w:pPr>
                  <w:r>
                    <w:rPr>
                      <w:bCs/>
                      <w:color w:val="auto"/>
                      <w:sz w:val="18"/>
                      <w:szCs w:val="18"/>
                    </w:rPr>
                    <w:t>其他</w:t>
                  </w:r>
                </w:p>
                <w:p>
                  <w:pPr>
                    <w:adjustRightInd w:val="0"/>
                    <w:snapToGrid w:val="0"/>
                    <w:jc w:val="center"/>
                    <w:rPr>
                      <w:bCs/>
                      <w:color w:val="auto"/>
                      <w:sz w:val="18"/>
                      <w:szCs w:val="18"/>
                    </w:rPr>
                  </w:pPr>
                  <w:r>
                    <w:rPr>
                      <w:bCs/>
                      <w:color w:val="auto"/>
                      <w:sz w:val="18"/>
                      <w:szCs w:val="18"/>
                    </w:rPr>
                    <w:t>信息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Merge w:val="continue"/>
                  <w:vAlign w:val="center"/>
                </w:tcPr>
                <w:p>
                  <w:pPr>
                    <w:adjustRightInd w:val="0"/>
                    <w:snapToGrid w:val="0"/>
                    <w:jc w:val="center"/>
                    <w:rPr>
                      <w:bCs/>
                      <w:color w:val="auto"/>
                      <w:sz w:val="18"/>
                      <w:szCs w:val="18"/>
                    </w:rPr>
                  </w:pPr>
                </w:p>
              </w:tc>
              <w:tc>
                <w:tcPr>
                  <w:tcW w:w="1292" w:type="dxa"/>
                  <w:vMerge w:val="continue"/>
                  <w:vAlign w:val="center"/>
                </w:tcPr>
                <w:p>
                  <w:pPr>
                    <w:adjustRightInd w:val="0"/>
                    <w:snapToGrid w:val="0"/>
                    <w:jc w:val="center"/>
                    <w:rPr>
                      <w:bCs/>
                      <w:color w:val="auto"/>
                      <w:sz w:val="18"/>
                      <w:szCs w:val="18"/>
                    </w:rPr>
                  </w:pPr>
                </w:p>
              </w:tc>
              <w:tc>
                <w:tcPr>
                  <w:tcW w:w="1230" w:type="dxa"/>
                  <w:vMerge w:val="continue"/>
                  <w:vAlign w:val="center"/>
                </w:tcPr>
                <w:p>
                  <w:pPr>
                    <w:adjustRightInd w:val="0"/>
                    <w:snapToGrid w:val="0"/>
                    <w:jc w:val="center"/>
                    <w:rPr>
                      <w:bCs/>
                      <w:color w:val="auto"/>
                      <w:sz w:val="18"/>
                      <w:szCs w:val="18"/>
                    </w:rPr>
                  </w:pPr>
                </w:p>
              </w:tc>
              <w:tc>
                <w:tcPr>
                  <w:tcW w:w="919" w:type="dxa"/>
                  <w:vMerge w:val="continue"/>
                  <w:vAlign w:val="center"/>
                </w:tcPr>
                <w:p>
                  <w:pPr>
                    <w:adjustRightInd w:val="0"/>
                    <w:snapToGrid w:val="0"/>
                    <w:jc w:val="center"/>
                    <w:rPr>
                      <w:bCs/>
                      <w:color w:val="auto"/>
                      <w:sz w:val="18"/>
                      <w:szCs w:val="18"/>
                    </w:rPr>
                  </w:pPr>
                </w:p>
              </w:tc>
              <w:tc>
                <w:tcPr>
                  <w:tcW w:w="856" w:type="dxa"/>
                  <w:vMerge w:val="continue"/>
                  <w:vAlign w:val="center"/>
                </w:tcPr>
                <w:p>
                  <w:pPr>
                    <w:adjustRightInd w:val="0"/>
                    <w:snapToGrid w:val="0"/>
                    <w:jc w:val="center"/>
                    <w:rPr>
                      <w:bCs/>
                      <w:color w:val="auto"/>
                      <w:sz w:val="18"/>
                      <w:szCs w:val="18"/>
                    </w:rPr>
                  </w:pPr>
                </w:p>
              </w:tc>
              <w:tc>
                <w:tcPr>
                  <w:tcW w:w="1604" w:type="dxa"/>
                  <w:vAlign w:val="center"/>
                </w:tcPr>
                <w:p>
                  <w:pPr>
                    <w:adjustRightInd w:val="0"/>
                    <w:snapToGrid w:val="0"/>
                    <w:jc w:val="center"/>
                    <w:rPr>
                      <w:bCs/>
                      <w:color w:val="auto"/>
                      <w:sz w:val="18"/>
                      <w:szCs w:val="18"/>
                    </w:rPr>
                  </w:pPr>
                  <w:r>
                    <w:rPr>
                      <w:bCs/>
                      <w:color w:val="auto"/>
                      <w:sz w:val="18"/>
                      <w:szCs w:val="18"/>
                    </w:rPr>
                    <w:t>名称</w:t>
                  </w:r>
                </w:p>
              </w:tc>
              <w:tc>
                <w:tcPr>
                  <w:tcW w:w="896" w:type="dxa"/>
                  <w:vAlign w:val="center"/>
                </w:tcPr>
                <w:p>
                  <w:pPr>
                    <w:adjustRightInd w:val="0"/>
                    <w:snapToGrid w:val="0"/>
                    <w:jc w:val="center"/>
                    <w:rPr>
                      <w:bCs/>
                      <w:color w:val="auto"/>
                      <w:sz w:val="18"/>
                      <w:szCs w:val="18"/>
                    </w:rPr>
                  </w:pPr>
                  <w:r>
                    <w:rPr>
                      <w:bCs/>
                      <w:color w:val="auto"/>
                      <w:sz w:val="18"/>
                      <w:szCs w:val="18"/>
                    </w:rPr>
                    <w:t>浓度限值</w:t>
                  </w:r>
                </w:p>
              </w:tc>
              <w:tc>
                <w:tcPr>
                  <w:tcW w:w="823" w:type="dxa"/>
                  <w:vMerge w:val="continue"/>
                  <w:vAlign w:val="center"/>
                </w:tcPr>
                <w:p>
                  <w:pPr>
                    <w:adjustRightInd w:val="0"/>
                    <w:snapToGrid w:val="0"/>
                    <w:jc w:val="center"/>
                    <w:rPr>
                      <w:bCs/>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Align w:val="center"/>
                </w:tcPr>
                <w:p>
                  <w:pPr>
                    <w:adjustRightInd w:val="0"/>
                    <w:snapToGrid w:val="0"/>
                    <w:jc w:val="center"/>
                    <w:rPr>
                      <w:color w:val="auto"/>
                      <w:sz w:val="18"/>
                      <w:szCs w:val="18"/>
                    </w:rPr>
                  </w:pPr>
                  <w:r>
                    <w:rPr>
                      <w:color w:val="auto"/>
                      <w:sz w:val="18"/>
                      <w:szCs w:val="18"/>
                    </w:rPr>
                    <w:t>1</w:t>
                  </w:r>
                </w:p>
              </w:tc>
              <w:tc>
                <w:tcPr>
                  <w:tcW w:w="1292" w:type="dxa"/>
                  <w:vMerge w:val="restart"/>
                  <w:vAlign w:val="center"/>
                </w:tcPr>
                <w:p>
                  <w:pPr>
                    <w:adjustRightInd w:val="0"/>
                    <w:snapToGrid w:val="0"/>
                    <w:jc w:val="center"/>
                    <w:rPr>
                      <w:color w:val="auto"/>
                      <w:sz w:val="18"/>
                      <w:szCs w:val="18"/>
                    </w:rPr>
                  </w:pPr>
                  <w:r>
                    <w:rPr>
                      <w:color w:val="auto"/>
                      <w:sz w:val="18"/>
                      <w:szCs w:val="18"/>
                    </w:rPr>
                    <w:t>矿山开采001</w:t>
                  </w:r>
                </w:p>
              </w:tc>
              <w:tc>
                <w:tcPr>
                  <w:tcW w:w="1230" w:type="dxa"/>
                  <w:vAlign w:val="center"/>
                </w:tcPr>
                <w:p>
                  <w:pPr>
                    <w:adjustRightInd w:val="0"/>
                    <w:snapToGrid w:val="0"/>
                    <w:jc w:val="center"/>
                    <w:rPr>
                      <w:color w:val="auto"/>
                      <w:sz w:val="18"/>
                      <w:szCs w:val="18"/>
                    </w:rPr>
                  </w:pPr>
                  <w:r>
                    <w:rPr>
                      <w:color w:val="auto"/>
                      <w:sz w:val="18"/>
                      <w:szCs w:val="18"/>
                    </w:rPr>
                    <w:t>凿岩钻孔</w:t>
                  </w:r>
                </w:p>
              </w:tc>
              <w:tc>
                <w:tcPr>
                  <w:tcW w:w="919" w:type="dxa"/>
                  <w:vAlign w:val="center"/>
                </w:tcPr>
                <w:p>
                  <w:pPr>
                    <w:adjustRightInd w:val="0"/>
                    <w:snapToGrid w:val="0"/>
                    <w:jc w:val="center"/>
                    <w:rPr>
                      <w:color w:val="auto"/>
                      <w:sz w:val="18"/>
                      <w:szCs w:val="18"/>
                    </w:rPr>
                  </w:pPr>
                  <w:r>
                    <w:rPr>
                      <w:color w:val="auto"/>
                      <w:sz w:val="18"/>
                      <w:szCs w:val="18"/>
                    </w:rPr>
                    <w:t>粉尘</w:t>
                  </w:r>
                </w:p>
              </w:tc>
              <w:tc>
                <w:tcPr>
                  <w:tcW w:w="856" w:type="dxa"/>
                  <w:vAlign w:val="center"/>
                </w:tcPr>
                <w:p>
                  <w:pPr>
                    <w:adjustRightInd w:val="0"/>
                    <w:snapToGrid w:val="0"/>
                    <w:jc w:val="center"/>
                    <w:rPr>
                      <w:color w:val="auto"/>
                      <w:sz w:val="18"/>
                      <w:szCs w:val="18"/>
                    </w:rPr>
                  </w:pPr>
                  <w:r>
                    <w:rPr>
                      <w:color w:val="auto"/>
                      <w:sz w:val="18"/>
                      <w:szCs w:val="18"/>
                    </w:rPr>
                    <w:t>0.5t/a</w:t>
                  </w:r>
                </w:p>
              </w:tc>
              <w:tc>
                <w:tcPr>
                  <w:tcW w:w="1604" w:type="dxa"/>
                  <w:vMerge w:val="restart"/>
                  <w:vAlign w:val="center"/>
                </w:tcPr>
                <w:p>
                  <w:pPr>
                    <w:adjustRightInd w:val="0"/>
                    <w:snapToGrid w:val="0"/>
                    <w:jc w:val="center"/>
                    <w:rPr>
                      <w:color w:val="auto"/>
                      <w:sz w:val="18"/>
                      <w:szCs w:val="18"/>
                    </w:rPr>
                  </w:pPr>
                  <w:r>
                    <w:rPr>
                      <w:color w:val="auto"/>
                      <w:sz w:val="18"/>
                      <w:szCs w:val="18"/>
                    </w:rPr>
                    <w:t>《大气污染物综合排放标准》（GB16297-1996）</w:t>
                  </w:r>
                </w:p>
              </w:tc>
              <w:tc>
                <w:tcPr>
                  <w:tcW w:w="896" w:type="dxa"/>
                  <w:vMerge w:val="restart"/>
                  <w:vAlign w:val="center"/>
                </w:tcPr>
                <w:p>
                  <w:pPr>
                    <w:adjustRightInd w:val="0"/>
                    <w:snapToGrid w:val="0"/>
                    <w:jc w:val="center"/>
                    <w:rPr>
                      <w:color w:val="auto"/>
                      <w:sz w:val="18"/>
                      <w:szCs w:val="18"/>
                    </w:rPr>
                  </w:pPr>
                  <w:r>
                    <w:rPr>
                      <w:color w:val="auto"/>
                      <w:sz w:val="18"/>
                      <w:szCs w:val="18"/>
                    </w:rPr>
                    <w:t>1.0mg/m</w:t>
                  </w:r>
                  <w:r>
                    <w:rPr>
                      <w:color w:val="auto"/>
                      <w:sz w:val="18"/>
                      <w:szCs w:val="18"/>
                      <w:vertAlign w:val="superscript"/>
                    </w:rPr>
                    <w:t>3</w:t>
                  </w:r>
                </w:p>
              </w:tc>
              <w:tc>
                <w:tcPr>
                  <w:tcW w:w="823" w:type="dxa"/>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Merge w:val="restart"/>
                  <w:vAlign w:val="center"/>
                </w:tcPr>
                <w:p>
                  <w:pPr>
                    <w:adjustRightInd w:val="0"/>
                    <w:snapToGrid w:val="0"/>
                    <w:jc w:val="center"/>
                    <w:rPr>
                      <w:color w:val="auto"/>
                      <w:sz w:val="18"/>
                      <w:szCs w:val="18"/>
                    </w:rPr>
                  </w:pPr>
                  <w:r>
                    <w:rPr>
                      <w:color w:val="auto"/>
                      <w:sz w:val="18"/>
                      <w:szCs w:val="18"/>
                    </w:rPr>
                    <w:t>2</w:t>
                  </w:r>
                </w:p>
              </w:tc>
              <w:tc>
                <w:tcPr>
                  <w:tcW w:w="1292" w:type="dxa"/>
                  <w:vMerge w:val="continue"/>
                  <w:vAlign w:val="center"/>
                </w:tcPr>
                <w:p>
                  <w:pPr>
                    <w:adjustRightInd w:val="0"/>
                    <w:snapToGrid w:val="0"/>
                    <w:jc w:val="center"/>
                    <w:rPr>
                      <w:color w:val="auto"/>
                      <w:sz w:val="18"/>
                      <w:szCs w:val="18"/>
                    </w:rPr>
                  </w:pPr>
                </w:p>
              </w:tc>
              <w:tc>
                <w:tcPr>
                  <w:tcW w:w="1230" w:type="dxa"/>
                  <w:vMerge w:val="restart"/>
                  <w:vAlign w:val="center"/>
                </w:tcPr>
                <w:p>
                  <w:pPr>
                    <w:adjustRightInd w:val="0"/>
                    <w:snapToGrid w:val="0"/>
                    <w:jc w:val="center"/>
                    <w:rPr>
                      <w:color w:val="auto"/>
                      <w:sz w:val="18"/>
                      <w:szCs w:val="18"/>
                    </w:rPr>
                  </w:pPr>
                  <w:r>
                    <w:rPr>
                      <w:color w:val="auto"/>
                      <w:sz w:val="18"/>
                      <w:szCs w:val="18"/>
                    </w:rPr>
                    <w:t>爆破</w:t>
                  </w:r>
                </w:p>
              </w:tc>
              <w:tc>
                <w:tcPr>
                  <w:tcW w:w="919" w:type="dxa"/>
                  <w:vAlign w:val="center"/>
                </w:tcPr>
                <w:p>
                  <w:pPr>
                    <w:adjustRightInd w:val="0"/>
                    <w:snapToGrid w:val="0"/>
                    <w:jc w:val="center"/>
                    <w:rPr>
                      <w:color w:val="auto"/>
                      <w:sz w:val="18"/>
                      <w:szCs w:val="18"/>
                    </w:rPr>
                  </w:pPr>
                  <w:r>
                    <w:rPr>
                      <w:color w:val="auto"/>
                      <w:sz w:val="18"/>
                      <w:szCs w:val="18"/>
                    </w:rPr>
                    <w:t>扬尘</w:t>
                  </w:r>
                </w:p>
              </w:tc>
              <w:tc>
                <w:tcPr>
                  <w:tcW w:w="856" w:type="dxa"/>
                  <w:vAlign w:val="center"/>
                </w:tcPr>
                <w:p>
                  <w:pPr>
                    <w:adjustRightInd w:val="0"/>
                    <w:snapToGrid w:val="0"/>
                    <w:jc w:val="center"/>
                    <w:rPr>
                      <w:color w:val="auto"/>
                      <w:sz w:val="18"/>
                      <w:szCs w:val="18"/>
                    </w:rPr>
                  </w:pPr>
                  <w:r>
                    <w:rPr>
                      <w:color w:val="auto"/>
                      <w:sz w:val="18"/>
                      <w:szCs w:val="18"/>
                    </w:rPr>
                    <w:t>1.858t/a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Merge w:val="restart"/>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5" w:hRule="atLeast"/>
                <w:tblHeader/>
                <w:jc w:val="center"/>
              </w:trPr>
              <w:tc>
                <w:tcPr>
                  <w:tcW w:w="476" w:type="dxa"/>
                  <w:vMerge w:val="continue"/>
                  <w:vAlign w:val="center"/>
                </w:tcPr>
                <w:p>
                  <w:pPr>
                    <w:adjustRightInd w:val="0"/>
                    <w:snapToGrid w:val="0"/>
                    <w:jc w:val="center"/>
                    <w:rPr>
                      <w:color w:val="auto"/>
                      <w:sz w:val="18"/>
                      <w:szCs w:val="18"/>
                    </w:rPr>
                  </w:pPr>
                </w:p>
              </w:tc>
              <w:tc>
                <w:tcPr>
                  <w:tcW w:w="1292" w:type="dxa"/>
                  <w:vMerge w:val="continue"/>
                  <w:vAlign w:val="center"/>
                </w:tcPr>
                <w:p>
                  <w:pPr>
                    <w:adjustRightInd w:val="0"/>
                    <w:snapToGrid w:val="0"/>
                    <w:jc w:val="center"/>
                    <w:rPr>
                      <w:color w:val="auto"/>
                      <w:sz w:val="18"/>
                      <w:szCs w:val="18"/>
                    </w:rPr>
                  </w:pPr>
                </w:p>
              </w:tc>
              <w:tc>
                <w:tcPr>
                  <w:tcW w:w="1230" w:type="dxa"/>
                  <w:vMerge w:val="continue"/>
                  <w:vAlign w:val="center"/>
                </w:tcPr>
                <w:p>
                  <w:pPr>
                    <w:adjustRightInd w:val="0"/>
                    <w:snapToGrid w:val="0"/>
                    <w:jc w:val="center"/>
                    <w:rPr>
                      <w:color w:val="auto"/>
                      <w:sz w:val="18"/>
                      <w:szCs w:val="18"/>
                    </w:rPr>
                  </w:pPr>
                </w:p>
              </w:tc>
              <w:tc>
                <w:tcPr>
                  <w:tcW w:w="919" w:type="dxa"/>
                  <w:vAlign w:val="center"/>
                </w:tcPr>
                <w:p>
                  <w:pPr>
                    <w:adjustRightInd w:val="0"/>
                    <w:snapToGrid w:val="0"/>
                    <w:jc w:val="center"/>
                    <w:rPr>
                      <w:color w:val="auto"/>
                      <w:sz w:val="18"/>
                      <w:szCs w:val="18"/>
                    </w:rPr>
                  </w:pPr>
                  <w:r>
                    <w:rPr>
                      <w:color w:val="auto"/>
                      <w:sz w:val="18"/>
                      <w:szCs w:val="18"/>
                    </w:rPr>
                    <w:t>CO</w:t>
                  </w:r>
                </w:p>
              </w:tc>
              <w:tc>
                <w:tcPr>
                  <w:tcW w:w="856" w:type="dxa"/>
                  <w:vAlign w:val="center"/>
                </w:tcPr>
                <w:p>
                  <w:pPr>
                    <w:adjustRightInd w:val="0"/>
                    <w:snapToGrid w:val="0"/>
                    <w:jc w:val="center"/>
                    <w:rPr>
                      <w:color w:val="auto"/>
                      <w:sz w:val="18"/>
                      <w:szCs w:val="18"/>
                    </w:rPr>
                  </w:pPr>
                  <w:r>
                    <w:rPr>
                      <w:color w:val="auto"/>
                      <w:sz w:val="18"/>
                      <w:szCs w:val="18"/>
                    </w:rPr>
                    <w:t>1.08t/a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Merge w:val="continue"/>
                  <w:vAlign w:val="center"/>
                </w:tcPr>
                <w:p>
                  <w:pPr>
                    <w:adjustRightInd w:val="0"/>
                    <w:snapToGrid w:val="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5" w:hRule="atLeast"/>
                <w:tblHeader/>
                <w:jc w:val="center"/>
              </w:trPr>
              <w:tc>
                <w:tcPr>
                  <w:tcW w:w="476" w:type="dxa"/>
                  <w:vMerge w:val="continue"/>
                  <w:vAlign w:val="center"/>
                </w:tcPr>
                <w:p>
                  <w:pPr>
                    <w:adjustRightInd w:val="0"/>
                    <w:snapToGrid w:val="0"/>
                    <w:jc w:val="center"/>
                    <w:rPr>
                      <w:color w:val="auto"/>
                      <w:sz w:val="18"/>
                      <w:szCs w:val="18"/>
                    </w:rPr>
                  </w:pPr>
                </w:p>
              </w:tc>
              <w:tc>
                <w:tcPr>
                  <w:tcW w:w="1292" w:type="dxa"/>
                  <w:vMerge w:val="continue"/>
                  <w:vAlign w:val="center"/>
                </w:tcPr>
                <w:p>
                  <w:pPr>
                    <w:adjustRightInd w:val="0"/>
                    <w:snapToGrid w:val="0"/>
                    <w:jc w:val="center"/>
                    <w:rPr>
                      <w:color w:val="auto"/>
                      <w:sz w:val="18"/>
                      <w:szCs w:val="18"/>
                    </w:rPr>
                  </w:pPr>
                </w:p>
              </w:tc>
              <w:tc>
                <w:tcPr>
                  <w:tcW w:w="1230" w:type="dxa"/>
                  <w:vMerge w:val="continue"/>
                  <w:vAlign w:val="center"/>
                </w:tcPr>
                <w:p>
                  <w:pPr>
                    <w:adjustRightInd w:val="0"/>
                    <w:snapToGrid w:val="0"/>
                    <w:jc w:val="center"/>
                    <w:rPr>
                      <w:color w:val="auto"/>
                      <w:sz w:val="18"/>
                      <w:szCs w:val="18"/>
                    </w:rPr>
                  </w:pPr>
                </w:p>
              </w:tc>
              <w:tc>
                <w:tcPr>
                  <w:tcW w:w="919" w:type="dxa"/>
                  <w:vAlign w:val="center"/>
                </w:tcPr>
                <w:p>
                  <w:pPr>
                    <w:adjustRightInd w:val="0"/>
                    <w:snapToGrid w:val="0"/>
                    <w:jc w:val="center"/>
                    <w:rPr>
                      <w:color w:val="auto"/>
                      <w:sz w:val="18"/>
                      <w:szCs w:val="18"/>
                    </w:rPr>
                  </w:pPr>
                  <w:r>
                    <w:rPr>
                      <w:color w:val="auto"/>
                      <w:sz w:val="18"/>
                      <w:szCs w:val="18"/>
                    </w:rPr>
                    <w:t>NO</w:t>
                  </w:r>
                  <w:r>
                    <w:rPr>
                      <w:color w:val="auto"/>
                      <w:sz w:val="18"/>
                      <w:szCs w:val="18"/>
                      <w:vertAlign w:val="subscript"/>
                    </w:rPr>
                    <w:t>X</w:t>
                  </w:r>
                </w:p>
              </w:tc>
              <w:tc>
                <w:tcPr>
                  <w:tcW w:w="856" w:type="dxa"/>
                  <w:vAlign w:val="center"/>
                </w:tcPr>
                <w:p>
                  <w:pPr>
                    <w:adjustRightInd w:val="0"/>
                    <w:snapToGrid w:val="0"/>
                    <w:jc w:val="center"/>
                    <w:rPr>
                      <w:color w:val="auto"/>
                      <w:sz w:val="18"/>
                      <w:szCs w:val="18"/>
                    </w:rPr>
                  </w:pPr>
                  <w:r>
                    <w:rPr>
                      <w:color w:val="auto"/>
                      <w:sz w:val="18"/>
                      <w:szCs w:val="18"/>
                    </w:rPr>
                    <w:t>9.6t/a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Merge w:val="continue"/>
                  <w:vAlign w:val="center"/>
                </w:tcPr>
                <w:p>
                  <w:pPr>
                    <w:adjustRightInd w:val="0"/>
                    <w:snapToGrid w:val="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Align w:val="center"/>
                </w:tcPr>
                <w:p>
                  <w:pPr>
                    <w:adjustRightInd w:val="0"/>
                    <w:snapToGrid w:val="0"/>
                    <w:jc w:val="center"/>
                    <w:rPr>
                      <w:color w:val="auto"/>
                      <w:sz w:val="18"/>
                      <w:szCs w:val="18"/>
                    </w:rPr>
                  </w:pPr>
                  <w:r>
                    <w:rPr>
                      <w:color w:val="auto"/>
                      <w:sz w:val="18"/>
                      <w:szCs w:val="18"/>
                    </w:rPr>
                    <w:t>3</w:t>
                  </w:r>
                </w:p>
              </w:tc>
              <w:tc>
                <w:tcPr>
                  <w:tcW w:w="1292" w:type="dxa"/>
                  <w:vMerge w:val="continue"/>
                  <w:vAlign w:val="center"/>
                </w:tcPr>
                <w:p>
                  <w:pPr>
                    <w:adjustRightInd w:val="0"/>
                    <w:snapToGrid w:val="0"/>
                    <w:jc w:val="center"/>
                    <w:rPr>
                      <w:color w:val="auto"/>
                      <w:sz w:val="18"/>
                      <w:szCs w:val="18"/>
                    </w:rPr>
                  </w:pPr>
                </w:p>
              </w:tc>
              <w:tc>
                <w:tcPr>
                  <w:tcW w:w="1230" w:type="dxa"/>
                  <w:vAlign w:val="center"/>
                </w:tcPr>
                <w:p>
                  <w:pPr>
                    <w:adjustRightInd w:val="0"/>
                    <w:snapToGrid w:val="0"/>
                    <w:jc w:val="center"/>
                    <w:rPr>
                      <w:color w:val="auto"/>
                      <w:sz w:val="18"/>
                      <w:szCs w:val="18"/>
                    </w:rPr>
                  </w:pPr>
                  <w:r>
                    <w:rPr>
                      <w:color w:val="auto"/>
                      <w:sz w:val="18"/>
                      <w:szCs w:val="18"/>
                    </w:rPr>
                    <w:t>矿石采选</w:t>
                  </w:r>
                </w:p>
              </w:tc>
              <w:tc>
                <w:tcPr>
                  <w:tcW w:w="919" w:type="dxa"/>
                  <w:vAlign w:val="center"/>
                </w:tcPr>
                <w:p>
                  <w:pPr>
                    <w:adjustRightInd w:val="0"/>
                    <w:snapToGrid w:val="0"/>
                    <w:jc w:val="center"/>
                    <w:rPr>
                      <w:color w:val="auto"/>
                      <w:sz w:val="18"/>
                      <w:szCs w:val="18"/>
                    </w:rPr>
                  </w:pPr>
                  <w:r>
                    <w:rPr>
                      <w:color w:val="auto"/>
                      <w:sz w:val="18"/>
                      <w:szCs w:val="18"/>
                    </w:rPr>
                    <w:t>粉尘</w:t>
                  </w:r>
                </w:p>
              </w:tc>
              <w:tc>
                <w:tcPr>
                  <w:tcW w:w="856" w:type="dxa"/>
                  <w:vAlign w:val="center"/>
                </w:tcPr>
                <w:p>
                  <w:pPr>
                    <w:adjustRightInd w:val="0"/>
                    <w:snapToGrid w:val="0"/>
                    <w:jc w:val="center"/>
                    <w:rPr>
                      <w:color w:val="auto"/>
                      <w:sz w:val="18"/>
                      <w:szCs w:val="18"/>
                    </w:rPr>
                  </w:pPr>
                  <w:r>
                    <w:rPr>
                      <w:color w:val="auto"/>
                      <w:sz w:val="18"/>
                      <w:szCs w:val="18"/>
                    </w:rPr>
                    <w:t>2.5t/a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tblHeader/>
                <w:jc w:val="center"/>
              </w:trPr>
              <w:tc>
                <w:tcPr>
                  <w:tcW w:w="476" w:type="dxa"/>
                  <w:vAlign w:val="center"/>
                </w:tcPr>
                <w:p>
                  <w:pPr>
                    <w:adjustRightInd w:val="0"/>
                    <w:snapToGrid w:val="0"/>
                    <w:jc w:val="center"/>
                    <w:rPr>
                      <w:color w:val="auto"/>
                      <w:sz w:val="18"/>
                      <w:szCs w:val="18"/>
                    </w:rPr>
                  </w:pPr>
                  <w:r>
                    <w:rPr>
                      <w:color w:val="auto"/>
                      <w:sz w:val="18"/>
                      <w:szCs w:val="18"/>
                    </w:rPr>
                    <w:t>4</w:t>
                  </w:r>
                </w:p>
              </w:tc>
              <w:tc>
                <w:tcPr>
                  <w:tcW w:w="1292" w:type="dxa"/>
                  <w:vMerge w:val="continue"/>
                  <w:vAlign w:val="center"/>
                </w:tcPr>
                <w:p>
                  <w:pPr>
                    <w:adjustRightInd w:val="0"/>
                    <w:snapToGrid w:val="0"/>
                    <w:jc w:val="center"/>
                    <w:rPr>
                      <w:color w:val="auto"/>
                      <w:sz w:val="18"/>
                      <w:szCs w:val="18"/>
                    </w:rPr>
                  </w:pPr>
                </w:p>
              </w:tc>
              <w:tc>
                <w:tcPr>
                  <w:tcW w:w="1230" w:type="dxa"/>
                  <w:vAlign w:val="center"/>
                </w:tcPr>
                <w:p>
                  <w:pPr>
                    <w:adjustRightInd w:val="0"/>
                    <w:snapToGrid w:val="0"/>
                    <w:jc w:val="center"/>
                    <w:rPr>
                      <w:color w:val="auto"/>
                      <w:sz w:val="18"/>
                      <w:szCs w:val="18"/>
                    </w:rPr>
                  </w:pPr>
                  <w:r>
                    <w:rPr>
                      <w:color w:val="auto"/>
                      <w:sz w:val="18"/>
                      <w:szCs w:val="18"/>
                    </w:rPr>
                    <w:t>道路运输</w:t>
                  </w:r>
                </w:p>
              </w:tc>
              <w:tc>
                <w:tcPr>
                  <w:tcW w:w="919" w:type="dxa"/>
                  <w:vAlign w:val="center"/>
                </w:tcPr>
                <w:p>
                  <w:pPr>
                    <w:adjustRightInd w:val="0"/>
                    <w:snapToGrid w:val="0"/>
                    <w:jc w:val="center"/>
                    <w:rPr>
                      <w:color w:val="auto"/>
                      <w:sz w:val="18"/>
                      <w:szCs w:val="18"/>
                    </w:rPr>
                  </w:pPr>
                  <w:r>
                    <w:rPr>
                      <w:color w:val="auto"/>
                      <w:sz w:val="18"/>
                      <w:szCs w:val="18"/>
                    </w:rPr>
                    <w:t>扬尘</w:t>
                  </w:r>
                </w:p>
              </w:tc>
              <w:tc>
                <w:tcPr>
                  <w:tcW w:w="856" w:type="dxa"/>
                  <w:vAlign w:val="center"/>
                </w:tcPr>
                <w:p>
                  <w:pPr>
                    <w:adjustRightInd w:val="0"/>
                    <w:snapToGrid w:val="0"/>
                    <w:jc w:val="center"/>
                    <w:rPr>
                      <w:color w:val="auto"/>
                      <w:sz w:val="18"/>
                      <w:szCs w:val="18"/>
                    </w:rPr>
                  </w:pPr>
                  <w:r>
                    <w:rPr>
                      <w:color w:val="auto"/>
                      <w:sz w:val="18"/>
                      <w:szCs w:val="18"/>
                    </w:rPr>
                    <w:t>0.091t/a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Align w:val="center"/>
                </w:tcPr>
                <w:p>
                  <w:pPr>
                    <w:adjustRightInd w:val="0"/>
                    <w:snapToGrid w:val="0"/>
                    <w:jc w:val="center"/>
                    <w:rPr>
                      <w:color w:val="auto"/>
                      <w:sz w:val="18"/>
                      <w:szCs w:val="18"/>
                    </w:rPr>
                  </w:pPr>
                  <w:r>
                    <w:rPr>
                      <w:color w:val="auto"/>
                      <w:sz w:val="18"/>
                      <w:szCs w:val="18"/>
                    </w:rPr>
                    <w:t>5</w:t>
                  </w:r>
                </w:p>
              </w:tc>
              <w:tc>
                <w:tcPr>
                  <w:tcW w:w="1292" w:type="dxa"/>
                  <w:vMerge w:val="restart"/>
                  <w:vAlign w:val="center"/>
                </w:tcPr>
                <w:p>
                  <w:pPr>
                    <w:adjustRightInd w:val="0"/>
                    <w:snapToGrid w:val="0"/>
                    <w:jc w:val="center"/>
                    <w:rPr>
                      <w:color w:val="auto"/>
                      <w:sz w:val="18"/>
                      <w:szCs w:val="18"/>
                    </w:rPr>
                  </w:pPr>
                  <w:r>
                    <w:rPr>
                      <w:color w:val="auto"/>
                      <w:sz w:val="18"/>
                      <w:szCs w:val="18"/>
                    </w:rPr>
                    <w:t>加工生产线002</w:t>
                  </w:r>
                </w:p>
              </w:tc>
              <w:tc>
                <w:tcPr>
                  <w:tcW w:w="1230" w:type="dxa"/>
                  <w:vAlign w:val="center"/>
                </w:tcPr>
                <w:p>
                  <w:pPr>
                    <w:adjustRightInd w:val="0"/>
                    <w:snapToGrid w:val="0"/>
                    <w:jc w:val="center"/>
                    <w:rPr>
                      <w:color w:val="auto"/>
                      <w:sz w:val="18"/>
                      <w:szCs w:val="18"/>
                    </w:rPr>
                  </w:pPr>
                  <w:r>
                    <w:rPr>
                      <w:color w:val="auto"/>
                      <w:sz w:val="18"/>
                      <w:szCs w:val="18"/>
                    </w:rPr>
                    <w:t>卸料</w:t>
                  </w:r>
                </w:p>
              </w:tc>
              <w:tc>
                <w:tcPr>
                  <w:tcW w:w="919" w:type="dxa"/>
                  <w:vAlign w:val="center"/>
                </w:tcPr>
                <w:p>
                  <w:pPr>
                    <w:adjustRightInd w:val="0"/>
                    <w:snapToGrid w:val="0"/>
                    <w:jc w:val="center"/>
                    <w:rPr>
                      <w:color w:val="auto"/>
                      <w:sz w:val="18"/>
                      <w:szCs w:val="18"/>
                    </w:rPr>
                  </w:pPr>
                  <w:r>
                    <w:rPr>
                      <w:color w:val="auto"/>
                      <w:sz w:val="18"/>
                      <w:szCs w:val="18"/>
                    </w:rPr>
                    <w:t>粉尘</w:t>
                  </w:r>
                </w:p>
              </w:tc>
              <w:tc>
                <w:tcPr>
                  <w:tcW w:w="856" w:type="dxa"/>
                  <w:vAlign w:val="center"/>
                </w:tcPr>
                <w:p>
                  <w:pPr>
                    <w:adjustRightInd w:val="0"/>
                    <w:snapToGrid w:val="0"/>
                    <w:jc w:val="center"/>
                    <w:rPr>
                      <w:color w:val="auto"/>
                      <w:sz w:val="18"/>
                      <w:szCs w:val="18"/>
                    </w:rPr>
                  </w:pPr>
                  <w:r>
                    <w:rPr>
                      <w:color w:val="auto"/>
                      <w:sz w:val="18"/>
                      <w:szCs w:val="18"/>
                    </w:rPr>
                    <w:t>0.5t/a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Align w:val="center"/>
                </w:tcPr>
                <w:p>
                  <w:pPr>
                    <w:adjustRightInd w:val="0"/>
                    <w:snapToGrid w:val="0"/>
                    <w:jc w:val="center"/>
                    <w:rPr>
                      <w:color w:val="auto"/>
                      <w:sz w:val="18"/>
                      <w:szCs w:val="18"/>
                    </w:rPr>
                  </w:pPr>
                  <w:r>
                    <w:rPr>
                      <w:color w:val="auto"/>
                      <w:sz w:val="18"/>
                      <w:szCs w:val="18"/>
                    </w:rPr>
                    <w:t>6</w:t>
                  </w:r>
                </w:p>
              </w:tc>
              <w:tc>
                <w:tcPr>
                  <w:tcW w:w="1292" w:type="dxa"/>
                  <w:vMerge w:val="continue"/>
                  <w:vAlign w:val="center"/>
                </w:tcPr>
                <w:p>
                  <w:pPr>
                    <w:adjustRightInd w:val="0"/>
                    <w:snapToGrid w:val="0"/>
                    <w:jc w:val="center"/>
                    <w:rPr>
                      <w:color w:val="auto"/>
                      <w:sz w:val="18"/>
                      <w:szCs w:val="18"/>
                    </w:rPr>
                  </w:pPr>
                </w:p>
              </w:tc>
              <w:tc>
                <w:tcPr>
                  <w:tcW w:w="1230" w:type="dxa"/>
                  <w:vAlign w:val="center"/>
                </w:tcPr>
                <w:p>
                  <w:pPr>
                    <w:adjustRightInd w:val="0"/>
                    <w:snapToGrid w:val="0"/>
                    <w:jc w:val="center"/>
                    <w:rPr>
                      <w:color w:val="auto"/>
                      <w:sz w:val="18"/>
                      <w:szCs w:val="18"/>
                    </w:rPr>
                  </w:pPr>
                  <w:r>
                    <w:rPr>
                      <w:color w:val="auto"/>
                      <w:sz w:val="18"/>
                      <w:szCs w:val="18"/>
                    </w:rPr>
                    <w:t>一级破碎</w:t>
                  </w:r>
                </w:p>
              </w:tc>
              <w:tc>
                <w:tcPr>
                  <w:tcW w:w="919" w:type="dxa"/>
                  <w:vAlign w:val="center"/>
                </w:tcPr>
                <w:p>
                  <w:pPr>
                    <w:adjustRightInd w:val="0"/>
                    <w:snapToGrid w:val="0"/>
                    <w:jc w:val="center"/>
                    <w:rPr>
                      <w:color w:val="auto"/>
                      <w:sz w:val="18"/>
                      <w:szCs w:val="18"/>
                    </w:rPr>
                  </w:pPr>
                  <w:r>
                    <w:rPr>
                      <w:color w:val="auto"/>
                      <w:sz w:val="18"/>
                      <w:szCs w:val="18"/>
                    </w:rPr>
                    <w:t>粉尘</w:t>
                  </w:r>
                </w:p>
              </w:tc>
              <w:tc>
                <w:tcPr>
                  <w:tcW w:w="856" w:type="dxa"/>
                  <w:vMerge w:val="restart"/>
                  <w:vAlign w:val="center"/>
                </w:tcPr>
                <w:p>
                  <w:pPr>
                    <w:adjustRightInd w:val="0"/>
                    <w:snapToGrid w:val="0"/>
                    <w:jc w:val="center"/>
                    <w:rPr>
                      <w:color w:val="auto"/>
                      <w:sz w:val="18"/>
                      <w:szCs w:val="18"/>
                    </w:rPr>
                  </w:pPr>
                  <w:r>
                    <w:rPr>
                      <w:color w:val="auto"/>
                      <w:sz w:val="18"/>
                      <w:szCs w:val="18"/>
                    </w:rPr>
                    <w:t>2.48t/a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Align w:val="center"/>
                </w:tcPr>
                <w:p>
                  <w:pPr>
                    <w:adjustRightInd w:val="0"/>
                    <w:snapToGrid w:val="0"/>
                    <w:jc w:val="center"/>
                    <w:rPr>
                      <w:color w:val="auto"/>
                      <w:sz w:val="18"/>
                      <w:szCs w:val="18"/>
                    </w:rPr>
                  </w:pPr>
                  <w:r>
                    <w:rPr>
                      <w:color w:val="auto"/>
                      <w:sz w:val="18"/>
                      <w:szCs w:val="18"/>
                    </w:rPr>
                    <w:t>7</w:t>
                  </w:r>
                </w:p>
              </w:tc>
              <w:tc>
                <w:tcPr>
                  <w:tcW w:w="1292" w:type="dxa"/>
                  <w:vMerge w:val="continue"/>
                  <w:vAlign w:val="center"/>
                </w:tcPr>
                <w:p>
                  <w:pPr>
                    <w:adjustRightInd w:val="0"/>
                    <w:snapToGrid w:val="0"/>
                    <w:jc w:val="center"/>
                    <w:rPr>
                      <w:color w:val="auto"/>
                      <w:sz w:val="18"/>
                      <w:szCs w:val="18"/>
                    </w:rPr>
                  </w:pPr>
                </w:p>
              </w:tc>
              <w:tc>
                <w:tcPr>
                  <w:tcW w:w="1230" w:type="dxa"/>
                  <w:vAlign w:val="center"/>
                </w:tcPr>
                <w:p>
                  <w:pPr>
                    <w:adjustRightInd w:val="0"/>
                    <w:snapToGrid w:val="0"/>
                    <w:jc w:val="center"/>
                    <w:rPr>
                      <w:color w:val="auto"/>
                      <w:sz w:val="18"/>
                      <w:szCs w:val="18"/>
                    </w:rPr>
                  </w:pPr>
                  <w:r>
                    <w:rPr>
                      <w:color w:val="auto"/>
                      <w:sz w:val="18"/>
                      <w:szCs w:val="18"/>
                    </w:rPr>
                    <w:t>二级破碎</w:t>
                  </w:r>
                </w:p>
              </w:tc>
              <w:tc>
                <w:tcPr>
                  <w:tcW w:w="919" w:type="dxa"/>
                  <w:vAlign w:val="center"/>
                </w:tcPr>
                <w:p>
                  <w:pPr>
                    <w:adjustRightInd w:val="0"/>
                    <w:snapToGrid w:val="0"/>
                    <w:jc w:val="center"/>
                    <w:rPr>
                      <w:color w:val="auto"/>
                      <w:sz w:val="18"/>
                      <w:szCs w:val="18"/>
                    </w:rPr>
                  </w:pPr>
                  <w:r>
                    <w:rPr>
                      <w:color w:val="auto"/>
                      <w:sz w:val="18"/>
                      <w:szCs w:val="18"/>
                    </w:rPr>
                    <w:t>粉尘</w:t>
                  </w:r>
                </w:p>
              </w:tc>
              <w:tc>
                <w:tcPr>
                  <w:tcW w:w="856" w:type="dxa"/>
                  <w:vMerge w:val="continue"/>
                  <w:vAlign w:val="center"/>
                </w:tcPr>
                <w:p>
                  <w:pPr>
                    <w:adjustRightInd w:val="0"/>
                    <w:snapToGrid w:val="0"/>
                    <w:jc w:val="center"/>
                    <w:rPr>
                      <w:color w:val="auto"/>
                      <w:sz w:val="18"/>
                      <w:szCs w:val="18"/>
                    </w:rPr>
                  </w:pP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Align w:val="center"/>
                </w:tcPr>
                <w:p>
                  <w:pPr>
                    <w:adjustRightInd w:val="0"/>
                    <w:snapToGrid w:val="0"/>
                    <w:jc w:val="center"/>
                    <w:rPr>
                      <w:color w:val="auto"/>
                      <w:sz w:val="18"/>
                      <w:szCs w:val="18"/>
                    </w:rPr>
                  </w:pPr>
                  <w:r>
                    <w:rPr>
                      <w:color w:val="auto"/>
                      <w:sz w:val="18"/>
                      <w:szCs w:val="18"/>
                    </w:rPr>
                    <w:t>8</w:t>
                  </w:r>
                </w:p>
              </w:tc>
              <w:tc>
                <w:tcPr>
                  <w:tcW w:w="1292" w:type="dxa"/>
                  <w:vMerge w:val="continue"/>
                  <w:vAlign w:val="center"/>
                </w:tcPr>
                <w:p>
                  <w:pPr>
                    <w:adjustRightInd w:val="0"/>
                    <w:snapToGrid w:val="0"/>
                    <w:jc w:val="center"/>
                    <w:rPr>
                      <w:color w:val="auto"/>
                      <w:sz w:val="18"/>
                      <w:szCs w:val="18"/>
                    </w:rPr>
                  </w:pPr>
                </w:p>
              </w:tc>
              <w:tc>
                <w:tcPr>
                  <w:tcW w:w="1230" w:type="dxa"/>
                  <w:vAlign w:val="center"/>
                </w:tcPr>
                <w:p>
                  <w:pPr>
                    <w:adjustRightInd w:val="0"/>
                    <w:snapToGrid w:val="0"/>
                    <w:jc w:val="center"/>
                    <w:rPr>
                      <w:color w:val="auto"/>
                      <w:sz w:val="18"/>
                      <w:szCs w:val="18"/>
                    </w:rPr>
                  </w:pPr>
                  <w:r>
                    <w:rPr>
                      <w:color w:val="auto"/>
                      <w:sz w:val="18"/>
                      <w:szCs w:val="18"/>
                    </w:rPr>
                    <w:t>一级、二级筛分</w:t>
                  </w:r>
                </w:p>
              </w:tc>
              <w:tc>
                <w:tcPr>
                  <w:tcW w:w="919" w:type="dxa"/>
                  <w:vAlign w:val="center"/>
                </w:tcPr>
                <w:p>
                  <w:pPr>
                    <w:adjustRightInd w:val="0"/>
                    <w:snapToGrid w:val="0"/>
                    <w:jc w:val="center"/>
                    <w:rPr>
                      <w:color w:val="auto"/>
                      <w:sz w:val="18"/>
                      <w:szCs w:val="18"/>
                    </w:rPr>
                  </w:pPr>
                  <w:r>
                    <w:rPr>
                      <w:color w:val="auto"/>
                      <w:sz w:val="18"/>
                      <w:szCs w:val="18"/>
                    </w:rPr>
                    <w:t>粉尘</w:t>
                  </w:r>
                </w:p>
              </w:tc>
              <w:tc>
                <w:tcPr>
                  <w:tcW w:w="856" w:type="dxa"/>
                  <w:vAlign w:val="center"/>
                </w:tcPr>
                <w:p>
                  <w:pPr>
                    <w:adjustRightInd w:val="0"/>
                    <w:snapToGrid w:val="0"/>
                    <w:jc w:val="center"/>
                    <w:rPr>
                      <w:color w:val="auto"/>
                      <w:sz w:val="18"/>
                      <w:szCs w:val="18"/>
                    </w:rPr>
                  </w:pPr>
                  <w:r>
                    <w:rPr>
                      <w:color w:val="auto"/>
                      <w:sz w:val="18"/>
                      <w:szCs w:val="18"/>
                    </w:rPr>
                    <w:t>0</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Align w:val="center"/>
                </w:tcPr>
                <w:p>
                  <w:pPr>
                    <w:adjustRightInd w:val="0"/>
                    <w:snapToGrid w:val="0"/>
                    <w:jc w:val="center"/>
                    <w:rPr>
                      <w:color w:val="auto"/>
                      <w:sz w:val="18"/>
                      <w:szCs w:val="18"/>
                    </w:rPr>
                  </w:pPr>
                  <w:r>
                    <w:rPr>
                      <w:color w:val="auto"/>
                      <w:sz w:val="18"/>
                      <w:szCs w:val="18"/>
                    </w:rPr>
                    <w:t>大量冲水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Align w:val="center"/>
                </w:tcPr>
                <w:p>
                  <w:pPr>
                    <w:adjustRightInd w:val="0"/>
                    <w:snapToGrid w:val="0"/>
                    <w:jc w:val="center"/>
                    <w:rPr>
                      <w:color w:val="auto"/>
                      <w:sz w:val="18"/>
                      <w:szCs w:val="18"/>
                    </w:rPr>
                  </w:pPr>
                  <w:r>
                    <w:rPr>
                      <w:color w:val="auto"/>
                      <w:sz w:val="18"/>
                      <w:szCs w:val="18"/>
                    </w:rPr>
                    <w:t>9</w:t>
                  </w:r>
                </w:p>
              </w:tc>
              <w:tc>
                <w:tcPr>
                  <w:tcW w:w="1292" w:type="dxa"/>
                  <w:vMerge w:val="continue"/>
                  <w:vAlign w:val="center"/>
                </w:tcPr>
                <w:p>
                  <w:pPr>
                    <w:adjustRightInd w:val="0"/>
                    <w:snapToGrid w:val="0"/>
                    <w:jc w:val="center"/>
                    <w:rPr>
                      <w:color w:val="auto"/>
                      <w:sz w:val="18"/>
                      <w:szCs w:val="18"/>
                    </w:rPr>
                  </w:pPr>
                </w:p>
              </w:tc>
              <w:tc>
                <w:tcPr>
                  <w:tcW w:w="1230" w:type="dxa"/>
                  <w:vAlign w:val="center"/>
                </w:tcPr>
                <w:p>
                  <w:pPr>
                    <w:adjustRightInd w:val="0"/>
                    <w:snapToGrid w:val="0"/>
                    <w:jc w:val="center"/>
                    <w:rPr>
                      <w:color w:val="auto"/>
                      <w:sz w:val="18"/>
                      <w:szCs w:val="18"/>
                    </w:rPr>
                  </w:pPr>
                  <w:r>
                    <w:rPr>
                      <w:color w:val="auto"/>
                      <w:sz w:val="18"/>
                      <w:szCs w:val="18"/>
                    </w:rPr>
                    <w:t>整形</w:t>
                  </w:r>
                </w:p>
              </w:tc>
              <w:tc>
                <w:tcPr>
                  <w:tcW w:w="919" w:type="dxa"/>
                  <w:vAlign w:val="center"/>
                </w:tcPr>
                <w:p>
                  <w:pPr>
                    <w:adjustRightInd w:val="0"/>
                    <w:snapToGrid w:val="0"/>
                    <w:jc w:val="center"/>
                    <w:rPr>
                      <w:color w:val="auto"/>
                      <w:sz w:val="18"/>
                      <w:szCs w:val="18"/>
                    </w:rPr>
                  </w:pPr>
                  <w:r>
                    <w:rPr>
                      <w:color w:val="auto"/>
                      <w:sz w:val="18"/>
                      <w:szCs w:val="18"/>
                    </w:rPr>
                    <w:t>粉尘</w:t>
                  </w:r>
                </w:p>
              </w:tc>
              <w:tc>
                <w:tcPr>
                  <w:tcW w:w="856" w:type="dxa"/>
                  <w:vAlign w:val="center"/>
                </w:tcPr>
                <w:p>
                  <w:pPr>
                    <w:adjustRightInd w:val="0"/>
                    <w:snapToGrid w:val="0"/>
                    <w:jc w:val="center"/>
                    <w:rPr>
                      <w:color w:val="auto"/>
                      <w:sz w:val="18"/>
                      <w:szCs w:val="18"/>
                    </w:rPr>
                  </w:pPr>
                  <w:r>
                    <w:rPr>
                      <w:color w:val="auto"/>
                      <w:sz w:val="18"/>
                      <w:szCs w:val="18"/>
                    </w:rPr>
                    <w:t>3.75t/a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Align w:val="center"/>
                </w:tcPr>
                <w:p>
                  <w:pPr>
                    <w:adjustRightInd w:val="0"/>
                    <w:snapToGrid w:val="0"/>
                    <w:jc w:val="center"/>
                    <w:rPr>
                      <w:color w:val="auto"/>
                      <w:sz w:val="18"/>
                      <w:szCs w:val="18"/>
                    </w:rPr>
                  </w:pPr>
                  <w:r>
                    <w:rPr>
                      <w:color w:val="auto"/>
                      <w:sz w:val="18"/>
                      <w:szCs w:val="18"/>
                    </w:rPr>
                    <w:t>10</w:t>
                  </w:r>
                </w:p>
              </w:tc>
              <w:tc>
                <w:tcPr>
                  <w:tcW w:w="1292" w:type="dxa"/>
                  <w:vMerge w:val="continue"/>
                  <w:vAlign w:val="center"/>
                </w:tcPr>
                <w:p>
                  <w:pPr>
                    <w:adjustRightInd w:val="0"/>
                    <w:snapToGrid w:val="0"/>
                    <w:jc w:val="center"/>
                    <w:rPr>
                      <w:color w:val="auto"/>
                      <w:sz w:val="18"/>
                      <w:szCs w:val="18"/>
                    </w:rPr>
                  </w:pPr>
                </w:p>
              </w:tc>
              <w:tc>
                <w:tcPr>
                  <w:tcW w:w="1230" w:type="dxa"/>
                  <w:vAlign w:val="center"/>
                </w:tcPr>
                <w:p>
                  <w:pPr>
                    <w:adjustRightInd w:val="0"/>
                    <w:snapToGrid w:val="0"/>
                    <w:jc w:val="center"/>
                    <w:rPr>
                      <w:color w:val="auto"/>
                      <w:sz w:val="18"/>
                      <w:szCs w:val="18"/>
                    </w:rPr>
                  </w:pPr>
                  <w:r>
                    <w:rPr>
                      <w:color w:val="auto"/>
                      <w:sz w:val="18"/>
                      <w:szCs w:val="18"/>
                    </w:rPr>
                    <w:t>矿石输送</w:t>
                  </w:r>
                </w:p>
              </w:tc>
              <w:tc>
                <w:tcPr>
                  <w:tcW w:w="919" w:type="dxa"/>
                  <w:vAlign w:val="center"/>
                </w:tcPr>
                <w:p>
                  <w:pPr>
                    <w:adjustRightInd w:val="0"/>
                    <w:snapToGrid w:val="0"/>
                    <w:jc w:val="center"/>
                    <w:rPr>
                      <w:color w:val="auto"/>
                      <w:sz w:val="18"/>
                      <w:szCs w:val="18"/>
                    </w:rPr>
                  </w:pPr>
                  <w:r>
                    <w:rPr>
                      <w:color w:val="auto"/>
                      <w:sz w:val="18"/>
                      <w:szCs w:val="18"/>
                    </w:rPr>
                    <w:t>粉尘</w:t>
                  </w:r>
                </w:p>
              </w:tc>
              <w:tc>
                <w:tcPr>
                  <w:tcW w:w="856" w:type="dxa"/>
                  <w:vAlign w:val="center"/>
                </w:tcPr>
                <w:p>
                  <w:pPr>
                    <w:adjustRightInd w:val="0"/>
                    <w:snapToGrid w:val="0"/>
                    <w:jc w:val="center"/>
                    <w:rPr>
                      <w:color w:val="auto"/>
                      <w:sz w:val="18"/>
                      <w:szCs w:val="18"/>
                    </w:rPr>
                  </w:pPr>
                  <w:r>
                    <w:rPr>
                      <w:color w:val="auto"/>
                      <w:sz w:val="18"/>
                      <w:szCs w:val="18"/>
                    </w:rPr>
                    <w:t>/</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Align w:val="center"/>
                </w:tcPr>
                <w:p>
                  <w:pPr>
                    <w:adjustRightInd w:val="0"/>
                    <w:snapToGrid w:val="0"/>
                    <w:jc w:val="center"/>
                    <w:rPr>
                      <w:color w:val="auto"/>
                      <w:sz w:val="18"/>
                      <w:szCs w:val="18"/>
                    </w:rPr>
                  </w:pPr>
                  <w:r>
                    <w:rPr>
                      <w:color w:val="auto"/>
                      <w:sz w:val="18"/>
                      <w:szCs w:val="18"/>
                    </w:rPr>
                    <w:t>11</w:t>
                  </w:r>
                </w:p>
              </w:tc>
              <w:tc>
                <w:tcPr>
                  <w:tcW w:w="1292" w:type="dxa"/>
                  <w:vMerge w:val="continue"/>
                  <w:vAlign w:val="center"/>
                </w:tcPr>
                <w:p>
                  <w:pPr>
                    <w:adjustRightInd w:val="0"/>
                    <w:snapToGrid w:val="0"/>
                    <w:jc w:val="center"/>
                    <w:rPr>
                      <w:color w:val="auto"/>
                      <w:sz w:val="18"/>
                      <w:szCs w:val="18"/>
                    </w:rPr>
                  </w:pPr>
                </w:p>
              </w:tc>
              <w:tc>
                <w:tcPr>
                  <w:tcW w:w="1230" w:type="dxa"/>
                  <w:vAlign w:val="center"/>
                </w:tcPr>
                <w:p>
                  <w:pPr>
                    <w:adjustRightInd w:val="0"/>
                    <w:snapToGrid w:val="0"/>
                    <w:jc w:val="center"/>
                    <w:rPr>
                      <w:color w:val="auto"/>
                      <w:sz w:val="18"/>
                      <w:szCs w:val="18"/>
                    </w:rPr>
                  </w:pPr>
                  <w:r>
                    <w:rPr>
                      <w:rFonts w:hint="eastAsia"/>
                      <w:color w:val="auto"/>
                      <w:sz w:val="18"/>
                      <w:szCs w:val="18"/>
                    </w:rPr>
                    <w:t>装车</w:t>
                  </w:r>
                </w:p>
              </w:tc>
              <w:tc>
                <w:tcPr>
                  <w:tcW w:w="919" w:type="dxa"/>
                  <w:vAlign w:val="center"/>
                </w:tcPr>
                <w:p>
                  <w:pPr>
                    <w:adjustRightInd w:val="0"/>
                    <w:snapToGrid w:val="0"/>
                    <w:jc w:val="center"/>
                    <w:rPr>
                      <w:color w:val="auto"/>
                      <w:sz w:val="18"/>
                      <w:szCs w:val="18"/>
                    </w:rPr>
                  </w:pPr>
                  <w:r>
                    <w:rPr>
                      <w:color w:val="auto"/>
                      <w:sz w:val="18"/>
                      <w:szCs w:val="18"/>
                    </w:rPr>
                    <w:t>扬尘</w:t>
                  </w:r>
                </w:p>
              </w:tc>
              <w:tc>
                <w:tcPr>
                  <w:tcW w:w="856" w:type="dxa"/>
                  <w:vAlign w:val="center"/>
                </w:tcPr>
                <w:p>
                  <w:pPr>
                    <w:adjustRightInd w:val="0"/>
                    <w:snapToGrid w:val="0"/>
                    <w:jc w:val="center"/>
                    <w:rPr>
                      <w:color w:val="auto"/>
                      <w:sz w:val="18"/>
                      <w:szCs w:val="18"/>
                    </w:rPr>
                  </w:pPr>
                  <w:r>
                    <w:rPr>
                      <w:color w:val="auto"/>
                      <w:sz w:val="18"/>
                      <w:szCs w:val="18"/>
                    </w:rPr>
                    <w:t>0.15t/a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Merge w:val="restart"/>
                  <w:vAlign w:val="center"/>
                </w:tcPr>
                <w:p>
                  <w:pPr>
                    <w:adjustRightInd w:val="0"/>
                    <w:snapToGrid w:val="0"/>
                    <w:jc w:val="center"/>
                    <w:rPr>
                      <w:color w:val="auto"/>
                      <w:sz w:val="18"/>
                      <w:szCs w:val="18"/>
                    </w:rPr>
                  </w:pPr>
                  <w:r>
                    <w:rPr>
                      <w:color w:val="auto"/>
                      <w:sz w:val="18"/>
                      <w:szCs w:val="18"/>
                    </w:rPr>
                    <w:t>12</w:t>
                  </w:r>
                </w:p>
              </w:tc>
              <w:tc>
                <w:tcPr>
                  <w:tcW w:w="1292" w:type="dxa"/>
                  <w:vMerge w:val="restart"/>
                  <w:vAlign w:val="center"/>
                </w:tcPr>
                <w:p>
                  <w:pPr>
                    <w:adjustRightInd w:val="0"/>
                    <w:snapToGrid w:val="0"/>
                    <w:jc w:val="center"/>
                    <w:rPr>
                      <w:color w:val="auto"/>
                      <w:sz w:val="18"/>
                      <w:szCs w:val="18"/>
                    </w:rPr>
                  </w:pPr>
                  <w:r>
                    <w:rPr>
                      <w:color w:val="auto"/>
                      <w:sz w:val="18"/>
                      <w:szCs w:val="18"/>
                    </w:rPr>
                    <w:t>产品堆场</w:t>
                  </w:r>
                </w:p>
              </w:tc>
              <w:tc>
                <w:tcPr>
                  <w:tcW w:w="1230" w:type="dxa"/>
                  <w:vAlign w:val="center"/>
                </w:tcPr>
                <w:p>
                  <w:pPr>
                    <w:adjustRightInd w:val="0"/>
                    <w:snapToGrid w:val="0"/>
                    <w:jc w:val="center"/>
                    <w:rPr>
                      <w:color w:val="auto"/>
                      <w:sz w:val="18"/>
                      <w:szCs w:val="18"/>
                    </w:rPr>
                  </w:pPr>
                  <w:r>
                    <w:rPr>
                      <w:rFonts w:hint="eastAsia"/>
                      <w:color w:val="auto"/>
                      <w:sz w:val="18"/>
                      <w:szCs w:val="18"/>
                    </w:rPr>
                    <w:t>原矿</w:t>
                  </w:r>
                  <w:r>
                    <w:rPr>
                      <w:color w:val="auto"/>
                      <w:sz w:val="18"/>
                      <w:szCs w:val="18"/>
                    </w:rPr>
                    <w:t>堆放</w:t>
                  </w:r>
                </w:p>
              </w:tc>
              <w:tc>
                <w:tcPr>
                  <w:tcW w:w="919" w:type="dxa"/>
                  <w:vAlign w:val="center"/>
                </w:tcPr>
                <w:p>
                  <w:pPr>
                    <w:adjustRightInd w:val="0"/>
                    <w:snapToGrid w:val="0"/>
                    <w:jc w:val="center"/>
                    <w:rPr>
                      <w:color w:val="auto"/>
                      <w:sz w:val="18"/>
                      <w:szCs w:val="18"/>
                    </w:rPr>
                  </w:pPr>
                  <w:r>
                    <w:rPr>
                      <w:color w:val="auto"/>
                      <w:sz w:val="18"/>
                      <w:szCs w:val="18"/>
                    </w:rPr>
                    <w:t>扬尘</w:t>
                  </w:r>
                </w:p>
              </w:tc>
              <w:tc>
                <w:tcPr>
                  <w:tcW w:w="856" w:type="dxa"/>
                  <w:vAlign w:val="center"/>
                </w:tcPr>
                <w:p>
                  <w:pPr>
                    <w:adjustRightInd w:val="0"/>
                    <w:snapToGrid w:val="0"/>
                    <w:jc w:val="center"/>
                    <w:rPr>
                      <w:color w:val="auto"/>
                      <w:sz w:val="18"/>
                      <w:szCs w:val="18"/>
                    </w:rPr>
                  </w:pPr>
                  <w:r>
                    <w:rPr>
                      <w:color w:val="auto"/>
                      <w:sz w:val="18"/>
                      <w:szCs w:val="18"/>
                    </w:rPr>
                    <w:t>0.180t/a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Merge w:val="continue"/>
                  <w:vAlign w:val="center"/>
                </w:tcPr>
                <w:p>
                  <w:pPr>
                    <w:adjustRightInd w:val="0"/>
                    <w:snapToGrid w:val="0"/>
                    <w:jc w:val="center"/>
                    <w:rPr>
                      <w:color w:val="auto"/>
                      <w:sz w:val="18"/>
                      <w:szCs w:val="18"/>
                    </w:rPr>
                  </w:pPr>
                </w:p>
              </w:tc>
              <w:tc>
                <w:tcPr>
                  <w:tcW w:w="1292" w:type="dxa"/>
                  <w:vMerge w:val="continue"/>
                  <w:vAlign w:val="center"/>
                </w:tcPr>
                <w:p>
                  <w:pPr>
                    <w:adjustRightInd w:val="0"/>
                    <w:snapToGrid w:val="0"/>
                    <w:jc w:val="center"/>
                    <w:rPr>
                      <w:color w:val="auto"/>
                      <w:sz w:val="18"/>
                      <w:szCs w:val="18"/>
                    </w:rPr>
                  </w:pPr>
                </w:p>
              </w:tc>
              <w:tc>
                <w:tcPr>
                  <w:tcW w:w="1230" w:type="dxa"/>
                  <w:vAlign w:val="center"/>
                </w:tcPr>
                <w:p>
                  <w:pPr>
                    <w:adjustRightInd w:val="0"/>
                    <w:snapToGrid w:val="0"/>
                    <w:jc w:val="center"/>
                    <w:rPr>
                      <w:color w:val="auto"/>
                      <w:sz w:val="18"/>
                      <w:szCs w:val="18"/>
                    </w:rPr>
                  </w:pPr>
                  <w:r>
                    <w:rPr>
                      <w:rFonts w:hint="eastAsia"/>
                      <w:color w:val="auto"/>
                      <w:sz w:val="18"/>
                      <w:szCs w:val="18"/>
                    </w:rPr>
                    <w:t>砂石堆放</w:t>
                  </w:r>
                </w:p>
              </w:tc>
              <w:tc>
                <w:tcPr>
                  <w:tcW w:w="919" w:type="dxa"/>
                  <w:vAlign w:val="center"/>
                </w:tcPr>
                <w:p>
                  <w:pPr>
                    <w:adjustRightInd w:val="0"/>
                    <w:snapToGrid w:val="0"/>
                    <w:jc w:val="center"/>
                    <w:rPr>
                      <w:color w:val="auto"/>
                      <w:sz w:val="18"/>
                      <w:szCs w:val="18"/>
                    </w:rPr>
                  </w:pPr>
                  <w:r>
                    <w:rPr>
                      <w:color w:val="auto"/>
                      <w:sz w:val="18"/>
                      <w:szCs w:val="18"/>
                    </w:rPr>
                    <w:t>扬尘</w:t>
                  </w:r>
                </w:p>
              </w:tc>
              <w:tc>
                <w:tcPr>
                  <w:tcW w:w="856" w:type="dxa"/>
                  <w:vAlign w:val="center"/>
                </w:tcPr>
                <w:p>
                  <w:pPr>
                    <w:adjustRightInd w:val="0"/>
                    <w:snapToGrid w:val="0"/>
                    <w:jc w:val="center"/>
                    <w:rPr>
                      <w:color w:val="auto"/>
                      <w:sz w:val="18"/>
                      <w:szCs w:val="18"/>
                    </w:rPr>
                  </w:pPr>
                  <w:r>
                    <w:rPr>
                      <w:color w:val="auto"/>
                      <w:sz w:val="18"/>
                      <w:szCs w:val="18"/>
                    </w:rPr>
                    <w:t>0.247t/a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blHeader/>
                <w:jc w:val="center"/>
              </w:trPr>
              <w:tc>
                <w:tcPr>
                  <w:tcW w:w="476" w:type="dxa"/>
                  <w:vAlign w:val="center"/>
                </w:tcPr>
                <w:p>
                  <w:pPr>
                    <w:adjustRightInd w:val="0"/>
                    <w:snapToGrid w:val="0"/>
                    <w:jc w:val="center"/>
                    <w:rPr>
                      <w:color w:val="auto"/>
                      <w:sz w:val="18"/>
                      <w:szCs w:val="18"/>
                    </w:rPr>
                  </w:pPr>
                  <w:r>
                    <w:rPr>
                      <w:color w:val="auto"/>
                      <w:sz w:val="18"/>
                      <w:szCs w:val="18"/>
                    </w:rPr>
                    <w:t>13</w:t>
                  </w:r>
                </w:p>
              </w:tc>
              <w:tc>
                <w:tcPr>
                  <w:tcW w:w="1292" w:type="dxa"/>
                  <w:vAlign w:val="center"/>
                </w:tcPr>
                <w:p>
                  <w:pPr>
                    <w:adjustRightInd w:val="0"/>
                    <w:snapToGrid w:val="0"/>
                    <w:jc w:val="center"/>
                    <w:rPr>
                      <w:color w:val="auto"/>
                      <w:sz w:val="18"/>
                      <w:szCs w:val="18"/>
                    </w:rPr>
                  </w:pPr>
                  <w:r>
                    <w:rPr>
                      <w:color w:val="auto"/>
                      <w:sz w:val="18"/>
                      <w:szCs w:val="18"/>
                    </w:rPr>
                    <w:t>表土临时堆场</w:t>
                  </w:r>
                </w:p>
              </w:tc>
              <w:tc>
                <w:tcPr>
                  <w:tcW w:w="1230" w:type="dxa"/>
                  <w:vAlign w:val="center"/>
                </w:tcPr>
                <w:p>
                  <w:pPr>
                    <w:adjustRightInd w:val="0"/>
                    <w:snapToGrid w:val="0"/>
                    <w:jc w:val="center"/>
                    <w:rPr>
                      <w:color w:val="auto"/>
                      <w:sz w:val="18"/>
                      <w:szCs w:val="18"/>
                    </w:rPr>
                  </w:pPr>
                  <w:r>
                    <w:rPr>
                      <w:color w:val="auto"/>
                      <w:sz w:val="18"/>
                      <w:szCs w:val="18"/>
                    </w:rPr>
                    <w:t>表土堆放</w:t>
                  </w:r>
                </w:p>
              </w:tc>
              <w:tc>
                <w:tcPr>
                  <w:tcW w:w="919" w:type="dxa"/>
                  <w:vAlign w:val="center"/>
                </w:tcPr>
                <w:p>
                  <w:pPr>
                    <w:adjustRightInd w:val="0"/>
                    <w:snapToGrid w:val="0"/>
                    <w:jc w:val="center"/>
                    <w:rPr>
                      <w:color w:val="auto"/>
                      <w:sz w:val="18"/>
                      <w:szCs w:val="18"/>
                    </w:rPr>
                  </w:pPr>
                  <w:r>
                    <w:rPr>
                      <w:color w:val="auto"/>
                      <w:sz w:val="18"/>
                      <w:szCs w:val="18"/>
                    </w:rPr>
                    <w:t>扬尘</w:t>
                  </w:r>
                </w:p>
              </w:tc>
              <w:tc>
                <w:tcPr>
                  <w:tcW w:w="856" w:type="dxa"/>
                  <w:vAlign w:val="center"/>
                </w:tcPr>
                <w:p>
                  <w:pPr>
                    <w:adjustRightInd w:val="0"/>
                    <w:snapToGrid w:val="0"/>
                    <w:jc w:val="center"/>
                    <w:rPr>
                      <w:color w:val="auto"/>
                      <w:sz w:val="18"/>
                      <w:szCs w:val="18"/>
                    </w:rPr>
                  </w:pPr>
                  <w:r>
                    <w:rPr>
                      <w:color w:val="auto"/>
                      <w:sz w:val="18"/>
                      <w:szCs w:val="18"/>
                    </w:rPr>
                    <w:t>1.848t/a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5" w:hRule="atLeast"/>
                <w:tblHeader/>
                <w:jc w:val="center"/>
              </w:trPr>
              <w:tc>
                <w:tcPr>
                  <w:tcW w:w="476" w:type="dxa"/>
                  <w:vMerge w:val="restart"/>
                  <w:vAlign w:val="center"/>
                </w:tcPr>
                <w:p>
                  <w:pPr>
                    <w:adjustRightInd w:val="0"/>
                    <w:snapToGrid w:val="0"/>
                    <w:jc w:val="center"/>
                    <w:rPr>
                      <w:color w:val="auto"/>
                      <w:sz w:val="18"/>
                      <w:szCs w:val="18"/>
                    </w:rPr>
                  </w:pPr>
                  <w:r>
                    <w:rPr>
                      <w:color w:val="auto"/>
                      <w:sz w:val="18"/>
                      <w:szCs w:val="18"/>
                    </w:rPr>
                    <w:t>14</w:t>
                  </w:r>
                </w:p>
              </w:tc>
              <w:tc>
                <w:tcPr>
                  <w:tcW w:w="1292" w:type="dxa"/>
                  <w:vMerge w:val="restart"/>
                  <w:vAlign w:val="center"/>
                </w:tcPr>
                <w:p>
                  <w:pPr>
                    <w:adjustRightInd w:val="0"/>
                    <w:snapToGrid w:val="0"/>
                    <w:jc w:val="center"/>
                    <w:rPr>
                      <w:color w:val="auto"/>
                      <w:sz w:val="18"/>
                      <w:szCs w:val="18"/>
                    </w:rPr>
                  </w:pPr>
                  <w:r>
                    <w:rPr>
                      <w:color w:val="auto"/>
                      <w:sz w:val="18"/>
                      <w:szCs w:val="18"/>
                    </w:rPr>
                    <w:t>燃油设备</w:t>
                  </w:r>
                </w:p>
              </w:tc>
              <w:tc>
                <w:tcPr>
                  <w:tcW w:w="1230" w:type="dxa"/>
                  <w:vMerge w:val="restart"/>
                  <w:vAlign w:val="center"/>
                </w:tcPr>
                <w:p>
                  <w:pPr>
                    <w:adjustRightInd w:val="0"/>
                    <w:snapToGrid w:val="0"/>
                    <w:jc w:val="center"/>
                    <w:rPr>
                      <w:color w:val="auto"/>
                      <w:sz w:val="18"/>
                      <w:szCs w:val="18"/>
                    </w:rPr>
                  </w:pPr>
                  <w:r>
                    <w:rPr>
                      <w:color w:val="auto"/>
                      <w:sz w:val="18"/>
                      <w:szCs w:val="18"/>
                    </w:rPr>
                    <w:t>运输汽车、装载机等</w:t>
                  </w:r>
                </w:p>
              </w:tc>
              <w:tc>
                <w:tcPr>
                  <w:tcW w:w="919" w:type="dxa"/>
                  <w:vAlign w:val="center"/>
                </w:tcPr>
                <w:p>
                  <w:pPr>
                    <w:adjustRightInd w:val="0"/>
                    <w:snapToGrid w:val="0"/>
                    <w:jc w:val="center"/>
                    <w:rPr>
                      <w:color w:val="auto"/>
                      <w:sz w:val="18"/>
                      <w:szCs w:val="18"/>
                    </w:rPr>
                  </w:pPr>
                  <w:r>
                    <w:rPr>
                      <w:color w:val="auto"/>
                      <w:sz w:val="18"/>
                      <w:szCs w:val="18"/>
                    </w:rPr>
                    <w:t>CO</w:t>
                  </w:r>
                </w:p>
              </w:tc>
              <w:tc>
                <w:tcPr>
                  <w:tcW w:w="856" w:type="dxa"/>
                  <w:vAlign w:val="center"/>
                </w:tcPr>
                <w:p>
                  <w:pPr>
                    <w:adjustRightInd w:val="0"/>
                    <w:snapToGrid w:val="0"/>
                    <w:jc w:val="center"/>
                    <w:rPr>
                      <w:color w:val="auto"/>
                      <w:sz w:val="18"/>
                      <w:szCs w:val="18"/>
                    </w:rPr>
                  </w:pPr>
                  <w:r>
                    <w:rPr>
                      <w:color w:val="auto"/>
                      <w:sz w:val="18"/>
                      <w:szCs w:val="18"/>
                    </w:rPr>
                    <w:t>23.625t/a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Merge w:val="restart"/>
                  <w:vAlign w:val="center"/>
                </w:tcPr>
                <w:p>
                  <w:pPr>
                    <w:adjustRightInd w:val="0"/>
                    <w:snapToGrid w:val="0"/>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8" w:hRule="atLeast"/>
                <w:tblHeader/>
                <w:jc w:val="center"/>
              </w:trPr>
              <w:tc>
                <w:tcPr>
                  <w:tcW w:w="476" w:type="dxa"/>
                  <w:vMerge w:val="continue"/>
                  <w:vAlign w:val="center"/>
                </w:tcPr>
                <w:p>
                  <w:pPr>
                    <w:adjustRightInd w:val="0"/>
                    <w:snapToGrid w:val="0"/>
                    <w:jc w:val="center"/>
                    <w:rPr>
                      <w:color w:val="auto"/>
                      <w:sz w:val="18"/>
                      <w:szCs w:val="18"/>
                    </w:rPr>
                  </w:pPr>
                </w:p>
              </w:tc>
              <w:tc>
                <w:tcPr>
                  <w:tcW w:w="1292" w:type="dxa"/>
                  <w:vMerge w:val="continue"/>
                  <w:vAlign w:val="center"/>
                </w:tcPr>
                <w:p>
                  <w:pPr>
                    <w:adjustRightInd w:val="0"/>
                    <w:snapToGrid w:val="0"/>
                    <w:jc w:val="center"/>
                    <w:rPr>
                      <w:color w:val="auto"/>
                      <w:sz w:val="18"/>
                      <w:szCs w:val="18"/>
                    </w:rPr>
                  </w:pPr>
                </w:p>
              </w:tc>
              <w:tc>
                <w:tcPr>
                  <w:tcW w:w="1230" w:type="dxa"/>
                  <w:vMerge w:val="continue"/>
                  <w:vAlign w:val="center"/>
                </w:tcPr>
                <w:p>
                  <w:pPr>
                    <w:adjustRightInd w:val="0"/>
                    <w:snapToGrid w:val="0"/>
                    <w:jc w:val="center"/>
                    <w:rPr>
                      <w:color w:val="auto"/>
                      <w:sz w:val="18"/>
                      <w:szCs w:val="18"/>
                    </w:rPr>
                  </w:pPr>
                </w:p>
              </w:tc>
              <w:tc>
                <w:tcPr>
                  <w:tcW w:w="919" w:type="dxa"/>
                  <w:vAlign w:val="center"/>
                </w:tcPr>
                <w:p>
                  <w:pPr>
                    <w:adjustRightInd w:val="0"/>
                    <w:snapToGrid w:val="0"/>
                    <w:jc w:val="center"/>
                    <w:rPr>
                      <w:color w:val="auto"/>
                      <w:sz w:val="18"/>
                      <w:szCs w:val="18"/>
                    </w:rPr>
                  </w:pPr>
                  <w:r>
                    <w:rPr>
                      <w:color w:val="auto"/>
                      <w:sz w:val="18"/>
                      <w:szCs w:val="18"/>
                    </w:rPr>
                    <w:t>NO</w:t>
                  </w:r>
                  <w:r>
                    <w:rPr>
                      <w:color w:val="auto"/>
                      <w:sz w:val="18"/>
                      <w:szCs w:val="18"/>
                      <w:vertAlign w:val="subscript"/>
                    </w:rPr>
                    <w:t>X</w:t>
                  </w:r>
                </w:p>
              </w:tc>
              <w:tc>
                <w:tcPr>
                  <w:tcW w:w="856" w:type="dxa"/>
                  <w:vAlign w:val="center"/>
                </w:tcPr>
                <w:p>
                  <w:pPr>
                    <w:adjustRightInd w:val="0"/>
                    <w:snapToGrid w:val="0"/>
                    <w:jc w:val="center"/>
                    <w:rPr>
                      <w:color w:val="auto"/>
                      <w:sz w:val="18"/>
                      <w:szCs w:val="18"/>
                    </w:rPr>
                  </w:pPr>
                  <w:r>
                    <w:rPr>
                      <w:color w:val="auto"/>
                      <w:sz w:val="18"/>
                      <w:szCs w:val="18"/>
                    </w:rPr>
                    <w:t>38.850t/a</w:t>
                  </w:r>
                </w:p>
              </w:tc>
              <w:tc>
                <w:tcPr>
                  <w:tcW w:w="1604" w:type="dxa"/>
                  <w:vMerge w:val="continue"/>
                  <w:vAlign w:val="center"/>
                </w:tcPr>
                <w:p>
                  <w:pPr>
                    <w:adjustRightInd w:val="0"/>
                    <w:snapToGrid w:val="0"/>
                    <w:jc w:val="center"/>
                    <w:rPr>
                      <w:color w:val="auto"/>
                      <w:sz w:val="18"/>
                      <w:szCs w:val="18"/>
                    </w:rPr>
                  </w:pPr>
                </w:p>
              </w:tc>
              <w:tc>
                <w:tcPr>
                  <w:tcW w:w="896" w:type="dxa"/>
                  <w:vMerge w:val="continue"/>
                  <w:vAlign w:val="center"/>
                </w:tcPr>
                <w:p>
                  <w:pPr>
                    <w:adjustRightInd w:val="0"/>
                    <w:snapToGrid w:val="0"/>
                    <w:jc w:val="center"/>
                    <w:rPr>
                      <w:color w:val="auto"/>
                      <w:sz w:val="18"/>
                      <w:szCs w:val="18"/>
                    </w:rPr>
                  </w:pPr>
                </w:p>
              </w:tc>
              <w:tc>
                <w:tcPr>
                  <w:tcW w:w="823" w:type="dxa"/>
                  <w:vMerge w:val="continue"/>
                  <w:vAlign w:val="center"/>
                </w:tcPr>
                <w:p>
                  <w:pPr>
                    <w:adjustRightInd w:val="0"/>
                    <w:snapToGrid w:val="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9" w:hRule="atLeast"/>
                <w:tblHeader/>
                <w:jc w:val="center"/>
              </w:trPr>
              <w:tc>
                <w:tcPr>
                  <w:tcW w:w="476" w:type="dxa"/>
                  <w:vAlign w:val="center"/>
                </w:tcPr>
                <w:p>
                  <w:pPr>
                    <w:adjustRightInd w:val="0"/>
                    <w:snapToGrid w:val="0"/>
                    <w:jc w:val="center"/>
                    <w:rPr>
                      <w:color w:val="auto"/>
                      <w:sz w:val="18"/>
                      <w:szCs w:val="18"/>
                    </w:rPr>
                  </w:pPr>
                  <w:r>
                    <w:rPr>
                      <w:color w:val="auto"/>
                      <w:sz w:val="18"/>
                      <w:szCs w:val="18"/>
                    </w:rPr>
                    <w:t>15</w:t>
                  </w:r>
                </w:p>
              </w:tc>
              <w:tc>
                <w:tcPr>
                  <w:tcW w:w="1292" w:type="dxa"/>
                  <w:vAlign w:val="center"/>
                </w:tcPr>
                <w:p>
                  <w:pPr>
                    <w:adjustRightInd w:val="0"/>
                    <w:snapToGrid w:val="0"/>
                    <w:jc w:val="center"/>
                    <w:rPr>
                      <w:color w:val="auto"/>
                      <w:sz w:val="18"/>
                      <w:szCs w:val="18"/>
                    </w:rPr>
                  </w:pPr>
                  <w:r>
                    <w:rPr>
                      <w:color w:val="auto"/>
                      <w:sz w:val="18"/>
                      <w:szCs w:val="18"/>
                    </w:rPr>
                    <w:t>食堂</w:t>
                  </w:r>
                </w:p>
              </w:tc>
              <w:tc>
                <w:tcPr>
                  <w:tcW w:w="1230" w:type="dxa"/>
                  <w:vAlign w:val="center"/>
                </w:tcPr>
                <w:p>
                  <w:pPr>
                    <w:adjustRightInd w:val="0"/>
                    <w:snapToGrid w:val="0"/>
                    <w:jc w:val="center"/>
                    <w:rPr>
                      <w:color w:val="auto"/>
                      <w:sz w:val="18"/>
                      <w:szCs w:val="18"/>
                    </w:rPr>
                  </w:pPr>
                  <w:r>
                    <w:rPr>
                      <w:color w:val="auto"/>
                      <w:sz w:val="18"/>
                      <w:szCs w:val="18"/>
                    </w:rPr>
                    <w:t>烹饪</w:t>
                  </w:r>
                </w:p>
              </w:tc>
              <w:tc>
                <w:tcPr>
                  <w:tcW w:w="919" w:type="dxa"/>
                  <w:vAlign w:val="center"/>
                </w:tcPr>
                <w:p>
                  <w:pPr>
                    <w:adjustRightInd w:val="0"/>
                    <w:snapToGrid w:val="0"/>
                    <w:jc w:val="center"/>
                    <w:rPr>
                      <w:color w:val="auto"/>
                      <w:sz w:val="18"/>
                      <w:szCs w:val="18"/>
                    </w:rPr>
                  </w:pPr>
                  <w:r>
                    <w:rPr>
                      <w:color w:val="auto"/>
                      <w:sz w:val="18"/>
                      <w:szCs w:val="18"/>
                    </w:rPr>
                    <w:t>油烟</w:t>
                  </w:r>
                </w:p>
              </w:tc>
              <w:tc>
                <w:tcPr>
                  <w:tcW w:w="856" w:type="dxa"/>
                  <w:vAlign w:val="center"/>
                </w:tcPr>
                <w:p>
                  <w:pPr>
                    <w:adjustRightInd w:val="0"/>
                    <w:snapToGrid w:val="0"/>
                    <w:jc w:val="center"/>
                    <w:rPr>
                      <w:color w:val="auto"/>
                      <w:sz w:val="18"/>
                      <w:szCs w:val="18"/>
                    </w:rPr>
                  </w:pPr>
                  <w:r>
                    <w:rPr>
                      <w:color w:val="auto"/>
                      <w:sz w:val="18"/>
                      <w:szCs w:val="18"/>
                    </w:rPr>
                    <w:t>少量</w:t>
                  </w:r>
                </w:p>
              </w:tc>
              <w:tc>
                <w:tcPr>
                  <w:tcW w:w="1604" w:type="dxa"/>
                  <w:vAlign w:val="center"/>
                </w:tcPr>
                <w:p>
                  <w:pPr>
                    <w:adjustRightInd w:val="0"/>
                    <w:snapToGrid w:val="0"/>
                    <w:jc w:val="center"/>
                    <w:rPr>
                      <w:color w:val="auto"/>
                      <w:sz w:val="18"/>
                      <w:szCs w:val="18"/>
                    </w:rPr>
                  </w:pPr>
                  <w:r>
                    <w:rPr>
                      <w:color w:val="auto"/>
                      <w:sz w:val="18"/>
                      <w:szCs w:val="18"/>
                      <w:lang w:val="zh-CN"/>
                    </w:rPr>
                    <w:t>《饮食业油烟排放标准》（试用）（GB18483-2001）</w:t>
                  </w:r>
                </w:p>
              </w:tc>
              <w:tc>
                <w:tcPr>
                  <w:tcW w:w="896" w:type="dxa"/>
                  <w:vAlign w:val="center"/>
                </w:tcPr>
                <w:p>
                  <w:pPr>
                    <w:adjustRightInd w:val="0"/>
                    <w:snapToGrid w:val="0"/>
                    <w:jc w:val="center"/>
                    <w:rPr>
                      <w:color w:val="auto"/>
                      <w:sz w:val="18"/>
                      <w:szCs w:val="18"/>
                    </w:rPr>
                  </w:pPr>
                  <w:r>
                    <w:rPr>
                      <w:color w:val="auto"/>
                      <w:sz w:val="18"/>
                      <w:szCs w:val="18"/>
                    </w:rPr>
                    <w:t>2.0</w:t>
                  </w:r>
                </w:p>
              </w:tc>
              <w:tc>
                <w:tcPr>
                  <w:tcW w:w="823" w:type="dxa"/>
                  <w:vAlign w:val="center"/>
                </w:tcPr>
                <w:p>
                  <w:pPr>
                    <w:adjustRightInd w:val="0"/>
                    <w:snapToGrid w:val="0"/>
                    <w:jc w:val="center"/>
                    <w:rPr>
                      <w:color w:val="auto"/>
                      <w:sz w:val="18"/>
                      <w:szCs w:val="18"/>
                    </w:rPr>
                  </w:pPr>
                  <w:r>
                    <w:rPr>
                      <w:color w:val="auto"/>
                      <w:sz w:val="18"/>
                      <w:szCs w:val="18"/>
                    </w:rPr>
                    <w:t>/</w:t>
                  </w:r>
                </w:p>
              </w:tc>
            </w:tr>
          </w:tbl>
          <w:p>
            <w:pPr>
              <w:adjustRightInd w:val="0"/>
              <w:snapToGrid w:val="0"/>
              <w:spacing w:line="360" w:lineRule="auto"/>
              <w:ind w:firstLine="420" w:firstLineChars="200"/>
              <w:rPr>
                <w:color w:val="auto"/>
                <w:kern w:val="0"/>
                <w:szCs w:val="21"/>
              </w:rPr>
            </w:pPr>
            <w:r>
              <w:rPr>
                <w:rFonts w:hint="eastAsia"/>
                <w:color w:val="auto"/>
                <w:kern w:val="0"/>
                <w:szCs w:val="21"/>
              </w:rPr>
              <w:t>2、监测计划</w:t>
            </w:r>
          </w:p>
          <w:p>
            <w:pPr>
              <w:adjustRightInd w:val="0"/>
              <w:snapToGrid w:val="0"/>
              <w:spacing w:line="360" w:lineRule="auto"/>
              <w:ind w:firstLine="420"/>
              <w:rPr>
                <w:color w:val="auto"/>
                <w:kern w:val="0"/>
                <w:szCs w:val="21"/>
              </w:rPr>
            </w:pPr>
            <w:r>
              <w:rPr>
                <w:rFonts w:hint="eastAsia"/>
                <w:color w:val="auto"/>
                <w:kern w:val="0"/>
                <w:szCs w:val="21"/>
              </w:rPr>
              <w:t>根据《排污单位自行监测技术指南 总则》（HJ819-2017）文件，并结合本项目污染物的特点，制定营运期监测计划见下表。</w:t>
            </w:r>
          </w:p>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 xml:space="preserve">-3 </w:t>
            </w:r>
            <w:r>
              <w:rPr>
                <w:rFonts w:hint="eastAsia"/>
                <w:b/>
                <w:color w:val="auto"/>
                <w:kern w:val="0"/>
                <w:sz w:val="18"/>
                <w:szCs w:val="18"/>
              </w:rPr>
              <w:t>营运期废气监测计划</w:t>
            </w:r>
          </w:p>
          <w:tbl>
            <w:tblPr>
              <w:tblStyle w:val="14"/>
              <w:tblW w:w="80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2073"/>
              <w:gridCol w:w="1685"/>
              <w:gridCol w:w="2040"/>
              <w:gridCol w:w="12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77" w:type="dxa"/>
                  <w:vAlign w:val="center"/>
                </w:tcPr>
                <w:p>
                  <w:pPr>
                    <w:adjustRightInd w:val="0"/>
                    <w:snapToGrid w:val="0"/>
                    <w:jc w:val="center"/>
                    <w:rPr>
                      <w:bCs/>
                      <w:color w:val="auto"/>
                      <w:sz w:val="18"/>
                      <w:szCs w:val="18"/>
                    </w:rPr>
                  </w:pPr>
                  <w:r>
                    <w:rPr>
                      <w:bCs/>
                      <w:color w:val="auto"/>
                      <w:sz w:val="18"/>
                      <w:szCs w:val="18"/>
                    </w:rPr>
                    <w:t>监测项目</w:t>
                  </w:r>
                </w:p>
              </w:tc>
              <w:tc>
                <w:tcPr>
                  <w:tcW w:w="2073" w:type="dxa"/>
                  <w:vAlign w:val="center"/>
                </w:tcPr>
                <w:p>
                  <w:pPr>
                    <w:adjustRightInd w:val="0"/>
                    <w:snapToGrid w:val="0"/>
                    <w:jc w:val="center"/>
                    <w:rPr>
                      <w:bCs/>
                      <w:color w:val="auto"/>
                      <w:sz w:val="18"/>
                      <w:szCs w:val="18"/>
                    </w:rPr>
                  </w:pPr>
                  <w:r>
                    <w:rPr>
                      <w:bCs/>
                      <w:color w:val="auto"/>
                      <w:sz w:val="18"/>
                      <w:szCs w:val="18"/>
                    </w:rPr>
                    <w:t>监测点位</w:t>
                  </w:r>
                </w:p>
              </w:tc>
              <w:tc>
                <w:tcPr>
                  <w:tcW w:w="1685" w:type="dxa"/>
                  <w:vAlign w:val="center"/>
                </w:tcPr>
                <w:p>
                  <w:pPr>
                    <w:adjustRightInd w:val="0"/>
                    <w:snapToGrid w:val="0"/>
                    <w:jc w:val="center"/>
                    <w:rPr>
                      <w:bCs/>
                      <w:color w:val="auto"/>
                      <w:sz w:val="18"/>
                      <w:szCs w:val="18"/>
                    </w:rPr>
                  </w:pPr>
                  <w:r>
                    <w:rPr>
                      <w:bCs/>
                      <w:color w:val="auto"/>
                      <w:sz w:val="18"/>
                      <w:szCs w:val="18"/>
                    </w:rPr>
                    <w:t>监测因子</w:t>
                  </w:r>
                </w:p>
              </w:tc>
              <w:tc>
                <w:tcPr>
                  <w:tcW w:w="2040" w:type="dxa"/>
                  <w:vAlign w:val="center"/>
                </w:tcPr>
                <w:p>
                  <w:pPr>
                    <w:adjustRightInd w:val="0"/>
                    <w:snapToGrid w:val="0"/>
                    <w:jc w:val="center"/>
                    <w:rPr>
                      <w:bCs/>
                      <w:color w:val="auto"/>
                      <w:sz w:val="18"/>
                      <w:szCs w:val="18"/>
                    </w:rPr>
                  </w:pPr>
                  <w:r>
                    <w:rPr>
                      <w:bCs/>
                      <w:color w:val="auto"/>
                      <w:sz w:val="18"/>
                      <w:szCs w:val="18"/>
                    </w:rPr>
                    <w:t>监测频次</w:t>
                  </w:r>
                </w:p>
              </w:tc>
              <w:tc>
                <w:tcPr>
                  <w:tcW w:w="1202" w:type="dxa"/>
                  <w:vAlign w:val="center"/>
                </w:tcPr>
                <w:p>
                  <w:pPr>
                    <w:adjustRightInd w:val="0"/>
                    <w:snapToGrid w:val="0"/>
                    <w:jc w:val="center"/>
                    <w:rPr>
                      <w:bCs/>
                      <w:color w:val="auto"/>
                      <w:sz w:val="18"/>
                      <w:szCs w:val="18"/>
                    </w:rPr>
                  </w:pPr>
                  <w:r>
                    <w:rPr>
                      <w:bCs/>
                      <w:color w:val="auto"/>
                      <w:sz w:val="18"/>
                      <w:szCs w:val="18"/>
                    </w:rPr>
                    <w:t>监测周期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77" w:type="dxa"/>
                  <w:vMerge w:val="restart"/>
                  <w:vAlign w:val="center"/>
                </w:tcPr>
                <w:p>
                  <w:pPr>
                    <w:adjustRightInd w:val="0"/>
                    <w:snapToGrid w:val="0"/>
                    <w:jc w:val="center"/>
                    <w:rPr>
                      <w:color w:val="auto"/>
                      <w:sz w:val="18"/>
                      <w:szCs w:val="18"/>
                    </w:rPr>
                  </w:pPr>
                  <w:r>
                    <w:rPr>
                      <w:color w:val="auto"/>
                      <w:sz w:val="18"/>
                      <w:szCs w:val="18"/>
                    </w:rPr>
                    <w:t>废气</w:t>
                  </w:r>
                </w:p>
              </w:tc>
              <w:tc>
                <w:tcPr>
                  <w:tcW w:w="2073" w:type="dxa"/>
                  <w:vAlign w:val="center"/>
                </w:tcPr>
                <w:p>
                  <w:pPr>
                    <w:adjustRightInd w:val="0"/>
                    <w:snapToGrid w:val="0"/>
                    <w:jc w:val="center"/>
                    <w:rPr>
                      <w:color w:val="auto"/>
                      <w:sz w:val="18"/>
                      <w:szCs w:val="18"/>
                    </w:rPr>
                  </w:pPr>
                  <w:r>
                    <w:rPr>
                      <w:color w:val="auto"/>
                      <w:sz w:val="18"/>
                      <w:szCs w:val="18"/>
                    </w:rPr>
                    <w:t>加工区场界</w:t>
                  </w:r>
                </w:p>
              </w:tc>
              <w:tc>
                <w:tcPr>
                  <w:tcW w:w="1685" w:type="dxa"/>
                  <w:vAlign w:val="center"/>
                </w:tcPr>
                <w:p>
                  <w:pPr>
                    <w:adjustRightInd w:val="0"/>
                    <w:snapToGrid w:val="0"/>
                    <w:jc w:val="center"/>
                    <w:rPr>
                      <w:color w:val="auto"/>
                      <w:sz w:val="18"/>
                      <w:szCs w:val="18"/>
                    </w:rPr>
                  </w:pPr>
                  <w:r>
                    <w:rPr>
                      <w:color w:val="auto"/>
                      <w:sz w:val="18"/>
                      <w:szCs w:val="18"/>
                    </w:rPr>
                    <w:t>颗粒物</w:t>
                  </w:r>
                </w:p>
              </w:tc>
              <w:tc>
                <w:tcPr>
                  <w:tcW w:w="2040" w:type="dxa"/>
                  <w:vAlign w:val="center"/>
                </w:tcPr>
                <w:p>
                  <w:pPr>
                    <w:adjustRightInd w:val="0"/>
                    <w:snapToGrid w:val="0"/>
                    <w:jc w:val="center"/>
                    <w:rPr>
                      <w:color w:val="auto"/>
                      <w:sz w:val="18"/>
                      <w:szCs w:val="18"/>
                    </w:rPr>
                  </w:pPr>
                  <w:r>
                    <w:rPr>
                      <w:color w:val="auto"/>
                      <w:sz w:val="18"/>
                      <w:szCs w:val="18"/>
                    </w:rPr>
                    <w:t>1天（每天3次）</w:t>
                  </w:r>
                </w:p>
              </w:tc>
              <w:tc>
                <w:tcPr>
                  <w:tcW w:w="1202" w:type="dxa"/>
                  <w:vAlign w:val="center"/>
                </w:tcPr>
                <w:p>
                  <w:pPr>
                    <w:adjustRightInd w:val="0"/>
                    <w:snapToGrid w:val="0"/>
                    <w:jc w:val="center"/>
                    <w:rPr>
                      <w:color w:val="auto"/>
                      <w:sz w:val="18"/>
                      <w:szCs w:val="18"/>
                    </w:rPr>
                  </w:pPr>
                  <w:r>
                    <w:rPr>
                      <w:color w:val="auto"/>
                      <w:sz w:val="18"/>
                      <w:szCs w:val="18"/>
                    </w:rPr>
                    <w:t>1次/年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77" w:type="dxa"/>
                  <w:vMerge w:val="continue"/>
                  <w:vAlign w:val="center"/>
                </w:tcPr>
                <w:p>
                  <w:pPr>
                    <w:adjustRightInd w:val="0"/>
                    <w:snapToGrid w:val="0"/>
                    <w:jc w:val="center"/>
                    <w:rPr>
                      <w:color w:val="auto"/>
                      <w:sz w:val="18"/>
                      <w:szCs w:val="18"/>
                    </w:rPr>
                  </w:pPr>
                </w:p>
              </w:tc>
              <w:tc>
                <w:tcPr>
                  <w:tcW w:w="2073" w:type="dxa"/>
                  <w:vAlign w:val="center"/>
                </w:tcPr>
                <w:p>
                  <w:pPr>
                    <w:adjustRightInd w:val="0"/>
                    <w:snapToGrid w:val="0"/>
                    <w:jc w:val="center"/>
                    <w:rPr>
                      <w:color w:val="auto"/>
                      <w:sz w:val="18"/>
                      <w:szCs w:val="18"/>
                    </w:rPr>
                  </w:pPr>
                  <w:r>
                    <w:rPr>
                      <w:rFonts w:hint="eastAsia"/>
                      <w:color w:val="auto"/>
                      <w:sz w:val="18"/>
                      <w:szCs w:val="18"/>
                    </w:rPr>
                    <w:t>开采区</w:t>
                  </w:r>
                  <w:r>
                    <w:rPr>
                      <w:color w:val="auto"/>
                      <w:sz w:val="18"/>
                      <w:szCs w:val="18"/>
                    </w:rPr>
                    <w:t>边界</w:t>
                  </w:r>
                </w:p>
              </w:tc>
              <w:tc>
                <w:tcPr>
                  <w:tcW w:w="1685" w:type="dxa"/>
                  <w:vAlign w:val="center"/>
                </w:tcPr>
                <w:p>
                  <w:pPr>
                    <w:adjustRightInd w:val="0"/>
                    <w:snapToGrid w:val="0"/>
                    <w:jc w:val="center"/>
                    <w:rPr>
                      <w:color w:val="auto"/>
                      <w:sz w:val="18"/>
                      <w:szCs w:val="18"/>
                    </w:rPr>
                  </w:pPr>
                  <w:r>
                    <w:rPr>
                      <w:color w:val="auto"/>
                      <w:sz w:val="18"/>
                      <w:szCs w:val="18"/>
                    </w:rPr>
                    <w:t>颗粒物</w:t>
                  </w:r>
                </w:p>
              </w:tc>
              <w:tc>
                <w:tcPr>
                  <w:tcW w:w="2040" w:type="dxa"/>
                  <w:vAlign w:val="center"/>
                </w:tcPr>
                <w:p>
                  <w:pPr>
                    <w:adjustRightInd w:val="0"/>
                    <w:snapToGrid w:val="0"/>
                    <w:jc w:val="center"/>
                    <w:rPr>
                      <w:color w:val="auto"/>
                      <w:sz w:val="18"/>
                      <w:szCs w:val="18"/>
                    </w:rPr>
                  </w:pPr>
                  <w:r>
                    <w:rPr>
                      <w:color w:val="auto"/>
                      <w:sz w:val="18"/>
                      <w:szCs w:val="18"/>
                    </w:rPr>
                    <w:t>1天（每天3次）</w:t>
                  </w:r>
                </w:p>
              </w:tc>
              <w:tc>
                <w:tcPr>
                  <w:tcW w:w="1202" w:type="dxa"/>
                  <w:vAlign w:val="center"/>
                </w:tcPr>
                <w:p>
                  <w:pPr>
                    <w:adjustRightInd w:val="0"/>
                    <w:snapToGrid w:val="0"/>
                    <w:jc w:val="center"/>
                    <w:rPr>
                      <w:color w:val="auto"/>
                      <w:sz w:val="18"/>
                      <w:szCs w:val="18"/>
                    </w:rPr>
                  </w:pPr>
                  <w:r>
                    <w:rPr>
                      <w:color w:val="auto"/>
                      <w:sz w:val="18"/>
                      <w:szCs w:val="18"/>
                    </w:rPr>
                    <w:t>1次/年</w:t>
                  </w:r>
                </w:p>
              </w:tc>
            </w:tr>
          </w:tbl>
          <w:p>
            <w:pPr>
              <w:adjustRightInd w:val="0"/>
              <w:snapToGrid w:val="0"/>
              <w:spacing w:line="360" w:lineRule="auto"/>
              <w:ind w:firstLine="420"/>
              <w:rPr>
                <w:color w:val="auto"/>
                <w:kern w:val="0"/>
                <w:szCs w:val="21"/>
              </w:rPr>
            </w:pPr>
            <w:r>
              <w:rPr>
                <w:rFonts w:hint="eastAsia"/>
                <w:color w:val="auto"/>
                <w:kern w:val="0"/>
                <w:szCs w:val="21"/>
              </w:rPr>
              <w:t>3、非正常排放情况</w:t>
            </w:r>
          </w:p>
          <w:p>
            <w:pPr>
              <w:adjustRightInd w:val="0"/>
              <w:snapToGrid w:val="0"/>
              <w:spacing w:line="360" w:lineRule="auto"/>
              <w:ind w:firstLine="420"/>
              <w:rPr>
                <w:color w:val="auto"/>
                <w:kern w:val="0"/>
                <w:szCs w:val="21"/>
              </w:rPr>
            </w:pPr>
            <w:r>
              <w:rPr>
                <w:rFonts w:hint="eastAsia"/>
                <w:color w:val="auto"/>
                <w:kern w:val="0"/>
                <w:szCs w:val="21"/>
              </w:rPr>
              <w:t>本项目废气非正常排放的情况主要考虑废气处理设施故障，通常除尘设施一旦故障，项目便会停止生产，因此不会出现非正常排放的情况。</w:t>
            </w:r>
          </w:p>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 xml:space="preserve">-4 </w:t>
            </w:r>
            <w:r>
              <w:rPr>
                <w:rFonts w:hint="eastAsia"/>
                <w:b/>
                <w:color w:val="auto"/>
                <w:kern w:val="0"/>
                <w:sz w:val="18"/>
                <w:szCs w:val="18"/>
              </w:rPr>
              <w:t>污染源非正常排放量核算表</w:t>
            </w:r>
          </w:p>
          <w:tbl>
            <w:tblPr>
              <w:tblStyle w:val="14"/>
              <w:tblW w:w="811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28"/>
              <w:gridCol w:w="848"/>
              <w:gridCol w:w="1210"/>
              <w:gridCol w:w="646"/>
              <w:gridCol w:w="1135"/>
              <w:gridCol w:w="1184"/>
              <w:gridCol w:w="886"/>
              <w:gridCol w:w="1003"/>
              <w:gridCol w:w="7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3" w:hRule="atLeast"/>
                <w:jc w:val="center"/>
              </w:trPr>
              <w:tc>
                <w:tcPr>
                  <w:tcW w:w="428" w:type="dxa"/>
                  <w:shd w:val="clear" w:color="auto" w:fill="FFFFFF"/>
                  <w:vAlign w:val="center"/>
                </w:tcPr>
                <w:p>
                  <w:pPr>
                    <w:pStyle w:val="44"/>
                    <w:ind w:left="-53" w:leftChars="-25" w:right="-53" w:rightChars="-25"/>
                    <w:rPr>
                      <w:rFonts w:ascii="Times New Roman" w:hAnsi="Times New Roman"/>
                      <w:bCs/>
                      <w:color w:val="auto"/>
                      <w:sz w:val="18"/>
                      <w:szCs w:val="18"/>
                    </w:rPr>
                  </w:pPr>
                  <w:r>
                    <w:rPr>
                      <w:rFonts w:ascii="Times New Roman" w:hAnsi="Times New Roman"/>
                      <w:bCs/>
                      <w:color w:val="auto"/>
                      <w:sz w:val="18"/>
                      <w:szCs w:val="18"/>
                    </w:rPr>
                    <w:t>序号</w:t>
                  </w:r>
                </w:p>
              </w:tc>
              <w:tc>
                <w:tcPr>
                  <w:tcW w:w="848" w:type="dxa"/>
                  <w:shd w:val="clear" w:color="auto" w:fill="FFFFFF"/>
                  <w:vAlign w:val="center"/>
                </w:tcPr>
                <w:p>
                  <w:pPr>
                    <w:pStyle w:val="44"/>
                    <w:ind w:left="-53" w:leftChars="-25" w:right="-53" w:rightChars="-25"/>
                    <w:rPr>
                      <w:rFonts w:ascii="Times New Roman" w:hAnsi="Times New Roman"/>
                      <w:bCs/>
                      <w:color w:val="auto"/>
                      <w:sz w:val="18"/>
                      <w:szCs w:val="18"/>
                    </w:rPr>
                  </w:pPr>
                  <w:r>
                    <w:rPr>
                      <w:rFonts w:ascii="Times New Roman" w:hAnsi="Times New Roman"/>
                      <w:bCs/>
                      <w:color w:val="auto"/>
                      <w:sz w:val="18"/>
                      <w:szCs w:val="18"/>
                    </w:rPr>
                    <w:t>污染源</w:t>
                  </w:r>
                </w:p>
              </w:tc>
              <w:tc>
                <w:tcPr>
                  <w:tcW w:w="1210" w:type="dxa"/>
                  <w:shd w:val="clear" w:color="auto" w:fill="FFFFFF"/>
                  <w:vAlign w:val="center"/>
                </w:tcPr>
                <w:p>
                  <w:pPr>
                    <w:pStyle w:val="44"/>
                    <w:ind w:left="-53" w:leftChars="-25" w:right="-53" w:rightChars="-25"/>
                    <w:rPr>
                      <w:rFonts w:ascii="Times New Roman" w:hAnsi="Times New Roman"/>
                      <w:bCs/>
                      <w:color w:val="auto"/>
                      <w:sz w:val="18"/>
                      <w:szCs w:val="18"/>
                    </w:rPr>
                  </w:pPr>
                  <w:r>
                    <w:rPr>
                      <w:rFonts w:ascii="Times New Roman" w:hAnsi="Times New Roman"/>
                      <w:bCs/>
                      <w:color w:val="auto"/>
                      <w:sz w:val="18"/>
                      <w:szCs w:val="18"/>
                    </w:rPr>
                    <w:t>非正常排放原因</w:t>
                  </w:r>
                </w:p>
              </w:tc>
              <w:tc>
                <w:tcPr>
                  <w:tcW w:w="646" w:type="dxa"/>
                  <w:shd w:val="clear" w:color="auto" w:fill="FFFFFF"/>
                  <w:vAlign w:val="center"/>
                </w:tcPr>
                <w:p>
                  <w:pPr>
                    <w:pStyle w:val="44"/>
                    <w:ind w:left="-53" w:leftChars="-25" w:right="-53" w:rightChars="-25"/>
                    <w:rPr>
                      <w:rFonts w:ascii="Times New Roman" w:hAnsi="Times New Roman"/>
                      <w:bCs/>
                      <w:color w:val="auto"/>
                      <w:sz w:val="18"/>
                      <w:szCs w:val="18"/>
                    </w:rPr>
                  </w:pPr>
                  <w:r>
                    <w:rPr>
                      <w:rFonts w:ascii="Times New Roman" w:hAnsi="Times New Roman"/>
                      <w:bCs/>
                      <w:color w:val="auto"/>
                      <w:sz w:val="18"/>
                      <w:szCs w:val="18"/>
                    </w:rPr>
                    <w:t>污染物</w:t>
                  </w:r>
                </w:p>
              </w:tc>
              <w:tc>
                <w:tcPr>
                  <w:tcW w:w="1135" w:type="dxa"/>
                  <w:shd w:val="clear" w:color="auto" w:fill="FFFFFF"/>
                  <w:vAlign w:val="center"/>
                </w:tcPr>
                <w:p>
                  <w:pPr>
                    <w:pStyle w:val="44"/>
                    <w:ind w:left="-53" w:leftChars="-25" w:right="-53" w:rightChars="-25"/>
                    <w:rPr>
                      <w:rFonts w:ascii="Times New Roman" w:hAnsi="Times New Roman"/>
                      <w:bCs/>
                      <w:color w:val="auto"/>
                      <w:sz w:val="18"/>
                      <w:szCs w:val="18"/>
                    </w:rPr>
                  </w:pPr>
                  <w:r>
                    <w:rPr>
                      <w:rFonts w:ascii="Times New Roman" w:hAnsi="Times New Roman"/>
                      <w:bCs/>
                      <w:color w:val="auto"/>
                      <w:sz w:val="18"/>
                      <w:szCs w:val="18"/>
                    </w:rPr>
                    <w:t>非正常排放浓度/(mg/m</w:t>
                  </w:r>
                  <w:r>
                    <w:rPr>
                      <w:rFonts w:ascii="Times New Roman" w:hAnsi="Times New Roman"/>
                      <w:bCs/>
                      <w:color w:val="auto"/>
                      <w:sz w:val="18"/>
                      <w:szCs w:val="18"/>
                      <w:vertAlign w:val="superscript"/>
                    </w:rPr>
                    <w:t>3</w:t>
                  </w:r>
                  <w:r>
                    <w:rPr>
                      <w:rFonts w:ascii="Times New Roman" w:hAnsi="Times New Roman"/>
                      <w:bCs/>
                      <w:color w:val="auto"/>
                      <w:sz w:val="18"/>
                      <w:szCs w:val="18"/>
                    </w:rPr>
                    <w:t>)</w:t>
                  </w:r>
                </w:p>
              </w:tc>
              <w:tc>
                <w:tcPr>
                  <w:tcW w:w="1184" w:type="dxa"/>
                  <w:shd w:val="clear" w:color="auto" w:fill="FFFFFF"/>
                  <w:vAlign w:val="center"/>
                </w:tcPr>
                <w:p>
                  <w:pPr>
                    <w:pStyle w:val="44"/>
                    <w:ind w:left="-53" w:leftChars="-25" w:right="-53" w:rightChars="-25"/>
                    <w:rPr>
                      <w:rFonts w:ascii="Times New Roman" w:hAnsi="Times New Roman"/>
                      <w:bCs/>
                      <w:color w:val="auto"/>
                      <w:sz w:val="18"/>
                      <w:szCs w:val="18"/>
                    </w:rPr>
                  </w:pPr>
                  <w:r>
                    <w:rPr>
                      <w:rFonts w:ascii="Times New Roman" w:hAnsi="Times New Roman"/>
                      <w:bCs/>
                      <w:color w:val="auto"/>
                      <w:sz w:val="18"/>
                      <w:szCs w:val="18"/>
                    </w:rPr>
                    <w:t>非正常排放速率/(kg/h)</w:t>
                  </w:r>
                </w:p>
              </w:tc>
              <w:tc>
                <w:tcPr>
                  <w:tcW w:w="886" w:type="dxa"/>
                  <w:shd w:val="clear" w:color="auto" w:fill="FFFFFF"/>
                  <w:vAlign w:val="center"/>
                </w:tcPr>
                <w:p>
                  <w:pPr>
                    <w:pStyle w:val="44"/>
                    <w:ind w:left="-53" w:leftChars="-25" w:right="-53" w:rightChars="-25"/>
                    <w:rPr>
                      <w:rFonts w:ascii="Times New Roman" w:hAnsi="Times New Roman"/>
                      <w:bCs/>
                      <w:color w:val="auto"/>
                      <w:sz w:val="18"/>
                      <w:szCs w:val="18"/>
                    </w:rPr>
                  </w:pPr>
                  <w:r>
                    <w:rPr>
                      <w:rFonts w:ascii="Times New Roman" w:hAnsi="Times New Roman"/>
                      <w:bCs/>
                      <w:color w:val="auto"/>
                      <w:sz w:val="18"/>
                      <w:szCs w:val="18"/>
                    </w:rPr>
                    <w:t>单次持续时间/h</w:t>
                  </w:r>
                </w:p>
              </w:tc>
              <w:tc>
                <w:tcPr>
                  <w:tcW w:w="1003" w:type="dxa"/>
                  <w:shd w:val="clear" w:color="auto" w:fill="FFFFFF"/>
                  <w:vAlign w:val="center"/>
                </w:tcPr>
                <w:p>
                  <w:pPr>
                    <w:pStyle w:val="44"/>
                    <w:ind w:left="-53" w:leftChars="-25" w:right="-53" w:rightChars="-25"/>
                    <w:rPr>
                      <w:rFonts w:ascii="Times New Roman" w:hAnsi="Times New Roman"/>
                      <w:bCs/>
                      <w:color w:val="auto"/>
                      <w:sz w:val="18"/>
                      <w:szCs w:val="18"/>
                    </w:rPr>
                  </w:pPr>
                  <w:r>
                    <w:rPr>
                      <w:rFonts w:ascii="Times New Roman" w:hAnsi="Times New Roman"/>
                      <w:bCs/>
                      <w:color w:val="auto"/>
                      <w:sz w:val="18"/>
                      <w:szCs w:val="18"/>
                    </w:rPr>
                    <w:t>年发生频次</w:t>
                  </w:r>
                </w:p>
                <w:p>
                  <w:pPr>
                    <w:pStyle w:val="44"/>
                    <w:ind w:left="-53" w:leftChars="-25" w:right="-53" w:rightChars="-25"/>
                    <w:rPr>
                      <w:rFonts w:ascii="Times New Roman" w:hAnsi="Times New Roman"/>
                      <w:bCs/>
                      <w:color w:val="auto"/>
                      <w:sz w:val="18"/>
                      <w:szCs w:val="18"/>
                    </w:rPr>
                  </w:pPr>
                  <w:r>
                    <w:rPr>
                      <w:rFonts w:ascii="Times New Roman" w:hAnsi="Times New Roman"/>
                      <w:bCs/>
                      <w:color w:val="auto"/>
                      <w:sz w:val="18"/>
                      <w:szCs w:val="18"/>
                    </w:rPr>
                    <w:t>/次</w:t>
                  </w:r>
                </w:p>
              </w:tc>
              <w:tc>
                <w:tcPr>
                  <w:tcW w:w="775" w:type="dxa"/>
                  <w:shd w:val="clear" w:color="auto" w:fill="FFFFFF"/>
                  <w:vAlign w:val="center"/>
                </w:tcPr>
                <w:p>
                  <w:pPr>
                    <w:pStyle w:val="44"/>
                    <w:ind w:left="-53" w:leftChars="-25" w:right="-53" w:rightChars="-25"/>
                    <w:rPr>
                      <w:rFonts w:ascii="Times New Roman" w:hAnsi="Times New Roman"/>
                      <w:bCs/>
                      <w:color w:val="auto"/>
                      <w:sz w:val="18"/>
                      <w:szCs w:val="18"/>
                    </w:rPr>
                  </w:pPr>
                  <w:r>
                    <w:rPr>
                      <w:rFonts w:ascii="Times New Roman" w:hAnsi="Times New Roman"/>
                      <w:bCs/>
                      <w:color w:val="auto"/>
                      <w:sz w:val="18"/>
                      <w:szCs w:val="18"/>
                    </w:rPr>
                    <w:t>应对</w:t>
                  </w:r>
                </w:p>
                <w:p>
                  <w:pPr>
                    <w:pStyle w:val="44"/>
                    <w:ind w:left="-53" w:leftChars="-25" w:right="-53" w:rightChars="-25"/>
                    <w:rPr>
                      <w:rFonts w:ascii="Times New Roman" w:hAnsi="Times New Roman"/>
                      <w:bCs/>
                      <w:color w:val="auto"/>
                      <w:sz w:val="18"/>
                      <w:szCs w:val="18"/>
                    </w:rPr>
                  </w:pPr>
                  <w:r>
                    <w:rPr>
                      <w:rFonts w:ascii="Times New Roman" w:hAnsi="Times New Roman"/>
                      <w:bCs/>
                      <w:color w:val="auto"/>
                      <w:sz w:val="18"/>
                      <w:szCs w:val="18"/>
                    </w:rPr>
                    <w:t>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428" w:type="dxa"/>
                  <w:shd w:val="clear" w:color="auto" w:fill="FFFFFF"/>
                  <w:vAlign w:val="center"/>
                </w:tcPr>
                <w:p>
                  <w:pPr>
                    <w:pStyle w:val="44"/>
                    <w:ind w:left="-53" w:leftChars="-25" w:right="-53" w:rightChars="-25"/>
                    <w:rPr>
                      <w:rFonts w:ascii="Times New Roman" w:hAnsi="Times New Roman"/>
                      <w:color w:val="auto"/>
                      <w:sz w:val="18"/>
                      <w:szCs w:val="18"/>
                    </w:rPr>
                  </w:pPr>
                  <w:r>
                    <w:rPr>
                      <w:rFonts w:ascii="Times New Roman" w:hAnsi="Times New Roman"/>
                      <w:color w:val="auto"/>
                      <w:sz w:val="18"/>
                      <w:szCs w:val="18"/>
                    </w:rPr>
                    <w:t>1</w:t>
                  </w:r>
                </w:p>
              </w:tc>
              <w:tc>
                <w:tcPr>
                  <w:tcW w:w="848" w:type="dxa"/>
                  <w:shd w:val="clear" w:color="auto" w:fill="FFFFFF"/>
                  <w:vAlign w:val="center"/>
                </w:tcPr>
                <w:p>
                  <w:pPr>
                    <w:pStyle w:val="44"/>
                    <w:ind w:left="-53" w:leftChars="-25" w:right="-53" w:rightChars="-25"/>
                    <w:rPr>
                      <w:rFonts w:ascii="Times New Roman" w:hAnsi="Times New Roman"/>
                      <w:color w:val="auto"/>
                      <w:sz w:val="18"/>
                      <w:szCs w:val="18"/>
                    </w:rPr>
                  </w:pPr>
                  <w:r>
                    <w:rPr>
                      <w:rFonts w:ascii="Times New Roman" w:hAnsi="Times New Roman"/>
                      <w:color w:val="auto"/>
                      <w:sz w:val="18"/>
                      <w:szCs w:val="18"/>
                    </w:rPr>
                    <w:t>生产车间</w:t>
                  </w:r>
                </w:p>
              </w:tc>
              <w:tc>
                <w:tcPr>
                  <w:tcW w:w="1210" w:type="dxa"/>
                  <w:shd w:val="clear" w:color="auto" w:fill="FFFFFF"/>
                  <w:vAlign w:val="center"/>
                </w:tcPr>
                <w:p>
                  <w:pPr>
                    <w:pStyle w:val="44"/>
                    <w:ind w:left="-53" w:leftChars="-25" w:right="-53" w:rightChars="-25"/>
                    <w:rPr>
                      <w:rFonts w:ascii="Times New Roman" w:hAnsi="Times New Roman"/>
                      <w:color w:val="auto"/>
                      <w:sz w:val="18"/>
                      <w:szCs w:val="18"/>
                    </w:rPr>
                  </w:pPr>
                  <w:r>
                    <w:rPr>
                      <w:rFonts w:ascii="Times New Roman" w:hAnsi="Times New Roman"/>
                      <w:color w:val="auto"/>
                      <w:sz w:val="18"/>
                      <w:szCs w:val="18"/>
                    </w:rPr>
                    <w:t>除尘设施故障</w:t>
                  </w:r>
                </w:p>
              </w:tc>
              <w:tc>
                <w:tcPr>
                  <w:tcW w:w="646" w:type="dxa"/>
                  <w:shd w:val="clear" w:color="auto" w:fill="FFFFFF"/>
                  <w:vAlign w:val="center"/>
                </w:tcPr>
                <w:p>
                  <w:pPr>
                    <w:pStyle w:val="44"/>
                    <w:ind w:left="-53" w:leftChars="-25" w:right="-53" w:rightChars="-25"/>
                    <w:rPr>
                      <w:rFonts w:ascii="Times New Roman" w:hAnsi="Times New Roman"/>
                      <w:color w:val="auto"/>
                      <w:sz w:val="18"/>
                      <w:szCs w:val="18"/>
                    </w:rPr>
                  </w:pPr>
                  <w:r>
                    <w:rPr>
                      <w:rFonts w:ascii="Times New Roman" w:hAnsi="Times New Roman"/>
                      <w:color w:val="auto"/>
                      <w:sz w:val="18"/>
                      <w:szCs w:val="18"/>
                    </w:rPr>
                    <w:t>-</w:t>
                  </w:r>
                </w:p>
              </w:tc>
              <w:tc>
                <w:tcPr>
                  <w:tcW w:w="1135" w:type="dxa"/>
                  <w:shd w:val="clear" w:color="auto" w:fill="FFFFFF"/>
                  <w:vAlign w:val="center"/>
                </w:tcPr>
                <w:p>
                  <w:pPr>
                    <w:ind w:left="-53" w:leftChars="-25" w:right="-53" w:rightChars="-25"/>
                    <w:jc w:val="center"/>
                    <w:rPr>
                      <w:color w:val="auto"/>
                      <w:sz w:val="18"/>
                      <w:szCs w:val="18"/>
                    </w:rPr>
                  </w:pPr>
                  <w:r>
                    <w:rPr>
                      <w:color w:val="auto"/>
                      <w:sz w:val="18"/>
                      <w:szCs w:val="18"/>
                    </w:rPr>
                    <w:t>-</w:t>
                  </w:r>
                </w:p>
              </w:tc>
              <w:tc>
                <w:tcPr>
                  <w:tcW w:w="1184" w:type="dxa"/>
                  <w:shd w:val="clear" w:color="auto" w:fill="FFFFFF"/>
                  <w:vAlign w:val="center"/>
                </w:tcPr>
                <w:p>
                  <w:pPr>
                    <w:ind w:left="-53" w:leftChars="-25" w:right="-53" w:rightChars="-25"/>
                    <w:jc w:val="center"/>
                    <w:rPr>
                      <w:color w:val="auto"/>
                      <w:sz w:val="18"/>
                      <w:szCs w:val="18"/>
                    </w:rPr>
                  </w:pPr>
                  <w:r>
                    <w:rPr>
                      <w:color w:val="auto"/>
                      <w:sz w:val="18"/>
                      <w:szCs w:val="18"/>
                    </w:rPr>
                    <w:t>-</w:t>
                  </w:r>
                </w:p>
              </w:tc>
              <w:tc>
                <w:tcPr>
                  <w:tcW w:w="886" w:type="dxa"/>
                  <w:shd w:val="clear" w:color="auto" w:fill="FFFFFF"/>
                  <w:vAlign w:val="center"/>
                </w:tcPr>
                <w:p>
                  <w:pPr>
                    <w:ind w:left="-53" w:leftChars="-25" w:right="-53" w:rightChars="-25"/>
                    <w:jc w:val="center"/>
                    <w:rPr>
                      <w:color w:val="auto"/>
                      <w:sz w:val="18"/>
                      <w:szCs w:val="18"/>
                    </w:rPr>
                  </w:pPr>
                  <w:r>
                    <w:rPr>
                      <w:color w:val="auto"/>
                      <w:sz w:val="18"/>
                      <w:szCs w:val="18"/>
                    </w:rPr>
                    <w:t>-</w:t>
                  </w:r>
                </w:p>
              </w:tc>
              <w:tc>
                <w:tcPr>
                  <w:tcW w:w="1003" w:type="dxa"/>
                  <w:shd w:val="clear" w:color="auto" w:fill="FFFFFF"/>
                  <w:vAlign w:val="center"/>
                </w:tcPr>
                <w:p>
                  <w:pPr>
                    <w:ind w:left="-53" w:leftChars="-25" w:right="-53" w:rightChars="-25"/>
                    <w:jc w:val="center"/>
                    <w:rPr>
                      <w:color w:val="auto"/>
                      <w:sz w:val="18"/>
                      <w:szCs w:val="18"/>
                    </w:rPr>
                  </w:pPr>
                  <w:r>
                    <w:rPr>
                      <w:color w:val="auto"/>
                      <w:sz w:val="18"/>
                      <w:szCs w:val="18"/>
                    </w:rPr>
                    <w:t>-</w:t>
                  </w:r>
                </w:p>
              </w:tc>
              <w:tc>
                <w:tcPr>
                  <w:tcW w:w="775" w:type="dxa"/>
                  <w:shd w:val="clear" w:color="auto" w:fill="FFFFFF"/>
                  <w:vAlign w:val="center"/>
                </w:tcPr>
                <w:p>
                  <w:pPr>
                    <w:pStyle w:val="44"/>
                    <w:ind w:left="-53" w:leftChars="-25" w:right="-53" w:rightChars="-25"/>
                    <w:rPr>
                      <w:rFonts w:ascii="Times New Roman" w:hAnsi="Times New Roman"/>
                      <w:color w:val="auto"/>
                      <w:sz w:val="18"/>
                      <w:szCs w:val="18"/>
                    </w:rPr>
                  </w:pPr>
                  <w:r>
                    <w:rPr>
                      <w:rFonts w:ascii="Times New Roman" w:hAnsi="Times New Roman"/>
                      <w:color w:val="auto"/>
                      <w:sz w:val="18"/>
                      <w:szCs w:val="18"/>
                    </w:rPr>
                    <w:t>停止生产</w:t>
                  </w:r>
                </w:p>
              </w:tc>
            </w:tr>
          </w:tbl>
          <w:p>
            <w:pPr>
              <w:adjustRightInd w:val="0"/>
              <w:snapToGrid w:val="0"/>
              <w:spacing w:line="360" w:lineRule="auto"/>
              <w:ind w:firstLine="420"/>
              <w:rPr>
                <w:color w:val="auto"/>
                <w:kern w:val="0"/>
                <w:szCs w:val="21"/>
              </w:rPr>
            </w:pPr>
            <w:r>
              <w:rPr>
                <w:rFonts w:hint="eastAsia"/>
                <w:color w:val="auto"/>
                <w:kern w:val="0"/>
                <w:szCs w:val="21"/>
              </w:rPr>
              <w:t>4、环境影响</w:t>
            </w:r>
          </w:p>
          <w:p>
            <w:pPr>
              <w:adjustRightInd w:val="0"/>
              <w:snapToGrid w:val="0"/>
              <w:spacing w:line="360" w:lineRule="auto"/>
              <w:ind w:firstLine="420"/>
              <w:rPr>
                <w:color w:val="auto"/>
                <w:kern w:val="0"/>
                <w:szCs w:val="21"/>
              </w:rPr>
            </w:pPr>
            <w:r>
              <w:rPr>
                <w:color w:val="auto"/>
                <w:kern w:val="0"/>
                <w:szCs w:val="21"/>
              </w:rPr>
              <w:t>本项目废气污染物主要为粉尘，通过对开采区湿法作业；各生产车间及输送带密闭、设置喷雾装置；产品堆场封闭；破碎机</w:t>
            </w:r>
            <w:r>
              <w:rPr>
                <w:rFonts w:hint="eastAsia"/>
                <w:color w:val="auto"/>
                <w:kern w:val="0"/>
                <w:szCs w:val="21"/>
              </w:rPr>
              <w:t>设置在封闭车间内</w:t>
            </w:r>
            <w:r>
              <w:rPr>
                <w:color w:val="auto"/>
                <w:kern w:val="0"/>
                <w:szCs w:val="21"/>
              </w:rPr>
              <w:t>，并</w:t>
            </w:r>
            <w:r>
              <w:rPr>
                <w:rFonts w:hint="eastAsia"/>
                <w:color w:val="auto"/>
                <w:kern w:val="0"/>
                <w:szCs w:val="21"/>
              </w:rPr>
              <w:t>在进出料口设置喷雾降尘</w:t>
            </w:r>
            <w:r>
              <w:rPr>
                <w:color w:val="auto"/>
                <w:kern w:val="0"/>
                <w:szCs w:val="21"/>
              </w:rPr>
              <w:t>等防治措施，能够有效降低废气污染物的排放量。未被收集的粉尘经车间进出门窗逸散出车间无组织排放的量极少，粉尘排放能够满足《大气污染物综合排放标准》(GB16297-1996)中无组织排放限值要求，采取的措施均属于可行的污染物治理技术，能够有效降低废气污染物的排放量，对周围环境的污染影响较小，对所在区域大气环境影响程度为可以接受的影响程度。经分析，本项目可不设置大气环境防护距离。</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三、水环境保护措施</w:t>
            </w:r>
          </w:p>
          <w:p>
            <w:pPr>
              <w:adjustRightInd w:val="0"/>
              <w:snapToGrid w:val="0"/>
              <w:spacing w:line="360" w:lineRule="auto"/>
              <w:ind w:firstLine="420"/>
              <w:rPr>
                <w:color w:val="auto"/>
                <w:kern w:val="0"/>
                <w:szCs w:val="21"/>
              </w:rPr>
            </w:pPr>
            <w:r>
              <w:rPr>
                <w:color w:val="auto"/>
                <w:kern w:val="0"/>
                <w:szCs w:val="21"/>
              </w:rPr>
              <w:t>根据水平衡分析，项目废水主要包括</w:t>
            </w:r>
            <w:r>
              <w:rPr>
                <w:color w:val="auto"/>
                <w:kern w:val="0"/>
              </w:rPr>
              <w:t>采场初期雨水、加工区洗选废水、车辆冲洗废水以及生活污水</w:t>
            </w:r>
            <w:r>
              <w:rPr>
                <w:color w:val="auto"/>
                <w:kern w:val="0"/>
                <w:szCs w:val="21"/>
              </w:rPr>
              <w:t>。</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1、废水处理措施</w:t>
            </w:r>
          </w:p>
          <w:p>
            <w:pPr>
              <w:adjustRightInd w:val="0"/>
              <w:snapToGrid w:val="0"/>
              <w:spacing w:line="360" w:lineRule="auto"/>
              <w:ind w:firstLine="420"/>
              <w:rPr>
                <w:color w:val="auto"/>
                <w:kern w:val="0"/>
                <w:szCs w:val="21"/>
              </w:rPr>
            </w:pPr>
            <w:r>
              <w:rPr>
                <w:color w:val="auto"/>
                <w:kern w:val="0"/>
                <w:szCs w:val="21"/>
              </w:rPr>
              <w:t>（1）采场初期雨水</w:t>
            </w:r>
          </w:p>
          <w:p>
            <w:pPr>
              <w:adjustRightInd w:val="0"/>
              <w:snapToGrid w:val="0"/>
              <w:spacing w:line="360" w:lineRule="auto"/>
              <w:ind w:firstLine="420"/>
              <w:rPr>
                <w:color w:val="auto"/>
                <w:kern w:val="0"/>
                <w:szCs w:val="21"/>
              </w:rPr>
            </w:pPr>
            <w:r>
              <w:rPr>
                <w:color w:val="auto"/>
                <w:kern w:val="0"/>
                <w:szCs w:val="21"/>
              </w:rPr>
              <w:t>项目开采区初期雨水产生量为262m³/次，拟在矿区</w:t>
            </w:r>
            <w:r>
              <w:rPr>
                <w:rFonts w:hint="eastAsia"/>
                <w:color w:val="auto"/>
                <w:kern w:val="0"/>
                <w:szCs w:val="21"/>
              </w:rPr>
              <w:t>东北</w:t>
            </w:r>
            <w:r>
              <w:rPr>
                <w:color w:val="auto"/>
                <w:kern w:val="0"/>
                <w:szCs w:val="21"/>
              </w:rPr>
              <w:t>面地势低洼处，修建初期雨水沉淀池1个，容积约300</w:t>
            </w:r>
            <w:r>
              <w:rPr>
                <w:rFonts w:hint="eastAsia"/>
                <w:color w:val="auto"/>
                <w:kern w:val="0"/>
                <w:szCs w:val="21"/>
              </w:rPr>
              <w:t>㎡</w:t>
            </w:r>
            <w:r>
              <w:rPr>
                <w:color w:val="auto"/>
                <w:kern w:val="0"/>
                <w:szCs w:val="21"/>
              </w:rPr>
              <w:t>，以容纳开采区的初期雨水量。遇降雨时，当初期雨水池即将满溢时，立即切断进水阀，后期的雨水可直接进入</w:t>
            </w:r>
            <w:r>
              <w:rPr>
                <w:rFonts w:hint="eastAsia"/>
                <w:color w:val="auto"/>
                <w:kern w:val="0"/>
                <w:szCs w:val="21"/>
              </w:rPr>
              <w:t>石溪河</w:t>
            </w:r>
            <w:r>
              <w:rPr>
                <w:color w:val="auto"/>
                <w:kern w:val="0"/>
                <w:szCs w:val="21"/>
              </w:rPr>
              <w:t>。同时，在开采区内设置截水沟，将采场内的废水、初期雨水收集至废水处理设施。在开采区外围建设截排水沟，将采场外的雨水导排至</w:t>
            </w:r>
            <w:r>
              <w:rPr>
                <w:rFonts w:hint="eastAsia"/>
                <w:color w:val="auto"/>
                <w:kern w:val="0"/>
                <w:szCs w:val="21"/>
              </w:rPr>
              <w:t>石溪河</w:t>
            </w:r>
            <w:r>
              <w:rPr>
                <w:color w:val="auto"/>
                <w:kern w:val="0"/>
                <w:szCs w:val="21"/>
              </w:rPr>
              <w:t>，避免对采场内进行冲刷。</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（2）生产废水</w:t>
            </w:r>
          </w:p>
          <w:p>
            <w:pPr>
              <w:adjustRightInd w:val="0"/>
              <w:snapToGrid w:val="0"/>
              <w:spacing w:line="360" w:lineRule="auto"/>
              <w:ind w:firstLine="420"/>
              <w:rPr>
                <w:color w:val="auto"/>
                <w:kern w:val="0"/>
                <w:szCs w:val="21"/>
              </w:rPr>
            </w:pPr>
            <w:r>
              <w:rPr>
                <w:color w:val="auto"/>
                <w:kern w:val="0"/>
                <w:szCs w:val="21"/>
              </w:rPr>
              <w:t>生产废水主要全部来源于加工区的洗砂等环节，污染物为悬浮物，拟建设废水处理系统1套，采取“絮凝沉淀”方式，处理后回用，不外排。</w:t>
            </w:r>
            <w:r>
              <w:rPr>
                <w:rFonts w:hint="eastAsia"/>
                <w:color w:val="auto"/>
                <w:kern w:val="0"/>
                <w:szCs w:val="21"/>
              </w:rPr>
              <w:t>根据工程分析，项目生产废水量为</w:t>
            </w:r>
            <w:r>
              <w:rPr>
                <w:color w:val="auto"/>
                <w:kern w:val="0"/>
                <w:szCs w:val="21"/>
              </w:rPr>
              <w:t>5833.33</w:t>
            </w:r>
            <w:r>
              <w:rPr>
                <w:rFonts w:hint="eastAsia"/>
                <w:color w:val="auto"/>
                <w:kern w:val="0"/>
                <w:szCs w:val="21"/>
              </w:rPr>
              <w:t>m³/d，平均每天生产</w:t>
            </w:r>
            <w:r>
              <w:rPr>
                <w:color w:val="auto"/>
                <w:kern w:val="0"/>
                <w:szCs w:val="21"/>
              </w:rPr>
              <w:t>16</w:t>
            </w:r>
            <w:r>
              <w:rPr>
                <w:rFonts w:hint="eastAsia"/>
                <w:color w:val="auto"/>
                <w:kern w:val="0"/>
                <w:szCs w:val="21"/>
              </w:rPr>
              <w:t>h计算，废水产生速率为</w:t>
            </w:r>
            <w:r>
              <w:rPr>
                <w:color w:val="auto"/>
                <w:kern w:val="0"/>
                <w:szCs w:val="21"/>
              </w:rPr>
              <w:t>364.58</w:t>
            </w:r>
            <w:r>
              <w:rPr>
                <w:rFonts w:hint="eastAsia"/>
                <w:color w:val="auto"/>
                <w:kern w:val="0"/>
                <w:szCs w:val="21"/>
              </w:rPr>
              <w:t>m³/h。根据建设单位提供的设计资料，项目废水处理系统</w:t>
            </w:r>
            <w:r>
              <w:rPr>
                <w:color w:val="auto"/>
                <w:kern w:val="0"/>
                <w:szCs w:val="21"/>
              </w:rPr>
              <w:t>主要设施见下表。</w:t>
            </w:r>
          </w:p>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 xml:space="preserve">-5 </w:t>
            </w:r>
            <w:r>
              <w:rPr>
                <w:rFonts w:hint="eastAsia"/>
                <w:b/>
                <w:color w:val="auto"/>
                <w:kern w:val="0"/>
                <w:sz w:val="18"/>
                <w:szCs w:val="18"/>
              </w:rPr>
              <w:t>废水处理系统建设要求</w:t>
            </w:r>
          </w:p>
          <w:tbl>
            <w:tblPr>
              <w:tblStyle w:val="14"/>
              <w:tblW w:w="797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122"/>
              <w:gridCol w:w="718"/>
              <w:gridCol w:w="1101"/>
              <w:gridCol w:w="44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23" w:type="dxa"/>
                  <w:vAlign w:val="center"/>
                </w:tcPr>
                <w:p>
                  <w:pPr>
                    <w:adjustRightInd w:val="0"/>
                    <w:snapToGrid w:val="0"/>
                    <w:jc w:val="center"/>
                    <w:rPr>
                      <w:bCs/>
                      <w:color w:val="auto"/>
                      <w:sz w:val="18"/>
                      <w:szCs w:val="18"/>
                    </w:rPr>
                  </w:pPr>
                  <w:r>
                    <w:rPr>
                      <w:bCs/>
                      <w:color w:val="auto"/>
                      <w:sz w:val="18"/>
                      <w:szCs w:val="18"/>
                    </w:rPr>
                    <w:t>序号</w:t>
                  </w:r>
                </w:p>
              </w:tc>
              <w:tc>
                <w:tcPr>
                  <w:tcW w:w="1122" w:type="dxa"/>
                  <w:vAlign w:val="center"/>
                </w:tcPr>
                <w:p>
                  <w:pPr>
                    <w:adjustRightInd w:val="0"/>
                    <w:snapToGrid w:val="0"/>
                    <w:jc w:val="center"/>
                    <w:rPr>
                      <w:bCs/>
                      <w:color w:val="auto"/>
                      <w:sz w:val="18"/>
                      <w:szCs w:val="18"/>
                    </w:rPr>
                  </w:pPr>
                  <w:r>
                    <w:rPr>
                      <w:bCs/>
                      <w:color w:val="auto"/>
                      <w:sz w:val="18"/>
                      <w:szCs w:val="18"/>
                    </w:rPr>
                    <w:t>设施名称</w:t>
                  </w:r>
                </w:p>
              </w:tc>
              <w:tc>
                <w:tcPr>
                  <w:tcW w:w="718" w:type="dxa"/>
                  <w:vAlign w:val="center"/>
                </w:tcPr>
                <w:p>
                  <w:pPr>
                    <w:adjustRightInd w:val="0"/>
                    <w:snapToGrid w:val="0"/>
                    <w:jc w:val="center"/>
                    <w:rPr>
                      <w:bCs/>
                      <w:color w:val="auto"/>
                      <w:sz w:val="18"/>
                      <w:szCs w:val="18"/>
                    </w:rPr>
                  </w:pPr>
                  <w:r>
                    <w:rPr>
                      <w:bCs/>
                      <w:color w:val="auto"/>
                      <w:sz w:val="18"/>
                      <w:szCs w:val="18"/>
                    </w:rPr>
                    <w:t>数量</w:t>
                  </w:r>
                </w:p>
              </w:tc>
              <w:tc>
                <w:tcPr>
                  <w:tcW w:w="1101" w:type="dxa"/>
                  <w:vAlign w:val="center"/>
                </w:tcPr>
                <w:p>
                  <w:pPr>
                    <w:adjustRightInd w:val="0"/>
                    <w:snapToGrid w:val="0"/>
                    <w:jc w:val="center"/>
                    <w:rPr>
                      <w:bCs/>
                      <w:color w:val="auto"/>
                      <w:sz w:val="18"/>
                      <w:szCs w:val="18"/>
                    </w:rPr>
                  </w:pPr>
                  <w:r>
                    <w:rPr>
                      <w:bCs/>
                      <w:color w:val="auto"/>
                      <w:sz w:val="18"/>
                      <w:szCs w:val="18"/>
                    </w:rPr>
                    <w:t>处理能力</w:t>
                  </w:r>
                </w:p>
              </w:tc>
              <w:tc>
                <w:tcPr>
                  <w:tcW w:w="4413" w:type="dxa"/>
                  <w:vAlign w:val="center"/>
                </w:tcPr>
                <w:p>
                  <w:pPr>
                    <w:adjustRightInd w:val="0"/>
                    <w:snapToGrid w:val="0"/>
                    <w:jc w:val="center"/>
                    <w:rPr>
                      <w:bCs/>
                      <w:color w:val="auto"/>
                      <w:sz w:val="18"/>
                      <w:szCs w:val="18"/>
                    </w:rPr>
                  </w:pPr>
                  <w:r>
                    <w:rPr>
                      <w:bCs/>
                      <w:color w:val="auto"/>
                      <w:sz w:val="18"/>
                      <w:szCs w:val="18"/>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23" w:type="dxa"/>
                  <w:vAlign w:val="center"/>
                </w:tcPr>
                <w:p>
                  <w:pPr>
                    <w:adjustRightInd w:val="0"/>
                    <w:snapToGrid w:val="0"/>
                    <w:jc w:val="center"/>
                    <w:rPr>
                      <w:color w:val="auto"/>
                      <w:sz w:val="18"/>
                      <w:szCs w:val="18"/>
                    </w:rPr>
                  </w:pPr>
                  <w:r>
                    <w:rPr>
                      <w:color w:val="auto"/>
                      <w:sz w:val="18"/>
                      <w:szCs w:val="18"/>
                    </w:rPr>
                    <w:t>1</w:t>
                  </w:r>
                </w:p>
              </w:tc>
              <w:tc>
                <w:tcPr>
                  <w:tcW w:w="1122" w:type="dxa"/>
                  <w:vAlign w:val="center"/>
                </w:tcPr>
                <w:p>
                  <w:pPr>
                    <w:adjustRightInd w:val="0"/>
                    <w:snapToGrid w:val="0"/>
                    <w:jc w:val="center"/>
                    <w:rPr>
                      <w:color w:val="auto"/>
                      <w:sz w:val="18"/>
                      <w:szCs w:val="18"/>
                    </w:rPr>
                  </w:pPr>
                  <w:r>
                    <w:rPr>
                      <w:color w:val="auto"/>
                      <w:sz w:val="18"/>
                      <w:szCs w:val="18"/>
                    </w:rPr>
                    <w:t>废水收集池</w:t>
                  </w:r>
                </w:p>
              </w:tc>
              <w:tc>
                <w:tcPr>
                  <w:tcW w:w="718" w:type="dxa"/>
                  <w:vAlign w:val="center"/>
                </w:tcPr>
                <w:p>
                  <w:pPr>
                    <w:adjustRightInd w:val="0"/>
                    <w:snapToGrid w:val="0"/>
                    <w:jc w:val="center"/>
                    <w:rPr>
                      <w:color w:val="auto"/>
                      <w:sz w:val="18"/>
                      <w:szCs w:val="18"/>
                    </w:rPr>
                  </w:pPr>
                  <w:r>
                    <w:rPr>
                      <w:color w:val="auto"/>
                      <w:sz w:val="18"/>
                      <w:szCs w:val="18"/>
                    </w:rPr>
                    <w:t>1个</w:t>
                  </w:r>
                </w:p>
              </w:tc>
              <w:tc>
                <w:tcPr>
                  <w:tcW w:w="1101" w:type="dxa"/>
                  <w:vAlign w:val="center"/>
                </w:tcPr>
                <w:p>
                  <w:pPr>
                    <w:adjustRightInd w:val="0"/>
                    <w:snapToGrid w:val="0"/>
                    <w:jc w:val="center"/>
                    <w:rPr>
                      <w:color w:val="auto"/>
                      <w:sz w:val="18"/>
                      <w:szCs w:val="18"/>
                    </w:rPr>
                  </w:pPr>
                  <w:r>
                    <w:rPr>
                      <w:color w:val="auto"/>
                      <w:sz w:val="18"/>
                      <w:szCs w:val="18"/>
                    </w:rPr>
                    <w:t>1200m</w:t>
                  </w:r>
                  <w:r>
                    <w:rPr>
                      <w:color w:val="auto"/>
                      <w:sz w:val="18"/>
                      <w:szCs w:val="18"/>
                      <w:vertAlign w:val="superscript"/>
                    </w:rPr>
                    <w:t>3</w:t>
                  </w:r>
                  <w:r>
                    <w:rPr>
                      <w:color w:val="auto"/>
                      <w:sz w:val="18"/>
                      <w:szCs w:val="18"/>
                    </w:rPr>
                    <w:t>/</w:t>
                  </w:r>
                  <w:r>
                    <w:rPr>
                      <w:rFonts w:hint="eastAsia"/>
                      <w:color w:val="auto"/>
                      <w:sz w:val="18"/>
                      <w:szCs w:val="18"/>
                    </w:rPr>
                    <w:t>h</w:t>
                  </w:r>
                </w:p>
              </w:tc>
              <w:tc>
                <w:tcPr>
                  <w:tcW w:w="4413" w:type="dxa"/>
                  <w:vAlign w:val="center"/>
                </w:tcPr>
                <w:p>
                  <w:pPr>
                    <w:adjustRightInd w:val="0"/>
                    <w:snapToGrid w:val="0"/>
                    <w:jc w:val="center"/>
                    <w:rPr>
                      <w:color w:val="auto"/>
                      <w:sz w:val="18"/>
                      <w:szCs w:val="18"/>
                    </w:rPr>
                  </w:pPr>
                  <w:r>
                    <w:rPr>
                      <w:color w:val="auto"/>
                      <w:sz w:val="18"/>
                      <w:szCs w:val="18"/>
                    </w:rPr>
                    <w:t>采取硬化防渗、加盖防雨，地下式建设防垮塌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23" w:type="dxa"/>
                  <w:vAlign w:val="center"/>
                </w:tcPr>
                <w:p>
                  <w:pPr>
                    <w:adjustRightInd w:val="0"/>
                    <w:snapToGrid w:val="0"/>
                    <w:jc w:val="center"/>
                    <w:rPr>
                      <w:color w:val="auto"/>
                      <w:sz w:val="18"/>
                      <w:szCs w:val="18"/>
                    </w:rPr>
                  </w:pPr>
                  <w:r>
                    <w:rPr>
                      <w:color w:val="auto"/>
                      <w:sz w:val="18"/>
                      <w:szCs w:val="18"/>
                    </w:rPr>
                    <w:t>2</w:t>
                  </w:r>
                </w:p>
              </w:tc>
              <w:tc>
                <w:tcPr>
                  <w:tcW w:w="1122" w:type="dxa"/>
                  <w:vAlign w:val="center"/>
                </w:tcPr>
                <w:p>
                  <w:pPr>
                    <w:adjustRightInd w:val="0"/>
                    <w:snapToGrid w:val="0"/>
                    <w:jc w:val="center"/>
                    <w:rPr>
                      <w:color w:val="auto"/>
                      <w:sz w:val="18"/>
                      <w:szCs w:val="18"/>
                    </w:rPr>
                  </w:pPr>
                  <w:r>
                    <w:rPr>
                      <w:color w:val="auto"/>
                      <w:sz w:val="18"/>
                      <w:szCs w:val="18"/>
                    </w:rPr>
                    <w:t>废水沉淀罐</w:t>
                  </w:r>
                </w:p>
              </w:tc>
              <w:tc>
                <w:tcPr>
                  <w:tcW w:w="718" w:type="dxa"/>
                  <w:vAlign w:val="center"/>
                </w:tcPr>
                <w:p>
                  <w:pPr>
                    <w:adjustRightInd w:val="0"/>
                    <w:snapToGrid w:val="0"/>
                    <w:jc w:val="center"/>
                    <w:rPr>
                      <w:color w:val="auto"/>
                      <w:sz w:val="18"/>
                      <w:szCs w:val="18"/>
                    </w:rPr>
                  </w:pPr>
                  <w:r>
                    <w:rPr>
                      <w:color w:val="auto"/>
                      <w:sz w:val="18"/>
                      <w:szCs w:val="18"/>
                    </w:rPr>
                    <w:t>1个</w:t>
                  </w:r>
                </w:p>
              </w:tc>
              <w:tc>
                <w:tcPr>
                  <w:tcW w:w="1101" w:type="dxa"/>
                  <w:vAlign w:val="center"/>
                </w:tcPr>
                <w:p>
                  <w:pPr>
                    <w:adjustRightInd w:val="0"/>
                    <w:snapToGrid w:val="0"/>
                    <w:jc w:val="center"/>
                    <w:rPr>
                      <w:color w:val="auto"/>
                      <w:sz w:val="18"/>
                      <w:szCs w:val="18"/>
                    </w:rPr>
                  </w:pPr>
                  <w:r>
                    <w:rPr>
                      <w:color w:val="auto"/>
                      <w:sz w:val="18"/>
                      <w:szCs w:val="18"/>
                    </w:rPr>
                    <w:t>2400 m</w:t>
                  </w:r>
                  <w:r>
                    <w:rPr>
                      <w:color w:val="auto"/>
                      <w:sz w:val="18"/>
                      <w:szCs w:val="18"/>
                      <w:vertAlign w:val="superscript"/>
                    </w:rPr>
                    <w:t>3</w:t>
                  </w:r>
                  <w:r>
                    <w:rPr>
                      <w:color w:val="auto"/>
                      <w:sz w:val="18"/>
                      <w:szCs w:val="18"/>
                    </w:rPr>
                    <w:t>/</w:t>
                  </w:r>
                  <w:r>
                    <w:rPr>
                      <w:rFonts w:hint="eastAsia"/>
                      <w:color w:val="auto"/>
                      <w:sz w:val="18"/>
                      <w:szCs w:val="18"/>
                    </w:rPr>
                    <w:t>h</w:t>
                  </w:r>
                </w:p>
              </w:tc>
              <w:tc>
                <w:tcPr>
                  <w:tcW w:w="4413" w:type="dxa"/>
                  <w:vAlign w:val="center"/>
                </w:tcPr>
                <w:p>
                  <w:pPr>
                    <w:adjustRightInd w:val="0"/>
                    <w:snapToGrid w:val="0"/>
                    <w:jc w:val="center"/>
                    <w:rPr>
                      <w:color w:val="auto"/>
                      <w:sz w:val="18"/>
                      <w:szCs w:val="18"/>
                    </w:rPr>
                  </w:pPr>
                  <w:r>
                    <w:rPr>
                      <w:color w:val="auto"/>
                      <w:sz w:val="18"/>
                      <w:szCs w:val="18"/>
                    </w:rPr>
                    <w:t>钢制罐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23" w:type="dxa"/>
                  <w:vAlign w:val="center"/>
                </w:tcPr>
                <w:p>
                  <w:pPr>
                    <w:adjustRightInd w:val="0"/>
                    <w:snapToGrid w:val="0"/>
                    <w:jc w:val="center"/>
                    <w:rPr>
                      <w:color w:val="auto"/>
                      <w:sz w:val="18"/>
                      <w:szCs w:val="18"/>
                    </w:rPr>
                  </w:pPr>
                  <w:r>
                    <w:rPr>
                      <w:color w:val="auto"/>
                      <w:sz w:val="18"/>
                      <w:szCs w:val="18"/>
                    </w:rPr>
                    <w:t>3</w:t>
                  </w:r>
                </w:p>
              </w:tc>
              <w:tc>
                <w:tcPr>
                  <w:tcW w:w="1122" w:type="dxa"/>
                  <w:vAlign w:val="center"/>
                </w:tcPr>
                <w:p>
                  <w:pPr>
                    <w:adjustRightInd w:val="0"/>
                    <w:snapToGrid w:val="0"/>
                    <w:jc w:val="center"/>
                    <w:rPr>
                      <w:color w:val="auto"/>
                      <w:sz w:val="18"/>
                      <w:szCs w:val="18"/>
                    </w:rPr>
                  </w:pPr>
                  <w:r>
                    <w:rPr>
                      <w:color w:val="auto"/>
                      <w:sz w:val="18"/>
                      <w:szCs w:val="18"/>
                    </w:rPr>
                    <w:t>清水罐</w:t>
                  </w:r>
                </w:p>
              </w:tc>
              <w:tc>
                <w:tcPr>
                  <w:tcW w:w="718" w:type="dxa"/>
                  <w:vAlign w:val="center"/>
                </w:tcPr>
                <w:p>
                  <w:pPr>
                    <w:adjustRightInd w:val="0"/>
                    <w:snapToGrid w:val="0"/>
                    <w:jc w:val="center"/>
                    <w:rPr>
                      <w:color w:val="auto"/>
                      <w:sz w:val="18"/>
                      <w:szCs w:val="18"/>
                    </w:rPr>
                  </w:pPr>
                  <w:r>
                    <w:rPr>
                      <w:color w:val="auto"/>
                      <w:sz w:val="18"/>
                      <w:szCs w:val="18"/>
                    </w:rPr>
                    <w:t>1个</w:t>
                  </w:r>
                </w:p>
              </w:tc>
              <w:tc>
                <w:tcPr>
                  <w:tcW w:w="1101" w:type="dxa"/>
                  <w:vAlign w:val="center"/>
                </w:tcPr>
                <w:p>
                  <w:pPr>
                    <w:adjustRightInd w:val="0"/>
                    <w:snapToGrid w:val="0"/>
                    <w:jc w:val="center"/>
                    <w:rPr>
                      <w:color w:val="auto"/>
                      <w:sz w:val="18"/>
                      <w:szCs w:val="18"/>
                    </w:rPr>
                  </w:pPr>
                  <w:r>
                    <w:rPr>
                      <w:color w:val="auto"/>
                      <w:sz w:val="18"/>
                      <w:szCs w:val="18"/>
                    </w:rPr>
                    <w:t>1200 m</w:t>
                  </w:r>
                  <w:r>
                    <w:rPr>
                      <w:color w:val="auto"/>
                      <w:sz w:val="18"/>
                      <w:szCs w:val="18"/>
                      <w:vertAlign w:val="superscript"/>
                    </w:rPr>
                    <w:t>3</w:t>
                  </w:r>
                  <w:r>
                    <w:rPr>
                      <w:color w:val="auto"/>
                      <w:sz w:val="18"/>
                      <w:szCs w:val="18"/>
                    </w:rPr>
                    <w:t>/</w:t>
                  </w:r>
                  <w:r>
                    <w:rPr>
                      <w:rFonts w:hint="eastAsia"/>
                      <w:color w:val="auto"/>
                      <w:sz w:val="18"/>
                      <w:szCs w:val="18"/>
                    </w:rPr>
                    <w:t>h</w:t>
                  </w:r>
                </w:p>
              </w:tc>
              <w:tc>
                <w:tcPr>
                  <w:tcW w:w="4413" w:type="dxa"/>
                  <w:vAlign w:val="center"/>
                </w:tcPr>
                <w:p>
                  <w:pPr>
                    <w:adjustRightInd w:val="0"/>
                    <w:snapToGrid w:val="0"/>
                    <w:jc w:val="center"/>
                    <w:rPr>
                      <w:color w:val="auto"/>
                      <w:sz w:val="18"/>
                      <w:szCs w:val="18"/>
                    </w:rPr>
                  </w:pPr>
                  <w:r>
                    <w:rPr>
                      <w:color w:val="auto"/>
                      <w:sz w:val="18"/>
                      <w:szCs w:val="18"/>
                    </w:rPr>
                    <w:t>储存处理后的废水，便于回用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23" w:type="dxa"/>
                  <w:vAlign w:val="center"/>
                </w:tcPr>
                <w:p>
                  <w:pPr>
                    <w:adjustRightInd w:val="0"/>
                    <w:snapToGrid w:val="0"/>
                    <w:jc w:val="center"/>
                    <w:rPr>
                      <w:color w:val="auto"/>
                      <w:sz w:val="18"/>
                      <w:szCs w:val="18"/>
                    </w:rPr>
                  </w:pPr>
                  <w:r>
                    <w:rPr>
                      <w:color w:val="auto"/>
                      <w:sz w:val="18"/>
                      <w:szCs w:val="18"/>
                    </w:rPr>
                    <w:t>4</w:t>
                  </w:r>
                </w:p>
              </w:tc>
              <w:tc>
                <w:tcPr>
                  <w:tcW w:w="1122" w:type="dxa"/>
                  <w:vAlign w:val="center"/>
                </w:tcPr>
                <w:p>
                  <w:pPr>
                    <w:adjustRightInd w:val="0"/>
                    <w:snapToGrid w:val="0"/>
                    <w:jc w:val="center"/>
                    <w:rPr>
                      <w:color w:val="auto"/>
                      <w:sz w:val="18"/>
                      <w:szCs w:val="18"/>
                    </w:rPr>
                  </w:pPr>
                  <w:r>
                    <w:rPr>
                      <w:color w:val="auto"/>
                      <w:sz w:val="18"/>
                      <w:szCs w:val="18"/>
                    </w:rPr>
                    <w:t>加药池</w:t>
                  </w:r>
                </w:p>
              </w:tc>
              <w:tc>
                <w:tcPr>
                  <w:tcW w:w="718" w:type="dxa"/>
                  <w:vAlign w:val="center"/>
                </w:tcPr>
                <w:p>
                  <w:pPr>
                    <w:adjustRightInd w:val="0"/>
                    <w:snapToGrid w:val="0"/>
                    <w:jc w:val="center"/>
                    <w:rPr>
                      <w:color w:val="auto"/>
                      <w:sz w:val="18"/>
                      <w:szCs w:val="18"/>
                    </w:rPr>
                  </w:pPr>
                  <w:r>
                    <w:rPr>
                      <w:color w:val="auto"/>
                      <w:sz w:val="18"/>
                      <w:szCs w:val="18"/>
                    </w:rPr>
                    <w:t>1个</w:t>
                  </w:r>
                </w:p>
              </w:tc>
              <w:tc>
                <w:tcPr>
                  <w:tcW w:w="1101" w:type="dxa"/>
                  <w:vAlign w:val="center"/>
                </w:tcPr>
                <w:p>
                  <w:pPr>
                    <w:adjustRightInd w:val="0"/>
                    <w:snapToGrid w:val="0"/>
                    <w:jc w:val="center"/>
                    <w:rPr>
                      <w:color w:val="auto"/>
                      <w:sz w:val="18"/>
                      <w:szCs w:val="18"/>
                    </w:rPr>
                  </w:pPr>
                  <w:r>
                    <w:rPr>
                      <w:color w:val="auto"/>
                      <w:sz w:val="18"/>
                      <w:szCs w:val="18"/>
                    </w:rPr>
                    <w:t>120 m</w:t>
                  </w:r>
                  <w:r>
                    <w:rPr>
                      <w:color w:val="auto"/>
                      <w:sz w:val="18"/>
                      <w:szCs w:val="18"/>
                      <w:vertAlign w:val="superscript"/>
                    </w:rPr>
                    <w:t>3</w:t>
                  </w:r>
                  <w:r>
                    <w:rPr>
                      <w:color w:val="auto"/>
                      <w:sz w:val="18"/>
                      <w:szCs w:val="18"/>
                    </w:rPr>
                    <w:t>/</w:t>
                  </w:r>
                  <w:r>
                    <w:rPr>
                      <w:rFonts w:hint="eastAsia"/>
                      <w:color w:val="auto"/>
                      <w:sz w:val="18"/>
                      <w:szCs w:val="18"/>
                    </w:rPr>
                    <w:t>h</w:t>
                  </w:r>
                </w:p>
              </w:tc>
              <w:tc>
                <w:tcPr>
                  <w:tcW w:w="4413" w:type="dxa"/>
                  <w:vAlign w:val="center"/>
                </w:tcPr>
                <w:p>
                  <w:pPr>
                    <w:adjustRightInd w:val="0"/>
                    <w:snapToGrid w:val="0"/>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23" w:type="dxa"/>
                  <w:vAlign w:val="center"/>
                </w:tcPr>
                <w:p>
                  <w:pPr>
                    <w:adjustRightInd w:val="0"/>
                    <w:snapToGrid w:val="0"/>
                    <w:jc w:val="center"/>
                    <w:rPr>
                      <w:color w:val="auto"/>
                      <w:sz w:val="18"/>
                      <w:szCs w:val="18"/>
                    </w:rPr>
                  </w:pPr>
                  <w:r>
                    <w:rPr>
                      <w:color w:val="auto"/>
                      <w:sz w:val="18"/>
                      <w:szCs w:val="18"/>
                    </w:rPr>
                    <w:t>5</w:t>
                  </w:r>
                </w:p>
              </w:tc>
              <w:tc>
                <w:tcPr>
                  <w:tcW w:w="1122" w:type="dxa"/>
                  <w:vAlign w:val="center"/>
                </w:tcPr>
                <w:p>
                  <w:pPr>
                    <w:adjustRightInd w:val="0"/>
                    <w:snapToGrid w:val="0"/>
                    <w:jc w:val="center"/>
                    <w:rPr>
                      <w:color w:val="auto"/>
                      <w:sz w:val="18"/>
                      <w:szCs w:val="18"/>
                    </w:rPr>
                  </w:pPr>
                  <w:r>
                    <w:rPr>
                      <w:color w:val="auto"/>
                      <w:sz w:val="18"/>
                      <w:szCs w:val="18"/>
                    </w:rPr>
                    <w:t>水泵</w:t>
                  </w:r>
                </w:p>
              </w:tc>
              <w:tc>
                <w:tcPr>
                  <w:tcW w:w="718" w:type="dxa"/>
                  <w:vAlign w:val="center"/>
                </w:tcPr>
                <w:p>
                  <w:pPr>
                    <w:adjustRightInd w:val="0"/>
                    <w:snapToGrid w:val="0"/>
                    <w:jc w:val="center"/>
                    <w:rPr>
                      <w:color w:val="auto"/>
                      <w:sz w:val="18"/>
                      <w:szCs w:val="18"/>
                    </w:rPr>
                  </w:pPr>
                  <w:r>
                    <w:rPr>
                      <w:color w:val="auto"/>
                      <w:sz w:val="18"/>
                      <w:szCs w:val="18"/>
                    </w:rPr>
                    <w:t>4台</w:t>
                  </w:r>
                </w:p>
              </w:tc>
              <w:tc>
                <w:tcPr>
                  <w:tcW w:w="1101" w:type="dxa"/>
                  <w:vAlign w:val="center"/>
                </w:tcPr>
                <w:p>
                  <w:pPr>
                    <w:adjustRightInd w:val="0"/>
                    <w:snapToGrid w:val="0"/>
                    <w:jc w:val="center"/>
                    <w:rPr>
                      <w:color w:val="auto"/>
                      <w:sz w:val="18"/>
                      <w:szCs w:val="18"/>
                    </w:rPr>
                  </w:pPr>
                </w:p>
              </w:tc>
              <w:tc>
                <w:tcPr>
                  <w:tcW w:w="4413" w:type="dxa"/>
                  <w:vAlign w:val="center"/>
                </w:tcPr>
                <w:p>
                  <w:pPr>
                    <w:adjustRightInd w:val="0"/>
                    <w:snapToGrid w:val="0"/>
                    <w:jc w:val="center"/>
                    <w:rPr>
                      <w:color w:val="auto"/>
                      <w:sz w:val="18"/>
                      <w:szCs w:val="18"/>
                    </w:rPr>
                  </w:pPr>
                  <w:r>
                    <w:rPr>
                      <w:color w:val="auto"/>
                      <w:sz w:val="18"/>
                      <w:szCs w:val="18"/>
                    </w:rPr>
                    <w:t>2用2备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23" w:type="dxa"/>
                  <w:vAlign w:val="center"/>
                </w:tcPr>
                <w:p>
                  <w:pPr>
                    <w:adjustRightInd w:val="0"/>
                    <w:snapToGrid w:val="0"/>
                    <w:jc w:val="center"/>
                    <w:rPr>
                      <w:color w:val="auto"/>
                      <w:sz w:val="18"/>
                      <w:szCs w:val="18"/>
                    </w:rPr>
                  </w:pPr>
                  <w:r>
                    <w:rPr>
                      <w:color w:val="auto"/>
                      <w:sz w:val="18"/>
                      <w:szCs w:val="18"/>
                    </w:rPr>
                    <w:t>6</w:t>
                  </w:r>
                </w:p>
              </w:tc>
              <w:tc>
                <w:tcPr>
                  <w:tcW w:w="1122" w:type="dxa"/>
                  <w:vAlign w:val="center"/>
                </w:tcPr>
                <w:p>
                  <w:pPr>
                    <w:adjustRightInd w:val="0"/>
                    <w:snapToGrid w:val="0"/>
                    <w:jc w:val="center"/>
                    <w:rPr>
                      <w:color w:val="auto"/>
                      <w:sz w:val="18"/>
                      <w:szCs w:val="18"/>
                    </w:rPr>
                  </w:pPr>
                  <w:r>
                    <w:rPr>
                      <w:color w:val="auto"/>
                      <w:sz w:val="18"/>
                      <w:szCs w:val="18"/>
                    </w:rPr>
                    <w:t>污泥泵</w:t>
                  </w:r>
                </w:p>
              </w:tc>
              <w:tc>
                <w:tcPr>
                  <w:tcW w:w="718" w:type="dxa"/>
                  <w:vAlign w:val="center"/>
                </w:tcPr>
                <w:p>
                  <w:pPr>
                    <w:adjustRightInd w:val="0"/>
                    <w:snapToGrid w:val="0"/>
                    <w:jc w:val="center"/>
                    <w:rPr>
                      <w:color w:val="auto"/>
                      <w:sz w:val="18"/>
                      <w:szCs w:val="18"/>
                    </w:rPr>
                  </w:pPr>
                  <w:r>
                    <w:rPr>
                      <w:color w:val="auto"/>
                      <w:sz w:val="18"/>
                      <w:szCs w:val="18"/>
                    </w:rPr>
                    <w:t>3台</w:t>
                  </w:r>
                </w:p>
              </w:tc>
              <w:tc>
                <w:tcPr>
                  <w:tcW w:w="1101" w:type="dxa"/>
                  <w:vAlign w:val="center"/>
                </w:tcPr>
                <w:p>
                  <w:pPr>
                    <w:adjustRightInd w:val="0"/>
                    <w:snapToGrid w:val="0"/>
                    <w:jc w:val="center"/>
                    <w:rPr>
                      <w:color w:val="auto"/>
                      <w:sz w:val="18"/>
                      <w:szCs w:val="18"/>
                    </w:rPr>
                  </w:pPr>
                </w:p>
              </w:tc>
              <w:tc>
                <w:tcPr>
                  <w:tcW w:w="4413" w:type="dxa"/>
                  <w:vAlign w:val="center"/>
                </w:tcPr>
                <w:p>
                  <w:pPr>
                    <w:adjustRightInd w:val="0"/>
                    <w:snapToGrid w:val="0"/>
                    <w:jc w:val="center"/>
                    <w:rPr>
                      <w:color w:val="auto"/>
                      <w:sz w:val="18"/>
                      <w:szCs w:val="18"/>
                    </w:rPr>
                  </w:pPr>
                  <w:r>
                    <w:rPr>
                      <w:color w:val="auto"/>
                      <w:sz w:val="18"/>
                      <w:szCs w:val="18"/>
                    </w:rPr>
                    <w:t>2用1备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23" w:type="dxa"/>
                  <w:vAlign w:val="center"/>
                </w:tcPr>
                <w:p>
                  <w:pPr>
                    <w:adjustRightInd w:val="0"/>
                    <w:snapToGrid w:val="0"/>
                    <w:jc w:val="center"/>
                    <w:rPr>
                      <w:color w:val="auto"/>
                      <w:sz w:val="18"/>
                      <w:szCs w:val="18"/>
                    </w:rPr>
                  </w:pPr>
                  <w:r>
                    <w:rPr>
                      <w:color w:val="auto"/>
                      <w:sz w:val="18"/>
                      <w:szCs w:val="18"/>
                    </w:rPr>
                    <w:t>7</w:t>
                  </w:r>
                </w:p>
              </w:tc>
              <w:tc>
                <w:tcPr>
                  <w:tcW w:w="1122" w:type="dxa"/>
                  <w:vAlign w:val="center"/>
                </w:tcPr>
                <w:p>
                  <w:pPr>
                    <w:adjustRightInd w:val="0"/>
                    <w:snapToGrid w:val="0"/>
                    <w:jc w:val="center"/>
                    <w:rPr>
                      <w:color w:val="auto"/>
                      <w:sz w:val="18"/>
                      <w:szCs w:val="18"/>
                    </w:rPr>
                  </w:pPr>
                  <w:r>
                    <w:rPr>
                      <w:color w:val="auto"/>
                      <w:sz w:val="18"/>
                      <w:szCs w:val="18"/>
                    </w:rPr>
                    <w:t>板框压滤机</w:t>
                  </w:r>
                </w:p>
              </w:tc>
              <w:tc>
                <w:tcPr>
                  <w:tcW w:w="718" w:type="dxa"/>
                  <w:vAlign w:val="center"/>
                </w:tcPr>
                <w:p>
                  <w:pPr>
                    <w:adjustRightInd w:val="0"/>
                    <w:snapToGrid w:val="0"/>
                    <w:jc w:val="center"/>
                    <w:rPr>
                      <w:color w:val="auto"/>
                      <w:sz w:val="18"/>
                      <w:szCs w:val="18"/>
                    </w:rPr>
                  </w:pPr>
                  <w:r>
                    <w:rPr>
                      <w:color w:val="auto"/>
                      <w:sz w:val="18"/>
                      <w:szCs w:val="18"/>
                    </w:rPr>
                    <w:t>3台</w:t>
                  </w:r>
                </w:p>
              </w:tc>
              <w:tc>
                <w:tcPr>
                  <w:tcW w:w="1101" w:type="dxa"/>
                  <w:vAlign w:val="center"/>
                </w:tcPr>
                <w:p>
                  <w:pPr>
                    <w:adjustRightInd w:val="0"/>
                    <w:snapToGrid w:val="0"/>
                    <w:jc w:val="center"/>
                    <w:rPr>
                      <w:color w:val="auto"/>
                      <w:sz w:val="18"/>
                      <w:szCs w:val="18"/>
                    </w:rPr>
                  </w:pPr>
                  <w:r>
                    <w:rPr>
                      <w:color w:val="auto"/>
                      <w:sz w:val="18"/>
                      <w:szCs w:val="18"/>
                    </w:rPr>
                    <w:t>200t/h</w:t>
                  </w:r>
                </w:p>
              </w:tc>
              <w:tc>
                <w:tcPr>
                  <w:tcW w:w="4413" w:type="dxa"/>
                  <w:vAlign w:val="center"/>
                </w:tcPr>
                <w:p>
                  <w:pPr>
                    <w:adjustRightInd w:val="0"/>
                    <w:snapToGrid w:val="0"/>
                    <w:jc w:val="center"/>
                    <w:rPr>
                      <w:color w:val="auto"/>
                      <w:sz w:val="18"/>
                      <w:szCs w:val="18"/>
                    </w:rPr>
                  </w:pPr>
                  <w:r>
                    <w:rPr>
                      <w:color w:val="auto"/>
                      <w:sz w:val="18"/>
                      <w:szCs w:val="18"/>
                    </w:rPr>
                    <w:t>采取硬化防渗、加盖防雨，泥饼堆放区建挡墙防流失</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23" w:type="dxa"/>
                  <w:vAlign w:val="center"/>
                </w:tcPr>
                <w:p>
                  <w:pPr>
                    <w:adjustRightInd w:val="0"/>
                    <w:snapToGrid w:val="0"/>
                    <w:jc w:val="center"/>
                    <w:rPr>
                      <w:color w:val="auto"/>
                      <w:sz w:val="18"/>
                      <w:szCs w:val="18"/>
                    </w:rPr>
                  </w:pPr>
                  <w:r>
                    <w:rPr>
                      <w:color w:val="auto"/>
                      <w:sz w:val="18"/>
                      <w:szCs w:val="18"/>
                    </w:rPr>
                    <w:t>8</w:t>
                  </w:r>
                </w:p>
              </w:tc>
              <w:tc>
                <w:tcPr>
                  <w:tcW w:w="1122" w:type="dxa"/>
                  <w:vAlign w:val="center"/>
                </w:tcPr>
                <w:p>
                  <w:pPr>
                    <w:adjustRightInd w:val="0"/>
                    <w:snapToGrid w:val="0"/>
                    <w:jc w:val="center"/>
                    <w:rPr>
                      <w:color w:val="auto"/>
                      <w:sz w:val="18"/>
                      <w:szCs w:val="18"/>
                    </w:rPr>
                  </w:pPr>
                  <w:r>
                    <w:rPr>
                      <w:color w:val="auto"/>
                      <w:sz w:val="18"/>
                      <w:szCs w:val="18"/>
                    </w:rPr>
                    <w:t>蓄水池</w:t>
                  </w:r>
                </w:p>
              </w:tc>
              <w:tc>
                <w:tcPr>
                  <w:tcW w:w="718" w:type="dxa"/>
                  <w:vAlign w:val="center"/>
                </w:tcPr>
                <w:p>
                  <w:pPr>
                    <w:adjustRightInd w:val="0"/>
                    <w:snapToGrid w:val="0"/>
                    <w:jc w:val="center"/>
                    <w:rPr>
                      <w:color w:val="auto"/>
                      <w:sz w:val="18"/>
                      <w:szCs w:val="18"/>
                    </w:rPr>
                  </w:pPr>
                  <w:r>
                    <w:rPr>
                      <w:color w:val="auto"/>
                      <w:sz w:val="18"/>
                      <w:szCs w:val="18"/>
                    </w:rPr>
                    <w:t>1个</w:t>
                  </w:r>
                </w:p>
              </w:tc>
              <w:tc>
                <w:tcPr>
                  <w:tcW w:w="1101" w:type="dxa"/>
                  <w:vAlign w:val="center"/>
                </w:tcPr>
                <w:p>
                  <w:pPr>
                    <w:adjustRightInd w:val="0"/>
                    <w:snapToGrid w:val="0"/>
                    <w:jc w:val="center"/>
                    <w:rPr>
                      <w:color w:val="auto"/>
                      <w:sz w:val="18"/>
                      <w:szCs w:val="18"/>
                    </w:rPr>
                  </w:pPr>
                  <w:r>
                    <w:rPr>
                      <w:color w:val="auto"/>
                      <w:sz w:val="18"/>
                      <w:szCs w:val="18"/>
                    </w:rPr>
                    <w:t>1600m</w:t>
                  </w:r>
                  <w:r>
                    <w:rPr>
                      <w:color w:val="auto"/>
                      <w:sz w:val="18"/>
                      <w:szCs w:val="18"/>
                      <w:vertAlign w:val="superscript"/>
                    </w:rPr>
                    <w:t>3</w:t>
                  </w:r>
                </w:p>
              </w:tc>
              <w:tc>
                <w:tcPr>
                  <w:tcW w:w="4413" w:type="dxa"/>
                  <w:vAlign w:val="center"/>
                </w:tcPr>
                <w:p>
                  <w:pPr>
                    <w:adjustRightInd w:val="0"/>
                    <w:snapToGrid w:val="0"/>
                    <w:jc w:val="center"/>
                    <w:rPr>
                      <w:color w:val="auto"/>
                      <w:sz w:val="18"/>
                      <w:szCs w:val="18"/>
                    </w:rPr>
                  </w:pPr>
                </w:p>
              </w:tc>
            </w:tr>
          </w:tbl>
          <w:p>
            <w:pPr>
              <w:adjustRightInd w:val="0"/>
              <w:snapToGrid w:val="0"/>
              <w:spacing w:line="360" w:lineRule="auto"/>
              <w:ind w:firstLine="420"/>
              <w:rPr>
                <w:color w:val="auto"/>
                <w:kern w:val="0"/>
                <w:szCs w:val="21"/>
              </w:rPr>
            </w:pPr>
            <w:r>
              <w:rPr>
                <w:rFonts w:hint="eastAsia"/>
                <w:color w:val="auto"/>
                <w:kern w:val="0"/>
                <w:szCs w:val="21"/>
              </w:rPr>
              <w:t>设计废水处理工艺流程见下图。</w:t>
            </w:r>
          </w:p>
          <w:p>
            <w:pPr>
              <w:adjustRightInd w:val="0"/>
              <w:snapToGrid w:val="0"/>
              <w:spacing w:line="360" w:lineRule="auto"/>
              <w:jc w:val="center"/>
              <w:rPr>
                <w:color w:val="auto"/>
                <w:kern w:val="0"/>
                <w:szCs w:val="21"/>
              </w:rPr>
            </w:pPr>
            <w:r>
              <w:rPr>
                <w:color w:val="auto"/>
              </w:rPr>
              <w:drawing>
                <wp:inline distT="0" distB="0" distL="0" distR="0">
                  <wp:extent cx="4514850" cy="1857375"/>
                  <wp:effectExtent l="1905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noChangeArrowheads="1"/>
                          </pic:cNvPicPr>
                        </pic:nvPicPr>
                        <pic:blipFill>
                          <a:blip r:embed="rId26"/>
                          <a:srcRect/>
                          <a:stretch>
                            <a:fillRect/>
                          </a:stretch>
                        </pic:blipFill>
                        <pic:spPr>
                          <a:xfrm>
                            <a:off x="0" y="0"/>
                            <a:ext cx="4514850" cy="1857375"/>
                          </a:xfrm>
                          <a:prstGeom prst="rect">
                            <a:avLst/>
                          </a:prstGeom>
                          <a:noFill/>
                          <a:ln w="9525" cmpd="sng">
                            <a:noFill/>
                            <a:miter lim="800000"/>
                            <a:headEnd/>
                            <a:tailEnd/>
                          </a:ln>
                        </pic:spPr>
                      </pic:pic>
                    </a:graphicData>
                  </a:graphic>
                </wp:inline>
              </w:drawing>
            </w:r>
          </w:p>
          <w:p>
            <w:pPr>
              <w:adjustRightInd w:val="0"/>
              <w:snapToGrid w:val="0"/>
              <w:spacing w:line="360" w:lineRule="auto"/>
              <w:jc w:val="center"/>
              <w:rPr>
                <w:b/>
                <w:color w:val="auto"/>
                <w:kern w:val="0"/>
                <w:sz w:val="18"/>
                <w:szCs w:val="18"/>
              </w:rPr>
            </w:pPr>
            <w:r>
              <w:rPr>
                <w:rFonts w:hint="eastAsia"/>
                <w:b/>
                <w:color w:val="auto"/>
                <w:kern w:val="0"/>
                <w:sz w:val="18"/>
                <w:szCs w:val="18"/>
              </w:rPr>
              <w:t>图5</w:t>
            </w:r>
            <w:r>
              <w:rPr>
                <w:b/>
                <w:color w:val="auto"/>
                <w:kern w:val="0"/>
                <w:sz w:val="18"/>
                <w:szCs w:val="18"/>
              </w:rPr>
              <w:t xml:space="preserve">-2 </w:t>
            </w:r>
            <w:r>
              <w:rPr>
                <w:rFonts w:hint="eastAsia"/>
                <w:b/>
                <w:color w:val="auto"/>
                <w:kern w:val="0"/>
                <w:sz w:val="18"/>
                <w:szCs w:val="18"/>
              </w:rPr>
              <w:t>生产废水处理工艺流程图</w:t>
            </w:r>
          </w:p>
          <w:p>
            <w:pPr>
              <w:adjustRightInd w:val="0"/>
              <w:snapToGrid w:val="0"/>
              <w:spacing w:line="360" w:lineRule="auto"/>
              <w:ind w:firstLine="420"/>
              <w:rPr>
                <w:color w:val="auto"/>
                <w:kern w:val="0"/>
                <w:szCs w:val="21"/>
              </w:rPr>
            </w:pPr>
            <w:r>
              <w:rPr>
                <w:rFonts w:hint="eastAsia"/>
                <w:color w:val="auto"/>
                <w:kern w:val="0"/>
                <w:szCs w:val="21"/>
              </w:rPr>
              <w:t>（3）车辆冲洗水</w:t>
            </w:r>
          </w:p>
          <w:p>
            <w:pPr>
              <w:adjustRightInd w:val="0"/>
              <w:snapToGrid w:val="0"/>
              <w:spacing w:line="360" w:lineRule="auto"/>
              <w:ind w:firstLine="420"/>
              <w:rPr>
                <w:color w:val="auto"/>
                <w:kern w:val="0"/>
                <w:szCs w:val="21"/>
              </w:rPr>
            </w:pPr>
            <w:r>
              <w:rPr>
                <w:rFonts w:hint="eastAsia"/>
                <w:color w:val="auto"/>
                <w:kern w:val="0"/>
                <w:szCs w:val="21"/>
              </w:rPr>
              <w:t>①项目加工区建设车辆冲洗设施，并配套建设冲洗废水收集池，容积</w:t>
            </w:r>
            <w:r>
              <w:rPr>
                <w:color w:val="auto"/>
                <w:kern w:val="0"/>
                <w:szCs w:val="21"/>
              </w:rPr>
              <w:t>50</w:t>
            </w:r>
            <w:r>
              <w:rPr>
                <w:rFonts w:hint="eastAsia"/>
                <w:color w:val="auto"/>
                <w:kern w:val="0"/>
                <w:szCs w:val="21"/>
              </w:rPr>
              <w:t>m³，冲洗废水直接收集沉淀后回用于车辆冲洗，不外排。</w:t>
            </w:r>
          </w:p>
          <w:p>
            <w:pPr>
              <w:adjustRightInd w:val="0"/>
              <w:snapToGrid w:val="0"/>
              <w:spacing w:line="360" w:lineRule="auto"/>
              <w:ind w:firstLine="420"/>
              <w:rPr>
                <w:color w:val="auto"/>
                <w:kern w:val="0"/>
                <w:szCs w:val="21"/>
              </w:rPr>
            </w:pPr>
            <w:r>
              <w:rPr>
                <w:rFonts w:hint="eastAsia"/>
                <w:color w:val="auto"/>
                <w:kern w:val="0"/>
                <w:szCs w:val="21"/>
              </w:rPr>
              <w:t>②矿区运输道路进出口建设车辆冲洗设施，并配套建设废水沉淀处理设施，在冲洗台旁设置沉淀池1个，容积</w:t>
            </w:r>
            <w:r>
              <w:rPr>
                <w:color w:val="auto"/>
                <w:kern w:val="0"/>
                <w:szCs w:val="21"/>
              </w:rPr>
              <w:t>25</w:t>
            </w:r>
            <w:r>
              <w:rPr>
                <w:rFonts w:hint="eastAsia"/>
                <w:color w:val="auto"/>
                <w:kern w:val="0"/>
                <w:szCs w:val="21"/>
              </w:rPr>
              <w:t>m³，将冲洗废水收集沉淀后循环使用，不外排。</w:t>
            </w:r>
          </w:p>
          <w:p>
            <w:pPr>
              <w:adjustRightInd w:val="0"/>
              <w:snapToGrid w:val="0"/>
              <w:spacing w:line="360" w:lineRule="auto"/>
              <w:ind w:firstLine="420"/>
              <w:rPr>
                <w:color w:val="auto"/>
                <w:kern w:val="0"/>
                <w:szCs w:val="21"/>
              </w:rPr>
            </w:pPr>
            <w:r>
              <w:rPr>
                <w:rFonts w:hint="eastAsia"/>
                <w:color w:val="auto"/>
                <w:kern w:val="0"/>
                <w:szCs w:val="21"/>
              </w:rPr>
              <w:t>（</w:t>
            </w:r>
            <w:r>
              <w:rPr>
                <w:color w:val="auto"/>
                <w:kern w:val="0"/>
                <w:szCs w:val="21"/>
              </w:rPr>
              <w:t>4</w:t>
            </w:r>
            <w:r>
              <w:rPr>
                <w:rFonts w:hint="eastAsia"/>
                <w:color w:val="auto"/>
                <w:kern w:val="0"/>
                <w:szCs w:val="21"/>
              </w:rPr>
              <w:t>）生活污水</w:t>
            </w:r>
          </w:p>
          <w:p>
            <w:pPr>
              <w:autoSpaceDE w:val="0"/>
              <w:autoSpaceDN w:val="0"/>
              <w:adjustRightInd w:val="0"/>
              <w:snapToGrid w:val="0"/>
              <w:spacing w:line="400" w:lineRule="exact"/>
              <w:ind w:firstLine="420" w:firstLineChars="200"/>
              <w:jc w:val="left"/>
              <w:rPr>
                <w:color w:val="auto"/>
                <w:kern w:val="0"/>
                <w:szCs w:val="21"/>
              </w:rPr>
            </w:pPr>
            <w:r>
              <w:rPr>
                <w:rFonts w:hint="eastAsia"/>
                <w:color w:val="auto"/>
                <w:kern w:val="0"/>
                <w:szCs w:val="21"/>
              </w:rPr>
              <w:t>①</w:t>
            </w:r>
            <w:r>
              <w:rPr>
                <w:color w:val="auto"/>
                <w:kern w:val="0"/>
                <w:szCs w:val="21"/>
              </w:rPr>
              <w:t>项目矿区内</w:t>
            </w:r>
            <w:r>
              <w:rPr>
                <w:rFonts w:hint="eastAsia"/>
                <w:color w:val="auto"/>
                <w:kern w:val="0"/>
                <w:szCs w:val="21"/>
              </w:rPr>
              <w:t>建设一体化污水处理设施处理</w:t>
            </w:r>
            <w:r>
              <w:rPr>
                <w:color w:val="auto"/>
                <w:kern w:val="0"/>
                <w:szCs w:val="21"/>
              </w:rPr>
              <w:t>，</w:t>
            </w:r>
            <w:r>
              <w:rPr>
                <w:rFonts w:hint="eastAsia"/>
                <w:color w:val="auto"/>
                <w:kern w:val="0"/>
                <w:szCs w:val="21"/>
              </w:rPr>
              <w:t>处理量为1</w:t>
            </w:r>
            <w:r>
              <w:rPr>
                <w:color w:val="auto"/>
                <w:kern w:val="0"/>
                <w:szCs w:val="21"/>
              </w:rPr>
              <w:t>0</w:t>
            </w:r>
            <w:r>
              <w:rPr>
                <w:rFonts w:hint="eastAsia"/>
                <w:color w:val="auto"/>
                <w:kern w:val="0"/>
                <w:szCs w:val="21"/>
              </w:rPr>
              <w:t>m³</w:t>
            </w:r>
            <w:r>
              <w:rPr>
                <w:color w:val="auto"/>
                <w:kern w:val="0"/>
                <w:szCs w:val="21"/>
              </w:rPr>
              <w:t>/</w:t>
            </w:r>
            <w:r>
              <w:rPr>
                <w:rFonts w:hint="eastAsia"/>
                <w:color w:val="auto"/>
                <w:kern w:val="0"/>
                <w:szCs w:val="21"/>
              </w:rPr>
              <w:t>d（处理工艺为初沉+生物接触氧化</w:t>
            </w:r>
            <w:r>
              <w:rPr>
                <w:color w:val="auto"/>
                <w:kern w:val="0"/>
                <w:szCs w:val="21"/>
              </w:rPr>
              <w:t>+</w:t>
            </w:r>
            <w:r>
              <w:rPr>
                <w:rFonts w:hint="eastAsia"/>
                <w:color w:val="auto"/>
                <w:kern w:val="0"/>
                <w:szCs w:val="21"/>
              </w:rPr>
              <w:t>二沉）</w:t>
            </w:r>
            <w:r>
              <w:rPr>
                <w:color w:val="auto"/>
                <w:kern w:val="0"/>
                <w:szCs w:val="21"/>
              </w:rPr>
              <w:t>，项目生活污水经收集</w:t>
            </w:r>
            <w:r>
              <w:rPr>
                <w:rFonts w:hint="eastAsia"/>
                <w:color w:val="auto"/>
                <w:kern w:val="0"/>
                <w:szCs w:val="21"/>
              </w:rPr>
              <w:t>处理达到《农田灌溉水质标准》（G</w:t>
            </w:r>
            <w:r>
              <w:rPr>
                <w:color w:val="auto"/>
                <w:kern w:val="0"/>
                <w:szCs w:val="21"/>
              </w:rPr>
              <w:t>B5084-2021</w:t>
            </w:r>
            <w:r>
              <w:rPr>
                <w:rFonts w:hint="eastAsia"/>
                <w:color w:val="auto"/>
                <w:kern w:val="0"/>
                <w:szCs w:val="21"/>
              </w:rPr>
              <w:t>）旱地作物水质标准</w:t>
            </w:r>
            <w:r>
              <w:rPr>
                <w:color w:val="auto"/>
                <w:kern w:val="0"/>
                <w:szCs w:val="21"/>
              </w:rPr>
              <w:t>后，</w:t>
            </w:r>
            <w:r>
              <w:rPr>
                <w:rFonts w:hint="eastAsia"/>
                <w:color w:val="auto"/>
                <w:kern w:val="0"/>
                <w:szCs w:val="21"/>
              </w:rPr>
              <w:t>用于周边农地灌溉</w:t>
            </w:r>
            <w:r>
              <w:rPr>
                <w:color w:val="auto"/>
                <w:kern w:val="0"/>
                <w:szCs w:val="21"/>
              </w:rPr>
              <w:t>，不外排。</w:t>
            </w:r>
          </w:p>
          <w:p>
            <w:pPr>
              <w:adjustRightInd w:val="0"/>
              <w:snapToGrid w:val="0"/>
              <w:spacing w:line="360" w:lineRule="auto"/>
              <w:ind w:firstLine="420"/>
              <w:rPr>
                <w:color w:val="auto"/>
                <w:kern w:val="0"/>
                <w:szCs w:val="21"/>
              </w:rPr>
            </w:pPr>
            <w:r>
              <w:rPr>
                <w:rFonts w:hint="eastAsia"/>
                <w:color w:val="auto"/>
                <w:kern w:val="0"/>
                <w:szCs w:val="21"/>
              </w:rPr>
              <w:t>②</w:t>
            </w:r>
            <w:r>
              <w:rPr>
                <w:color w:val="auto"/>
                <w:kern w:val="0"/>
                <w:szCs w:val="21"/>
              </w:rPr>
              <w:t>项目办公生活区</w:t>
            </w:r>
            <w:r>
              <w:rPr>
                <w:rFonts w:hint="eastAsia"/>
                <w:color w:val="auto"/>
                <w:kern w:val="0"/>
                <w:szCs w:val="21"/>
              </w:rPr>
              <w:t>建设一体化污水处理设施处理</w:t>
            </w:r>
            <w:r>
              <w:rPr>
                <w:color w:val="auto"/>
                <w:kern w:val="0"/>
                <w:szCs w:val="21"/>
              </w:rPr>
              <w:t>，</w:t>
            </w:r>
            <w:r>
              <w:rPr>
                <w:rFonts w:hint="eastAsia"/>
                <w:color w:val="auto"/>
                <w:kern w:val="0"/>
                <w:szCs w:val="21"/>
              </w:rPr>
              <w:t>处理量为1</w:t>
            </w:r>
            <w:r>
              <w:rPr>
                <w:color w:val="auto"/>
                <w:kern w:val="0"/>
                <w:szCs w:val="21"/>
              </w:rPr>
              <w:t>0</w:t>
            </w:r>
            <w:r>
              <w:rPr>
                <w:rFonts w:hint="eastAsia"/>
                <w:color w:val="auto"/>
                <w:kern w:val="0"/>
                <w:szCs w:val="21"/>
              </w:rPr>
              <w:t>m³</w:t>
            </w:r>
            <w:r>
              <w:rPr>
                <w:color w:val="auto"/>
                <w:kern w:val="0"/>
                <w:szCs w:val="21"/>
              </w:rPr>
              <w:t>/</w:t>
            </w:r>
            <w:r>
              <w:rPr>
                <w:rFonts w:hint="eastAsia"/>
                <w:color w:val="auto"/>
                <w:kern w:val="0"/>
                <w:szCs w:val="21"/>
              </w:rPr>
              <w:t>d（处理工艺为初沉+生物接触氧化</w:t>
            </w:r>
            <w:r>
              <w:rPr>
                <w:color w:val="auto"/>
                <w:kern w:val="0"/>
                <w:szCs w:val="21"/>
              </w:rPr>
              <w:t>+</w:t>
            </w:r>
            <w:r>
              <w:rPr>
                <w:rFonts w:hint="eastAsia"/>
                <w:color w:val="auto"/>
                <w:kern w:val="0"/>
                <w:szCs w:val="21"/>
              </w:rPr>
              <w:t>二沉）</w:t>
            </w:r>
            <w:r>
              <w:rPr>
                <w:color w:val="auto"/>
                <w:kern w:val="0"/>
                <w:szCs w:val="21"/>
              </w:rPr>
              <w:t>，收集</w:t>
            </w:r>
            <w:r>
              <w:rPr>
                <w:rFonts w:hint="eastAsia"/>
                <w:color w:val="auto"/>
                <w:kern w:val="0"/>
                <w:szCs w:val="21"/>
              </w:rPr>
              <w:t>处理达到《农田灌溉水质标准》（G</w:t>
            </w:r>
            <w:r>
              <w:rPr>
                <w:color w:val="auto"/>
                <w:kern w:val="0"/>
                <w:szCs w:val="21"/>
              </w:rPr>
              <w:t>B5084-2021</w:t>
            </w:r>
            <w:r>
              <w:rPr>
                <w:rFonts w:hint="eastAsia"/>
                <w:color w:val="auto"/>
                <w:kern w:val="0"/>
                <w:szCs w:val="21"/>
              </w:rPr>
              <w:t>）旱地作物水质标准</w:t>
            </w:r>
            <w:r>
              <w:rPr>
                <w:color w:val="auto"/>
                <w:kern w:val="0"/>
                <w:szCs w:val="21"/>
              </w:rPr>
              <w:t>后，</w:t>
            </w:r>
            <w:r>
              <w:rPr>
                <w:rFonts w:hint="eastAsia"/>
                <w:color w:val="auto"/>
                <w:kern w:val="0"/>
                <w:szCs w:val="21"/>
              </w:rPr>
              <w:t>用于周边农地灌溉</w:t>
            </w:r>
            <w:r>
              <w:rPr>
                <w:color w:val="auto"/>
                <w:kern w:val="0"/>
                <w:szCs w:val="21"/>
              </w:rPr>
              <w:t>，不外排。</w:t>
            </w:r>
          </w:p>
          <w:p>
            <w:pPr>
              <w:adjustRightInd w:val="0"/>
              <w:snapToGrid w:val="0"/>
              <w:spacing w:line="360" w:lineRule="auto"/>
              <w:jc w:val="center"/>
              <w:rPr>
                <w:color w:val="auto"/>
                <w:kern w:val="0"/>
                <w:szCs w:val="21"/>
              </w:rPr>
            </w:pPr>
            <w:r>
              <w:rPr>
                <w:rFonts w:hint="eastAsia"/>
                <w:color w:val="auto"/>
                <w:kern w:val="0"/>
                <w:szCs w:val="21"/>
              </w:rPr>
              <w:t>生活污水→初沉池→接触氧化池→二沉池→消毒→农灌</w:t>
            </w:r>
          </w:p>
          <w:p>
            <w:pPr>
              <w:adjustRightInd w:val="0"/>
              <w:snapToGrid w:val="0"/>
              <w:spacing w:line="360" w:lineRule="auto"/>
              <w:jc w:val="center"/>
              <w:rPr>
                <w:b/>
                <w:color w:val="auto"/>
                <w:kern w:val="0"/>
                <w:sz w:val="18"/>
                <w:szCs w:val="18"/>
              </w:rPr>
            </w:pPr>
            <w:r>
              <w:rPr>
                <w:rFonts w:hint="eastAsia"/>
                <w:b/>
                <w:color w:val="auto"/>
                <w:kern w:val="0"/>
                <w:sz w:val="18"/>
                <w:szCs w:val="18"/>
              </w:rPr>
              <w:t>图5</w:t>
            </w:r>
            <w:r>
              <w:rPr>
                <w:b/>
                <w:color w:val="auto"/>
                <w:kern w:val="0"/>
                <w:sz w:val="18"/>
                <w:szCs w:val="18"/>
              </w:rPr>
              <w:t xml:space="preserve">-3 </w:t>
            </w:r>
            <w:r>
              <w:rPr>
                <w:rFonts w:hint="eastAsia"/>
                <w:b/>
                <w:color w:val="auto"/>
                <w:kern w:val="0"/>
                <w:sz w:val="18"/>
                <w:szCs w:val="18"/>
              </w:rPr>
              <w:t>生活污水处理工艺流程图</w:t>
            </w:r>
          </w:p>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-6</w:t>
            </w:r>
            <w:r>
              <w:rPr>
                <w:rFonts w:hint="eastAsia"/>
                <w:b/>
                <w:color w:val="auto"/>
                <w:kern w:val="0"/>
                <w:sz w:val="18"/>
                <w:szCs w:val="18"/>
              </w:rPr>
              <w:t xml:space="preserve"> 废水污染源源强核算结果及相关参数一览表</w:t>
            </w:r>
          </w:p>
          <w:tbl>
            <w:tblPr>
              <w:tblStyle w:val="14"/>
              <w:tblW w:w="8056"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64"/>
              <w:gridCol w:w="549"/>
              <w:gridCol w:w="457"/>
              <w:gridCol w:w="434"/>
              <w:gridCol w:w="534"/>
              <w:gridCol w:w="565"/>
              <w:gridCol w:w="646"/>
              <w:gridCol w:w="525"/>
              <w:gridCol w:w="431"/>
              <w:gridCol w:w="432"/>
              <w:gridCol w:w="417"/>
              <w:gridCol w:w="558"/>
              <w:gridCol w:w="700"/>
              <w:gridCol w:w="693"/>
              <w:gridCol w:w="55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72" w:hRule="atLeast"/>
                <w:jc w:val="center"/>
              </w:trPr>
              <w:tc>
                <w:tcPr>
                  <w:tcW w:w="567" w:type="dxa"/>
                  <w:vMerge w:val="restart"/>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工序/ 生产线</w:t>
                  </w:r>
                </w:p>
              </w:tc>
              <w:tc>
                <w:tcPr>
                  <w:tcW w:w="551" w:type="dxa"/>
                  <w:vMerge w:val="restart"/>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装置</w:t>
                  </w:r>
                </w:p>
              </w:tc>
              <w:tc>
                <w:tcPr>
                  <w:tcW w:w="458" w:type="dxa"/>
                  <w:vMerge w:val="restart"/>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污染</w:t>
                  </w:r>
                </w:p>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源</w:t>
                  </w:r>
                </w:p>
              </w:tc>
              <w:tc>
                <w:tcPr>
                  <w:tcW w:w="435" w:type="dxa"/>
                  <w:vMerge w:val="restart"/>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污染</w:t>
                  </w:r>
                </w:p>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物</w:t>
                  </w:r>
                </w:p>
              </w:tc>
              <w:tc>
                <w:tcPr>
                  <w:tcW w:w="2258" w:type="dxa"/>
                  <w:gridSpan w:val="4"/>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污染物产生</w:t>
                  </w:r>
                </w:p>
              </w:tc>
              <w:tc>
                <w:tcPr>
                  <w:tcW w:w="865" w:type="dxa"/>
                  <w:gridSpan w:val="2"/>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治理措施</w:t>
                  </w:r>
                </w:p>
              </w:tc>
              <w:tc>
                <w:tcPr>
                  <w:tcW w:w="2371" w:type="dxa"/>
                  <w:gridSpan w:val="4"/>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污染物排放</w:t>
                  </w:r>
                </w:p>
              </w:tc>
              <w:tc>
                <w:tcPr>
                  <w:tcW w:w="551" w:type="dxa"/>
                  <w:vMerge w:val="restart"/>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排放</w:t>
                  </w:r>
                </w:p>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时间</w:t>
                  </w:r>
                </w:p>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（d/a）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567" w:type="dxa"/>
                  <w:vMerge w:val="continue"/>
                  <w:vAlign w:val="center"/>
                </w:tcPr>
                <w:p>
                  <w:pPr>
                    <w:widowControl/>
                    <w:ind w:left="-53" w:leftChars="-25" w:right="-53" w:rightChars="-25"/>
                    <w:jc w:val="center"/>
                    <w:rPr>
                      <w:bCs/>
                      <w:color w:val="auto"/>
                      <w:sz w:val="18"/>
                      <w:szCs w:val="18"/>
                    </w:rPr>
                  </w:pPr>
                </w:p>
              </w:tc>
              <w:tc>
                <w:tcPr>
                  <w:tcW w:w="551" w:type="dxa"/>
                  <w:vMerge w:val="continue"/>
                  <w:vAlign w:val="center"/>
                </w:tcPr>
                <w:p>
                  <w:pPr>
                    <w:widowControl/>
                    <w:ind w:left="-53" w:leftChars="-25" w:right="-53" w:rightChars="-25"/>
                    <w:jc w:val="center"/>
                    <w:rPr>
                      <w:bCs/>
                      <w:color w:val="auto"/>
                      <w:sz w:val="18"/>
                      <w:szCs w:val="18"/>
                    </w:rPr>
                  </w:pPr>
                </w:p>
              </w:tc>
              <w:tc>
                <w:tcPr>
                  <w:tcW w:w="458" w:type="dxa"/>
                  <w:vMerge w:val="continue"/>
                  <w:vAlign w:val="center"/>
                </w:tcPr>
                <w:p>
                  <w:pPr>
                    <w:widowControl/>
                    <w:ind w:left="-53" w:leftChars="-25" w:right="-53" w:rightChars="-25"/>
                    <w:jc w:val="center"/>
                    <w:rPr>
                      <w:bCs/>
                      <w:color w:val="auto"/>
                      <w:sz w:val="18"/>
                      <w:szCs w:val="18"/>
                    </w:rPr>
                  </w:pPr>
                </w:p>
              </w:tc>
              <w:tc>
                <w:tcPr>
                  <w:tcW w:w="435" w:type="dxa"/>
                  <w:vMerge w:val="continue"/>
                  <w:vAlign w:val="center"/>
                </w:tcPr>
                <w:p>
                  <w:pPr>
                    <w:widowControl/>
                    <w:ind w:left="-53" w:leftChars="-25" w:right="-53" w:rightChars="-25"/>
                    <w:jc w:val="center"/>
                    <w:rPr>
                      <w:bCs/>
                      <w:color w:val="auto"/>
                      <w:sz w:val="18"/>
                      <w:szCs w:val="18"/>
                    </w:rPr>
                  </w:pPr>
                </w:p>
              </w:tc>
              <w:tc>
                <w:tcPr>
                  <w:tcW w:w="536" w:type="dxa"/>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核算</w:t>
                  </w:r>
                </w:p>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方法</w:t>
                  </w:r>
                </w:p>
              </w:tc>
              <w:tc>
                <w:tcPr>
                  <w:tcW w:w="565" w:type="dxa"/>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废水</w:t>
                  </w:r>
                </w:p>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产生量</w:t>
                  </w:r>
                  <w:r>
                    <w:rPr>
                      <w:rFonts w:ascii="Times New Roman" w:hAnsi="Times New Roman" w:eastAsia="Calibri"/>
                      <w:bCs/>
                      <w:color w:val="auto"/>
                      <w:spacing w:val="-1"/>
                      <w:sz w:val="18"/>
                      <w:szCs w:val="18"/>
                    </w:rPr>
                    <w:t>(m</w:t>
                  </w:r>
                  <w:r>
                    <w:rPr>
                      <w:rFonts w:ascii="Times New Roman" w:hAnsi="Times New Roman"/>
                      <w:bCs/>
                      <w:color w:val="auto"/>
                      <w:spacing w:val="-1"/>
                      <w:sz w:val="18"/>
                      <w:szCs w:val="18"/>
                      <w:vertAlign w:val="superscript"/>
                    </w:rPr>
                    <w:t>3</w:t>
                  </w:r>
                  <w:r>
                    <w:rPr>
                      <w:rFonts w:ascii="Times New Roman" w:hAnsi="Times New Roman" w:eastAsia="Calibri"/>
                      <w:bCs/>
                      <w:color w:val="auto"/>
                      <w:spacing w:val="-1"/>
                      <w:sz w:val="18"/>
                      <w:szCs w:val="18"/>
                    </w:rPr>
                    <w:t>/a)</w:t>
                  </w:r>
                </w:p>
              </w:tc>
              <w:tc>
                <w:tcPr>
                  <w:tcW w:w="632" w:type="dxa"/>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产生</w:t>
                  </w:r>
                </w:p>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浓度</w:t>
                  </w:r>
                  <w:r>
                    <w:rPr>
                      <w:rFonts w:ascii="Times New Roman" w:hAnsi="Times New Roman"/>
                      <w:bCs/>
                      <w:color w:val="auto"/>
                      <w:spacing w:val="-1"/>
                      <w:sz w:val="18"/>
                      <w:szCs w:val="18"/>
                    </w:rPr>
                    <w:t>（mg/L）</w:t>
                  </w:r>
                </w:p>
              </w:tc>
              <w:tc>
                <w:tcPr>
                  <w:tcW w:w="525" w:type="dxa"/>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产生量</w:t>
                  </w:r>
                </w:p>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pacing w:val="-1"/>
                      <w:sz w:val="18"/>
                      <w:szCs w:val="18"/>
                    </w:rPr>
                    <w:t>（t/a）</w:t>
                  </w:r>
                </w:p>
              </w:tc>
              <w:tc>
                <w:tcPr>
                  <w:tcW w:w="432" w:type="dxa"/>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工艺</w:t>
                  </w:r>
                </w:p>
              </w:tc>
              <w:tc>
                <w:tcPr>
                  <w:tcW w:w="433" w:type="dxa"/>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效率</w:t>
                  </w:r>
                </w:p>
                <w:p>
                  <w:pPr>
                    <w:pStyle w:val="46"/>
                    <w:ind w:left="-53" w:leftChars="-25" w:right="-53" w:rightChars="-25"/>
                    <w:jc w:val="center"/>
                    <w:rPr>
                      <w:rFonts w:ascii="Times New Roman" w:hAnsi="Times New Roman"/>
                      <w:bCs/>
                      <w:color w:val="auto"/>
                      <w:sz w:val="18"/>
                      <w:szCs w:val="18"/>
                    </w:rPr>
                  </w:pPr>
                  <w:r>
                    <w:rPr>
                      <w:rFonts w:ascii="Times New Roman" w:hAnsi="Times New Roman" w:eastAsia="Calibri"/>
                      <w:bCs/>
                      <w:color w:val="auto"/>
                      <w:sz w:val="18"/>
                      <w:szCs w:val="18"/>
                    </w:rPr>
                    <w:t>/%</w:t>
                  </w:r>
                </w:p>
              </w:tc>
              <w:tc>
                <w:tcPr>
                  <w:tcW w:w="418" w:type="dxa"/>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核算</w:t>
                  </w:r>
                </w:p>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方法</w:t>
                  </w:r>
                </w:p>
              </w:tc>
              <w:tc>
                <w:tcPr>
                  <w:tcW w:w="559" w:type="dxa"/>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废水</w:t>
                  </w:r>
                </w:p>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排放量</w:t>
                  </w:r>
                </w:p>
                <w:p>
                  <w:pPr>
                    <w:pStyle w:val="46"/>
                    <w:ind w:left="-53" w:leftChars="-25" w:right="-53" w:rightChars="-25"/>
                    <w:jc w:val="center"/>
                    <w:rPr>
                      <w:rFonts w:ascii="Times New Roman" w:hAnsi="Times New Roman"/>
                      <w:bCs/>
                      <w:color w:val="auto"/>
                      <w:sz w:val="18"/>
                      <w:szCs w:val="18"/>
                    </w:rPr>
                  </w:pPr>
                  <w:r>
                    <w:rPr>
                      <w:rFonts w:ascii="Times New Roman" w:hAnsi="Times New Roman" w:eastAsia="Calibri"/>
                      <w:bCs/>
                      <w:color w:val="auto"/>
                      <w:spacing w:val="-1"/>
                      <w:sz w:val="18"/>
                      <w:szCs w:val="18"/>
                    </w:rPr>
                    <w:t>(m</w:t>
                  </w:r>
                  <w:r>
                    <w:rPr>
                      <w:rFonts w:ascii="Times New Roman" w:hAnsi="Times New Roman"/>
                      <w:bCs/>
                      <w:color w:val="auto"/>
                      <w:spacing w:val="-1"/>
                      <w:sz w:val="18"/>
                      <w:szCs w:val="18"/>
                      <w:vertAlign w:val="superscript"/>
                    </w:rPr>
                    <w:t>3</w:t>
                  </w:r>
                  <w:r>
                    <w:rPr>
                      <w:rFonts w:ascii="Times New Roman" w:hAnsi="Times New Roman" w:eastAsia="Calibri"/>
                      <w:bCs/>
                      <w:color w:val="auto"/>
                      <w:spacing w:val="-1"/>
                      <w:sz w:val="18"/>
                      <w:szCs w:val="18"/>
                    </w:rPr>
                    <w:t>/a)</w:t>
                  </w:r>
                </w:p>
              </w:tc>
              <w:tc>
                <w:tcPr>
                  <w:tcW w:w="700" w:type="dxa"/>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排放浓度</w:t>
                  </w:r>
                </w:p>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pacing w:val="-1"/>
                      <w:sz w:val="18"/>
                      <w:szCs w:val="18"/>
                    </w:rPr>
                    <w:t>（mg/L）</w:t>
                  </w:r>
                </w:p>
              </w:tc>
              <w:tc>
                <w:tcPr>
                  <w:tcW w:w="694" w:type="dxa"/>
                  <w:vAlign w:val="center"/>
                </w:tcPr>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z w:val="18"/>
                      <w:szCs w:val="18"/>
                    </w:rPr>
                    <w:t>排放量</w:t>
                  </w:r>
                </w:p>
                <w:p>
                  <w:pPr>
                    <w:pStyle w:val="46"/>
                    <w:ind w:left="-53" w:leftChars="-25" w:right="-53" w:rightChars="-25"/>
                    <w:jc w:val="center"/>
                    <w:rPr>
                      <w:rFonts w:ascii="Times New Roman" w:hAnsi="Times New Roman"/>
                      <w:bCs/>
                      <w:color w:val="auto"/>
                      <w:sz w:val="18"/>
                      <w:szCs w:val="18"/>
                    </w:rPr>
                  </w:pPr>
                  <w:r>
                    <w:rPr>
                      <w:rFonts w:ascii="Times New Roman" w:hAnsi="Times New Roman"/>
                      <w:bCs/>
                      <w:color w:val="auto"/>
                      <w:spacing w:val="-1"/>
                      <w:sz w:val="18"/>
                      <w:szCs w:val="18"/>
                    </w:rPr>
                    <w:t>（t/a）</w:t>
                  </w:r>
                </w:p>
              </w:tc>
              <w:tc>
                <w:tcPr>
                  <w:tcW w:w="551" w:type="dxa"/>
                  <w:vMerge w:val="continue"/>
                  <w:vAlign w:val="center"/>
                </w:tcPr>
                <w:p>
                  <w:pPr>
                    <w:widowControl/>
                    <w:ind w:left="-53" w:leftChars="-25" w:right="-53" w:rightChars="-25"/>
                    <w:jc w:val="center"/>
                    <w:rPr>
                      <w:bCs/>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567" w:type="dxa"/>
                  <w:vMerge w:val="restart"/>
                  <w:vAlign w:val="center"/>
                </w:tcPr>
                <w:p>
                  <w:pPr>
                    <w:widowControl/>
                    <w:ind w:left="-53" w:leftChars="-25" w:right="-53" w:rightChars="-25"/>
                    <w:jc w:val="center"/>
                    <w:rPr>
                      <w:color w:val="auto"/>
                      <w:sz w:val="18"/>
                      <w:szCs w:val="18"/>
                    </w:rPr>
                  </w:pPr>
                  <w:r>
                    <w:rPr>
                      <w:color w:val="auto"/>
                      <w:sz w:val="18"/>
                      <w:szCs w:val="18"/>
                    </w:rPr>
                    <w:t>矿山</w:t>
                  </w:r>
                </w:p>
                <w:p>
                  <w:pPr>
                    <w:widowControl/>
                    <w:ind w:left="-53" w:leftChars="-25" w:right="-53" w:rightChars="-25"/>
                    <w:jc w:val="center"/>
                    <w:rPr>
                      <w:color w:val="auto"/>
                      <w:sz w:val="18"/>
                      <w:szCs w:val="18"/>
                    </w:rPr>
                  </w:pPr>
                  <w:r>
                    <w:rPr>
                      <w:color w:val="auto"/>
                      <w:sz w:val="18"/>
                      <w:szCs w:val="18"/>
                    </w:rPr>
                    <w:t>开采</w:t>
                  </w:r>
                </w:p>
              </w:tc>
              <w:tc>
                <w:tcPr>
                  <w:tcW w:w="551" w:type="dxa"/>
                  <w:vAlign w:val="center"/>
                </w:tcPr>
                <w:p>
                  <w:pPr>
                    <w:widowControl/>
                    <w:ind w:left="-53" w:leftChars="-25" w:right="-53" w:rightChars="-25"/>
                    <w:jc w:val="center"/>
                    <w:rPr>
                      <w:color w:val="auto"/>
                      <w:sz w:val="18"/>
                      <w:szCs w:val="18"/>
                    </w:rPr>
                  </w:pPr>
                  <w:r>
                    <w:rPr>
                      <w:color w:val="auto"/>
                      <w:sz w:val="18"/>
                      <w:szCs w:val="18"/>
                    </w:rPr>
                    <w:t>场内</w:t>
                  </w:r>
                </w:p>
                <w:p>
                  <w:pPr>
                    <w:widowControl/>
                    <w:ind w:left="-53" w:leftChars="-25" w:right="-53" w:rightChars="-25"/>
                    <w:jc w:val="center"/>
                    <w:rPr>
                      <w:color w:val="auto"/>
                      <w:sz w:val="18"/>
                      <w:szCs w:val="18"/>
                    </w:rPr>
                  </w:pPr>
                  <w:r>
                    <w:rPr>
                      <w:color w:val="auto"/>
                      <w:sz w:val="18"/>
                      <w:szCs w:val="18"/>
                    </w:rPr>
                    <w:t>雨水</w:t>
                  </w:r>
                </w:p>
              </w:tc>
              <w:tc>
                <w:tcPr>
                  <w:tcW w:w="458" w:type="dxa"/>
                  <w:vAlign w:val="center"/>
                </w:tcPr>
                <w:p>
                  <w:pPr>
                    <w:widowControl/>
                    <w:ind w:left="-53" w:leftChars="-25" w:right="-53" w:rightChars="-25"/>
                    <w:jc w:val="center"/>
                    <w:rPr>
                      <w:color w:val="auto"/>
                      <w:sz w:val="18"/>
                      <w:szCs w:val="18"/>
                    </w:rPr>
                  </w:pPr>
                  <w:r>
                    <w:rPr>
                      <w:color w:val="auto"/>
                      <w:sz w:val="18"/>
                      <w:szCs w:val="18"/>
                    </w:rPr>
                    <w:t>初期</w:t>
                  </w:r>
                </w:p>
                <w:p>
                  <w:pPr>
                    <w:widowControl/>
                    <w:ind w:left="-53" w:leftChars="-25" w:right="-53" w:rightChars="-25"/>
                    <w:jc w:val="center"/>
                    <w:rPr>
                      <w:color w:val="auto"/>
                      <w:sz w:val="18"/>
                      <w:szCs w:val="18"/>
                    </w:rPr>
                  </w:pPr>
                  <w:r>
                    <w:rPr>
                      <w:color w:val="auto"/>
                      <w:sz w:val="18"/>
                      <w:szCs w:val="18"/>
                    </w:rPr>
                    <w:t>雨水</w:t>
                  </w:r>
                </w:p>
              </w:tc>
              <w:tc>
                <w:tcPr>
                  <w:tcW w:w="435" w:type="dxa"/>
                  <w:vAlign w:val="center"/>
                </w:tcPr>
                <w:p>
                  <w:pPr>
                    <w:widowControl/>
                    <w:ind w:left="-53" w:leftChars="-25" w:right="-53" w:rightChars="-25"/>
                    <w:jc w:val="center"/>
                    <w:rPr>
                      <w:color w:val="auto"/>
                      <w:sz w:val="18"/>
                      <w:szCs w:val="18"/>
                    </w:rPr>
                  </w:pPr>
                  <w:r>
                    <w:rPr>
                      <w:color w:val="auto"/>
                      <w:sz w:val="18"/>
                      <w:szCs w:val="18"/>
                    </w:rPr>
                    <w:t>悬浮</w:t>
                  </w:r>
                </w:p>
                <w:p>
                  <w:pPr>
                    <w:widowControl/>
                    <w:ind w:left="-53" w:leftChars="-25" w:right="-53" w:rightChars="-25"/>
                    <w:jc w:val="center"/>
                    <w:rPr>
                      <w:color w:val="auto"/>
                      <w:sz w:val="18"/>
                      <w:szCs w:val="18"/>
                    </w:rPr>
                  </w:pPr>
                  <w:r>
                    <w:rPr>
                      <w:color w:val="auto"/>
                      <w:sz w:val="18"/>
                      <w:szCs w:val="18"/>
                    </w:rPr>
                    <w:t>物</w:t>
                  </w:r>
                </w:p>
              </w:tc>
              <w:tc>
                <w:tcPr>
                  <w:tcW w:w="536"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系数法</w:t>
                  </w:r>
                </w:p>
              </w:tc>
              <w:tc>
                <w:tcPr>
                  <w:tcW w:w="565"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262.0</w:t>
                  </w:r>
                </w:p>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m</w:t>
                  </w:r>
                  <w:r>
                    <w:rPr>
                      <w:rFonts w:ascii="Times New Roman" w:hAnsi="Times New Roman"/>
                      <w:color w:val="auto"/>
                      <w:sz w:val="18"/>
                      <w:szCs w:val="18"/>
                      <w:vertAlign w:val="superscript"/>
                    </w:rPr>
                    <w:t>3</w:t>
                  </w:r>
                  <w:r>
                    <w:rPr>
                      <w:rFonts w:ascii="Times New Roman" w:hAnsi="Times New Roman"/>
                      <w:color w:val="auto"/>
                      <w:sz w:val="18"/>
                      <w:szCs w:val="18"/>
                    </w:rPr>
                    <w:t>/次</w:t>
                  </w:r>
                </w:p>
              </w:tc>
              <w:tc>
                <w:tcPr>
                  <w:tcW w:w="632"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2000</w:t>
                  </w:r>
                </w:p>
              </w:tc>
              <w:tc>
                <w:tcPr>
                  <w:tcW w:w="525" w:type="dxa"/>
                  <w:vAlign w:val="center"/>
                </w:tcPr>
                <w:p>
                  <w:pPr>
                    <w:pStyle w:val="46"/>
                    <w:ind w:left="-53" w:leftChars="-25" w:right="-53" w:rightChars="-25"/>
                    <w:jc w:val="center"/>
                    <w:rPr>
                      <w:rFonts w:ascii="Times New Roman" w:hAnsi="Times New Roman"/>
                      <w:color w:val="auto"/>
                      <w:spacing w:val="-1"/>
                      <w:sz w:val="18"/>
                      <w:szCs w:val="18"/>
                    </w:rPr>
                  </w:pPr>
                  <w:r>
                    <w:rPr>
                      <w:rFonts w:ascii="Times New Roman" w:hAnsi="Times New Roman"/>
                      <w:color w:val="auto"/>
                      <w:spacing w:val="-1"/>
                      <w:sz w:val="18"/>
                      <w:szCs w:val="18"/>
                    </w:rPr>
                    <w:t>/</w:t>
                  </w:r>
                </w:p>
              </w:tc>
              <w:tc>
                <w:tcPr>
                  <w:tcW w:w="432"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沉淀</w:t>
                  </w:r>
                </w:p>
              </w:tc>
              <w:tc>
                <w:tcPr>
                  <w:tcW w:w="433"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95</w:t>
                  </w:r>
                </w:p>
              </w:tc>
              <w:tc>
                <w:tcPr>
                  <w:tcW w:w="418"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559" w:type="dxa"/>
                  <w:vAlign w:val="center"/>
                </w:tcPr>
                <w:p>
                  <w:pPr>
                    <w:pStyle w:val="46"/>
                    <w:ind w:left="-53" w:leftChars="-25" w:right="-53" w:rightChars="-25"/>
                    <w:jc w:val="center"/>
                    <w:rPr>
                      <w:rFonts w:ascii="Times New Roman" w:hAnsi="Times New Roman"/>
                      <w:color w:val="auto"/>
                      <w:spacing w:val="-1"/>
                      <w:sz w:val="18"/>
                      <w:szCs w:val="18"/>
                    </w:rPr>
                  </w:pPr>
                  <w:r>
                    <w:rPr>
                      <w:rFonts w:ascii="Times New Roman" w:hAnsi="Times New Roman"/>
                      <w:color w:val="auto"/>
                      <w:spacing w:val="-1"/>
                      <w:sz w:val="18"/>
                      <w:szCs w:val="18"/>
                    </w:rPr>
                    <w:t>0</w:t>
                  </w:r>
                </w:p>
              </w:tc>
              <w:tc>
                <w:tcPr>
                  <w:tcW w:w="700" w:type="dxa"/>
                  <w:vAlign w:val="center"/>
                </w:tcPr>
                <w:p>
                  <w:pPr>
                    <w:pStyle w:val="46"/>
                    <w:ind w:left="-53" w:leftChars="-25" w:right="-53" w:rightChars="-25"/>
                    <w:jc w:val="center"/>
                    <w:rPr>
                      <w:rFonts w:ascii="Times New Roman" w:hAnsi="Times New Roman"/>
                      <w:color w:val="auto"/>
                      <w:spacing w:val="-1"/>
                      <w:sz w:val="18"/>
                      <w:szCs w:val="18"/>
                    </w:rPr>
                  </w:pPr>
                  <w:r>
                    <w:rPr>
                      <w:rFonts w:ascii="Times New Roman" w:hAnsi="Times New Roman"/>
                      <w:color w:val="auto"/>
                      <w:spacing w:val="-1"/>
                      <w:sz w:val="18"/>
                      <w:szCs w:val="18"/>
                    </w:rPr>
                    <w:t>/</w:t>
                  </w:r>
                </w:p>
              </w:tc>
              <w:tc>
                <w:tcPr>
                  <w:tcW w:w="694" w:type="dxa"/>
                  <w:vAlign w:val="center"/>
                </w:tcPr>
                <w:p>
                  <w:pPr>
                    <w:pStyle w:val="46"/>
                    <w:ind w:left="-53" w:leftChars="-25" w:right="-53" w:rightChars="-25"/>
                    <w:jc w:val="center"/>
                    <w:rPr>
                      <w:rFonts w:ascii="Times New Roman" w:hAnsi="Times New Roman"/>
                      <w:color w:val="auto"/>
                      <w:spacing w:val="-1"/>
                      <w:sz w:val="18"/>
                      <w:szCs w:val="18"/>
                    </w:rPr>
                  </w:pPr>
                  <w:r>
                    <w:rPr>
                      <w:rFonts w:ascii="Times New Roman" w:hAnsi="Times New Roman"/>
                      <w:color w:val="auto"/>
                      <w:spacing w:val="-1"/>
                      <w:sz w:val="18"/>
                      <w:szCs w:val="18"/>
                    </w:rPr>
                    <w:t>/</w:t>
                  </w:r>
                </w:p>
              </w:tc>
              <w:tc>
                <w:tcPr>
                  <w:tcW w:w="551" w:type="dxa"/>
                  <w:vAlign w:val="center"/>
                </w:tcPr>
                <w:p>
                  <w:pPr>
                    <w:widowControl/>
                    <w:ind w:left="-53" w:leftChars="-25" w:right="-53" w:rightChars="-25"/>
                    <w:jc w:val="center"/>
                    <w:rPr>
                      <w:color w:val="auto"/>
                      <w:sz w:val="18"/>
                      <w:szCs w:val="18"/>
                    </w:rPr>
                  </w:pPr>
                  <w:r>
                    <w:rPr>
                      <w:color w:val="auto"/>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567" w:type="dxa"/>
                  <w:vMerge w:val="continue"/>
                  <w:vAlign w:val="center"/>
                </w:tcPr>
                <w:p>
                  <w:pPr>
                    <w:pStyle w:val="46"/>
                    <w:ind w:left="-53" w:leftChars="-25" w:right="-53" w:rightChars="-25"/>
                    <w:jc w:val="center"/>
                    <w:rPr>
                      <w:rFonts w:ascii="Times New Roman" w:hAnsi="Times New Roman"/>
                      <w:color w:val="auto"/>
                      <w:sz w:val="18"/>
                      <w:szCs w:val="18"/>
                    </w:rPr>
                  </w:pPr>
                </w:p>
              </w:tc>
              <w:tc>
                <w:tcPr>
                  <w:tcW w:w="551"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车辆冲洗池</w:t>
                  </w:r>
                </w:p>
              </w:tc>
              <w:tc>
                <w:tcPr>
                  <w:tcW w:w="458"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冲洗</w:t>
                  </w:r>
                </w:p>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废水</w:t>
                  </w:r>
                </w:p>
              </w:tc>
              <w:tc>
                <w:tcPr>
                  <w:tcW w:w="435"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悬浮</w:t>
                  </w:r>
                </w:p>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物</w:t>
                  </w:r>
                </w:p>
              </w:tc>
              <w:tc>
                <w:tcPr>
                  <w:tcW w:w="536"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系数法</w:t>
                  </w:r>
                </w:p>
              </w:tc>
              <w:tc>
                <w:tcPr>
                  <w:tcW w:w="565"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pacing w:val="1"/>
                      <w:sz w:val="18"/>
                      <w:szCs w:val="18"/>
                    </w:rPr>
                    <w:t>3456.0</w:t>
                  </w:r>
                </w:p>
              </w:tc>
              <w:tc>
                <w:tcPr>
                  <w:tcW w:w="632"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pacing w:val="1"/>
                      <w:sz w:val="18"/>
                      <w:szCs w:val="18"/>
                    </w:rPr>
                    <w:t>10</w:t>
                  </w:r>
                  <w:r>
                    <w:rPr>
                      <w:rFonts w:ascii="Times New Roman" w:hAnsi="Times New Roman" w:eastAsia="Calibri"/>
                      <w:color w:val="auto"/>
                      <w:spacing w:val="1"/>
                      <w:sz w:val="18"/>
                      <w:szCs w:val="18"/>
                    </w:rPr>
                    <w:t>00</w:t>
                  </w:r>
                </w:p>
              </w:tc>
              <w:tc>
                <w:tcPr>
                  <w:tcW w:w="525" w:type="dxa"/>
                  <w:vAlign w:val="center"/>
                </w:tcPr>
                <w:p>
                  <w:pPr>
                    <w:pStyle w:val="46"/>
                    <w:ind w:left="-53" w:leftChars="-25" w:right="-53" w:rightChars="-25"/>
                    <w:jc w:val="center"/>
                    <w:rPr>
                      <w:rFonts w:ascii="Times New Roman" w:hAnsi="Times New Roman" w:eastAsia="等线"/>
                      <w:color w:val="auto"/>
                      <w:sz w:val="18"/>
                      <w:szCs w:val="18"/>
                    </w:rPr>
                  </w:pPr>
                  <w:r>
                    <w:rPr>
                      <w:rFonts w:hint="eastAsia" w:ascii="Times New Roman" w:hAnsi="Times New Roman" w:eastAsia="等线"/>
                      <w:color w:val="auto"/>
                      <w:sz w:val="18"/>
                      <w:szCs w:val="18"/>
                    </w:rPr>
                    <w:t>3</w:t>
                  </w:r>
                  <w:r>
                    <w:rPr>
                      <w:rFonts w:ascii="Times New Roman" w:hAnsi="Times New Roman" w:eastAsia="等线"/>
                      <w:color w:val="auto"/>
                      <w:sz w:val="18"/>
                      <w:szCs w:val="18"/>
                    </w:rPr>
                    <w:t>.456</w:t>
                  </w:r>
                </w:p>
              </w:tc>
              <w:tc>
                <w:tcPr>
                  <w:tcW w:w="432"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沉淀</w:t>
                  </w:r>
                </w:p>
              </w:tc>
              <w:tc>
                <w:tcPr>
                  <w:tcW w:w="433"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80</w:t>
                  </w:r>
                </w:p>
              </w:tc>
              <w:tc>
                <w:tcPr>
                  <w:tcW w:w="418"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559" w:type="dxa"/>
                  <w:vAlign w:val="center"/>
                </w:tcPr>
                <w:p>
                  <w:pPr>
                    <w:pStyle w:val="46"/>
                    <w:ind w:left="-53" w:leftChars="-25" w:right="-53" w:rightChars="-25"/>
                    <w:jc w:val="center"/>
                    <w:rPr>
                      <w:rFonts w:ascii="Times New Roman" w:hAnsi="Times New Roman" w:eastAsia="Calibri"/>
                      <w:color w:val="auto"/>
                      <w:spacing w:val="-1"/>
                      <w:sz w:val="18"/>
                      <w:szCs w:val="18"/>
                    </w:rPr>
                  </w:pPr>
                  <w:r>
                    <w:rPr>
                      <w:rFonts w:ascii="Times New Roman" w:hAnsi="Times New Roman"/>
                      <w:color w:val="auto"/>
                      <w:spacing w:val="1"/>
                      <w:sz w:val="18"/>
                      <w:szCs w:val="18"/>
                    </w:rPr>
                    <w:t>0</w:t>
                  </w:r>
                </w:p>
              </w:tc>
              <w:tc>
                <w:tcPr>
                  <w:tcW w:w="700" w:type="dxa"/>
                  <w:vAlign w:val="center"/>
                </w:tcPr>
                <w:p>
                  <w:pPr>
                    <w:pStyle w:val="46"/>
                    <w:ind w:left="-53" w:leftChars="-25" w:right="-53" w:rightChars="-25"/>
                    <w:jc w:val="center"/>
                    <w:rPr>
                      <w:rFonts w:ascii="Times New Roman" w:hAnsi="Times New Roman"/>
                      <w:color w:val="auto"/>
                      <w:spacing w:val="-1"/>
                      <w:sz w:val="18"/>
                      <w:szCs w:val="18"/>
                    </w:rPr>
                  </w:pPr>
                  <w:r>
                    <w:rPr>
                      <w:rFonts w:ascii="Times New Roman" w:hAnsi="Times New Roman"/>
                      <w:color w:val="auto"/>
                      <w:spacing w:val="-1"/>
                      <w:sz w:val="18"/>
                      <w:szCs w:val="18"/>
                    </w:rPr>
                    <w:t>/</w:t>
                  </w:r>
                </w:p>
              </w:tc>
              <w:tc>
                <w:tcPr>
                  <w:tcW w:w="694" w:type="dxa"/>
                  <w:vAlign w:val="center"/>
                </w:tcPr>
                <w:p>
                  <w:pPr>
                    <w:pStyle w:val="46"/>
                    <w:ind w:left="-53" w:leftChars="-25" w:right="-53" w:rightChars="-25"/>
                    <w:jc w:val="center"/>
                    <w:rPr>
                      <w:rFonts w:ascii="Times New Roman" w:hAnsi="Times New Roman"/>
                      <w:color w:val="auto"/>
                      <w:spacing w:val="-1"/>
                      <w:sz w:val="18"/>
                      <w:szCs w:val="18"/>
                    </w:rPr>
                  </w:pPr>
                  <w:r>
                    <w:rPr>
                      <w:rFonts w:ascii="Times New Roman" w:hAnsi="Times New Roman"/>
                      <w:color w:val="auto"/>
                      <w:spacing w:val="-1"/>
                      <w:sz w:val="18"/>
                      <w:szCs w:val="18"/>
                    </w:rPr>
                    <w:t>/</w:t>
                  </w:r>
                </w:p>
              </w:tc>
              <w:tc>
                <w:tcPr>
                  <w:tcW w:w="551" w:type="dxa"/>
                  <w:vAlign w:val="center"/>
                </w:tcPr>
                <w:p>
                  <w:pPr>
                    <w:widowControl/>
                    <w:ind w:left="-53" w:leftChars="-25" w:right="-53" w:rightChars="-25"/>
                    <w:jc w:val="center"/>
                    <w:rPr>
                      <w:color w:val="auto"/>
                      <w:sz w:val="18"/>
                      <w:szCs w:val="18"/>
                    </w:rPr>
                  </w:pPr>
                  <w:r>
                    <w:rPr>
                      <w:color w:val="auto"/>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567" w:type="dxa"/>
                  <w:vMerge w:val="restart"/>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加工区</w:t>
                  </w:r>
                </w:p>
              </w:tc>
              <w:tc>
                <w:tcPr>
                  <w:tcW w:w="551" w:type="dxa"/>
                  <w:vAlign w:val="center"/>
                </w:tcPr>
                <w:p>
                  <w:pPr>
                    <w:pStyle w:val="46"/>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砂石</w:t>
                  </w:r>
                </w:p>
                <w:p>
                  <w:pPr>
                    <w:pStyle w:val="46"/>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洗选</w:t>
                  </w:r>
                </w:p>
              </w:tc>
              <w:tc>
                <w:tcPr>
                  <w:tcW w:w="458"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冲洗</w:t>
                  </w:r>
                </w:p>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废水</w:t>
                  </w:r>
                </w:p>
              </w:tc>
              <w:tc>
                <w:tcPr>
                  <w:tcW w:w="435"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悬浮</w:t>
                  </w:r>
                </w:p>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物</w:t>
                  </w:r>
                </w:p>
              </w:tc>
              <w:tc>
                <w:tcPr>
                  <w:tcW w:w="536"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系数法</w:t>
                  </w:r>
                </w:p>
              </w:tc>
              <w:tc>
                <w:tcPr>
                  <w:tcW w:w="565" w:type="dxa"/>
                  <w:vAlign w:val="center"/>
                </w:tcPr>
                <w:p>
                  <w:pPr>
                    <w:pStyle w:val="46"/>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6</w:t>
                  </w:r>
                  <w:r>
                    <w:rPr>
                      <w:rFonts w:ascii="Times New Roman" w:hAnsi="Times New Roman"/>
                      <w:color w:val="auto"/>
                      <w:sz w:val="18"/>
                      <w:szCs w:val="18"/>
                    </w:rPr>
                    <w:t>37500</w:t>
                  </w:r>
                </w:p>
              </w:tc>
              <w:tc>
                <w:tcPr>
                  <w:tcW w:w="632"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pacing w:val="1"/>
                      <w:sz w:val="18"/>
                      <w:szCs w:val="18"/>
                    </w:rPr>
                    <w:t>20</w:t>
                  </w:r>
                  <w:r>
                    <w:rPr>
                      <w:rFonts w:ascii="Times New Roman" w:hAnsi="Times New Roman" w:eastAsia="Calibri"/>
                      <w:color w:val="auto"/>
                      <w:spacing w:val="1"/>
                      <w:sz w:val="18"/>
                      <w:szCs w:val="18"/>
                    </w:rPr>
                    <w:t>00</w:t>
                  </w:r>
                </w:p>
              </w:tc>
              <w:tc>
                <w:tcPr>
                  <w:tcW w:w="525"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1275</w:t>
                  </w:r>
                </w:p>
              </w:tc>
              <w:tc>
                <w:tcPr>
                  <w:tcW w:w="432" w:type="dxa"/>
                  <w:vAlign w:val="center"/>
                </w:tcPr>
                <w:p>
                  <w:pPr>
                    <w:pStyle w:val="46"/>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絮凝</w:t>
                  </w:r>
                  <w:r>
                    <w:rPr>
                      <w:rFonts w:ascii="Times New Roman" w:hAnsi="Times New Roman"/>
                      <w:color w:val="auto"/>
                      <w:sz w:val="18"/>
                      <w:szCs w:val="18"/>
                    </w:rPr>
                    <w:t>沉淀</w:t>
                  </w:r>
                </w:p>
              </w:tc>
              <w:tc>
                <w:tcPr>
                  <w:tcW w:w="433" w:type="dxa"/>
                  <w:vAlign w:val="center"/>
                </w:tcPr>
                <w:p>
                  <w:pPr>
                    <w:pStyle w:val="46"/>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95</w:t>
                  </w:r>
                </w:p>
              </w:tc>
              <w:tc>
                <w:tcPr>
                  <w:tcW w:w="418"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559" w:type="dxa"/>
                  <w:vAlign w:val="center"/>
                </w:tcPr>
                <w:p>
                  <w:pPr>
                    <w:pStyle w:val="46"/>
                    <w:ind w:left="-53" w:leftChars="-25" w:right="-53" w:rightChars="-25"/>
                    <w:jc w:val="center"/>
                    <w:rPr>
                      <w:rFonts w:ascii="Times New Roman" w:hAnsi="Times New Roman" w:eastAsia="Calibri"/>
                      <w:color w:val="auto"/>
                      <w:spacing w:val="-1"/>
                      <w:sz w:val="18"/>
                      <w:szCs w:val="18"/>
                    </w:rPr>
                  </w:pPr>
                  <w:r>
                    <w:rPr>
                      <w:rFonts w:ascii="Times New Roman" w:hAnsi="Times New Roman"/>
                      <w:color w:val="auto"/>
                      <w:spacing w:val="1"/>
                      <w:sz w:val="18"/>
                      <w:szCs w:val="18"/>
                    </w:rPr>
                    <w:t>0</w:t>
                  </w:r>
                </w:p>
              </w:tc>
              <w:tc>
                <w:tcPr>
                  <w:tcW w:w="700" w:type="dxa"/>
                  <w:vAlign w:val="center"/>
                </w:tcPr>
                <w:p>
                  <w:pPr>
                    <w:pStyle w:val="46"/>
                    <w:ind w:left="-53" w:leftChars="-25" w:right="-53" w:rightChars="-25"/>
                    <w:jc w:val="center"/>
                    <w:rPr>
                      <w:rFonts w:ascii="Times New Roman" w:hAnsi="Times New Roman"/>
                      <w:color w:val="auto"/>
                      <w:spacing w:val="-1"/>
                      <w:sz w:val="18"/>
                      <w:szCs w:val="18"/>
                    </w:rPr>
                  </w:pPr>
                  <w:r>
                    <w:rPr>
                      <w:rFonts w:ascii="Times New Roman" w:hAnsi="Times New Roman"/>
                      <w:color w:val="auto"/>
                      <w:spacing w:val="-1"/>
                      <w:sz w:val="18"/>
                      <w:szCs w:val="18"/>
                    </w:rPr>
                    <w:t>/</w:t>
                  </w:r>
                </w:p>
              </w:tc>
              <w:tc>
                <w:tcPr>
                  <w:tcW w:w="694" w:type="dxa"/>
                  <w:vAlign w:val="center"/>
                </w:tcPr>
                <w:p>
                  <w:pPr>
                    <w:pStyle w:val="46"/>
                    <w:ind w:left="-53" w:leftChars="-25" w:right="-53" w:rightChars="-25"/>
                    <w:jc w:val="center"/>
                    <w:rPr>
                      <w:rFonts w:ascii="Times New Roman" w:hAnsi="Times New Roman"/>
                      <w:color w:val="auto"/>
                      <w:spacing w:val="-1"/>
                      <w:sz w:val="18"/>
                      <w:szCs w:val="18"/>
                    </w:rPr>
                  </w:pPr>
                  <w:r>
                    <w:rPr>
                      <w:rFonts w:ascii="Times New Roman" w:hAnsi="Times New Roman"/>
                      <w:color w:val="auto"/>
                      <w:spacing w:val="-1"/>
                      <w:sz w:val="18"/>
                      <w:szCs w:val="18"/>
                    </w:rPr>
                    <w:t>/</w:t>
                  </w:r>
                </w:p>
              </w:tc>
              <w:tc>
                <w:tcPr>
                  <w:tcW w:w="551" w:type="dxa"/>
                  <w:vAlign w:val="center"/>
                </w:tcPr>
                <w:p>
                  <w:pPr>
                    <w:widowControl/>
                    <w:ind w:left="-53" w:leftChars="-25" w:right="-53" w:rightChars="-25"/>
                    <w:jc w:val="center"/>
                    <w:rPr>
                      <w:color w:val="auto"/>
                      <w:sz w:val="18"/>
                      <w:szCs w:val="18"/>
                    </w:rPr>
                  </w:pPr>
                  <w:r>
                    <w:rPr>
                      <w:color w:val="auto"/>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567" w:type="dxa"/>
                  <w:vMerge w:val="continue"/>
                  <w:vAlign w:val="center"/>
                </w:tcPr>
                <w:p>
                  <w:pPr>
                    <w:pStyle w:val="46"/>
                    <w:ind w:left="-53" w:leftChars="-25" w:right="-53" w:rightChars="-25"/>
                    <w:jc w:val="center"/>
                    <w:rPr>
                      <w:rFonts w:ascii="Times New Roman" w:hAnsi="Times New Roman"/>
                      <w:color w:val="auto"/>
                      <w:sz w:val="18"/>
                      <w:szCs w:val="18"/>
                    </w:rPr>
                  </w:pPr>
                </w:p>
              </w:tc>
              <w:tc>
                <w:tcPr>
                  <w:tcW w:w="551"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车辆冲洗池</w:t>
                  </w:r>
                </w:p>
              </w:tc>
              <w:tc>
                <w:tcPr>
                  <w:tcW w:w="458"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冲洗</w:t>
                  </w:r>
                </w:p>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废水</w:t>
                  </w:r>
                </w:p>
              </w:tc>
              <w:tc>
                <w:tcPr>
                  <w:tcW w:w="435"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悬浮</w:t>
                  </w:r>
                </w:p>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物</w:t>
                  </w:r>
                </w:p>
              </w:tc>
              <w:tc>
                <w:tcPr>
                  <w:tcW w:w="536"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系数法</w:t>
                  </w:r>
                </w:p>
              </w:tc>
              <w:tc>
                <w:tcPr>
                  <w:tcW w:w="565"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pacing w:val="1"/>
                      <w:sz w:val="18"/>
                      <w:szCs w:val="18"/>
                    </w:rPr>
                    <w:t>6912.0</w:t>
                  </w:r>
                </w:p>
              </w:tc>
              <w:tc>
                <w:tcPr>
                  <w:tcW w:w="632"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pacing w:val="1"/>
                      <w:sz w:val="18"/>
                      <w:szCs w:val="18"/>
                    </w:rPr>
                    <w:t>10</w:t>
                  </w:r>
                  <w:r>
                    <w:rPr>
                      <w:rFonts w:ascii="Times New Roman" w:hAnsi="Times New Roman" w:eastAsia="Calibri"/>
                      <w:color w:val="auto"/>
                      <w:spacing w:val="1"/>
                      <w:sz w:val="18"/>
                      <w:szCs w:val="18"/>
                    </w:rPr>
                    <w:t>00</w:t>
                  </w:r>
                </w:p>
              </w:tc>
              <w:tc>
                <w:tcPr>
                  <w:tcW w:w="525" w:type="dxa"/>
                  <w:vAlign w:val="center"/>
                </w:tcPr>
                <w:p>
                  <w:pPr>
                    <w:pStyle w:val="46"/>
                    <w:ind w:left="-53" w:leftChars="-25" w:right="-53" w:rightChars="-25"/>
                    <w:jc w:val="center"/>
                    <w:rPr>
                      <w:rFonts w:ascii="Times New Roman" w:hAnsi="Times New Roman" w:eastAsia="等线"/>
                      <w:color w:val="auto"/>
                      <w:sz w:val="18"/>
                      <w:szCs w:val="18"/>
                    </w:rPr>
                  </w:pPr>
                  <w:r>
                    <w:rPr>
                      <w:rFonts w:ascii="Times New Roman" w:hAnsi="Times New Roman" w:eastAsia="等线"/>
                      <w:color w:val="auto"/>
                      <w:sz w:val="18"/>
                      <w:szCs w:val="18"/>
                    </w:rPr>
                    <w:t>6.912</w:t>
                  </w:r>
                </w:p>
              </w:tc>
              <w:tc>
                <w:tcPr>
                  <w:tcW w:w="432"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沉淀</w:t>
                  </w:r>
                </w:p>
              </w:tc>
              <w:tc>
                <w:tcPr>
                  <w:tcW w:w="433"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80</w:t>
                  </w:r>
                </w:p>
              </w:tc>
              <w:tc>
                <w:tcPr>
                  <w:tcW w:w="418"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559" w:type="dxa"/>
                  <w:vAlign w:val="center"/>
                </w:tcPr>
                <w:p>
                  <w:pPr>
                    <w:pStyle w:val="46"/>
                    <w:ind w:left="-53" w:leftChars="-25" w:right="-53" w:rightChars="-25"/>
                    <w:jc w:val="center"/>
                    <w:rPr>
                      <w:rFonts w:ascii="Times New Roman" w:hAnsi="Times New Roman" w:eastAsia="Calibri"/>
                      <w:color w:val="auto"/>
                      <w:spacing w:val="-1"/>
                      <w:sz w:val="18"/>
                      <w:szCs w:val="18"/>
                    </w:rPr>
                  </w:pPr>
                  <w:r>
                    <w:rPr>
                      <w:rFonts w:ascii="Times New Roman" w:hAnsi="Times New Roman"/>
                      <w:color w:val="auto"/>
                      <w:spacing w:val="1"/>
                      <w:sz w:val="18"/>
                      <w:szCs w:val="18"/>
                    </w:rPr>
                    <w:t>0</w:t>
                  </w:r>
                </w:p>
              </w:tc>
              <w:tc>
                <w:tcPr>
                  <w:tcW w:w="700" w:type="dxa"/>
                  <w:vAlign w:val="center"/>
                </w:tcPr>
                <w:p>
                  <w:pPr>
                    <w:pStyle w:val="46"/>
                    <w:ind w:left="-53" w:leftChars="-25" w:right="-53" w:rightChars="-25"/>
                    <w:jc w:val="center"/>
                    <w:rPr>
                      <w:rFonts w:ascii="Times New Roman" w:hAnsi="Times New Roman"/>
                      <w:color w:val="auto"/>
                      <w:spacing w:val="-1"/>
                      <w:sz w:val="18"/>
                      <w:szCs w:val="18"/>
                    </w:rPr>
                  </w:pPr>
                  <w:r>
                    <w:rPr>
                      <w:rFonts w:ascii="Times New Roman" w:hAnsi="Times New Roman"/>
                      <w:color w:val="auto"/>
                      <w:spacing w:val="-1"/>
                      <w:sz w:val="18"/>
                      <w:szCs w:val="18"/>
                    </w:rPr>
                    <w:t>/</w:t>
                  </w:r>
                </w:p>
              </w:tc>
              <w:tc>
                <w:tcPr>
                  <w:tcW w:w="694" w:type="dxa"/>
                  <w:vAlign w:val="center"/>
                </w:tcPr>
                <w:p>
                  <w:pPr>
                    <w:pStyle w:val="46"/>
                    <w:ind w:left="-53" w:leftChars="-25" w:right="-53" w:rightChars="-25"/>
                    <w:jc w:val="center"/>
                    <w:rPr>
                      <w:rFonts w:ascii="Times New Roman" w:hAnsi="Times New Roman"/>
                      <w:color w:val="auto"/>
                      <w:spacing w:val="-1"/>
                      <w:sz w:val="18"/>
                      <w:szCs w:val="18"/>
                    </w:rPr>
                  </w:pPr>
                  <w:r>
                    <w:rPr>
                      <w:rFonts w:ascii="Times New Roman" w:hAnsi="Times New Roman"/>
                      <w:color w:val="auto"/>
                      <w:spacing w:val="-1"/>
                      <w:sz w:val="18"/>
                      <w:szCs w:val="18"/>
                    </w:rPr>
                    <w:t>/</w:t>
                  </w:r>
                </w:p>
              </w:tc>
              <w:tc>
                <w:tcPr>
                  <w:tcW w:w="551" w:type="dxa"/>
                  <w:vAlign w:val="center"/>
                </w:tcPr>
                <w:p>
                  <w:pPr>
                    <w:widowControl/>
                    <w:ind w:left="-53" w:leftChars="-25" w:right="-53" w:rightChars="-25"/>
                    <w:jc w:val="center"/>
                    <w:rPr>
                      <w:color w:val="auto"/>
                      <w:sz w:val="18"/>
                      <w:szCs w:val="18"/>
                    </w:rPr>
                  </w:pPr>
                  <w:r>
                    <w:rPr>
                      <w:color w:val="auto"/>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567" w:type="dxa"/>
                  <w:vMerge w:val="restart"/>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生活区</w:t>
                  </w:r>
                </w:p>
              </w:tc>
              <w:tc>
                <w:tcPr>
                  <w:tcW w:w="551" w:type="dxa"/>
                  <w:vMerge w:val="restart"/>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458" w:type="dxa"/>
                  <w:vMerge w:val="restart"/>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生活</w:t>
                  </w:r>
                </w:p>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污水</w:t>
                  </w:r>
                </w:p>
              </w:tc>
              <w:tc>
                <w:tcPr>
                  <w:tcW w:w="435"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eastAsia="Calibri"/>
                      <w:color w:val="auto"/>
                      <w:sz w:val="18"/>
                      <w:szCs w:val="18"/>
                    </w:rPr>
                    <w:t>COD</w:t>
                  </w:r>
                </w:p>
              </w:tc>
              <w:tc>
                <w:tcPr>
                  <w:tcW w:w="536" w:type="dxa"/>
                  <w:vMerge w:val="restart"/>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系数法</w:t>
                  </w:r>
                </w:p>
              </w:tc>
              <w:tc>
                <w:tcPr>
                  <w:tcW w:w="565" w:type="dxa"/>
                  <w:vMerge w:val="restart"/>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2352</w:t>
                  </w:r>
                </w:p>
              </w:tc>
              <w:tc>
                <w:tcPr>
                  <w:tcW w:w="632"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eastAsia="Calibri"/>
                      <w:color w:val="auto"/>
                      <w:spacing w:val="1"/>
                      <w:sz w:val="18"/>
                      <w:szCs w:val="18"/>
                    </w:rPr>
                    <w:t>350</w:t>
                  </w:r>
                </w:p>
              </w:tc>
              <w:tc>
                <w:tcPr>
                  <w:tcW w:w="525"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eastAsia="Calibri"/>
                      <w:color w:val="auto"/>
                      <w:sz w:val="18"/>
                      <w:szCs w:val="18"/>
                    </w:rPr>
                    <w:t>0.</w:t>
                  </w:r>
                  <w:r>
                    <w:rPr>
                      <w:rFonts w:ascii="Times New Roman" w:hAnsi="Times New Roman"/>
                      <w:color w:val="auto"/>
                      <w:sz w:val="18"/>
                      <w:szCs w:val="18"/>
                    </w:rPr>
                    <w:t>823</w:t>
                  </w:r>
                </w:p>
              </w:tc>
              <w:tc>
                <w:tcPr>
                  <w:tcW w:w="432" w:type="dxa"/>
                  <w:vMerge w:val="restart"/>
                  <w:vAlign w:val="center"/>
                </w:tcPr>
                <w:p>
                  <w:pPr>
                    <w:pStyle w:val="46"/>
                    <w:ind w:left="-53" w:leftChars="-25" w:right="-53" w:rightChars="-25"/>
                    <w:jc w:val="center"/>
                    <w:rPr>
                      <w:rFonts w:ascii="Times New Roman" w:hAnsi="Times New Roman"/>
                      <w:color w:val="auto"/>
                      <w:sz w:val="18"/>
                      <w:szCs w:val="18"/>
                    </w:rPr>
                  </w:pPr>
                  <w:r>
                    <w:rPr>
                      <w:rFonts w:hint="eastAsia" w:ascii="Times New Roman" w:hAnsi="Times New Roman"/>
                      <w:color w:val="auto"/>
                      <w:sz w:val="18"/>
                      <w:szCs w:val="18"/>
                    </w:rPr>
                    <w:t>一体化污水处理</w:t>
                  </w:r>
                </w:p>
              </w:tc>
              <w:tc>
                <w:tcPr>
                  <w:tcW w:w="433"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418" w:type="dxa"/>
                  <w:vMerge w:val="restart"/>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559" w:type="dxa"/>
                  <w:vMerge w:val="restart"/>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0</w:t>
                  </w:r>
                </w:p>
              </w:tc>
              <w:tc>
                <w:tcPr>
                  <w:tcW w:w="700"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694"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551" w:type="dxa"/>
                  <w:vMerge w:val="restart"/>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67" w:type="dxa"/>
                  <w:vMerge w:val="continue"/>
                  <w:vAlign w:val="center"/>
                </w:tcPr>
                <w:p>
                  <w:pPr>
                    <w:widowControl/>
                    <w:ind w:left="-53" w:leftChars="-25" w:right="-53" w:rightChars="-25"/>
                    <w:jc w:val="center"/>
                    <w:rPr>
                      <w:color w:val="auto"/>
                      <w:sz w:val="18"/>
                      <w:szCs w:val="18"/>
                    </w:rPr>
                  </w:pPr>
                </w:p>
              </w:tc>
              <w:tc>
                <w:tcPr>
                  <w:tcW w:w="551" w:type="dxa"/>
                  <w:vMerge w:val="continue"/>
                  <w:vAlign w:val="center"/>
                </w:tcPr>
                <w:p>
                  <w:pPr>
                    <w:widowControl/>
                    <w:ind w:left="-53" w:leftChars="-25" w:right="-53" w:rightChars="-25"/>
                    <w:jc w:val="center"/>
                    <w:rPr>
                      <w:color w:val="auto"/>
                      <w:sz w:val="18"/>
                      <w:szCs w:val="18"/>
                    </w:rPr>
                  </w:pPr>
                </w:p>
              </w:tc>
              <w:tc>
                <w:tcPr>
                  <w:tcW w:w="458" w:type="dxa"/>
                  <w:vMerge w:val="continue"/>
                  <w:vAlign w:val="center"/>
                </w:tcPr>
                <w:p>
                  <w:pPr>
                    <w:widowControl/>
                    <w:ind w:left="-53" w:leftChars="-25" w:right="-53" w:rightChars="-25"/>
                    <w:jc w:val="center"/>
                    <w:rPr>
                      <w:color w:val="auto"/>
                      <w:sz w:val="18"/>
                      <w:szCs w:val="18"/>
                    </w:rPr>
                  </w:pPr>
                </w:p>
              </w:tc>
              <w:tc>
                <w:tcPr>
                  <w:tcW w:w="435"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氨氮</w:t>
                  </w:r>
                </w:p>
              </w:tc>
              <w:tc>
                <w:tcPr>
                  <w:tcW w:w="536" w:type="dxa"/>
                  <w:vMerge w:val="continue"/>
                  <w:vAlign w:val="center"/>
                </w:tcPr>
                <w:p>
                  <w:pPr>
                    <w:widowControl/>
                    <w:ind w:left="-53" w:leftChars="-25" w:right="-53" w:rightChars="-25"/>
                    <w:jc w:val="center"/>
                    <w:rPr>
                      <w:color w:val="auto"/>
                      <w:sz w:val="18"/>
                      <w:szCs w:val="18"/>
                    </w:rPr>
                  </w:pPr>
                </w:p>
              </w:tc>
              <w:tc>
                <w:tcPr>
                  <w:tcW w:w="565" w:type="dxa"/>
                  <w:vMerge w:val="continue"/>
                  <w:vAlign w:val="center"/>
                </w:tcPr>
                <w:p>
                  <w:pPr>
                    <w:widowControl/>
                    <w:ind w:left="-53" w:leftChars="-25" w:right="-53" w:rightChars="-25"/>
                    <w:jc w:val="center"/>
                    <w:rPr>
                      <w:color w:val="auto"/>
                      <w:sz w:val="18"/>
                      <w:szCs w:val="18"/>
                    </w:rPr>
                  </w:pPr>
                </w:p>
              </w:tc>
              <w:tc>
                <w:tcPr>
                  <w:tcW w:w="632"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eastAsia="Calibri"/>
                      <w:color w:val="auto"/>
                      <w:spacing w:val="1"/>
                      <w:sz w:val="18"/>
                      <w:szCs w:val="18"/>
                    </w:rPr>
                    <w:t>35</w:t>
                  </w:r>
                </w:p>
              </w:tc>
              <w:tc>
                <w:tcPr>
                  <w:tcW w:w="525"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eastAsia="Calibri"/>
                      <w:color w:val="auto"/>
                      <w:sz w:val="18"/>
                      <w:szCs w:val="18"/>
                    </w:rPr>
                    <w:t>0.0</w:t>
                  </w:r>
                  <w:r>
                    <w:rPr>
                      <w:rFonts w:ascii="Times New Roman" w:hAnsi="Times New Roman"/>
                      <w:color w:val="auto"/>
                      <w:sz w:val="18"/>
                      <w:szCs w:val="18"/>
                    </w:rPr>
                    <w:t>82</w:t>
                  </w:r>
                </w:p>
              </w:tc>
              <w:tc>
                <w:tcPr>
                  <w:tcW w:w="432" w:type="dxa"/>
                  <w:vMerge w:val="continue"/>
                  <w:vAlign w:val="center"/>
                </w:tcPr>
                <w:p>
                  <w:pPr>
                    <w:widowControl/>
                    <w:ind w:left="-53" w:leftChars="-25" w:right="-53" w:rightChars="-25"/>
                    <w:jc w:val="center"/>
                    <w:rPr>
                      <w:color w:val="auto"/>
                      <w:sz w:val="18"/>
                      <w:szCs w:val="18"/>
                    </w:rPr>
                  </w:pPr>
                </w:p>
              </w:tc>
              <w:tc>
                <w:tcPr>
                  <w:tcW w:w="433"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418" w:type="dxa"/>
                  <w:vMerge w:val="continue"/>
                  <w:vAlign w:val="center"/>
                </w:tcPr>
                <w:p>
                  <w:pPr>
                    <w:widowControl/>
                    <w:ind w:left="-53" w:leftChars="-25" w:right="-53" w:rightChars="-25"/>
                    <w:jc w:val="center"/>
                    <w:rPr>
                      <w:color w:val="auto"/>
                      <w:sz w:val="18"/>
                      <w:szCs w:val="18"/>
                    </w:rPr>
                  </w:pPr>
                </w:p>
              </w:tc>
              <w:tc>
                <w:tcPr>
                  <w:tcW w:w="559" w:type="dxa"/>
                  <w:vMerge w:val="continue"/>
                  <w:vAlign w:val="center"/>
                </w:tcPr>
                <w:p>
                  <w:pPr>
                    <w:widowControl/>
                    <w:ind w:left="-53" w:leftChars="-25" w:right="-53" w:rightChars="-25"/>
                    <w:jc w:val="center"/>
                    <w:rPr>
                      <w:color w:val="auto"/>
                      <w:sz w:val="18"/>
                      <w:szCs w:val="18"/>
                    </w:rPr>
                  </w:pPr>
                </w:p>
              </w:tc>
              <w:tc>
                <w:tcPr>
                  <w:tcW w:w="700"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694" w:type="dxa"/>
                  <w:vAlign w:val="center"/>
                </w:tcPr>
                <w:p>
                  <w:pPr>
                    <w:pStyle w:val="46"/>
                    <w:ind w:left="-53" w:leftChars="-25" w:right="-53" w:rightChars="-25"/>
                    <w:jc w:val="center"/>
                    <w:rPr>
                      <w:rFonts w:ascii="Times New Roman" w:hAnsi="Times New Roman"/>
                      <w:color w:val="auto"/>
                      <w:sz w:val="18"/>
                      <w:szCs w:val="18"/>
                    </w:rPr>
                  </w:pPr>
                  <w:r>
                    <w:rPr>
                      <w:rFonts w:ascii="Times New Roman" w:hAnsi="Times New Roman"/>
                      <w:color w:val="auto"/>
                      <w:sz w:val="18"/>
                      <w:szCs w:val="18"/>
                    </w:rPr>
                    <w:t>/</w:t>
                  </w:r>
                </w:p>
              </w:tc>
              <w:tc>
                <w:tcPr>
                  <w:tcW w:w="551" w:type="dxa"/>
                  <w:vMerge w:val="continue"/>
                  <w:vAlign w:val="center"/>
                </w:tcPr>
                <w:p>
                  <w:pPr>
                    <w:widowControl/>
                    <w:ind w:left="-53" w:leftChars="-25" w:right="-53" w:rightChars="-25"/>
                    <w:jc w:val="center"/>
                    <w:rPr>
                      <w:color w:val="auto"/>
                      <w:sz w:val="18"/>
                      <w:szCs w:val="18"/>
                    </w:rPr>
                  </w:pPr>
                </w:p>
              </w:tc>
            </w:tr>
          </w:tbl>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 xml:space="preserve">-7 </w:t>
            </w:r>
            <w:r>
              <w:rPr>
                <w:rFonts w:hint="eastAsia"/>
                <w:b/>
                <w:color w:val="auto"/>
                <w:kern w:val="0"/>
                <w:sz w:val="18"/>
                <w:szCs w:val="18"/>
              </w:rPr>
              <w:t>废水类别、污染物及污染治理设施信息表</w:t>
            </w:r>
          </w:p>
          <w:tbl>
            <w:tblPr>
              <w:tblStyle w:val="14"/>
              <w:tblW w:w="811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798"/>
              <w:gridCol w:w="423"/>
              <w:gridCol w:w="378"/>
              <w:gridCol w:w="808"/>
              <w:gridCol w:w="768"/>
              <w:gridCol w:w="990"/>
              <w:gridCol w:w="811"/>
              <w:gridCol w:w="589"/>
              <w:gridCol w:w="768"/>
              <w:gridCol w:w="6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184" w:type="dxa"/>
                  <w:vMerge w:val="restart"/>
                  <w:vAlign w:val="center"/>
                </w:tcPr>
                <w:p>
                  <w:pPr>
                    <w:adjustRightInd w:val="0"/>
                    <w:snapToGrid w:val="0"/>
                    <w:ind w:left="-92" w:leftChars="-44" w:right="-92" w:rightChars="-44"/>
                    <w:jc w:val="center"/>
                    <w:rPr>
                      <w:bCs/>
                      <w:color w:val="auto"/>
                      <w:spacing w:val="-11"/>
                      <w:kern w:val="0"/>
                      <w:sz w:val="18"/>
                      <w:szCs w:val="18"/>
                    </w:rPr>
                  </w:pPr>
                  <w:r>
                    <w:rPr>
                      <w:bCs/>
                      <w:color w:val="auto"/>
                      <w:spacing w:val="-11"/>
                      <w:kern w:val="0"/>
                      <w:sz w:val="18"/>
                      <w:szCs w:val="18"/>
                    </w:rPr>
                    <w:t>废水类别</w:t>
                  </w:r>
                </w:p>
              </w:tc>
              <w:tc>
                <w:tcPr>
                  <w:tcW w:w="798" w:type="dxa"/>
                  <w:vMerge w:val="restart"/>
                  <w:vAlign w:val="center"/>
                </w:tcPr>
                <w:p>
                  <w:pPr>
                    <w:adjustRightInd w:val="0"/>
                    <w:snapToGrid w:val="0"/>
                    <w:ind w:left="-92" w:leftChars="-44" w:right="-92" w:rightChars="-44"/>
                    <w:jc w:val="center"/>
                    <w:rPr>
                      <w:bCs/>
                      <w:color w:val="auto"/>
                      <w:spacing w:val="-11"/>
                      <w:kern w:val="0"/>
                      <w:sz w:val="18"/>
                      <w:szCs w:val="18"/>
                    </w:rPr>
                  </w:pPr>
                  <w:r>
                    <w:rPr>
                      <w:bCs/>
                      <w:color w:val="auto"/>
                      <w:spacing w:val="-11"/>
                      <w:kern w:val="0"/>
                      <w:sz w:val="18"/>
                      <w:szCs w:val="18"/>
                    </w:rPr>
                    <w:t>污染物</w:t>
                  </w:r>
                </w:p>
                <w:p>
                  <w:pPr>
                    <w:adjustRightInd w:val="0"/>
                    <w:snapToGrid w:val="0"/>
                    <w:ind w:left="-92" w:leftChars="-44" w:right="-92" w:rightChars="-44"/>
                    <w:jc w:val="center"/>
                    <w:rPr>
                      <w:bCs/>
                      <w:color w:val="auto"/>
                      <w:spacing w:val="-11"/>
                      <w:kern w:val="0"/>
                      <w:sz w:val="18"/>
                      <w:szCs w:val="18"/>
                    </w:rPr>
                  </w:pPr>
                  <w:r>
                    <w:rPr>
                      <w:bCs/>
                      <w:color w:val="auto"/>
                      <w:spacing w:val="-11"/>
                      <w:kern w:val="0"/>
                      <w:sz w:val="18"/>
                      <w:szCs w:val="18"/>
                    </w:rPr>
                    <w:t>种类</w:t>
                  </w:r>
                </w:p>
              </w:tc>
              <w:tc>
                <w:tcPr>
                  <w:tcW w:w="423" w:type="dxa"/>
                  <w:vMerge w:val="restart"/>
                  <w:vAlign w:val="center"/>
                </w:tcPr>
                <w:p>
                  <w:pPr>
                    <w:adjustRightInd w:val="0"/>
                    <w:snapToGrid w:val="0"/>
                    <w:ind w:left="-92" w:leftChars="-44" w:right="-92" w:rightChars="-44"/>
                    <w:jc w:val="center"/>
                    <w:rPr>
                      <w:bCs/>
                      <w:color w:val="auto"/>
                      <w:spacing w:val="-11"/>
                      <w:kern w:val="0"/>
                      <w:sz w:val="18"/>
                      <w:szCs w:val="18"/>
                    </w:rPr>
                  </w:pPr>
                  <w:r>
                    <w:rPr>
                      <w:bCs/>
                      <w:color w:val="auto"/>
                      <w:spacing w:val="-11"/>
                      <w:kern w:val="0"/>
                      <w:sz w:val="18"/>
                      <w:szCs w:val="18"/>
                    </w:rPr>
                    <w:t>排放去向</w:t>
                  </w:r>
                </w:p>
              </w:tc>
              <w:tc>
                <w:tcPr>
                  <w:tcW w:w="378" w:type="dxa"/>
                  <w:vMerge w:val="restart"/>
                  <w:vAlign w:val="center"/>
                </w:tcPr>
                <w:p>
                  <w:pPr>
                    <w:adjustRightInd w:val="0"/>
                    <w:snapToGrid w:val="0"/>
                    <w:ind w:left="-92" w:leftChars="-44" w:right="-92" w:rightChars="-44"/>
                    <w:jc w:val="center"/>
                    <w:rPr>
                      <w:bCs/>
                      <w:color w:val="auto"/>
                      <w:spacing w:val="-11"/>
                      <w:kern w:val="0"/>
                      <w:sz w:val="18"/>
                      <w:szCs w:val="18"/>
                    </w:rPr>
                  </w:pPr>
                  <w:r>
                    <w:rPr>
                      <w:bCs/>
                      <w:color w:val="auto"/>
                      <w:spacing w:val="-11"/>
                      <w:kern w:val="0"/>
                      <w:sz w:val="18"/>
                      <w:szCs w:val="18"/>
                    </w:rPr>
                    <w:t>排放规律</w:t>
                  </w:r>
                </w:p>
              </w:tc>
              <w:tc>
                <w:tcPr>
                  <w:tcW w:w="3377" w:type="dxa"/>
                  <w:gridSpan w:val="4"/>
                  <w:vAlign w:val="center"/>
                </w:tcPr>
                <w:p>
                  <w:pPr>
                    <w:adjustRightInd w:val="0"/>
                    <w:snapToGrid w:val="0"/>
                    <w:ind w:left="-92" w:leftChars="-44" w:right="-92" w:rightChars="-44"/>
                    <w:jc w:val="center"/>
                    <w:rPr>
                      <w:bCs/>
                      <w:color w:val="auto"/>
                      <w:spacing w:val="-11"/>
                      <w:kern w:val="0"/>
                      <w:sz w:val="18"/>
                      <w:szCs w:val="18"/>
                    </w:rPr>
                  </w:pPr>
                  <w:r>
                    <w:rPr>
                      <w:bCs/>
                      <w:color w:val="auto"/>
                      <w:spacing w:val="-11"/>
                      <w:kern w:val="0"/>
                      <w:sz w:val="18"/>
                      <w:szCs w:val="18"/>
                    </w:rPr>
                    <w:t>污染治理设施</w:t>
                  </w:r>
                </w:p>
              </w:tc>
              <w:tc>
                <w:tcPr>
                  <w:tcW w:w="589" w:type="dxa"/>
                  <w:vMerge w:val="restart"/>
                  <w:vAlign w:val="center"/>
                </w:tcPr>
                <w:p>
                  <w:pPr>
                    <w:adjustRightInd w:val="0"/>
                    <w:snapToGrid w:val="0"/>
                    <w:ind w:left="-92" w:leftChars="-44" w:right="-92" w:rightChars="-44"/>
                    <w:jc w:val="center"/>
                    <w:rPr>
                      <w:bCs/>
                      <w:color w:val="auto"/>
                      <w:spacing w:val="-11"/>
                      <w:kern w:val="0"/>
                      <w:sz w:val="18"/>
                      <w:szCs w:val="18"/>
                    </w:rPr>
                  </w:pPr>
                  <w:r>
                    <w:rPr>
                      <w:bCs/>
                      <w:color w:val="auto"/>
                      <w:spacing w:val="-11"/>
                      <w:kern w:val="0"/>
                      <w:sz w:val="18"/>
                      <w:szCs w:val="18"/>
                    </w:rPr>
                    <w:t>排放口编号</w:t>
                  </w:r>
                </w:p>
              </w:tc>
              <w:tc>
                <w:tcPr>
                  <w:tcW w:w="768" w:type="dxa"/>
                  <w:vMerge w:val="restart"/>
                  <w:vAlign w:val="center"/>
                </w:tcPr>
                <w:p>
                  <w:pPr>
                    <w:adjustRightInd w:val="0"/>
                    <w:snapToGrid w:val="0"/>
                    <w:ind w:left="-92" w:leftChars="-44" w:right="-92" w:rightChars="-44"/>
                    <w:jc w:val="center"/>
                    <w:rPr>
                      <w:bCs/>
                      <w:color w:val="auto"/>
                      <w:spacing w:val="-11"/>
                      <w:kern w:val="0"/>
                      <w:sz w:val="18"/>
                      <w:szCs w:val="18"/>
                    </w:rPr>
                  </w:pPr>
                  <w:r>
                    <w:rPr>
                      <w:bCs/>
                      <w:color w:val="auto"/>
                      <w:spacing w:val="-11"/>
                      <w:kern w:val="0"/>
                      <w:sz w:val="18"/>
                      <w:szCs w:val="18"/>
                    </w:rPr>
                    <w:t>排放口设置是否符合要求</w:t>
                  </w:r>
                </w:p>
              </w:tc>
              <w:tc>
                <w:tcPr>
                  <w:tcW w:w="601" w:type="dxa"/>
                  <w:vMerge w:val="restart"/>
                  <w:vAlign w:val="center"/>
                </w:tcPr>
                <w:p>
                  <w:pPr>
                    <w:adjustRightInd w:val="0"/>
                    <w:snapToGrid w:val="0"/>
                    <w:ind w:left="-92" w:leftChars="-44" w:right="-92" w:rightChars="-44"/>
                    <w:jc w:val="center"/>
                    <w:rPr>
                      <w:bCs/>
                      <w:color w:val="auto"/>
                      <w:spacing w:val="-11"/>
                      <w:kern w:val="0"/>
                      <w:sz w:val="18"/>
                      <w:szCs w:val="18"/>
                    </w:rPr>
                  </w:pPr>
                  <w:r>
                    <w:rPr>
                      <w:bCs/>
                      <w:color w:val="auto"/>
                      <w:spacing w:val="-11"/>
                      <w:kern w:val="0"/>
                      <w:sz w:val="18"/>
                      <w:szCs w:val="18"/>
                    </w:rPr>
                    <w:t>排放口类型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84" w:type="dxa"/>
                  <w:vMerge w:val="continue"/>
                  <w:vAlign w:val="center"/>
                </w:tcPr>
                <w:p>
                  <w:pPr>
                    <w:adjustRightInd w:val="0"/>
                    <w:snapToGrid w:val="0"/>
                    <w:ind w:left="-92" w:leftChars="-44" w:right="-92" w:rightChars="-44"/>
                    <w:jc w:val="center"/>
                    <w:rPr>
                      <w:bCs/>
                      <w:color w:val="auto"/>
                      <w:spacing w:val="-11"/>
                      <w:kern w:val="0"/>
                      <w:sz w:val="18"/>
                      <w:szCs w:val="18"/>
                    </w:rPr>
                  </w:pPr>
                </w:p>
              </w:tc>
              <w:tc>
                <w:tcPr>
                  <w:tcW w:w="798" w:type="dxa"/>
                  <w:vMerge w:val="continue"/>
                  <w:vAlign w:val="center"/>
                </w:tcPr>
                <w:p>
                  <w:pPr>
                    <w:adjustRightInd w:val="0"/>
                    <w:snapToGrid w:val="0"/>
                    <w:ind w:left="-92" w:leftChars="-44" w:right="-92" w:rightChars="-44"/>
                    <w:jc w:val="center"/>
                    <w:rPr>
                      <w:bCs/>
                      <w:color w:val="auto"/>
                      <w:spacing w:val="-11"/>
                      <w:kern w:val="0"/>
                      <w:sz w:val="18"/>
                      <w:szCs w:val="18"/>
                    </w:rPr>
                  </w:pPr>
                </w:p>
              </w:tc>
              <w:tc>
                <w:tcPr>
                  <w:tcW w:w="423" w:type="dxa"/>
                  <w:vMerge w:val="continue"/>
                  <w:vAlign w:val="center"/>
                </w:tcPr>
                <w:p>
                  <w:pPr>
                    <w:adjustRightInd w:val="0"/>
                    <w:snapToGrid w:val="0"/>
                    <w:ind w:left="-92" w:leftChars="-44" w:right="-92" w:rightChars="-44"/>
                    <w:jc w:val="center"/>
                    <w:rPr>
                      <w:bCs/>
                      <w:color w:val="auto"/>
                      <w:spacing w:val="-11"/>
                      <w:kern w:val="0"/>
                      <w:sz w:val="18"/>
                      <w:szCs w:val="18"/>
                    </w:rPr>
                  </w:pPr>
                </w:p>
              </w:tc>
              <w:tc>
                <w:tcPr>
                  <w:tcW w:w="378" w:type="dxa"/>
                  <w:vMerge w:val="continue"/>
                  <w:vAlign w:val="center"/>
                </w:tcPr>
                <w:p>
                  <w:pPr>
                    <w:adjustRightInd w:val="0"/>
                    <w:snapToGrid w:val="0"/>
                    <w:ind w:left="-92" w:leftChars="-44" w:right="-92" w:rightChars="-44"/>
                    <w:jc w:val="center"/>
                    <w:rPr>
                      <w:bCs/>
                      <w:color w:val="auto"/>
                      <w:spacing w:val="-11"/>
                      <w:kern w:val="0"/>
                      <w:sz w:val="18"/>
                      <w:szCs w:val="18"/>
                    </w:rPr>
                  </w:pPr>
                </w:p>
              </w:tc>
              <w:tc>
                <w:tcPr>
                  <w:tcW w:w="808" w:type="dxa"/>
                  <w:vAlign w:val="center"/>
                </w:tcPr>
                <w:p>
                  <w:pPr>
                    <w:adjustRightInd w:val="0"/>
                    <w:snapToGrid w:val="0"/>
                    <w:ind w:left="-92" w:leftChars="-44" w:right="-92" w:rightChars="-44"/>
                    <w:jc w:val="center"/>
                    <w:rPr>
                      <w:bCs/>
                      <w:color w:val="auto"/>
                      <w:spacing w:val="-11"/>
                      <w:kern w:val="0"/>
                      <w:sz w:val="18"/>
                      <w:szCs w:val="18"/>
                    </w:rPr>
                  </w:pPr>
                  <w:r>
                    <w:rPr>
                      <w:bCs/>
                      <w:color w:val="auto"/>
                      <w:spacing w:val="-11"/>
                      <w:kern w:val="0"/>
                      <w:sz w:val="18"/>
                      <w:szCs w:val="18"/>
                    </w:rPr>
                    <w:t>污染治理设施编号</w:t>
                  </w:r>
                </w:p>
              </w:tc>
              <w:tc>
                <w:tcPr>
                  <w:tcW w:w="768" w:type="dxa"/>
                  <w:vAlign w:val="center"/>
                </w:tcPr>
                <w:p>
                  <w:pPr>
                    <w:adjustRightInd w:val="0"/>
                    <w:snapToGrid w:val="0"/>
                    <w:ind w:left="-92" w:leftChars="-44" w:right="-92" w:rightChars="-44"/>
                    <w:jc w:val="center"/>
                    <w:rPr>
                      <w:bCs/>
                      <w:color w:val="auto"/>
                      <w:spacing w:val="-11"/>
                      <w:kern w:val="0"/>
                      <w:sz w:val="18"/>
                      <w:szCs w:val="18"/>
                    </w:rPr>
                  </w:pPr>
                  <w:r>
                    <w:rPr>
                      <w:bCs/>
                      <w:color w:val="auto"/>
                      <w:spacing w:val="-11"/>
                      <w:kern w:val="0"/>
                      <w:sz w:val="18"/>
                      <w:szCs w:val="18"/>
                    </w:rPr>
                    <w:t>污染治理设施名称</w:t>
                  </w:r>
                </w:p>
              </w:tc>
              <w:tc>
                <w:tcPr>
                  <w:tcW w:w="990" w:type="dxa"/>
                  <w:vAlign w:val="center"/>
                </w:tcPr>
                <w:p>
                  <w:pPr>
                    <w:adjustRightInd w:val="0"/>
                    <w:snapToGrid w:val="0"/>
                    <w:ind w:left="-92" w:leftChars="-44" w:right="-92" w:rightChars="-44"/>
                    <w:jc w:val="center"/>
                    <w:rPr>
                      <w:bCs/>
                      <w:color w:val="auto"/>
                      <w:spacing w:val="-11"/>
                      <w:kern w:val="0"/>
                      <w:sz w:val="18"/>
                      <w:szCs w:val="18"/>
                    </w:rPr>
                  </w:pPr>
                  <w:r>
                    <w:rPr>
                      <w:bCs/>
                      <w:color w:val="auto"/>
                      <w:spacing w:val="-11"/>
                      <w:kern w:val="0"/>
                      <w:sz w:val="18"/>
                      <w:szCs w:val="18"/>
                    </w:rPr>
                    <w:t>污染治理设施工艺</w:t>
                  </w:r>
                </w:p>
              </w:tc>
              <w:tc>
                <w:tcPr>
                  <w:tcW w:w="811" w:type="dxa"/>
                  <w:vAlign w:val="center"/>
                </w:tcPr>
                <w:p>
                  <w:pPr>
                    <w:adjustRightInd w:val="0"/>
                    <w:snapToGrid w:val="0"/>
                    <w:ind w:left="-92" w:leftChars="-44" w:right="-92" w:rightChars="-44"/>
                    <w:jc w:val="center"/>
                    <w:rPr>
                      <w:bCs/>
                      <w:color w:val="auto"/>
                      <w:spacing w:val="-11"/>
                      <w:kern w:val="0"/>
                      <w:sz w:val="18"/>
                      <w:szCs w:val="18"/>
                    </w:rPr>
                  </w:pPr>
                  <w:r>
                    <w:rPr>
                      <w:bCs/>
                      <w:color w:val="auto"/>
                      <w:spacing w:val="-11"/>
                      <w:kern w:val="0"/>
                      <w:sz w:val="18"/>
                      <w:szCs w:val="18"/>
                    </w:rPr>
                    <w:t>是否为可行技术</w:t>
                  </w:r>
                </w:p>
              </w:tc>
              <w:tc>
                <w:tcPr>
                  <w:tcW w:w="589" w:type="dxa"/>
                  <w:vMerge w:val="continue"/>
                  <w:vAlign w:val="center"/>
                </w:tcPr>
                <w:p>
                  <w:pPr>
                    <w:adjustRightInd w:val="0"/>
                    <w:snapToGrid w:val="0"/>
                    <w:ind w:left="-92" w:leftChars="-44" w:right="-92" w:rightChars="-44"/>
                    <w:jc w:val="center"/>
                    <w:rPr>
                      <w:bCs/>
                      <w:color w:val="auto"/>
                      <w:spacing w:val="-11"/>
                      <w:kern w:val="0"/>
                      <w:sz w:val="18"/>
                      <w:szCs w:val="18"/>
                    </w:rPr>
                  </w:pPr>
                </w:p>
              </w:tc>
              <w:tc>
                <w:tcPr>
                  <w:tcW w:w="768" w:type="dxa"/>
                  <w:vMerge w:val="continue"/>
                  <w:vAlign w:val="center"/>
                </w:tcPr>
                <w:p>
                  <w:pPr>
                    <w:adjustRightInd w:val="0"/>
                    <w:snapToGrid w:val="0"/>
                    <w:ind w:left="-92" w:leftChars="-44" w:right="-92" w:rightChars="-44"/>
                    <w:jc w:val="center"/>
                    <w:rPr>
                      <w:bCs/>
                      <w:color w:val="auto"/>
                      <w:spacing w:val="-11"/>
                      <w:kern w:val="0"/>
                      <w:sz w:val="18"/>
                      <w:szCs w:val="18"/>
                    </w:rPr>
                  </w:pPr>
                </w:p>
              </w:tc>
              <w:tc>
                <w:tcPr>
                  <w:tcW w:w="601" w:type="dxa"/>
                  <w:vMerge w:val="continue"/>
                  <w:vAlign w:val="center"/>
                </w:tcPr>
                <w:p>
                  <w:pPr>
                    <w:adjustRightInd w:val="0"/>
                    <w:snapToGrid w:val="0"/>
                    <w:ind w:left="-92" w:leftChars="-44" w:right="-92" w:rightChars="-44"/>
                    <w:jc w:val="center"/>
                    <w:rPr>
                      <w:bCs/>
                      <w:color w:val="auto"/>
                      <w:spacing w:val="-11"/>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184" w:type="dxa"/>
                  <w:vAlign w:val="center"/>
                </w:tcPr>
                <w:p>
                  <w:pPr>
                    <w:widowControl/>
                    <w:ind w:left="-92" w:leftChars="-44" w:right="-92" w:rightChars="-44"/>
                    <w:jc w:val="center"/>
                    <w:rPr>
                      <w:color w:val="auto"/>
                      <w:sz w:val="18"/>
                      <w:szCs w:val="18"/>
                    </w:rPr>
                  </w:pPr>
                  <w:r>
                    <w:rPr>
                      <w:color w:val="auto"/>
                      <w:sz w:val="18"/>
                      <w:szCs w:val="18"/>
                    </w:rPr>
                    <w:t>矿山初期雨水</w:t>
                  </w:r>
                </w:p>
              </w:tc>
              <w:tc>
                <w:tcPr>
                  <w:tcW w:w="79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悬浮物</w:t>
                  </w:r>
                </w:p>
              </w:tc>
              <w:tc>
                <w:tcPr>
                  <w:tcW w:w="423"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w:t>
                  </w:r>
                </w:p>
              </w:tc>
              <w:tc>
                <w:tcPr>
                  <w:tcW w:w="37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w:t>
                  </w:r>
                </w:p>
              </w:tc>
              <w:tc>
                <w:tcPr>
                  <w:tcW w:w="80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TW001</w:t>
                  </w:r>
                </w:p>
              </w:tc>
              <w:tc>
                <w:tcPr>
                  <w:tcW w:w="76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沉淀池</w:t>
                  </w:r>
                </w:p>
              </w:tc>
              <w:tc>
                <w:tcPr>
                  <w:tcW w:w="990"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自然沉淀</w:t>
                  </w:r>
                </w:p>
              </w:tc>
              <w:tc>
                <w:tcPr>
                  <w:tcW w:w="811"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是</w:t>
                  </w:r>
                </w:p>
              </w:tc>
              <w:tc>
                <w:tcPr>
                  <w:tcW w:w="589" w:type="dxa"/>
                  <w:vAlign w:val="center"/>
                </w:tcPr>
                <w:p>
                  <w:pPr>
                    <w:pStyle w:val="46"/>
                    <w:ind w:left="-92" w:leftChars="-44" w:right="-92" w:rightChars="-44"/>
                    <w:jc w:val="center"/>
                    <w:rPr>
                      <w:rFonts w:ascii="Times New Roman" w:hAnsi="Times New Roman" w:cs="Times New Roman"/>
                      <w:color w:val="auto"/>
                      <w:spacing w:val="-11"/>
                      <w:sz w:val="18"/>
                      <w:szCs w:val="18"/>
                    </w:rPr>
                  </w:pPr>
                  <w:r>
                    <w:rPr>
                      <w:rFonts w:ascii="Times New Roman" w:hAnsi="Times New Roman" w:cs="Times New Roman"/>
                      <w:color w:val="auto"/>
                      <w:sz w:val="18"/>
                      <w:szCs w:val="18"/>
                    </w:rPr>
                    <w:t>/</w:t>
                  </w:r>
                </w:p>
              </w:tc>
              <w:tc>
                <w:tcPr>
                  <w:tcW w:w="768" w:type="dxa"/>
                  <w:vAlign w:val="center"/>
                </w:tcPr>
                <w:p>
                  <w:pPr>
                    <w:pStyle w:val="46"/>
                    <w:ind w:left="-92" w:leftChars="-44" w:right="-92" w:rightChars="-44"/>
                    <w:jc w:val="center"/>
                    <w:rPr>
                      <w:rFonts w:ascii="Times New Roman" w:hAnsi="Times New Roman" w:cs="Times New Roman"/>
                      <w:color w:val="auto"/>
                      <w:spacing w:val="-11"/>
                      <w:sz w:val="18"/>
                      <w:szCs w:val="18"/>
                    </w:rPr>
                  </w:pPr>
                  <w:r>
                    <w:rPr>
                      <w:rFonts w:ascii="Times New Roman" w:hAnsi="Times New Roman" w:cs="Times New Roman"/>
                      <w:color w:val="auto"/>
                      <w:sz w:val="18"/>
                      <w:szCs w:val="18"/>
                    </w:rPr>
                    <w:t>/</w:t>
                  </w:r>
                </w:p>
              </w:tc>
              <w:tc>
                <w:tcPr>
                  <w:tcW w:w="601" w:type="dxa"/>
                  <w:vAlign w:val="center"/>
                </w:tcPr>
                <w:p>
                  <w:pPr>
                    <w:pStyle w:val="46"/>
                    <w:ind w:left="-92" w:leftChars="-44" w:right="-92" w:rightChars="-44"/>
                    <w:jc w:val="center"/>
                    <w:rPr>
                      <w:rFonts w:ascii="Times New Roman" w:hAnsi="Times New Roman" w:cs="Times New Roman"/>
                      <w:color w:val="auto"/>
                      <w:spacing w:val="-11"/>
                      <w:sz w:val="18"/>
                      <w:szCs w:val="18"/>
                    </w:rPr>
                  </w:pPr>
                  <w:r>
                    <w:rPr>
                      <w:rFonts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84" w:type="dxa"/>
                  <w:vAlign w:val="center"/>
                </w:tcPr>
                <w:p>
                  <w:pPr>
                    <w:widowControl/>
                    <w:ind w:left="-92" w:leftChars="-44" w:right="-92" w:rightChars="-44"/>
                    <w:jc w:val="center"/>
                    <w:rPr>
                      <w:color w:val="auto"/>
                      <w:sz w:val="18"/>
                      <w:szCs w:val="18"/>
                    </w:rPr>
                  </w:pPr>
                  <w:r>
                    <w:rPr>
                      <w:color w:val="auto"/>
                      <w:sz w:val="18"/>
                      <w:szCs w:val="18"/>
                    </w:rPr>
                    <w:t>矿山车辆冲洗废水</w:t>
                  </w:r>
                </w:p>
              </w:tc>
              <w:tc>
                <w:tcPr>
                  <w:tcW w:w="79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悬浮物</w:t>
                  </w:r>
                </w:p>
              </w:tc>
              <w:tc>
                <w:tcPr>
                  <w:tcW w:w="423"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w:t>
                  </w:r>
                </w:p>
              </w:tc>
              <w:tc>
                <w:tcPr>
                  <w:tcW w:w="37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w:t>
                  </w:r>
                </w:p>
              </w:tc>
              <w:tc>
                <w:tcPr>
                  <w:tcW w:w="80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TW002</w:t>
                  </w:r>
                </w:p>
              </w:tc>
              <w:tc>
                <w:tcPr>
                  <w:tcW w:w="76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沉淀池</w:t>
                  </w:r>
                </w:p>
              </w:tc>
              <w:tc>
                <w:tcPr>
                  <w:tcW w:w="990"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自然沉淀</w:t>
                  </w:r>
                </w:p>
              </w:tc>
              <w:tc>
                <w:tcPr>
                  <w:tcW w:w="811"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是</w:t>
                  </w:r>
                </w:p>
              </w:tc>
              <w:tc>
                <w:tcPr>
                  <w:tcW w:w="589" w:type="dxa"/>
                  <w:vAlign w:val="center"/>
                </w:tcPr>
                <w:p>
                  <w:pPr>
                    <w:pStyle w:val="46"/>
                    <w:ind w:left="-92" w:leftChars="-44" w:right="-92" w:rightChars="-44"/>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768" w:type="dxa"/>
                  <w:vAlign w:val="center"/>
                </w:tcPr>
                <w:p>
                  <w:pPr>
                    <w:pStyle w:val="46"/>
                    <w:ind w:left="-92" w:leftChars="-44" w:right="-92" w:rightChars="-44"/>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601" w:type="dxa"/>
                  <w:vAlign w:val="center"/>
                </w:tcPr>
                <w:p>
                  <w:pPr>
                    <w:pStyle w:val="46"/>
                    <w:ind w:left="-92" w:leftChars="-44" w:right="-92" w:rightChars="-44"/>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184" w:type="dxa"/>
                  <w:vAlign w:val="center"/>
                </w:tcPr>
                <w:p>
                  <w:pPr>
                    <w:pStyle w:val="46"/>
                    <w:ind w:left="-92" w:leftChars="-44" w:right="-92" w:rightChars="-44"/>
                    <w:jc w:val="center"/>
                    <w:rPr>
                      <w:rFonts w:ascii="Times New Roman" w:hAnsi="Times New Roman" w:cs="Times New Roman"/>
                      <w:color w:val="auto"/>
                      <w:sz w:val="18"/>
                      <w:szCs w:val="18"/>
                    </w:rPr>
                  </w:pPr>
                  <w:r>
                    <w:rPr>
                      <w:rFonts w:ascii="Times New Roman" w:hAnsi="Times New Roman" w:cs="Times New Roman"/>
                      <w:color w:val="auto"/>
                      <w:sz w:val="18"/>
                      <w:szCs w:val="18"/>
                    </w:rPr>
                    <w:t>生产废水</w:t>
                  </w:r>
                </w:p>
              </w:tc>
              <w:tc>
                <w:tcPr>
                  <w:tcW w:w="79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悬浮物</w:t>
                  </w:r>
                </w:p>
              </w:tc>
              <w:tc>
                <w:tcPr>
                  <w:tcW w:w="423"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w:t>
                  </w:r>
                </w:p>
              </w:tc>
              <w:tc>
                <w:tcPr>
                  <w:tcW w:w="37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w:t>
                  </w:r>
                </w:p>
              </w:tc>
              <w:tc>
                <w:tcPr>
                  <w:tcW w:w="80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TW003</w:t>
                  </w:r>
                </w:p>
              </w:tc>
              <w:tc>
                <w:tcPr>
                  <w:tcW w:w="76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沉淀罐</w:t>
                  </w:r>
                </w:p>
              </w:tc>
              <w:tc>
                <w:tcPr>
                  <w:tcW w:w="990"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絮凝沉淀罐</w:t>
                  </w:r>
                </w:p>
              </w:tc>
              <w:tc>
                <w:tcPr>
                  <w:tcW w:w="811"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是</w:t>
                  </w:r>
                </w:p>
              </w:tc>
              <w:tc>
                <w:tcPr>
                  <w:tcW w:w="589" w:type="dxa"/>
                  <w:vAlign w:val="center"/>
                </w:tcPr>
                <w:p>
                  <w:pPr>
                    <w:pStyle w:val="46"/>
                    <w:ind w:left="-92" w:leftChars="-44" w:right="-92" w:rightChars="-44"/>
                    <w:jc w:val="center"/>
                    <w:rPr>
                      <w:rFonts w:ascii="Times New Roman" w:hAnsi="Times New Roman" w:cs="Times New Roman"/>
                      <w:color w:val="auto"/>
                      <w:spacing w:val="-11"/>
                      <w:sz w:val="18"/>
                      <w:szCs w:val="18"/>
                    </w:rPr>
                  </w:pPr>
                  <w:r>
                    <w:rPr>
                      <w:rFonts w:ascii="Times New Roman" w:hAnsi="Times New Roman" w:cs="Times New Roman"/>
                      <w:color w:val="auto"/>
                      <w:sz w:val="18"/>
                      <w:szCs w:val="18"/>
                    </w:rPr>
                    <w:t>/</w:t>
                  </w:r>
                </w:p>
              </w:tc>
              <w:tc>
                <w:tcPr>
                  <w:tcW w:w="768" w:type="dxa"/>
                  <w:vAlign w:val="center"/>
                </w:tcPr>
                <w:p>
                  <w:pPr>
                    <w:pStyle w:val="46"/>
                    <w:ind w:left="-92" w:leftChars="-44" w:right="-92" w:rightChars="-44"/>
                    <w:jc w:val="center"/>
                    <w:rPr>
                      <w:rFonts w:ascii="Times New Roman" w:hAnsi="Times New Roman" w:cs="Times New Roman"/>
                      <w:color w:val="auto"/>
                      <w:spacing w:val="-11"/>
                      <w:sz w:val="18"/>
                      <w:szCs w:val="18"/>
                    </w:rPr>
                  </w:pPr>
                  <w:r>
                    <w:rPr>
                      <w:rFonts w:ascii="Times New Roman" w:hAnsi="Times New Roman" w:cs="Times New Roman"/>
                      <w:color w:val="auto"/>
                      <w:sz w:val="18"/>
                      <w:szCs w:val="18"/>
                    </w:rPr>
                    <w:t>/</w:t>
                  </w:r>
                </w:p>
              </w:tc>
              <w:tc>
                <w:tcPr>
                  <w:tcW w:w="601" w:type="dxa"/>
                  <w:vAlign w:val="center"/>
                </w:tcPr>
                <w:p>
                  <w:pPr>
                    <w:pStyle w:val="46"/>
                    <w:ind w:left="-92" w:leftChars="-44" w:right="-92" w:rightChars="-44"/>
                    <w:jc w:val="center"/>
                    <w:rPr>
                      <w:rFonts w:ascii="Times New Roman" w:hAnsi="Times New Roman" w:cs="Times New Roman"/>
                      <w:color w:val="auto"/>
                      <w:spacing w:val="-11"/>
                      <w:sz w:val="18"/>
                      <w:szCs w:val="18"/>
                    </w:rPr>
                  </w:pPr>
                  <w:r>
                    <w:rPr>
                      <w:rFonts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84" w:type="dxa"/>
                  <w:vAlign w:val="center"/>
                </w:tcPr>
                <w:p>
                  <w:pPr>
                    <w:pStyle w:val="46"/>
                    <w:ind w:left="-92" w:leftChars="-44" w:right="-92" w:rightChars="-44"/>
                    <w:jc w:val="center"/>
                    <w:rPr>
                      <w:rFonts w:ascii="Times New Roman" w:hAnsi="Times New Roman" w:cs="Times New Roman"/>
                      <w:color w:val="auto"/>
                      <w:sz w:val="18"/>
                      <w:szCs w:val="18"/>
                    </w:rPr>
                  </w:pPr>
                  <w:r>
                    <w:rPr>
                      <w:rFonts w:ascii="Times New Roman" w:hAnsi="Times New Roman" w:cs="Times New Roman"/>
                      <w:color w:val="auto"/>
                      <w:sz w:val="18"/>
                      <w:szCs w:val="18"/>
                    </w:rPr>
                    <w:t>加工区车辆冲洗废水</w:t>
                  </w:r>
                </w:p>
              </w:tc>
              <w:tc>
                <w:tcPr>
                  <w:tcW w:w="79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悬浮物</w:t>
                  </w:r>
                </w:p>
              </w:tc>
              <w:tc>
                <w:tcPr>
                  <w:tcW w:w="423"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w:t>
                  </w:r>
                </w:p>
              </w:tc>
              <w:tc>
                <w:tcPr>
                  <w:tcW w:w="37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w:t>
                  </w:r>
                </w:p>
              </w:tc>
              <w:tc>
                <w:tcPr>
                  <w:tcW w:w="80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TW004</w:t>
                  </w:r>
                </w:p>
              </w:tc>
              <w:tc>
                <w:tcPr>
                  <w:tcW w:w="76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沉淀池</w:t>
                  </w:r>
                </w:p>
              </w:tc>
              <w:tc>
                <w:tcPr>
                  <w:tcW w:w="990"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自然沉淀</w:t>
                  </w:r>
                </w:p>
              </w:tc>
              <w:tc>
                <w:tcPr>
                  <w:tcW w:w="811"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是</w:t>
                  </w:r>
                </w:p>
              </w:tc>
              <w:tc>
                <w:tcPr>
                  <w:tcW w:w="589" w:type="dxa"/>
                  <w:vAlign w:val="center"/>
                </w:tcPr>
                <w:p>
                  <w:pPr>
                    <w:pStyle w:val="46"/>
                    <w:ind w:left="-92" w:leftChars="-44" w:right="-92" w:rightChars="-44"/>
                    <w:jc w:val="center"/>
                    <w:rPr>
                      <w:rFonts w:ascii="Times New Roman" w:hAnsi="Times New Roman" w:cs="Times New Roman"/>
                      <w:color w:val="auto"/>
                      <w:spacing w:val="-11"/>
                      <w:sz w:val="18"/>
                      <w:szCs w:val="18"/>
                    </w:rPr>
                  </w:pPr>
                  <w:r>
                    <w:rPr>
                      <w:rFonts w:ascii="Times New Roman" w:hAnsi="Times New Roman" w:cs="Times New Roman"/>
                      <w:color w:val="auto"/>
                      <w:sz w:val="18"/>
                      <w:szCs w:val="18"/>
                    </w:rPr>
                    <w:t>/</w:t>
                  </w:r>
                </w:p>
              </w:tc>
              <w:tc>
                <w:tcPr>
                  <w:tcW w:w="768" w:type="dxa"/>
                  <w:vAlign w:val="center"/>
                </w:tcPr>
                <w:p>
                  <w:pPr>
                    <w:pStyle w:val="46"/>
                    <w:ind w:left="-92" w:leftChars="-44" w:right="-92" w:rightChars="-44"/>
                    <w:jc w:val="center"/>
                    <w:rPr>
                      <w:rFonts w:ascii="Times New Roman" w:hAnsi="Times New Roman" w:cs="Times New Roman"/>
                      <w:color w:val="auto"/>
                      <w:spacing w:val="-11"/>
                      <w:sz w:val="18"/>
                      <w:szCs w:val="18"/>
                    </w:rPr>
                  </w:pPr>
                  <w:r>
                    <w:rPr>
                      <w:rFonts w:ascii="Times New Roman" w:hAnsi="Times New Roman" w:cs="Times New Roman"/>
                      <w:color w:val="auto"/>
                      <w:sz w:val="18"/>
                      <w:szCs w:val="18"/>
                    </w:rPr>
                    <w:t>/</w:t>
                  </w:r>
                </w:p>
              </w:tc>
              <w:tc>
                <w:tcPr>
                  <w:tcW w:w="601" w:type="dxa"/>
                  <w:vAlign w:val="center"/>
                </w:tcPr>
                <w:p>
                  <w:pPr>
                    <w:pStyle w:val="46"/>
                    <w:ind w:left="-92" w:leftChars="-44" w:right="-92" w:rightChars="-44"/>
                    <w:jc w:val="center"/>
                    <w:rPr>
                      <w:rFonts w:ascii="Times New Roman" w:hAnsi="Times New Roman" w:cs="Times New Roman"/>
                      <w:color w:val="auto"/>
                      <w:spacing w:val="-11"/>
                      <w:sz w:val="18"/>
                      <w:szCs w:val="18"/>
                    </w:rPr>
                  </w:pPr>
                  <w:r>
                    <w:rPr>
                      <w:rFonts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184" w:type="dxa"/>
                  <w:vAlign w:val="center"/>
                </w:tcPr>
                <w:p>
                  <w:pPr>
                    <w:pStyle w:val="46"/>
                    <w:ind w:left="-92" w:leftChars="-44" w:right="-92" w:rightChars="-44"/>
                    <w:jc w:val="center"/>
                    <w:rPr>
                      <w:rFonts w:ascii="Times New Roman" w:hAnsi="Times New Roman" w:cs="Times New Roman"/>
                      <w:color w:val="auto"/>
                      <w:sz w:val="18"/>
                      <w:szCs w:val="18"/>
                    </w:rPr>
                  </w:pPr>
                  <w:r>
                    <w:rPr>
                      <w:rFonts w:ascii="Times New Roman" w:hAnsi="Times New Roman" w:cs="Times New Roman"/>
                      <w:color w:val="auto"/>
                      <w:sz w:val="18"/>
                      <w:szCs w:val="18"/>
                    </w:rPr>
                    <w:t>生活污水</w:t>
                  </w:r>
                </w:p>
              </w:tc>
              <w:tc>
                <w:tcPr>
                  <w:tcW w:w="79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氨氮、COD</w:t>
                  </w:r>
                </w:p>
              </w:tc>
              <w:tc>
                <w:tcPr>
                  <w:tcW w:w="423"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w:t>
                  </w:r>
                </w:p>
              </w:tc>
              <w:tc>
                <w:tcPr>
                  <w:tcW w:w="37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w:t>
                  </w:r>
                </w:p>
              </w:tc>
              <w:tc>
                <w:tcPr>
                  <w:tcW w:w="808"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TW003</w:t>
                  </w:r>
                </w:p>
              </w:tc>
              <w:tc>
                <w:tcPr>
                  <w:tcW w:w="768" w:type="dxa"/>
                  <w:vAlign w:val="center"/>
                </w:tcPr>
                <w:p>
                  <w:pPr>
                    <w:adjustRightInd w:val="0"/>
                    <w:snapToGrid w:val="0"/>
                    <w:ind w:left="-92" w:leftChars="-44" w:right="-92" w:rightChars="-44"/>
                    <w:jc w:val="center"/>
                    <w:rPr>
                      <w:color w:val="auto"/>
                      <w:spacing w:val="-11"/>
                      <w:kern w:val="0"/>
                      <w:sz w:val="18"/>
                      <w:szCs w:val="18"/>
                    </w:rPr>
                  </w:pPr>
                  <w:r>
                    <w:rPr>
                      <w:rFonts w:hint="eastAsia"/>
                      <w:color w:val="auto"/>
                      <w:spacing w:val="-11"/>
                      <w:kern w:val="0"/>
                      <w:sz w:val="18"/>
                      <w:szCs w:val="18"/>
                    </w:rPr>
                    <w:t>接触氧化</w:t>
                  </w:r>
                </w:p>
              </w:tc>
              <w:tc>
                <w:tcPr>
                  <w:tcW w:w="990" w:type="dxa"/>
                  <w:vAlign w:val="center"/>
                </w:tcPr>
                <w:p>
                  <w:pPr>
                    <w:adjustRightInd w:val="0"/>
                    <w:snapToGrid w:val="0"/>
                    <w:ind w:left="-92" w:leftChars="-44" w:right="-92" w:rightChars="-44"/>
                    <w:jc w:val="center"/>
                    <w:rPr>
                      <w:color w:val="auto"/>
                      <w:spacing w:val="-11"/>
                      <w:kern w:val="0"/>
                      <w:sz w:val="18"/>
                      <w:szCs w:val="18"/>
                    </w:rPr>
                  </w:pPr>
                  <w:r>
                    <w:rPr>
                      <w:rFonts w:hint="eastAsia"/>
                      <w:color w:val="auto"/>
                      <w:spacing w:val="-11"/>
                      <w:kern w:val="0"/>
                      <w:sz w:val="18"/>
                      <w:szCs w:val="18"/>
                    </w:rPr>
                    <w:t>一体化污水处理设备</w:t>
                  </w:r>
                </w:p>
              </w:tc>
              <w:tc>
                <w:tcPr>
                  <w:tcW w:w="811" w:type="dxa"/>
                  <w:vAlign w:val="center"/>
                </w:tcPr>
                <w:p>
                  <w:pPr>
                    <w:adjustRightInd w:val="0"/>
                    <w:snapToGrid w:val="0"/>
                    <w:ind w:left="-92" w:leftChars="-44" w:right="-92" w:rightChars="-44"/>
                    <w:jc w:val="center"/>
                    <w:rPr>
                      <w:color w:val="auto"/>
                      <w:spacing w:val="-11"/>
                      <w:kern w:val="0"/>
                      <w:sz w:val="18"/>
                      <w:szCs w:val="18"/>
                    </w:rPr>
                  </w:pPr>
                  <w:r>
                    <w:rPr>
                      <w:color w:val="auto"/>
                      <w:spacing w:val="-11"/>
                      <w:kern w:val="0"/>
                      <w:sz w:val="18"/>
                      <w:szCs w:val="18"/>
                    </w:rPr>
                    <w:t>是</w:t>
                  </w:r>
                </w:p>
              </w:tc>
              <w:tc>
                <w:tcPr>
                  <w:tcW w:w="589" w:type="dxa"/>
                  <w:vAlign w:val="center"/>
                </w:tcPr>
                <w:p>
                  <w:pPr>
                    <w:pStyle w:val="46"/>
                    <w:ind w:left="-92" w:leftChars="-44" w:right="-92" w:rightChars="-44"/>
                    <w:jc w:val="center"/>
                    <w:rPr>
                      <w:rFonts w:ascii="Times New Roman" w:hAnsi="Times New Roman" w:cs="Times New Roman"/>
                      <w:color w:val="auto"/>
                      <w:spacing w:val="-11"/>
                      <w:sz w:val="18"/>
                      <w:szCs w:val="18"/>
                    </w:rPr>
                  </w:pPr>
                  <w:r>
                    <w:rPr>
                      <w:rFonts w:ascii="Times New Roman" w:hAnsi="Times New Roman" w:cs="Times New Roman"/>
                      <w:color w:val="auto"/>
                      <w:sz w:val="18"/>
                      <w:szCs w:val="18"/>
                    </w:rPr>
                    <w:t>/</w:t>
                  </w:r>
                </w:p>
              </w:tc>
              <w:tc>
                <w:tcPr>
                  <w:tcW w:w="768" w:type="dxa"/>
                  <w:vAlign w:val="center"/>
                </w:tcPr>
                <w:p>
                  <w:pPr>
                    <w:pStyle w:val="46"/>
                    <w:ind w:left="-92" w:leftChars="-44" w:right="-92" w:rightChars="-44"/>
                    <w:jc w:val="center"/>
                    <w:rPr>
                      <w:rFonts w:ascii="Times New Roman" w:hAnsi="Times New Roman" w:cs="Times New Roman"/>
                      <w:color w:val="auto"/>
                      <w:spacing w:val="-11"/>
                      <w:sz w:val="18"/>
                      <w:szCs w:val="18"/>
                    </w:rPr>
                  </w:pPr>
                  <w:r>
                    <w:rPr>
                      <w:rFonts w:ascii="Times New Roman" w:hAnsi="Times New Roman" w:cs="Times New Roman"/>
                      <w:color w:val="auto"/>
                      <w:sz w:val="18"/>
                      <w:szCs w:val="18"/>
                    </w:rPr>
                    <w:t>/</w:t>
                  </w:r>
                </w:p>
              </w:tc>
              <w:tc>
                <w:tcPr>
                  <w:tcW w:w="601" w:type="dxa"/>
                  <w:vAlign w:val="center"/>
                </w:tcPr>
                <w:p>
                  <w:pPr>
                    <w:pStyle w:val="46"/>
                    <w:ind w:left="-92" w:leftChars="-44" w:right="-92" w:rightChars="-44"/>
                    <w:jc w:val="center"/>
                    <w:rPr>
                      <w:rFonts w:ascii="Times New Roman" w:hAnsi="Times New Roman" w:cs="Times New Roman"/>
                      <w:color w:val="auto"/>
                      <w:spacing w:val="-11"/>
                      <w:sz w:val="18"/>
                      <w:szCs w:val="18"/>
                    </w:rPr>
                  </w:pPr>
                  <w:r>
                    <w:rPr>
                      <w:rFonts w:ascii="Times New Roman" w:hAnsi="Times New Roman" w:cs="Times New Roman"/>
                      <w:color w:val="auto"/>
                      <w:sz w:val="18"/>
                      <w:szCs w:val="18"/>
                    </w:rPr>
                    <w:t>/</w:t>
                  </w:r>
                </w:p>
              </w:tc>
            </w:tr>
          </w:tbl>
          <w:p>
            <w:pPr>
              <w:adjustRightInd w:val="0"/>
              <w:snapToGrid w:val="0"/>
              <w:spacing w:line="360" w:lineRule="auto"/>
              <w:ind w:firstLine="420"/>
              <w:rPr>
                <w:color w:val="auto"/>
                <w:kern w:val="0"/>
                <w:szCs w:val="21"/>
              </w:rPr>
            </w:pPr>
            <w:r>
              <w:rPr>
                <w:rFonts w:hint="eastAsia"/>
                <w:color w:val="auto"/>
                <w:kern w:val="0"/>
                <w:szCs w:val="21"/>
              </w:rPr>
              <w:t>2、生产废水循环使用可行性分析</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①</w:t>
            </w:r>
            <w:r>
              <w:rPr>
                <w:color w:val="auto"/>
                <w:kern w:val="0"/>
                <w:szCs w:val="21"/>
              </w:rPr>
              <w:t>废水处理工艺论证</w:t>
            </w:r>
          </w:p>
          <w:p>
            <w:pPr>
              <w:adjustRightInd w:val="0"/>
              <w:snapToGrid w:val="0"/>
              <w:spacing w:line="360" w:lineRule="auto"/>
              <w:ind w:firstLine="420"/>
              <w:rPr>
                <w:color w:val="auto"/>
                <w:kern w:val="0"/>
                <w:szCs w:val="21"/>
              </w:rPr>
            </w:pPr>
            <w:r>
              <w:rPr>
                <w:color w:val="auto"/>
                <w:kern w:val="0"/>
                <w:szCs w:val="21"/>
              </w:rPr>
              <w:t>由于废水中主要污染物为SS，浓度较高，水质相近；且本项目用水主要为防尘、砂石洗选等环节，对水质要求不高，项目废水经沉淀后能够满足回用的要求，回用价值高。因此，设计选用了“絮凝沉淀”工艺处理，然后全部回用到生产过程中。</w:t>
            </w:r>
          </w:p>
          <w:p>
            <w:pPr>
              <w:adjustRightInd w:val="0"/>
              <w:snapToGrid w:val="0"/>
              <w:spacing w:line="360" w:lineRule="auto"/>
              <w:ind w:firstLine="420"/>
              <w:rPr>
                <w:color w:val="auto"/>
                <w:kern w:val="0"/>
                <w:szCs w:val="21"/>
              </w:rPr>
            </w:pPr>
            <w:r>
              <w:rPr>
                <w:color w:val="auto"/>
                <w:kern w:val="0"/>
                <w:szCs w:val="21"/>
              </w:rPr>
              <w:t>废水经收集沟渠汇入到收集池，由水泵不断将废水提升至沉淀罐内处理，同时向沉淀罐内计量加入沉淀剂。废水经过沉淀罐后排入清水罐内；清水罐内配备循环水泵，生产期间不停地将清水池内的水抽至用水工序回用。由于项目废水中的主要污染物为泥沙，比重较大，沉淀速率较快，废水严格按照该工艺处理，按照同类项目的生产的实际经验，保守估计，废水处理系统对泥沙的去除率可达到85%，该水质能够满足项目生产要求。</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②</w:t>
            </w:r>
            <w:r>
              <w:rPr>
                <w:color w:val="auto"/>
                <w:kern w:val="0"/>
                <w:szCs w:val="21"/>
              </w:rPr>
              <w:t>废水闭路循环的可靠性</w:t>
            </w:r>
          </w:p>
          <w:p>
            <w:pPr>
              <w:adjustRightInd w:val="0"/>
              <w:snapToGrid w:val="0"/>
              <w:spacing w:line="360" w:lineRule="auto"/>
              <w:ind w:firstLine="420"/>
              <w:rPr>
                <w:color w:val="auto"/>
                <w:kern w:val="0"/>
                <w:szCs w:val="21"/>
              </w:rPr>
            </w:pPr>
            <w:r>
              <w:rPr>
                <w:color w:val="auto"/>
                <w:kern w:val="0"/>
                <w:szCs w:val="21"/>
              </w:rPr>
              <w:t>水量可行性：项目</w:t>
            </w:r>
            <w:r>
              <w:rPr>
                <w:rFonts w:hint="eastAsia"/>
                <w:color w:val="auto"/>
                <w:kern w:val="0"/>
                <w:szCs w:val="21"/>
              </w:rPr>
              <w:t>矿山开采区</w:t>
            </w:r>
            <w:r>
              <w:rPr>
                <w:color w:val="auto"/>
                <w:kern w:val="0"/>
                <w:szCs w:val="21"/>
              </w:rPr>
              <w:t>每天生产用水量为</w:t>
            </w:r>
            <w:r>
              <w:rPr>
                <w:rFonts w:hint="eastAsia"/>
                <w:color w:val="auto"/>
                <w:kern w:val="0"/>
                <w:szCs w:val="21"/>
              </w:rPr>
              <w:t>1</w:t>
            </w:r>
            <w:r>
              <w:rPr>
                <w:color w:val="auto"/>
                <w:kern w:val="0"/>
                <w:szCs w:val="21"/>
              </w:rPr>
              <w:t>03.8 m</w:t>
            </w:r>
            <w:r>
              <w:rPr>
                <w:color w:val="auto"/>
                <w:kern w:val="0"/>
                <w:szCs w:val="21"/>
                <w:vertAlign w:val="superscript"/>
              </w:rPr>
              <w:t>3</w:t>
            </w:r>
            <w:r>
              <w:rPr>
                <w:color w:val="auto"/>
                <w:kern w:val="0"/>
                <w:szCs w:val="21"/>
              </w:rPr>
              <w:t>/</w:t>
            </w:r>
            <w:r>
              <w:rPr>
                <w:rFonts w:hint="eastAsia"/>
                <w:color w:val="auto"/>
                <w:kern w:val="0"/>
                <w:szCs w:val="21"/>
              </w:rPr>
              <w:t>d，其中补充用水量为9</w:t>
            </w:r>
            <w:r>
              <w:rPr>
                <w:color w:val="auto"/>
                <w:kern w:val="0"/>
                <w:szCs w:val="21"/>
              </w:rPr>
              <w:t>2.28</w:t>
            </w:r>
            <w:r>
              <w:rPr>
                <w:rFonts w:hint="eastAsia"/>
                <w:color w:val="auto"/>
                <w:kern w:val="0"/>
                <w:szCs w:val="21"/>
              </w:rPr>
              <w:t>m³/d，1</w:t>
            </w:r>
            <w:r>
              <w:rPr>
                <w:color w:val="auto"/>
                <w:kern w:val="0"/>
                <w:szCs w:val="21"/>
              </w:rPr>
              <w:t>1.52</w:t>
            </w:r>
            <w:r>
              <w:rPr>
                <w:rFonts w:hint="eastAsia"/>
                <w:color w:val="auto"/>
                <w:kern w:val="0"/>
                <w:szCs w:val="21"/>
              </w:rPr>
              <w:t>m³/d为废水经沉淀后回用于轮胎冲洗用水，</w:t>
            </w:r>
            <w:r>
              <w:rPr>
                <w:color w:val="auto"/>
                <w:kern w:val="0"/>
                <w:szCs w:val="21"/>
              </w:rPr>
              <w:t>小于用水量，产生的废水处理后可全部进入</w:t>
            </w:r>
            <w:r>
              <w:rPr>
                <w:rFonts w:hint="eastAsia"/>
                <w:color w:val="auto"/>
                <w:kern w:val="0"/>
                <w:szCs w:val="21"/>
              </w:rPr>
              <w:t>沉淀池</w:t>
            </w:r>
            <w:r>
              <w:rPr>
                <w:color w:val="auto"/>
                <w:kern w:val="0"/>
                <w:szCs w:val="21"/>
              </w:rPr>
              <w:t>处理</w:t>
            </w:r>
            <w:r>
              <w:rPr>
                <w:rFonts w:hint="eastAsia"/>
                <w:color w:val="auto"/>
                <w:kern w:val="0"/>
                <w:szCs w:val="21"/>
              </w:rPr>
              <w:t>后回用；项目加工区</w:t>
            </w:r>
            <w:r>
              <w:rPr>
                <w:color w:val="auto"/>
                <w:kern w:val="0"/>
                <w:szCs w:val="21"/>
              </w:rPr>
              <w:t>每天生产用水量为8343.09m</w:t>
            </w:r>
            <w:r>
              <w:rPr>
                <w:color w:val="auto"/>
                <w:kern w:val="0"/>
                <w:szCs w:val="21"/>
                <w:vertAlign w:val="superscript"/>
              </w:rPr>
              <w:t>3</w:t>
            </w:r>
            <w:r>
              <w:rPr>
                <w:color w:val="auto"/>
                <w:kern w:val="0"/>
                <w:szCs w:val="21"/>
              </w:rPr>
              <w:t>/</w:t>
            </w:r>
            <w:r>
              <w:rPr>
                <w:rFonts w:hint="eastAsia"/>
                <w:color w:val="auto"/>
                <w:kern w:val="0"/>
                <w:szCs w:val="21"/>
              </w:rPr>
              <w:t>d，其中补充用水量为</w:t>
            </w:r>
            <w:r>
              <w:rPr>
                <w:color w:val="auto"/>
                <w:kern w:val="0"/>
                <w:szCs w:val="21"/>
              </w:rPr>
              <w:t>2509.76</w:t>
            </w:r>
            <w:r>
              <w:rPr>
                <w:rFonts w:hint="eastAsia"/>
                <w:color w:val="auto"/>
                <w:kern w:val="0"/>
                <w:szCs w:val="21"/>
              </w:rPr>
              <w:t>m³/d，</w:t>
            </w:r>
            <w:r>
              <w:rPr>
                <w:color w:val="auto"/>
                <w:kern w:val="0"/>
                <w:szCs w:val="21"/>
              </w:rPr>
              <w:t>5833.33</w:t>
            </w:r>
            <w:r>
              <w:rPr>
                <w:rFonts w:hint="eastAsia"/>
                <w:color w:val="auto"/>
                <w:kern w:val="0"/>
                <w:szCs w:val="21"/>
              </w:rPr>
              <w:t>m³/d为废水经废水处理系统处理后回用于选洗生产线，</w:t>
            </w:r>
            <w:r>
              <w:rPr>
                <w:color w:val="auto"/>
                <w:kern w:val="0"/>
                <w:szCs w:val="21"/>
              </w:rPr>
              <w:t>23.04</w:t>
            </w:r>
            <w:r>
              <w:rPr>
                <w:rFonts w:hint="eastAsia"/>
                <w:color w:val="auto"/>
                <w:kern w:val="0"/>
                <w:szCs w:val="21"/>
              </w:rPr>
              <w:t>m³/d为废水经沉淀后回用于轮胎冲洗用水，</w:t>
            </w:r>
            <w:r>
              <w:rPr>
                <w:color w:val="auto"/>
                <w:kern w:val="0"/>
                <w:szCs w:val="21"/>
              </w:rPr>
              <w:t>小于用水量，产生的废水处理后可全部进入</w:t>
            </w:r>
            <w:r>
              <w:rPr>
                <w:rFonts w:hint="eastAsia"/>
                <w:color w:val="auto"/>
                <w:kern w:val="0"/>
                <w:szCs w:val="21"/>
              </w:rPr>
              <w:t>废水</w:t>
            </w:r>
            <w:r>
              <w:rPr>
                <w:color w:val="auto"/>
                <w:kern w:val="0"/>
                <w:szCs w:val="21"/>
              </w:rPr>
              <w:t>处理</w:t>
            </w:r>
            <w:r>
              <w:rPr>
                <w:rFonts w:hint="eastAsia"/>
                <w:color w:val="auto"/>
                <w:kern w:val="0"/>
                <w:szCs w:val="21"/>
              </w:rPr>
              <w:t>系统处理后回用。</w:t>
            </w:r>
          </w:p>
          <w:p>
            <w:pPr>
              <w:adjustRightInd w:val="0"/>
              <w:snapToGrid w:val="0"/>
              <w:spacing w:line="360" w:lineRule="auto"/>
              <w:ind w:firstLine="420"/>
              <w:rPr>
                <w:color w:val="auto"/>
                <w:kern w:val="0"/>
                <w:szCs w:val="21"/>
              </w:rPr>
            </w:pPr>
            <w:r>
              <w:rPr>
                <w:color w:val="auto"/>
                <w:kern w:val="0"/>
                <w:szCs w:val="21"/>
              </w:rPr>
              <w:t>水质可行性：本项目用水主要为防尘、砂石洗选等环节，对水质要求不高，项目废水主要污染物为悬浮物，经絮凝沉淀后，悬浮物的去除效率可达到95%以上，能够满足生产防尘、砂石洗选等环节的用水要求。</w:t>
            </w:r>
          </w:p>
          <w:p>
            <w:pPr>
              <w:adjustRightInd w:val="0"/>
              <w:snapToGrid w:val="0"/>
              <w:spacing w:line="360" w:lineRule="auto"/>
              <w:ind w:firstLine="420"/>
              <w:rPr>
                <w:color w:val="auto"/>
                <w:kern w:val="0"/>
                <w:szCs w:val="21"/>
              </w:rPr>
            </w:pPr>
            <w:r>
              <w:rPr>
                <w:color w:val="auto"/>
                <w:kern w:val="0"/>
                <w:szCs w:val="21"/>
              </w:rPr>
              <w:t>收集可行性：根据地势高低，项目废水经收集后全部通过提升进入沉淀罐处理，废水收集池内配置提升泵2台（1备1用），可及时将产生的废水提升至沉淀罐，确保废水收集池有足够的容积。通过在清水池内安装2台循环水泵（1备1用），每天先抽用循环水池的水，保证循环水池有足够的容量处理、容纳每天产生的废水，以确保项目废水不外排，实现生产废水闭路循环。</w:t>
            </w:r>
          </w:p>
          <w:p>
            <w:pPr>
              <w:adjustRightInd w:val="0"/>
              <w:snapToGrid w:val="0"/>
              <w:spacing w:line="360" w:lineRule="auto"/>
              <w:ind w:firstLine="420"/>
              <w:rPr>
                <w:color w:val="auto"/>
                <w:kern w:val="0"/>
                <w:szCs w:val="21"/>
              </w:rPr>
            </w:pPr>
            <w:r>
              <w:rPr>
                <w:color w:val="auto"/>
                <w:kern w:val="0"/>
                <w:szCs w:val="21"/>
              </w:rPr>
              <w:t>闭路循环可行性：根据设计资料，项目废水收集池容积为1200m</w:t>
            </w:r>
            <w:r>
              <w:rPr>
                <w:color w:val="auto"/>
                <w:kern w:val="0"/>
                <w:szCs w:val="21"/>
                <w:vertAlign w:val="superscript"/>
              </w:rPr>
              <w:t>3</w:t>
            </w:r>
            <w:r>
              <w:rPr>
                <w:color w:val="auto"/>
                <w:kern w:val="0"/>
                <w:szCs w:val="21"/>
              </w:rPr>
              <w:t>、沉淀罐容积为2400m</w:t>
            </w:r>
            <w:r>
              <w:rPr>
                <w:color w:val="auto"/>
                <w:kern w:val="0"/>
                <w:szCs w:val="21"/>
                <w:vertAlign w:val="superscript"/>
              </w:rPr>
              <w:t>3</w:t>
            </w:r>
            <w:r>
              <w:rPr>
                <w:color w:val="auto"/>
                <w:kern w:val="0"/>
                <w:szCs w:val="21"/>
              </w:rPr>
              <w:t>、清水罐容积为1200m</w:t>
            </w:r>
            <w:r>
              <w:rPr>
                <w:color w:val="auto"/>
                <w:kern w:val="0"/>
                <w:szCs w:val="21"/>
                <w:vertAlign w:val="superscript"/>
              </w:rPr>
              <w:t>3</w:t>
            </w:r>
            <w:r>
              <w:rPr>
                <w:color w:val="auto"/>
                <w:kern w:val="0"/>
                <w:szCs w:val="21"/>
              </w:rPr>
              <w:t>、蓄水池容积1600m</w:t>
            </w:r>
            <w:r>
              <w:rPr>
                <w:color w:val="auto"/>
                <w:kern w:val="0"/>
                <w:szCs w:val="21"/>
                <w:vertAlign w:val="superscript"/>
              </w:rPr>
              <w:t>3</w:t>
            </w:r>
            <w:r>
              <w:rPr>
                <w:color w:val="auto"/>
                <w:kern w:val="0"/>
                <w:szCs w:val="21"/>
              </w:rPr>
              <w:t>，总容积达到6400m³，</w:t>
            </w:r>
            <w:r>
              <w:rPr>
                <w:rFonts w:hint="eastAsia"/>
                <w:color w:val="auto"/>
                <w:kern w:val="0"/>
                <w:szCs w:val="21"/>
              </w:rPr>
              <w:t>项目生产废水量为</w:t>
            </w:r>
            <w:r>
              <w:rPr>
                <w:color w:val="auto"/>
                <w:kern w:val="0"/>
                <w:szCs w:val="21"/>
              </w:rPr>
              <w:t>5833.33</w:t>
            </w:r>
            <w:r>
              <w:rPr>
                <w:rFonts w:hint="eastAsia"/>
                <w:color w:val="auto"/>
                <w:kern w:val="0"/>
                <w:szCs w:val="21"/>
              </w:rPr>
              <w:t>m³/d，</w:t>
            </w:r>
            <w:r>
              <w:rPr>
                <w:color w:val="auto"/>
                <w:kern w:val="0"/>
                <w:szCs w:val="21"/>
              </w:rPr>
              <w:t>可容纳1</w:t>
            </w:r>
            <w:r>
              <w:rPr>
                <w:rFonts w:hint="eastAsia"/>
                <w:color w:val="auto"/>
                <w:kern w:val="0"/>
                <w:szCs w:val="21"/>
              </w:rPr>
              <w:t>天产生</w:t>
            </w:r>
            <w:r>
              <w:rPr>
                <w:color w:val="auto"/>
                <w:kern w:val="0"/>
                <w:szCs w:val="21"/>
              </w:rPr>
              <w:t>的废水。</w:t>
            </w:r>
            <w:r>
              <w:rPr>
                <w:rFonts w:hint="eastAsia"/>
                <w:color w:val="auto"/>
                <w:kern w:val="0"/>
                <w:szCs w:val="21"/>
              </w:rPr>
              <w:t>项目废水处理能力为4</w:t>
            </w:r>
            <w:r>
              <w:rPr>
                <w:color w:val="auto"/>
                <w:kern w:val="0"/>
                <w:szCs w:val="21"/>
              </w:rPr>
              <w:t>50</w:t>
            </w:r>
            <w:r>
              <w:rPr>
                <w:rFonts w:hint="eastAsia"/>
                <w:color w:val="auto"/>
                <w:kern w:val="0"/>
                <w:szCs w:val="21"/>
              </w:rPr>
              <w:t>m³</w:t>
            </w:r>
            <w:r>
              <w:rPr>
                <w:color w:val="auto"/>
                <w:kern w:val="0"/>
                <w:szCs w:val="21"/>
              </w:rPr>
              <w:t>/</w:t>
            </w:r>
            <w:r>
              <w:rPr>
                <w:rFonts w:hint="eastAsia"/>
                <w:color w:val="auto"/>
                <w:kern w:val="0"/>
                <w:szCs w:val="21"/>
              </w:rPr>
              <w:t>h，本项目废水产生量为</w:t>
            </w:r>
            <w:r>
              <w:rPr>
                <w:color w:val="auto"/>
                <w:kern w:val="0"/>
                <w:szCs w:val="21"/>
              </w:rPr>
              <w:t>364.58</w:t>
            </w:r>
            <w:r>
              <w:rPr>
                <w:rFonts w:hint="eastAsia"/>
                <w:color w:val="auto"/>
                <w:kern w:val="0"/>
                <w:szCs w:val="21"/>
              </w:rPr>
              <w:t>m³/h，项目设置的污水处理设施</w:t>
            </w:r>
            <w:r>
              <w:rPr>
                <w:color w:val="auto"/>
                <w:kern w:val="0"/>
                <w:szCs w:val="21"/>
              </w:rPr>
              <w:t>处理能力</w:t>
            </w:r>
            <w:r>
              <w:rPr>
                <w:rFonts w:hint="eastAsia"/>
                <w:color w:val="auto"/>
                <w:kern w:val="0"/>
                <w:szCs w:val="21"/>
              </w:rPr>
              <w:t>及储存能力</w:t>
            </w:r>
            <w:r>
              <w:rPr>
                <w:color w:val="auto"/>
                <w:kern w:val="0"/>
                <w:szCs w:val="21"/>
              </w:rPr>
              <w:t>大于</w:t>
            </w:r>
            <w:r>
              <w:rPr>
                <w:rFonts w:hint="eastAsia"/>
                <w:color w:val="auto"/>
                <w:kern w:val="0"/>
                <w:szCs w:val="21"/>
              </w:rPr>
              <w:t>每天</w:t>
            </w:r>
            <w:r>
              <w:rPr>
                <w:color w:val="auto"/>
                <w:kern w:val="0"/>
                <w:szCs w:val="21"/>
              </w:rPr>
              <w:t>废水产生量，满足处理要求。废水主要集中在洗选工序产生，废水在沉淀罐内通过添加絮凝剂能够使废水中的泥沙快速沉淀，达到回用的要求，同时配备1个清水罐储存处理后的废水，确保废水处理后不外排。生产过程中，废水在产生的同时也不断地被抽取回用，使废水处理系统的水量保持一个动态平衡，夜间停止生产时也能储存所有的循环水。项目配备2台循环水泵，生产期间不停地将清水池内的水抽至用水工序，以便为新产生的废水提供足够的停留时间，满足生产需求。沉淀罐底部配备3台污泥泵（2用1备），罐底底泥由泥浆泵分别抽至2台压滤机内处理，压滤废水回流至清水池，建设单位必须保证泥浆泵正常运行，及时抽走产生的底泥，保证沉淀系统正常运行，确保废水全部处理后回用，杜绝生产废水外排。</w:t>
            </w:r>
          </w:p>
          <w:p>
            <w:pPr>
              <w:adjustRightInd w:val="0"/>
              <w:snapToGrid w:val="0"/>
              <w:spacing w:line="360" w:lineRule="auto"/>
              <w:ind w:firstLine="420"/>
              <w:rPr>
                <w:color w:val="auto"/>
                <w:kern w:val="0"/>
                <w:szCs w:val="21"/>
              </w:rPr>
            </w:pPr>
            <w:r>
              <w:rPr>
                <w:color w:val="auto"/>
                <w:kern w:val="0"/>
                <w:szCs w:val="21"/>
              </w:rPr>
              <w:t>另外，建议在场地最低位置（生产区</w:t>
            </w:r>
            <w:r>
              <w:rPr>
                <w:rFonts w:hint="eastAsia"/>
                <w:color w:val="auto"/>
                <w:kern w:val="0"/>
                <w:szCs w:val="21"/>
              </w:rPr>
              <w:t>东北</w:t>
            </w:r>
            <w:r>
              <w:rPr>
                <w:color w:val="auto"/>
                <w:kern w:val="0"/>
                <w:szCs w:val="21"/>
              </w:rPr>
              <w:t>面）设置事故废水收集池，兼做场地雨水收集池，确保场地散排废水、冲洗废水不外排，事故水池平时应保持空置状态，确保事故状态下能够发挥作用。</w:t>
            </w:r>
          </w:p>
          <w:p>
            <w:pPr>
              <w:adjustRightInd w:val="0"/>
              <w:snapToGrid w:val="0"/>
              <w:spacing w:line="360" w:lineRule="auto"/>
              <w:ind w:firstLine="420"/>
              <w:rPr>
                <w:color w:val="auto"/>
                <w:kern w:val="0"/>
                <w:szCs w:val="21"/>
              </w:rPr>
            </w:pPr>
            <w:r>
              <w:rPr>
                <w:color w:val="auto"/>
                <w:kern w:val="0"/>
                <w:szCs w:val="21"/>
              </w:rPr>
              <w:t>因此，只要建设单位加强生产管理，将沉淀池产生的回用水切实回用于生产，从水质、水量等方面分析，废水实现闭路循环，达到零排放的要求是可行可靠的。</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3、车辆冲洗水回用可行性分析</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项目分别在矿区、加工区出入口建设车辆冲洗设施和废水收集处理沉淀池，对出入场区的车辆进行冲洗，冲洗废水产生量少，且很易于收集处理，通过沉淀能够去除85%以上悬浮物。同时车辆冲洗对水质要求不高，沉淀后的水能够满足冲洗车辆的要求，能够做到全部回用于车辆冲洗，不外排。</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4、生活污水农用可行性分析</w:t>
            </w:r>
          </w:p>
          <w:p>
            <w:pPr>
              <w:adjustRightInd w:val="0"/>
              <w:snapToGrid w:val="0"/>
              <w:spacing w:line="360" w:lineRule="auto"/>
              <w:ind w:firstLine="420"/>
              <w:rPr>
                <w:rFonts w:ascii="宋体" w:hAnsi="宋体" w:cs="宋体"/>
                <w:color w:val="auto"/>
                <w:kern w:val="0"/>
                <w:szCs w:val="21"/>
              </w:rPr>
            </w:pPr>
            <w:r>
              <w:rPr>
                <w:rFonts w:hint="eastAsia" w:ascii="宋体" w:hAnsi="宋体" w:cs="宋体"/>
                <w:color w:val="auto"/>
                <w:kern w:val="0"/>
                <w:szCs w:val="21"/>
              </w:rPr>
              <w:t>根据现场踏勘，项目矿区东北面脚处有部分耕地，加工区东面、北面坡脚处有部分耕地，并且均为附近居民种植的蔬菜等农作物，距离项目生活区较近，生活污水经收集后用于附近耕地做农肥可行。</w:t>
            </w:r>
          </w:p>
          <w:p>
            <w:pPr>
              <w:adjustRightInd w:val="0"/>
              <w:snapToGrid w:val="0"/>
              <w:spacing w:line="360" w:lineRule="auto"/>
              <w:ind w:firstLine="420"/>
              <w:rPr>
                <w:color w:val="auto"/>
                <w:kern w:val="0"/>
              </w:rPr>
            </w:pPr>
            <w:r>
              <w:rPr>
                <w:color w:val="auto"/>
                <w:kern w:val="0"/>
              </w:rPr>
              <w:t>采取上述措施处理后，项目区无生产废水外排，生活污水定期</w:t>
            </w:r>
            <w:r>
              <w:rPr>
                <w:rFonts w:hint="eastAsia"/>
                <w:color w:val="auto"/>
                <w:kern w:val="0"/>
              </w:rPr>
              <w:t>作</w:t>
            </w:r>
            <w:r>
              <w:rPr>
                <w:color w:val="auto"/>
                <w:kern w:val="0"/>
              </w:rPr>
              <w:t>农肥使用，对区域地表水环境几乎无影响。只要营运期加强废水处理设施的定期维护，按要求定期清理</w:t>
            </w:r>
            <w:r>
              <w:rPr>
                <w:rFonts w:hint="eastAsia"/>
                <w:color w:val="auto"/>
                <w:kern w:val="0"/>
              </w:rPr>
              <w:t>底泥</w:t>
            </w:r>
            <w:r>
              <w:rPr>
                <w:color w:val="auto"/>
                <w:kern w:val="0"/>
              </w:rPr>
              <w:t>，能够确保废水不外排。</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四、声环境保护措施</w:t>
            </w:r>
          </w:p>
          <w:p>
            <w:pPr>
              <w:adjustRightInd w:val="0"/>
              <w:snapToGrid w:val="0"/>
              <w:spacing w:line="360" w:lineRule="auto"/>
              <w:ind w:firstLine="420"/>
              <w:rPr>
                <w:color w:val="auto"/>
                <w:kern w:val="0"/>
                <w:szCs w:val="21"/>
              </w:rPr>
            </w:pPr>
            <w:r>
              <w:rPr>
                <w:color w:val="auto"/>
                <w:kern w:val="0"/>
                <w:szCs w:val="21"/>
              </w:rPr>
              <w:t>1、噪声源强</w:t>
            </w:r>
          </w:p>
          <w:p>
            <w:pPr>
              <w:adjustRightInd w:val="0"/>
              <w:snapToGrid w:val="0"/>
              <w:spacing w:line="360" w:lineRule="auto"/>
              <w:ind w:firstLine="420"/>
              <w:rPr>
                <w:color w:val="auto"/>
                <w:kern w:val="0"/>
                <w:szCs w:val="21"/>
              </w:rPr>
            </w:pPr>
            <w:r>
              <w:rPr>
                <w:color w:val="auto"/>
                <w:kern w:val="0"/>
                <w:szCs w:val="21"/>
              </w:rPr>
              <w:t>项目矿山噪声主要来源于潜孔钻机、挖掘机、空压机等产生的设备噪声以及爆破噪声；加工区噪声主要来源于给料机、破碎机、筛分机、整形机、洗砂机、水泵、压滤机等设备；另外地面运输活动也会产生交通噪声，源强为85～95dB(A)之间，噪声源强见下表。</w:t>
            </w:r>
          </w:p>
          <w:p>
            <w:pPr>
              <w:adjustRightInd w:val="0"/>
              <w:snapToGrid w:val="0"/>
              <w:spacing w:line="360" w:lineRule="auto"/>
              <w:jc w:val="center"/>
              <w:rPr>
                <w:rFonts w:ascii="宋体" w:hAnsi="宋体" w:cs="宋体"/>
                <w:b/>
                <w:color w:val="auto"/>
                <w:kern w:val="0"/>
                <w:sz w:val="18"/>
                <w:szCs w:val="18"/>
              </w:rPr>
            </w:pPr>
            <w:r>
              <w:rPr>
                <w:rFonts w:hint="eastAsia" w:ascii="宋体" w:hAnsi="宋体" w:cs="宋体"/>
                <w:b/>
                <w:color w:val="auto"/>
                <w:kern w:val="0"/>
                <w:sz w:val="18"/>
                <w:szCs w:val="18"/>
              </w:rPr>
              <w:t>表5</w:t>
            </w:r>
            <w:r>
              <w:rPr>
                <w:rFonts w:ascii="宋体" w:hAnsi="宋体" w:cs="宋体"/>
                <w:b/>
                <w:color w:val="auto"/>
                <w:kern w:val="0"/>
                <w:sz w:val="18"/>
                <w:szCs w:val="18"/>
              </w:rPr>
              <w:t xml:space="preserve">-8 </w:t>
            </w:r>
            <w:r>
              <w:rPr>
                <w:rFonts w:hint="eastAsia" w:ascii="宋体" w:hAnsi="宋体" w:cs="宋体"/>
                <w:b/>
                <w:color w:val="auto"/>
                <w:kern w:val="0"/>
                <w:sz w:val="18"/>
                <w:szCs w:val="18"/>
              </w:rPr>
              <w:t>营运期主要噪声源及源强</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10"/>
              <w:gridCol w:w="1061"/>
              <w:gridCol w:w="640"/>
              <w:gridCol w:w="999"/>
              <w:gridCol w:w="719"/>
              <w:gridCol w:w="1047"/>
              <w:gridCol w:w="920"/>
              <w:gridCol w:w="955"/>
              <w:gridCol w:w="8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13" w:type="pct"/>
                  <w:vMerge w:val="restart"/>
                  <w:vAlign w:val="center"/>
                </w:tcPr>
                <w:p>
                  <w:pPr>
                    <w:adjustRightInd w:val="0"/>
                    <w:snapToGrid w:val="0"/>
                    <w:ind w:left="-10" w:leftChars="-5" w:right="-10" w:rightChars="-5"/>
                    <w:jc w:val="center"/>
                    <w:rPr>
                      <w:bCs/>
                      <w:color w:val="auto"/>
                      <w:sz w:val="18"/>
                      <w:szCs w:val="18"/>
                    </w:rPr>
                  </w:pPr>
                  <w:r>
                    <w:rPr>
                      <w:bCs/>
                      <w:color w:val="auto"/>
                      <w:sz w:val="18"/>
                      <w:szCs w:val="18"/>
                    </w:rPr>
                    <w:t>工序/生产线</w:t>
                  </w:r>
                </w:p>
              </w:tc>
              <w:tc>
                <w:tcPr>
                  <w:tcW w:w="644" w:type="pct"/>
                  <w:vMerge w:val="restart"/>
                  <w:vAlign w:val="center"/>
                </w:tcPr>
                <w:p>
                  <w:pPr>
                    <w:adjustRightInd w:val="0"/>
                    <w:snapToGrid w:val="0"/>
                    <w:ind w:left="-10" w:leftChars="-5" w:right="-10" w:rightChars="-5"/>
                    <w:jc w:val="center"/>
                    <w:rPr>
                      <w:bCs/>
                      <w:color w:val="auto"/>
                      <w:sz w:val="18"/>
                      <w:szCs w:val="18"/>
                    </w:rPr>
                  </w:pPr>
                  <w:r>
                    <w:rPr>
                      <w:bCs/>
                      <w:color w:val="auto"/>
                      <w:sz w:val="18"/>
                      <w:szCs w:val="18"/>
                    </w:rPr>
                    <w:t>噪声源</w:t>
                  </w:r>
                </w:p>
              </w:tc>
              <w:tc>
                <w:tcPr>
                  <w:tcW w:w="388" w:type="pct"/>
                  <w:vMerge w:val="restart"/>
                  <w:vAlign w:val="center"/>
                </w:tcPr>
                <w:p>
                  <w:pPr>
                    <w:adjustRightInd w:val="0"/>
                    <w:snapToGrid w:val="0"/>
                    <w:ind w:left="-10" w:leftChars="-5" w:right="-10" w:rightChars="-5"/>
                    <w:jc w:val="center"/>
                    <w:rPr>
                      <w:bCs/>
                      <w:color w:val="auto"/>
                      <w:sz w:val="18"/>
                      <w:szCs w:val="18"/>
                    </w:rPr>
                  </w:pPr>
                  <w:r>
                    <w:rPr>
                      <w:bCs/>
                      <w:color w:val="auto"/>
                      <w:sz w:val="18"/>
                      <w:szCs w:val="18"/>
                    </w:rPr>
                    <w:t>声源</w:t>
                  </w:r>
                </w:p>
                <w:p>
                  <w:pPr>
                    <w:adjustRightInd w:val="0"/>
                    <w:snapToGrid w:val="0"/>
                    <w:ind w:left="-10" w:leftChars="-5" w:right="-10" w:rightChars="-5"/>
                    <w:jc w:val="center"/>
                    <w:rPr>
                      <w:bCs/>
                      <w:color w:val="auto"/>
                      <w:sz w:val="18"/>
                      <w:szCs w:val="18"/>
                    </w:rPr>
                  </w:pPr>
                  <w:r>
                    <w:rPr>
                      <w:bCs/>
                      <w:color w:val="auto"/>
                      <w:sz w:val="18"/>
                      <w:szCs w:val="18"/>
                    </w:rPr>
                    <w:t>类型</w:t>
                  </w:r>
                </w:p>
              </w:tc>
              <w:tc>
                <w:tcPr>
                  <w:tcW w:w="1042" w:type="pct"/>
                  <w:gridSpan w:val="2"/>
                  <w:vAlign w:val="center"/>
                </w:tcPr>
                <w:p>
                  <w:pPr>
                    <w:adjustRightInd w:val="0"/>
                    <w:snapToGrid w:val="0"/>
                    <w:ind w:left="-10" w:leftChars="-5" w:right="-10" w:rightChars="-5"/>
                    <w:jc w:val="center"/>
                    <w:rPr>
                      <w:bCs/>
                      <w:color w:val="auto"/>
                      <w:sz w:val="18"/>
                      <w:szCs w:val="18"/>
                    </w:rPr>
                  </w:pPr>
                  <w:r>
                    <w:rPr>
                      <w:bCs/>
                      <w:color w:val="auto"/>
                      <w:sz w:val="18"/>
                      <w:szCs w:val="18"/>
                    </w:rPr>
                    <w:t>噪声源强</w:t>
                  </w:r>
                </w:p>
              </w:tc>
              <w:tc>
                <w:tcPr>
                  <w:tcW w:w="1193" w:type="pct"/>
                  <w:gridSpan w:val="2"/>
                  <w:vAlign w:val="center"/>
                </w:tcPr>
                <w:p>
                  <w:pPr>
                    <w:adjustRightInd w:val="0"/>
                    <w:snapToGrid w:val="0"/>
                    <w:ind w:left="-10" w:leftChars="-5" w:right="-10" w:rightChars="-5"/>
                    <w:jc w:val="center"/>
                    <w:rPr>
                      <w:bCs/>
                      <w:color w:val="auto"/>
                      <w:sz w:val="18"/>
                      <w:szCs w:val="18"/>
                    </w:rPr>
                  </w:pPr>
                  <w:r>
                    <w:rPr>
                      <w:bCs/>
                      <w:color w:val="auto"/>
                      <w:sz w:val="18"/>
                      <w:szCs w:val="18"/>
                    </w:rPr>
                    <w:t>降噪措施</w:t>
                  </w:r>
                </w:p>
              </w:tc>
              <w:tc>
                <w:tcPr>
                  <w:tcW w:w="579" w:type="pct"/>
                  <w:vMerge w:val="restart"/>
                  <w:vAlign w:val="center"/>
                </w:tcPr>
                <w:p>
                  <w:pPr>
                    <w:adjustRightInd w:val="0"/>
                    <w:snapToGrid w:val="0"/>
                    <w:ind w:left="-10" w:leftChars="-5" w:right="-10" w:rightChars="-5"/>
                    <w:jc w:val="center"/>
                    <w:rPr>
                      <w:bCs/>
                      <w:color w:val="auto"/>
                      <w:sz w:val="18"/>
                      <w:szCs w:val="18"/>
                    </w:rPr>
                  </w:pPr>
                  <w:r>
                    <w:rPr>
                      <w:bCs/>
                      <w:color w:val="auto"/>
                      <w:sz w:val="18"/>
                      <w:szCs w:val="18"/>
                    </w:rPr>
                    <w:t>噪声排放强度</w:t>
                  </w:r>
                </w:p>
              </w:tc>
              <w:tc>
                <w:tcPr>
                  <w:tcW w:w="540" w:type="pct"/>
                  <w:vMerge w:val="restart"/>
                  <w:vAlign w:val="center"/>
                </w:tcPr>
                <w:p>
                  <w:pPr>
                    <w:adjustRightInd w:val="0"/>
                    <w:snapToGrid w:val="0"/>
                    <w:ind w:left="-10" w:leftChars="-5" w:right="-10" w:rightChars="-5"/>
                    <w:jc w:val="center"/>
                    <w:rPr>
                      <w:bCs/>
                      <w:color w:val="auto"/>
                      <w:sz w:val="18"/>
                      <w:szCs w:val="18"/>
                    </w:rPr>
                  </w:pPr>
                  <w:r>
                    <w:rPr>
                      <w:bCs/>
                      <w:color w:val="auto"/>
                      <w:sz w:val="18"/>
                      <w:szCs w:val="18"/>
                    </w:rPr>
                    <w:t>持续时间（h/a）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13" w:type="pct"/>
                  <w:vMerge w:val="continue"/>
                  <w:vAlign w:val="center"/>
                </w:tcPr>
                <w:p>
                  <w:pPr>
                    <w:adjustRightInd w:val="0"/>
                    <w:snapToGrid w:val="0"/>
                    <w:ind w:left="-10" w:leftChars="-5" w:right="-10" w:rightChars="-5"/>
                    <w:jc w:val="center"/>
                    <w:rPr>
                      <w:bCs/>
                      <w:color w:val="auto"/>
                      <w:sz w:val="18"/>
                      <w:szCs w:val="18"/>
                    </w:rPr>
                  </w:pPr>
                </w:p>
              </w:tc>
              <w:tc>
                <w:tcPr>
                  <w:tcW w:w="644" w:type="pct"/>
                  <w:vMerge w:val="continue"/>
                  <w:vAlign w:val="center"/>
                </w:tcPr>
                <w:p>
                  <w:pPr>
                    <w:adjustRightInd w:val="0"/>
                    <w:snapToGrid w:val="0"/>
                    <w:ind w:left="-10" w:leftChars="-5" w:right="-10" w:rightChars="-5"/>
                    <w:jc w:val="center"/>
                    <w:rPr>
                      <w:bCs/>
                      <w:color w:val="auto"/>
                      <w:sz w:val="18"/>
                      <w:szCs w:val="18"/>
                    </w:rPr>
                  </w:pPr>
                </w:p>
              </w:tc>
              <w:tc>
                <w:tcPr>
                  <w:tcW w:w="388" w:type="pct"/>
                  <w:vMerge w:val="continue"/>
                  <w:vAlign w:val="center"/>
                </w:tcPr>
                <w:p>
                  <w:pPr>
                    <w:adjustRightInd w:val="0"/>
                    <w:snapToGrid w:val="0"/>
                    <w:ind w:left="-10" w:leftChars="-5" w:right="-10" w:rightChars="-5"/>
                    <w:jc w:val="center"/>
                    <w:rPr>
                      <w:bCs/>
                      <w:color w:val="auto"/>
                      <w:sz w:val="18"/>
                      <w:szCs w:val="18"/>
                    </w:rPr>
                  </w:pPr>
                </w:p>
              </w:tc>
              <w:tc>
                <w:tcPr>
                  <w:tcW w:w="606" w:type="pct"/>
                  <w:vAlign w:val="center"/>
                </w:tcPr>
                <w:p>
                  <w:pPr>
                    <w:adjustRightInd w:val="0"/>
                    <w:snapToGrid w:val="0"/>
                    <w:ind w:left="-10" w:leftChars="-5" w:right="-10" w:rightChars="-5"/>
                    <w:jc w:val="center"/>
                    <w:rPr>
                      <w:bCs/>
                      <w:color w:val="auto"/>
                      <w:sz w:val="18"/>
                      <w:szCs w:val="18"/>
                    </w:rPr>
                  </w:pPr>
                  <w:r>
                    <w:rPr>
                      <w:bCs/>
                      <w:color w:val="auto"/>
                      <w:sz w:val="18"/>
                      <w:szCs w:val="18"/>
                    </w:rPr>
                    <w:t>核算方法</w:t>
                  </w:r>
                </w:p>
              </w:tc>
              <w:tc>
                <w:tcPr>
                  <w:tcW w:w="436" w:type="pct"/>
                  <w:vAlign w:val="center"/>
                </w:tcPr>
                <w:p>
                  <w:pPr>
                    <w:adjustRightInd w:val="0"/>
                    <w:snapToGrid w:val="0"/>
                    <w:ind w:left="-10" w:leftChars="-5" w:right="-10" w:rightChars="-5"/>
                    <w:jc w:val="center"/>
                    <w:rPr>
                      <w:bCs/>
                      <w:color w:val="auto"/>
                      <w:sz w:val="18"/>
                      <w:szCs w:val="18"/>
                    </w:rPr>
                  </w:pPr>
                  <w:r>
                    <w:rPr>
                      <w:bCs/>
                      <w:color w:val="auto"/>
                      <w:sz w:val="18"/>
                      <w:szCs w:val="18"/>
                    </w:rPr>
                    <w:t>噪声值</w:t>
                  </w:r>
                </w:p>
              </w:tc>
              <w:tc>
                <w:tcPr>
                  <w:tcW w:w="635" w:type="pct"/>
                  <w:vAlign w:val="center"/>
                </w:tcPr>
                <w:p>
                  <w:pPr>
                    <w:adjustRightInd w:val="0"/>
                    <w:snapToGrid w:val="0"/>
                    <w:ind w:left="-10" w:leftChars="-5" w:right="-10" w:rightChars="-5"/>
                    <w:jc w:val="center"/>
                    <w:rPr>
                      <w:bCs/>
                      <w:color w:val="auto"/>
                      <w:sz w:val="18"/>
                      <w:szCs w:val="18"/>
                    </w:rPr>
                  </w:pPr>
                  <w:r>
                    <w:rPr>
                      <w:bCs/>
                      <w:color w:val="auto"/>
                      <w:sz w:val="18"/>
                      <w:szCs w:val="18"/>
                    </w:rPr>
                    <w:t>工艺</w:t>
                  </w:r>
                </w:p>
              </w:tc>
              <w:tc>
                <w:tcPr>
                  <w:tcW w:w="558" w:type="pct"/>
                  <w:vAlign w:val="center"/>
                </w:tcPr>
                <w:p>
                  <w:pPr>
                    <w:adjustRightInd w:val="0"/>
                    <w:snapToGrid w:val="0"/>
                    <w:ind w:left="-10" w:leftChars="-5" w:right="-10" w:rightChars="-5"/>
                    <w:jc w:val="center"/>
                    <w:rPr>
                      <w:bCs/>
                      <w:color w:val="auto"/>
                      <w:sz w:val="18"/>
                      <w:szCs w:val="18"/>
                    </w:rPr>
                  </w:pPr>
                  <w:r>
                    <w:rPr>
                      <w:bCs/>
                      <w:color w:val="auto"/>
                      <w:sz w:val="18"/>
                      <w:szCs w:val="18"/>
                    </w:rPr>
                    <w:t>降噪效果</w:t>
                  </w:r>
                </w:p>
              </w:tc>
              <w:tc>
                <w:tcPr>
                  <w:tcW w:w="579" w:type="pct"/>
                  <w:vMerge w:val="continue"/>
                  <w:vAlign w:val="center"/>
                </w:tcPr>
                <w:p>
                  <w:pPr>
                    <w:adjustRightInd w:val="0"/>
                    <w:snapToGrid w:val="0"/>
                    <w:ind w:left="-10" w:leftChars="-5" w:right="-10" w:rightChars="-5"/>
                    <w:jc w:val="center"/>
                    <w:rPr>
                      <w:bCs/>
                      <w:color w:val="auto"/>
                      <w:sz w:val="18"/>
                      <w:szCs w:val="18"/>
                    </w:rPr>
                  </w:pPr>
                </w:p>
              </w:tc>
              <w:tc>
                <w:tcPr>
                  <w:tcW w:w="540" w:type="pct"/>
                  <w:vMerge w:val="continue"/>
                  <w:vAlign w:val="center"/>
                </w:tcPr>
                <w:p>
                  <w:pPr>
                    <w:adjustRightInd w:val="0"/>
                    <w:snapToGrid w:val="0"/>
                    <w:ind w:left="-10" w:leftChars="-5" w:right="-10" w:rightChars="-5"/>
                    <w:jc w:val="center"/>
                    <w:rPr>
                      <w:bCs/>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13" w:type="pct"/>
                  <w:vMerge w:val="restart"/>
                  <w:vAlign w:val="center"/>
                </w:tcPr>
                <w:p>
                  <w:pPr>
                    <w:adjustRightInd w:val="0"/>
                    <w:snapToGrid w:val="0"/>
                    <w:ind w:left="-10" w:leftChars="-5" w:right="-10" w:rightChars="-5"/>
                    <w:jc w:val="center"/>
                    <w:rPr>
                      <w:color w:val="auto"/>
                      <w:sz w:val="18"/>
                      <w:szCs w:val="18"/>
                    </w:rPr>
                  </w:pPr>
                  <w:r>
                    <w:rPr>
                      <w:color w:val="auto"/>
                      <w:sz w:val="18"/>
                      <w:szCs w:val="18"/>
                    </w:rPr>
                    <w:t>开采区</w:t>
                  </w:r>
                </w:p>
              </w:tc>
              <w:tc>
                <w:tcPr>
                  <w:tcW w:w="644" w:type="pct"/>
                  <w:vAlign w:val="center"/>
                </w:tcPr>
                <w:p>
                  <w:pPr>
                    <w:adjustRightInd w:val="0"/>
                    <w:snapToGrid w:val="0"/>
                    <w:ind w:left="-10" w:leftChars="-5" w:right="-10" w:rightChars="-5"/>
                    <w:jc w:val="center"/>
                    <w:rPr>
                      <w:color w:val="auto"/>
                      <w:sz w:val="18"/>
                      <w:szCs w:val="18"/>
                    </w:rPr>
                  </w:pPr>
                  <w:r>
                    <w:rPr>
                      <w:color w:val="auto"/>
                      <w:sz w:val="18"/>
                      <w:szCs w:val="18"/>
                    </w:rPr>
                    <w:t>潜孔钻机</w:t>
                  </w:r>
                </w:p>
              </w:tc>
              <w:tc>
                <w:tcPr>
                  <w:tcW w:w="388" w:type="pct"/>
                  <w:vAlign w:val="center"/>
                </w:tcPr>
                <w:p>
                  <w:pPr>
                    <w:adjustRightInd w:val="0"/>
                    <w:snapToGrid w:val="0"/>
                    <w:ind w:left="-10" w:leftChars="-5" w:right="-10" w:rightChars="-5"/>
                    <w:jc w:val="center"/>
                    <w:rPr>
                      <w:color w:val="auto"/>
                      <w:sz w:val="18"/>
                      <w:szCs w:val="18"/>
                    </w:rPr>
                  </w:pPr>
                  <w:r>
                    <w:rPr>
                      <w:color w:val="auto"/>
                      <w:sz w:val="18"/>
                      <w:szCs w:val="18"/>
                    </w:rPr>
                    <w:t>偶发</w:t>
                  </w:r>
                </w:p>
              </w:tc>
              <w:tc>
                <w:tcPr>
                  <w:tcW w:w="606" w:type="pct"/>
                  <w:vAlign w:val="center"/>
                </w:tcPr>
                <w:p>
                  <w:pPr>
                    <w:adjustRightInd w:val="0"/>
                    <w:snapToGrid w:val="0"/>
                    <w:ind w:left="-10" w:leftChars="-5" w:right="-10" w:rightChars="-5"/>
                    <w:jc w:val="center"/>
                    <w:rPr>
                      <w:color w:val="auto"/>
                      <w:sz w:val="18"/>
                      <w:szCs w:val="18"/>
                    </w:rPr>
                  </w:pPr>
                  <w:r>
                    <w:rPr>
                      <w:color w:val="auto"/>
                      <w:sz w:val="18"/>
                      <w:szCs w:val="18"/>
                    </w:rPr>
                    <w:t>类比法</w:t>
                  </w:r>
                </w:p>
              </w:tc>
              <w:tc>
                <w:tcPr>
                  <w:tcW w:w="436" w:type="pct"/>
                  <w:vAlign w:val="center"/>
                </w:tcPr>
                <w:p>
                  <w:pPr>
                    <w:adjustRightInd w:val="0"/>
                    <w:snapToGrid w:val="0"/>
                    <w:ind w:left="-10" w:leftChars="-5" w:right="-10" w:rightChars="-5"/>
                    <w:jc w:val="center"/>
                    <w:rPr>
                      <w:color w:val="auto"/>
                      <w:sz w:val="18"/>
                      <w:szCs w:val="18"/>
                    </w:rPr>
                  </w:pPr>
                  <w:r>
                    <w:rPr>
                      <w:color w:val="auto"/>
                      <w:sz w:val="18"/>
                      <w:szCs w:val="18"/>
                    </w:rPr>
                    <w:t>95</w:t>
                  </w:r>
                </w:p>
              </w:tc>
              <w:tc>
                <w:tcPr>
                  <w:tcW w:w="635" w:type="pct"/>
                  <w:vMerge w:val="restart"/>
                  <w:vAlign w:val="center"/>
                </w:tcPr>
                <w:p>
                  <w:pPr>
                    <w:adjustRightInd w:val="0"/>
                    <w:snapToGrid w:val="0"/>
                    <w:ind w:left="21" w:leftChars="10" w:right="21" w:rightChars="10"/>
                    <w:rPr>
                      <w:color w:val="auto"/>
                      <w:sz w:val="18"/>
                      <w:szCs w:val="18"/>
                    </w:rPr>
                  </w:pPr>
                  <w:r>
                    <w:rPr>
                      <w:color w:val="auto"/>
                      <w:sz w:val="18"/>
                      <w:szCs w:val="18"/>
                    </w:rPr>
                    <w:t>优选设备、优化布局、距离衰减、山体阻隔、加强管理</w:t>
                  </w:r>
                </w:p>
              </w:tc>
              <w:tc>
                <w:tcPr>
                  <w:tcW w:w="558" w:type="pct"/>
                  <w:vAlign w:val="center"/>
                </w:tcPr>
                <w:p>
                  <w:pPr>
                    <w:adjustRightInd w:val="0"/>
                    <w:snapToGrid w:val="0"/>
                    <w:ind w:left="-10" w:leftChars="-5" w:right="-10" w:rightChars="-5"/>
                    <w:jc w:val="center"/>
                    <w:rPr>
                      <w:color w:val="auto"/>
                      <w:sz w:val="18"/>
                      <w:szCs w:val="18"/>
                    </w:rPr>
                  </w:pPr>
                  <w:r>
                    <w:rPr>
                      <w:color w:val="auto"/>
                      <w:sz w:val="18"/>
                      <w:szCs w:val="18"/>
                    </w:rPr>
                    <w:t>10</w:t>
                  </w:r>
                </w:p>
              </w:tc>
              <w:tc>
                <w:tcPr>
                  <w:tcW w:w="579" w:type="pct"/>
                  <w:vAlign w:val="center"/>
                </w:tcPr>
                <w:p>
                  <w:pPr>
                    <w:widowControl/>
                    <w:adjustRightInd w:val="0"/>
                    <w:ind w:left="-10" w:leftChars="-5" w:right="-10" w:rightChars="-5"/>
                    <w:jc w:val="center"/>
                    <w:rPr>
                      <w:color w:val="auto"/>
                      <w:kern w:val="0"/>
                      <w:sz w:val="18"/>
                      <w:szCs w:val="18"/>
                    </w:rPr>
                  </w:pPr>
                  <w:r>
                    <w:rPr>
                      <w:color w:val="auto"/>
                      <w:kern w:val="0"/>
                      <w:sz w:val="18"/>
                      <w:szCs w:val="18"/>
                    </w:rPr>
                    <w:t>85</w:t>
                  </w:r>
                </w:p>
              </w:tc>
              <w:tc>
                <w:tcPr>
                  <w:tcW w:w="540" w:type="pct"/>
                  <w:vAlign w:val="center"/>
                </w:tcPr>
                <w:p>
                  <w:pPr>
                    <w:adjustRightInd w:val="0"/>
                    <w:snapToGrid w:val="0"/>
                    <w:ind w:left="-10" w:leftChars="-5" w:right="-10" w:rightChars="-5"/>
                    <w:jc w:val="center"/>
                    <w:rPr>
                      <w:color w:val="auto"/>
                      <w:sz w:val="18"/>
                      <w:szCs w:val="18"/>
                    </w:rPr>
                  </w:pPr>
                  <w:r>
                    <w:rPr>
                      <w:color w:val="auto"/>
                      <w:sz w:val="18"/>
                      <w:szCs w:val="18"/>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13" w:type="pct"/>
                  <w:vMerge w:val="continue"/>
                  <w:vAlign w:val="center"/>
                </w:tcPr>
                <w:p>
                  <w:pPr>
                    <w:adjustRightInd w:val="0"/>
                    <w:snapToGrid w:val="0"/>
                    <w:ind w:left="-10" w:leftChars="-5" w:right="-10" w:rightChars="-5"/>
                    <w:jc w:val="center"/>
                    <w:rPr>
                      <w:color w:val="auto"/>
                      <w:sz w:val="18"/>
                      <w:szCs w:val="18"/>
                    </w:rPr>
                  </w:pPr>
                </w:p>
              </w:tc>
              <w:tc>
                <w:tcPr>
                  <w:tcW w:w="644" w:type="pct"/>
                  <w:vAlign w:val="center"/>
                </w:tcPr>
                <w:p>
                  <w:pPr>
                    <w:adjustRightInd w:val="0"/>
                    <w:snapToGrid w:val="0"/>
                    <w:ind w:left="-10" w:leftChars="-5" w:right="-10" w:rightChars="-5"/>
                    <w:jc w:val="center"/>
                    <w:rPr>
                      <w:color w:val="auto"/>
                      <w:sz w:val="18"/>
                      <w:szCs w:val="18"/>
                    </w:rPr>
                  </w:pPr>
                  <w:r>
                    <w:rPr>
                      <w:color w:val="auto"/>
                      <w:sz w:val="18"/>
                      <w:szCs w:val="18"/>
                    </w:rPr>
                    <w:t>挖掘机</w:t>
                  </w:r>
                </w:p>
              </w:tc>
              <w:tc>
                <w:tcPr>
                  <w:tcW w:w="388" w:type="pct"/>
                  <w:vAlign w:val="center"/>
                </w:tcPr>
                <w:p>
                  <w:pPr>
                    <w:adjustRightInd w:val="0"/>
                    <w:snapToGrid w:val="0"/>
                    <w:ind w:left="-10" w:leftChars="-5" w:right="-10" w:rightChars="-5"/>
                    <w:jc w:val="center"/>
                    <w:rPr>
                      <w:color w:val="auto"/>
                      <w:sz w:val="18"/>
                      <w:szCs w:val="18"/>
                    </w:rPr>
                  </w:pPr>
                  <w:r>
                    <w:rPr>
                      <w:color w:val="auto"/>
                      <w:sz w:val="18"/>
                      <w:szCs w:val="18"/>
                    </w:rPr>
                    <w:t>频发</w:t>
                  </w:r>
                </w:p>
              </w:tc>
              <w:tc>
                <w:tcPr>
                  <w:tcW w:w="606" w:type="pct"/>
                  <w:vAlign w:val="center"/>
                </w:tcPr>
                <w:p>
                  <w:pPr>
                    <w:adjustRightInd w:val="0"/>
                    <w:snapToGrid w:val="0"/>
                    <w:ind w:left="-10" w:leftChars="-5" w:right="-10" w:rightChars="-5"/>
                    <w:jc w:val="center"/>
                    <w:rPr>
                      <w:color w:val="auto"/>
                      <w:sz w:val="18"/>
                      <w:szCs w:val="18"/>
                    </w:rPr>
                  </w:pPr>
                  <w:r>
                    <w:rPr>
                      <w:color w:val="auto"/>
                      <w:sz w:val="18"/>
                      <w:szCs w:val="18"/>
                    </w:rPr>
                    <w:t>类比法</w:t>
                  </w:r>
                </w:p>
              </w:tc>
              <w:tc>
                <w:tcPr>
                  <w:tcW w:w="436" w:type="pct"/>
                  <w:vAlign w:val="center"/>
                </w:tcPr>
                <w:p>
                  <w:pPr>
                    <w:adjustRightInd w:val="0"/>
                    <w:snapToGrid w:val="0"/>
                    <w:ind w:left="-10" w:leftChars="-5" w:right="-10" w:rightChars="-5"/>
                    <w:jc w:val="center"/>
                    <w:rPr>
                      <w:color w:val="auto"/>
                      <w:sz w:val="18"/>
                      <w:szCs w:val="18"/>
                    </w:rPr>
                  </w:pPr>
                  <w:r>
                    <w:rPr>
                      <w:color w:val="auto"/>
                      <w:sz w:val="18"/>
                      <w:szCs w:val="18"/>
                    </w:rPr>
                    <w:t>90</w:t>
                  </w:r>
                </w:p>
              </w:tc>
              <w:tc>
                <w:tcPr>
                  <w:tcW w:w="635" w:type="pct"/>
                  <w:vMerge w:val="continue"/>
                  <w:vAlign w:val="center"/>
                </w:tcPr>
                <w:p>
                  <w:pPr>
                    <w:adjustRightInd w:val="0"/>
                    <w:snapToGrid w:val="0"/>
                    <w:ind w:left="-10" w:leftChars="-5" w:right="-10" w:rightChars="-5"/>
                    <w:jc w:val="center"/>
                    <w:rPr>
                      <w:color w:val="auto"/>
                      <w:sz w:val="18"/>
                      <w:szCs w:val="18"/>
                    </w:rPr>
                  </w:pPr>
                </w:p>
              </w:tc>
              <w:tc>
                <w:tcPr>
                  <w:tcW w:w="558" w:type="pct"/>
                  <w:vAlign w:val="center"/>
                </w:tcPr>
                <w:p>
                  <w:pPr>
                    <w:adjustRightInd w:val="0"/>
                    <w:snapToGrid w:val="0"/>
                    <w:ind w:left="-10" w:leftChars="-5" w:right="-10" w:rightChars="-5"/>
                    <w:jc w:val="center"/>
                    <w:rPr>
                      <w:color w:val="auto"/>
                      <w:sz w:val="18"/>
                      <w:szCs w:val="18"/>
                    </w:rPr>
                  </w:pPr>
                  <w:r>
                    <w:rPr>
                      <w:color w:val="auto"/>
                      <w:sz w:val="18"/>
                      <w:szCs w:val="18"/>
                    </w:rPr>
                    <w:t>10</w:t>
                  </w:r>
                </w:p>
              </w:tc>
              <w:tc>
                <w:tcPr>
                  <w:tcW w:w="579" w:type="pct"/>
                  <w:vAlign w:val="center"/>
                </w:tcPr>
                <w:p>
                  <w:pPr>
                    <w:widowControl/>
                    <w:adjustRightInd w:val="0"/>
                    <w:ind w:left="-10" w:leftChars="-5" w:right="-10" w:rightChars="-5"/>
                    <w:jc w:val="center"/>
                    <w:rPr>
                      <w:color w:val="auto"/>
                      <w:kern w:val="0"/>
                      <w:sz w:val="18"/>
                      <w:szCs w:val="18"/>
                    </w:rPr>
                  </w:pPr>
                  <w:r>
                    <w:rPr>
                      <w:color w:val="auto"/>
                      <w:kern w:val="0"/>
                      <w:sz w:val="18"/>
                      <w:szCs w:val="18"/>
                    </w:rPr>
                    <w:t>80</w:t>
                  </w:r>
                </w:p>
              </w:tc>
              <w:tc>
                <w:tcPr>
                  <w:tcW w:w="540" w:type="pct"/>
                  <w:vAlign w:val="center"/>
                </w:tcPr>
                <w:p>
                  <w:pPr>
                    <w:adjustRightInd w:val="0"/>
                    <w:snapToGrid w:val="0"/>
                    <w:ind w:left="-10" w:leftChars="-5" w:right="-10" w:rightChars="-5"/>
                    <w:jc w:val="center"/>
                    <w:rPr>
                      <w:color w:val="auto"/>
                      <w:sz w:val="18"/>
                      <w:szCs w:val="18"/>
                    </w:rPr>
                  </w:pPr>
                  <w:r>
                    <w:rPr>
                      <w:color w:val="auto"/>
                      <w:sz w:val="18"/>
                      <w:szCs w:val="18"/>
                    </w:rPr>
                    <w:t>2400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13" w:type="pct"/>
                  <w:vMerge w:val="continue"/>
                  <w:vAlign w:val="center"/>
                </w:tcPr>
                <w:p>
                  <w:pPr>
                    <w:adjustRightInd w:val="0"/>
                    <w:snapToGrid w:val="0"/>
                    <w:ind w:left="-10" w:leftChars="-5" w:right="-10" w:rightChars="-5"/>
                    <w:jc w:val="center"/>
                    <w:rPr>
                      <w:color w:val="auto"/>
                      <w:sz w:val="18"/>
                      <w:szCs w:val="18"/>
                    </w:rPr>
                  </w:pPr>
                </w:p>
              </w:tc>
              <w:tc>
                <w:tcPr>
                  <w:tcW w:w="644" w:type="pct"/>
                  <w:vAlign w:val="center"/>
                </w:tcPr>
                <w:p>
                  <w:pPr>
                    <w:adjustRightInd w:val="0"/>
                    <w:snapToGrid w:val="0"/>
                    <w:ind w:left="-10" w:leftChars="-5" w:right="-10" w:rightChars="-5"/>
                    <w:jc w:val="center"/>
                    <w:rPr>
                      <w:color w:val="auto"/>
                      <w:sz w:val="18"/>
                      <w:szCs w:val="18"/>
                      <w:lang w:val="zh-CN"/>
                    </w:rPr>
                  </w:pPr>
                  <w:r>
                    <w:rPr>
                      <w:color w:val="auto"/>
                      <w:sz w:val="18"/>
                      <w:szCs w:val="18"/>
                    </w:rPr>
                    <w:t>装载机</w:t>
                  </w:r>
                </w:p>
              </w:tc>
              <w:tc>
                <w:tcPr>
                  <w:tcW w:w="388" w:type="pct"/>
                  <w:vAlign w:val="center"/>
                </w:tcPr>
                <w:p>
                  <w:pPr>
                    <w:adjustRightInd w:val="0"/>
                    <w:snapToGrid w:val="0"/>
                    <w:ind w:left="-10" w:leftChars="-5" w:right="-10" w:rightChars="-5"/>
                    <w:jc w:val="center"/>
                    <w:rPr>
                      <w:color w:val="auto"/>
                      <w:sz w:val="18"/>
                      <w:szCs w:val="18"/>
                    </w:rPr>
                  </w:pPr>
                  <w:r>
                    <w:rPr>
                      <w:color w:val="auto"/>
                      <w:sz w:val="18"/>
                      <w:szCs w:val="18"/>
                    </w:rPr>
                    <w:t>频发</w:t>
                  </w:r>
                </w:p>
              </w:tc>
              <w:tc>
                <w:tcPr>
                  <w:tcW w:w="606" w:type="pct"/>
                  <w:vAlign w:val="center"/>
                </w:tcPr>
                <w:p>
                  <w:pPr>
                    <w:adjustRightInd w:val="0"/>
                    <w:snapToGrid w:val="0"/>
                    <w:ind w:left="-10" w:leftChars="-5" w:right="-10" w:rightChars="-5"/>
                    <w:jc w:val="center"/>
                    <w:rPr>
                      <w:color w:val="auto"/>
                      <w:sz w:val="18"/>
                      <w:szCs w:val="18"/>
                    </w:rPr>
                  </w:pPr>
                  <w:r>
                    <w:rPr>
                      <w:color w:val="auto"/>
                      <w:sz w:val="18"/>
                      <w:szCs w:val="18"/>
                    </w:rPr>
                    <w:t>类比法</w:t>
                  </w:r>
                </w:p>
              </w:tc>
              <w:tc>
                <w:tcPr>
                  <w:tcW w:w="436" w:type="pct"/>
                  <w:vAlign w:val="center"/>
                </w:tcPr>
                <w:p>
                  <w:pPr>
                    <w:adjustRightInd w:val="0"/>
                    <w:snapToGrid w:val="0"/>
                    <w:ind w:left="-10" w:leftChars="-5" w:right="-10" w:rightChars="-5"/>
                    <w:jc w:val="center"/>
                    <w:rPr>
                      <w:color w:val="auto"/>
                      <w:sz w:val="18"/>
                      <w:szCs w:val="18"/>
                    </w:rPr>
                  </w:pPr>
                  <w:r>
                    <w:rPr>
                      <w:color w:val="auto"/>
                      <w:sz w:val="18"/>
                      <w:szCs w:val="18"/>
                    </w:rPr>
                    <w:t>95</w:t>
                  </w:r>
                </w:p>
              </w:tc>
              <w:tc>
                <w:tcPr>
                  <w:tcW w:w="635" w:type="pct"/>
                  <w:vMerge w:val="continue"/>
                  <w:vAlign w:val="center"/>
                </w:tcPr>
                <w:p>
                  <w:pPr>
                    <w:adjustRightInd w:val="0"/>
                    <w:snapToGrid w:val="0"/>
                    <w:ind w:left="-10" w:leftChars="-5" w:right="-10" w:rightChars="-5"/>
                    <w:jc w:val="center"/>
                    <w:rPr>
                      <w:color w:val="auto"/>
                      <w:sz w:val="18"/>
                      <w:szCs w:val="18"/>
                    </w:rPr>
                  </w:pPr>
                </w:p>
              </w:tc>
              <w:tc>
                <w:tcPr>
                  <w:tcW w:w="558" w:type="pct"/>
                  <w:vAlign w:val="center"/>
                </w:tcPr>
                <w:p>
                  <w:pPr>
                    <w:adjustRightInd w:val="0"/>
                    <w:snapToGrid w:val="0"/>
                    <w:ind w:left="-10" w:leftChars="-5" w:right="-10" w:rightChars="-5"/>
                    <w:jc w:val="center"/>
                    <w:rPr>
                      <w:color w:val="auto"/>
                      <w:sz w:val="18"/>
                      <w:szCs w:val="18"/>
                    </w:rPr>
                  </w:pPr>
                  <w:r>
                    <w:rPr>
                      <w:color w:val="auto"/>
                      <w:sz w:val="18"/>
                      <w:szCs w:val="18"/>
                    </w:rPr>
                    <w:t>10</w:t>
                  </w:r>
                </w:p>
              </w:tc>
              <w:tc>
                <w:tcPr>
                  <w:tcW w:w="579" w:type="pct"/>
                  <w:vAlign w:val="center"/>
                </w:tcPr>
                <w:p>
                  <w:pPr>
                    <w:widowControl/>
                    <w:adjustRightInd w:val="0"/>
                    <w:ind w:left="-10" w:leftChars="-5" w:right="-10" w:rightChars="-5"/>
                    <w:jc w:val="center"/>
                    <w:rPr>
                      <w:color w:val="auto"/>
                      <w:kern w:val="0"/>
                      <w:sz w:val="18"/>
                      <w:szCs w:val="18"/>
                    </w:rPr>
                  </w:pPr>
                  <w:r>
                    <w:rPr>
                      <w:color w:val="auto"/>
                      <w:kern w:val="0"/>
                      <w:sz w:val="18"/>
                      <w:szCs w:val="18"/>
                    </w:rPr>
                    <w:t>85</w:t>
                  </w:r>
                </w:p>
              </w:tc>
              <w:tc>
                <w:tcPr>
                  <w:tcW w:w="540" w:type="pct"/>
                  <w:vAlign w:val="center"/>
                </w:tcPr>
                <w:p>
                  <w:pPr>
                    <w:adjustRightInd w:val="0"/>
                    <w:snapToGrid w:val="0"/>
                    <w:ind w:left="-10" w:leftChars="-5" w:right="-10" w:rightChars="-5"/>
                    <w:jc w:val="center"/>
                    <w:rPr>
                      <w:color w:val="auto"/>
                      <w:sz w:val="18"/>
                      <w:szCs w:val="18"/>
                    </w:rPr>
                  </w:pPr>
                  <w:r>
                    <w:rPr>
                      <w:color w:val="auto"/>
                      <w:sz w:val="18"/>
                      <w:szCs w:val="18"/>
                    </w:rPr>
                    <w:t>2400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13" w:type="pct"/>
                  <w:vMerge w:val="continue"/>
                  <w:vAlign w:val="center"/>
                </w:tcPr>
                <w:p>
                  <w:pPr>
                    <w:adjustRightInd w:val="0"/>
                    <w:snapToGrid w:val="0"/>
                    <w:ind w:left="-10" w:leftChars="-5" w:right="-10" w:rightChars="-5"/>
                    <w:jc w:val="center"/>
                    <w:rPr>
                      <w:color w:val="auto"/>
                      <w:sz w:val="18"/>
                      <w:szCs w:val="18"/>
                    </w:rPr>
                  </w:pPr>
                </w:p>
              </w:tc>
              <w:tc>
                <w:tcPr>
                  <w:tcW w:w="644" w:type="pct"/>
                  <w:vAlign w:val="center"/>
                </w:tcPr>
                <w:p>
                  <w:pPr>
                    <w:adjustRightInd w:val="0"/>
                    <w:snapToGrid w:val="0"/>
                    <w:ind w:left="-10" w:leftChars="-5" w:right="-10" w:rightChars="-5"/>
                    <w:jc w:val="center"/>
                    <w:rPr>
                      <w:color w:val="auto"/>
                      <w:sz w:val="18"/>
                      <w:szCs w:val="18"/>
                    </w:rPr>
                  </w:pPr>
                  <w:r>
                    <w:rPr>
                      <w:color w:val="auto"/>
                      <w:sz w:val="18"/>
                      <w:szCs w:val="18"/>
                      <w:lang w:val="zh-CN"/>
                    </w:rPr>
                    <w:t>空压机</w:t>
                  </w:r>
                </w:p>
              </w:tc>
              <w:tc>
                <w:tcPr>
                  <w:tcW w:w="388" w:type="pct"/>
                  <w:vAlign w:val="center"/>
                </w:tcPr>
                <w:p>
                  <w:pPr>
                    <w:adjustRightInd w:val="0"/>
                    <w:snapToGrid w:val="0"/>
                    <w:ind w:left="-10" w:leftChars="-5" w:right="-10" w:rightChars="-5"/>
                    <w:jc w:val="center"/>
                    <w:rPr>
                      <w:color w:val="auto"/>
                      <w:sz w:val="18"/>
                      <w:szCs w:val="18"/>
                    </w:rPr>
                  </w:pPr>
                  <w:r>
                    <w:rPr>
                      <w:color w:val="auto"/>
                      <w:sz w:val="18"/>
                      <w:szCs w:val="18"/>
                    </w:rPr>
                    <w:t>偶发</w:t>
                  </w:r>
                </w:p>
              </w:tc>
              <w:tc>
                <w:tcPr>
                  <w:tcW w:w="606" w:type="pct"/>
                  <w:vAlign w:val="center"/>
                </w:tcPr>
                <w:p>
                  <w:pPr>
                    <w:adjustRightInd w:val="0"/>
                    <w:snapToGrid w:val="0"/>
                    <w:ind w:left="-10" w:leftChars="-5" w:right="-10" w:rightChars="-5"/>
                    <w:jc w:val="center"/>
                    <w:rPr>
                      <w:color w:val="auto"/>
                      <w:sz w:val="18"/>
                      <w:szCs w:val="18"/>
                    </w:rPr>
                  </w:pPr>
                  <w:r>
                    <w:rPr>
                      <w:color w:val="auto"/>
                      <w:sz w:val="18"/>
                      <w:szCs w:val="18"/>
                    </w:rPr>
                    <w:t>类比法</w:t>
                  </w:r>
                </w:p>
              </w:tc>
              <w:tc>
                <w:tcPr>
                  <w:tcW w:w="436" w:type="pct"/>
                  <w:vAlign w:val="center"/>
                </w:tcPr>
                <w:p>
                  <w:pPr>
                    <w:adjustRightInd w:val="0"/>
                    <w:snapToGrid w:val="0"/>
                    <w:ind w:left="-10" w:leftChars="-5" w:right="-10" w:rightChars="-5"/>
                    <w:jc w:val="center"/>
                    <w:rPr>
                      <w:color w:val="auto"/>
                      <w:sz w:val="18"/>
                      <w:szCs w:val="18"/>
                    </w:rPr>
                  </w:pPr>
                  <w:r>
                    <w:rPr>
                      <w:color w:val="auto"/>
                      <w:sz w:val="18"/>
                      <w:szCs w:val="18"/>
                    </w:rPr>
                    <w:t>90</w:t>
                  </w:r>
                </w:p>
              </w:tc>
              <w:tc>
                <w:tcPr>
                  <w:tcW w:w="635" w:type="pct"/>
                  <w:vMerge w:val="continue"/>
                  <w:vAlign w:val="center"/>
                </w:tcPr>
                <w:p>
                  <w:pPr>
                    <w:adjustRightInd w:val="0"/>
                    <w:snapToGrid w:val="0"/>
                    <w:ind w:left="-10" w:leftChars="-5" w:right="-10" w:rightChars="-5"/>
                    <w:jc w:val="center"/>
                    <w:rPr>
                      <w:color w:val="auto"/>
                      <w:sz w:val="18"/>
                      <w:szCs w:val="18"/>
                    </w:rPr>
                  </w:pPr>
                </w:p>
              </w:tc>
              <w:tc>
                <w:tcPr>
                  <w:tcW w:w="558" w:type="pct"/>
                  <w:vAlign w:val="center"/>
                </w:tcPr>
                <w:p>
                  <w:pPr>
                    <w:adjustRightInd w:val="0"/>
                    <w:snapToGrid w:val="0"/>
                    <w:ind w:left="-10" w:leftChars="-5" w:right="-10" w:rightChars="-5"/>
                    <w:jc w:val="center"/>
                    <w:rPr>
                      <w:color w:val="auto"/>
                      <w:sz w:val="18"/>
                      <w:szCs w:val="18"/>
                    </w:rPr>
                  </w:pPr>
                  <w:r>
                    <w:rPr>
                      <w:color w:val="auto"/>
                      <w:sz w:val="18"/>
                      <w:szCs w:val="18"/>
                    </w:rPr>
                    <w:t>10</w:t>
                  </w:r>
                </w:p>
              </w:tc>
              <w:tc>
                <w:tcPr>
                  <w:tcW w:w="579" w:type="pct"/>
                  <w:vAlign w:val="center"/>
                </w:tcPr>
                <w:p>
                  <w:pPr>
                    <w:widowControl/>
                    <w:adjustRightInd w:val="0"/>
                    <w:ind w:left="-10" w:leftChars="-5" w:right="-10" w:rightChars="-5"/>
                    <w:jc w:val="center"/>
                    <w:rPr>
                      <w:color w:val="auto"/>
                      <w:kern w:val="0"/>
                      <w:sz w:val="18"/>
                      <w:szCs w:val="18"/>
                    </w:rPr>
                  </w:pPr>
                  <w:r>
                    <w:rPr>
                      <w:color w:val="auto"/>
                      <w:kern w:val="0"/>
                      <w:sz w:val="18"/>
                      <w:szCs w:val="18"/>
                    </w:rPr>
                    <w:t>80</w:t>
                  </w:r>
                </w:p>
              </w:tc>
              <w:tc>
                <w:tcPr>
                  <w:tcW w:w="540" w:type="pct"/>
                  <w:vAlign w:val="center"/>
                </w:tcPr>
                <w:p>
                  <w:pPr>
                    <w:adjustRightInd w:val="0"/>
                    <w:snapToGrid w:val="0"/>
                    <w:ind w:left="-10" w:leftChars="-5" w:right="-10" w:rightChars="-5"/>
                    <w:jc w:val="center"/>
                    <w:rPr>
                      <w:color w:val="auto"/>
                      <w:sz w:val="18"/>
                      <w:szCs w:val="18"/>
                    </w:rPr>
                  </w:pPr>
                  <w:r>
                    <w:rPr>
                      <w:color w:val="auto"/>
                      <w:sz w:val="18"/>
                      <w:szCs w:val="18"/>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613" w:type="pct"/>
                  <w:vMerge w:val="continue"/>
                  <w:vAlign w:val="center"/>
                </w:tcPr>
                <w:p>
                  <w:pPr>
                    <w:adjustRightInd w:val="0"/>
                    <w:snapToGrid w:val="0"/>
                    <w:ind w:left="-10" w:leftChars="-5" w:right="-10" w:rightChars="-5"/>
                    <w:jc w:val="center"/>
                    <w:rPr>
                      <w:color w:val="auto"/>
                      <w:sz w:val="18"/>
                      <w:szCs w:val="18"/>
                    </w:rPr>
                  </w:pPr>
                </w:p>
              </w:tc>
              <w:tc>
                <w:tcPr>
                  <w:tcW w:w="644" w:type="pct"/>
                  <w:vAlign w:val="center"/>
                </w:tcPr>
                <w:p>
                  <w:pPr>
                    <w:adjustRightInd w:val="0"/>
                    <w:snapToGrid w:val="0"/>
                    <w:ind w:left="-10" w:leftChars="-5" w:right="-10" w:rightChars="-5"/>
                    <w:jc w:val="center"/>
                    <w:rPr>
                      <w:color w:val="auto"/>
                      <w:sz w:val="18"/>
                      <w:szCs w:val="18"/>
                    </w:rPr>
                  </w:pPr>
                  <w:r>
                    <w:rPr>
                      <w:color w:val="auto"/>
                      <w:sz w:val="18"/>
                      <w:szCs w:val="18"/>
                      <w:lang w:val="zh-CN"/>
                    </w:rPr>
                    <w:t>爆破</w:t>
                  </w:r>
                </w:p>
              </w:tc>
              <w:tc>
                <w:tcPr>
                  <w:tcW w:w="388" w:type="pct"/>
                  <w:vAlign w:val="center"/>
                </w:tcPr>
                <w:p>
                  <w:pPr>
                    <w:adjustRightInd w:val="0"/>
                    <w:snapToGrid w:val="0"/>
                    <w:ind w:left="-10" w:leftChars="-5" w:right="-10" w:rightChars="-5"/>
                    <w:jc w:val="center"/>
                    <w:rPr>
                      <w:color w:val="auto"/>
                      <w:sz w:val="18"/>
                      <w:szCs w:val="18"/>
                    </w:rPr>
                  </w:pPr>
                  <w:r>
                    <w:rPr>
                      <w:color w:val="auto"/>
                      <w:sz w:val="18"/>
                      <w:szCs w:val="18"/>
                    </w:rPr>
                    <w:t>偶发</w:t>
                  </w:r>
                </w:p>
              </w:tc>
              <w:tc>
                <w:tcPr>
                  <w:tcW w:w="606" w:type="pct"/>
                  <w:vAlign w:val="center"/>
                </w:tcPr>
                <w:p>
                  <w:pPr>
                    <w:adjustRightInd w:val="0"/>
                    <w:snapToGrid w:val="0"/>
                    <w:ind w:left="-10" w:leftChars="-5" w:right="-10" w:rightChars="-5"/>
                    <w:jc w:val="center"/>
                    <w:rPr>
                      <w:color w:val="auto"/>
                      <w:sz w:val="18"/>
                      <w:szCs w:val="18"/>
                    </w:rPr>
                  </w:pPr>
                  <w:r>
                    <w:rPr>
                      <w:color w:val="auto"/>
                      <w:sz w:val="18"/>
                      <w:szCs w:val="18"/>
                    </w:rPr>
                    <w:t>类比法</w:t>
                  </w:r>
                </w:p>
              </w:tc>
              <w:tc>
                <w:tcPr>
                  <w:tcW w:w="436" w:type="pct"/>
                  <w:vAlign w:val="center"/>
                </w:tcPr>
                <w:p>
                  <w:pPr>
                    <w:adjustRightInd w:val="0"/>
                    <w:snapToGrid w:val="0"/>
                    <w:ind w:left="-10" w:leftChars="-5" w:right="-10" w:rightChars="-5"/>
                    <w:jc w:val="center"/>
                    <w:rPr>
                      <w:color w:val="auto"/>
                      <w:sz w:val="18"/>
                      <w:szCs w:val="18"/>
                    </w:rPr>
                  </w:pPr>
                  <w:r>
                    <w:rPr>
                      <w:color w:val="auto"/>
                      <w:sz w:val="18"/>
                      <w:szCs w:val="18"/>
                    </w:rPr>
                    <w:t>130</w:t>
                  </w:r>
                </w:p>
              </w:tc>
              <w:tc>
                <w:tcPr>
                  <w:tcW w:w="635" w:type="pct"/>
                  <w:vMerge w:val="continue"/>
                  <w:vAlign w:val="center"/>
                </w:tcPr>
                <w:p>
                  <w:pPr>
                    <w:adjustRightInd w:val="0"/>
                    <w:snapToGrid w:val="0"/>
                    <w:ind w:left="-10" w:leftChars="-5" w:right="-10" w:rightChars="-5"/>
                    <w:jc w:val="center"/>
                    <w:rPr>
                      <w:color w:val="auto"/>
                      <w:sz w:val="18"/>
                      <w:szCs w:val="18"/>
                    </w:rPr>
                  </w:pPr>
                </w:p>
              </w:tc>
              <w:tc>
                <w:tcPr>
                  <w:tcW w:w="558" w:type="pct"/>
                  <w:vAlign w:val="center"/>
                </w:tcPr>
                <w:p>
                  <w:pPr>
                    <w:adjustRightInd w:val="0"/>
                    <w:snapToGrid w:val="0"/>
                    <w:ind w:left="-10" w:leftChars="-5" w:right="-10" w:rightChars="-5"/>
                    <w:jc w:val="center"/>
                    <w:rPr>
                      <w:color w:val="auto"/>
                      <w:sz w:val="18"/>
                      <w:szCs w:val="18"/>
                    </w:rPr>
                  </w:pPr>
                  <w:r>
                    <w:rPr>
                      <w:color w:val="auto"/>
                      <w:sz w:val="18"/>
                      <w:szCs w:val="18"/>
                    </w:rPr>
                    <w:t>/</w:t>
                  </w:r>
                </w:p>
              </w:tc>
              <w:tc>
                <w:tcPr>
                  <w:tcW w:w="579" w:type="pct"/>
                  <w:vAlign w:val="center"/>
                </w:tcPr>
                <w:p>
                  <w:pPr>
                    <w:widowControl/>
                    <w:adjustRightInd w:val="0"/>
                    <w:ind w:left="-10" w:leftChars="-5" w:right="-10" w:rightChars="-5"/>
                    <w:jc w:val="center"/>
                    <w:rPr>
                      <w:color w:val="auto"/>
                      <w:kern w:val="0"/>
                      <w:sz w:val="18"/>
                      <w:szCs w:val="18"/>
                    </w:rPr>
                  </w:pPr>
                  <w:r>
                    <w:rPr>
                      <w:color w:val="auto"/>
                      <w:kern w:val="0"/>
                      <w:sz w:val="18"/>
                      <w:szCs w:val="18"/>
                    </w:rPr>
                    <w:t>65</w:t>
                  </w:r>
                </w:p>
              </w:tc>
              <w:tc>
                <w:tcPr>
                  <w:tcW w:w="540" w:type="pct"/>
                  <w:vAlign w:val="center"/>
                </w:tcPr>
                <w:p>
                  <w:pPr>
                    <w:adjustRightInd w:val="0"/>
                    <w:snapToGrid w:val="0"/>
                    <w:ind w:left="-10" w:leftChars="-5" w:right="-10" w:rightChars="-5"/>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13" w:type="pct"/>
                  <w:vMerge w:val="restart"/>
                  <w:vAlign w:val="center"/>
                </w:tcPr>
                <w:p>
                  <w:pPr>
                    <w:adjustRightInd w:val="0"/>
                    <w:snapToGrid w:val="0"/>
                    <w:ind w:left="-10" w:leftChars="-5" w:right="-10" w:rightChars="-5"/>
                    <w:jc w:val="center"/>
                    <w:rPr>
                      <w:color w:val="auto"/>
                      <w:sz w:val="18"/>
                      <w:szCs w:val="18"/>
                    </w:rPr>
                  </w:pPr>
                  <w:r>
                    <w:rPr>
                      <w:color w:val="auto"/>
                      <w:sz w:val="18"/>
                      <w:szCs w:val="18"/>
                    </w:rPr>
                    <w:t>生产区</w:t>
                  </w:r>
                </w:p>
              </w:tc>
              <w:tc>
                <w:tcPr>
                  <w:tcW w:w="644" w:type="pct"/>
                  <w:vAlign w:val="center"/>
                </w:tcPr>
                <w:p>
                  <w:pPr>
                    <w:adjustRightInd w:val="0"/>
                    <w:snapToGrid w:val="0"/>
                    <w:ind w:left="-10" w:leftChars="-5" w:right="-10" w:rightChars="-5"/>
                    <w:jc w:val="center"/>
                    <w:rPr>
                      <w:color w:val="auto"/>
                      <w:sz w:val="18"/>
                      <w:szCs w:val="18"/>
                      <w:lang w:val="zh-CN"/>
                    </w:rPr>
                  </w:pPr>
                  <w:r>
                    <w:rPr>
                      <w:color w:val="auto"/>
                      <w:sz w:val="18"/>
                      <w:szCs w:val="18"/>
                    </w:rPr>
                    <w:t>振动给料机</w:t>
                  </w:r>
                </w:p>
              </w:tc>
              <w:tc>
                <w:tcPr>
                  <w:tcW w:w="388" w:type="pct"/>
                  <w:vAlign w:val="center"/>
                </w:tcPr>
                <w:p>
                  <w:pPr>
                    <w:adjustRightInd w:val="0"/>
                    <w:snapToGrid w:val="0"/>
                    <w:ind w:left="-10" w:leftChars="-5" w:right="-10" w:rightChars="-5"/>
                    <w:jc w:val="center"/>
                    <w:rPr>
                      <w:color w:val="auto"/>
                      <w:sz w:val="18"/>
                      <w:szCs w:val="18"/>
                    </w:rPr>
                  </w:pPr>
                  <w:r>
                    <w:rPr>
                      <w:color w:val="auto"/>
                      <w:sz w:val="18"/>
                      <w:szCs w:val="18"/>
                    </w:rPr>
                    <w:t>频发</w:t>
                  </w:r>
                </w:p>
              </w:tc>
              <w:tc>
                <w:tcPr>
                  <w:tcW w:w="606" w:type="pct"/>
                  <w:vAlign w:val="center"/>
                </w:tcPr>
                <w:p>
                  <w:pPr>
                    <w:adjustRightInd w:val="0"/>
                    <w:snapToGrid w:val="0"/>
                    <w:ind w:left="-10" w:leftChars="-5" w:right="-10" w:rightChars="-5"/>
                    <w:jc w:val="center"/>
                    <w:rPr>
                      <w:color w:val="auto"/>
                      <w:sz w:val="18"/>
                      <w:szCs w:val="18"/>
                    </w:rPr>
                  </w:pPr>
                  <w:r>
                    <w:rPr>
                      <w:color w:val="auto"/>
                      <w:sz w:val="18"/>
                      <w:szCs w:val="18"/>
                    </w:rPr>
                    <w:t>类比法</w:t>
                  </w:r>
                </w:p>
              </w:tc>
              <w:tc>
                <w:tcPr>
                  <w:tcW w:w="436" w:type="pct"/>
                  <w:vAlign w:val="center"/>
                </w:tcPr>
                <w:p>
                  <w:pPr>
                    <w:adjustRightInd w:val="0"/>
                    <w:snapToGrid w:val="0"/>
                    <w:ind w:left="-10" w:leftChars="-5" w:right="-10" w:rightChars="-5"/>
                    <w:jc w:val="center"/>
                    <w:rPr>
                      <w:color w:val="auto"/>
                      <w:sz w:val="18"/>
                      <w:szCs w:val="18"/>
                    </w:rPr>
                  </w:pPr>
                  <w:r>
                    <w:rPr>
                      <w:color w:val="auto"/>
                      <w:sz w:val="18"/>
                      <w:szCs w:val="18"/>
                    </w:rPr>
                    <w:t>90</w:t>
                  </w:r>
                </w:p>
              </w:tc>
              <w:tc>
                <w:tcPr>
                  <w:tcW w:w="635" w:type="pct"/>
                  <w:vMerge w:val="restart"/>
                  <w:vAlign w:val="center"/>
                </w:tcPr>
                <w:p>
                  <w:pPr>
                    <w:adjustRightInd w:val="0"/>
                    <w:snapToGrid w:val="0"/>
                    <w:ind w:left="21" w:leftChars="10" w:right="21" w:rightChars="10"/>
                    <w:rPr>
                      <w:color w:val="auto"/>
                      <w:sz w:val="18"/>
                      <w:szCs w:val="18"/>
                    </w:rPr>
                  </w:pPr>
                  <w:r>
                    <w:rPr>
                      <w:color w:val="auto"/>
                      <w:sz w:val="18"/>
                      <w:szCs w:val="18"/>
                    </w:rPr>
                    <w:t>优选设备、减振消声、优化布局、建筑隔声、加强管理</w:t>
                  </w:r>
                </w:p>
              </w:tc>
              <w:tc>
                <w:tcPr>
                  <w:tcW w:w="558" w:type="pct"/>
                  <w:vAlign w:val="center"/>
                </w:tcPr>
                <w:p>
                  <w:pPr>
                    <w:adjustRightInd w:val="0"/>
                    <w:snapToGrid w:val="0"/>
                    <w:ind w:left="-10" w:leftChars="-5" w:right="-10" w:rightChars="-5"/>
                    <w:jc w:val="center"/>
                    <w:rPr>
                      <w:color w:val="auto"/>
                      <w:sz w:val="18"/>
                      <w:szCs w:val="18"/>
                    </w:rPr>
                  </w:pPr>
                  <w:r>
                    <w:rPr>
                      <w:color w:val="auto"/>
                      <w:sz w:val="18"/>
                      <w:szCs w:val="18"/>
                    </w:rPr>
                    <w:t>20</w:t>
                  </w:r>
                </w:p>
              </w:tc>
              <w:tc>
                <w:tcPr>
                  <w:tcW w:w="579" w:type="pct"/>
                  <w:vAlign w:val="center"/>
                </w:tcPr>
                <w:p>
                  <w:pPr>
                    <w:widowControl/>
                    <w:adjustRightInd w:val="0"/>
                    <w:ind w:left="-10" w:leftChars="-5" w:right="-10" w:rightChars="-5"/>
                    <w:jc w:val="center"/>
                    <w:rPr>
                      <w:color w:val="auto"/>
                      <w:kern w:val="0"/>
                      <w:sz w:val="18"/>
                      <w:szCs w:val="18"/>
                    </w:rPr>
                  </w:pPr>
                  <w:r>
                    <w:rPr>
                      <w:color w:val="auto"/>
                      <w:kern w:val="0"/>
                      <w:sz w:val="18"/>
                      <w:szCs w:val="18"/>
                    </w:rPr>
                    <w:t>70</w:t>
                  </w:r>
                </w:p>
              </w:tc>
              <w:tc>
                <w:tcPr>
                  <w:tcW w:w="540" w:type="pct"/>
                  <w:vAlign w:val="center"/>
                </w:tcPr>
                <w:p>
                  <w:pPr>
                    <w:adjustRightInd w:val="0"/>
                    <w:snapToGrid w:val="0"/>
                    <w:ind w:left="-10" w:leftChars="-5" w:right="-10" w:rightChars="-5"/>
                    <w:jc w:val="center"/>
                    <w:rPr>
                      <w:color w:val="auto"/>
                      <w:sz w:val="18"/>
                      <w:szCs w:val="18"/>
                    </w:rPr>
                  </w:pPr>
                  <w:r>
                    <w:rPr>
                      <w:color w:val="auto"/>
                      <w:sz w:val="18"/>
                      <w:szCs w:val="18"/>
                    </w:rPr>
                    <w:t>2400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13" w:type="pct"/>
                  <w:vMerge w:val="continue"/>
                  <w:vAlign w:val="center"/>
                </w:tcPr>
                <w:p>
                  <w:pPr>
                    <w:adjustRightInd w:val="0"/>
                    <w:snapToGrid w:val="0"/>
                    <w:ind w:left="-10" w:leftChars="-5" w:right="-10" w:rightChars="-5"/>
                    <w:jc w:val="center"/>
                    <w:rPr>
                      <w:color w:val="auto"/>
                      <w:sz w:val="18"/>
                      <w:szCs w:val="18"/>
                      <w:lang w:val="zh-CN"/>
                    </w:rPr>
                  </w:pPr>
                </w:p>
              </w:tc>
              <w:tc>
                <w:tcPr>
                  <w:tcW w:w="644" w:type="pct"/>
                  <w:vAlign w:val="center"/>
                </w:tcPr>
                <w:p>
                  <w:pPr>
                    <w:adjustRightInd w:val="0"/>
                    <w:snapToGrid w:val="0"/>
                    <w:ind w:left="-10" w:leftChars="-5" w:right="-10" w:rightChars="-5"/>
                    <w:jc w:val="center"/>
                    <w:rPr>
                      <w:color w:val="auto"/>
                      <w:sz w:val="18"/>
                      <w:szCs w:val="18"/>
                      <w:lang w:val="zh-CN"/>
                    </w:rPr>
                  </w:pPr>
                  <w:r>
                    <w:rPr>
                      <w:color w:val="auto"/>
                      <w:sz w:val="18"/>
                      <w:szCs w:val="18"/>
                    </w:rPr>
                    <w:t>破碎机</w:t>
                  </w:r>
                </w:p>
              </w:tc>
              <w:tc>
                <w:tcPr>
                  <w:tcW w:w="388" w:type="pct"/>
                </w:tcPr>
                <w:p>
                  <w:pPr>
                    <w:adjustRightInd w:val="0"/>
                    <w:snapToGrid w:val="0"/>
                    <w:ind w:left="-10" w:leftChars="-5" w:right="-10" w:rightChars="-5"/>
                    <w:jc w:val="center"/>
                    <w:rPr>
                      <w:color w:val="auto"/>
                      <w:sz w:val="18"/>
                      <w:szCs w:val="18"/>
                    </w:rPr>
                  </w:pPr>
                  <w:r>
                    <w:rPr>
                      <w:color w:val="auto"/>
                      <w:sz w:val="18"/>
                      <w:szCs w:val="18"/>
                    </w:rPr>
                    <w:t>频发</w:t>
                  </w:r>
                </w:p>
              </w:tc>
              <w:tc>
                <w:tcPr>
                  <w:tcW w:w="606" w:type="pct"/>
                  <w:vAlign w:val="center"/>
                </w:tcPr>
                <w:p>
                  <w:pPr>
                    <w:adjustRightInd w:val="0"/>
                    <w:snapToGrid w:val="0"/>
                    <w:ind w:left="-10" w:leftChars="-5" w:right="-10" w:rightChars="-5"/>
                    <w:jc w:val="center"/>
                    <w:rPr>
                      <w:color w:val="auto"/>
                      <w:sz w:val="18"/>
                      <w:szCs w:val="18"/>
                    </w:rPr>
                  </w:pPr>
                  <w:r>
                    <w:rPr>
                      <w:color w:val="auto"/>
                      <w:sz w:val="18"/>
                      <w:szCs w:val="18"/>
                    </w:rPr>
                    <w:t>类比法</w:t>
                  </w:r>
                </w:p>
              </w:tc>
              <w:tc>
                <w:tcPr>
                  <w:tcW w:w="436" w:type="pct"/>
                  <w:vAlign w:val="center"/>
                </w:tcPr>
                <w:p>
                  <w:pPr>
                    <w:adjustRightInd w:val="0"/>
                    <w:snapToGrid w:val="0"/>
                    <w:ind w:left="-10" w:leftChars="-5" w:right="-10" w:rightChars="-5"/>
                    <w:jc w:val="center"/>
                    <w:rPr>
                      <w:color w:val="auto"/>
                      <w:sz w:val="18"/>
                      <w:szCs w:val="18"/>
                    </w:rPr>
                  </w:pPr>
                  <w:r>
                    <w:rPr>
                      <w:color w:val="auto"/>
                      <w:sz w:val="18"/>
                      <w:szCs w:val="18"/>
                    </w:rPr>
                    <w:t>95</w:t>
                  </w:r>
                </w:p>
              </w:tc>
              <w:tc>
                <w:tcPr>
                  <w:tcW w:w="635" w:type="pct"/>
                  <w:vMerge w:val="continue"/>
                  <w:vAlign w:val="center"/>
                </w:tcPr>
                <w:p>
                  <w:pPr>
                    <w:adjustRightInd w:val="0"/>
                    <w:snapToGrid w:val="0"/>
                    <w:ind w:left="-10" w:leftChars="-5" w:right="-10" w:rightChars="-5"/>
                    <w:jc w:val="center"/>
                    <w:rPr>
                      <w:color w:val="auto"/>
                      <w:sz w:val="18"/>
                      <w:szCs w:val="18"/>
                    </w:rPr>
                  </w:pPr>
                </w:p>
              </w:tc>
              <w:tc>
                <w:tcPr>
                  <w:tcW w:w="558" w:type="pct"/>
                  <w:vAlign w:val="center"/>
                </w:tcPr>
                <w:p>
                  <w:pPr>
                    <w:adjustRightInd w:val="0"/>
                    <w:snapToGrid w:val="0"/>
                    <w:ind w:left="-10" w:leftChars="-5" w:right="-10" w:rightChars="-5"/>
                    <w:jc w:val="center"/>
                    <w:rPr>
                      <w:color w:val="auto"/>
                      <w:sz w:val="18"/>
                      <w:szCs w:val="18"/>
                    </w:rPr>
                  </w:pPr>
                  <w:r>
                    <w:rPr>
                      <w:color w:val="auto"/>
                      <w:sz w:val="18"/>
                      <w:szCs w:val="18"/>
                    </w:rPr>
                    <w:t>20</w:t>
                  </w:r>
                </w:p>
              </w:tc>
              <w:tc>
                <w:tcPr>
                  <w:tcW w:w="579" w:type="pct"/>
                  <w:vAlign w:val="center"/>
                </w:tcPr>
                <w:p>
                  <w:pPr>
                    <w:widowControl/>
                    <w:adjustRightInd w:val="0"/>
                    <w:ind w:left="-10" w:leftChars="-5" w:right="-10" w:rightChars="-5"/>
                    <w:jc w:val="center"/>
                    <w:rPr>
                      <w:color w:val="auto"/>
                      <w:kern w:val="0"/>
                      <w:sz w:val="18"/>
                      <w:szCs w:val="18"/>
                    </w:rPr>
                  </w:pPr>
                  <w:r>
                    <w:rPr>
                      <w:color w:val="auto"/>
                      <w:kern w:val="0"/>
                      <w:sz w:val="18"/>
                      <w:szCs w:val="18"/>
                    </w:rPr>
                    <w:t>75</w:t>
                  </w:r>
                </w:p>
              </w:tc>
              <w:tc>
                <w:tcPr>
                  <w:tcW w:w="540" w:type="pct"/>
                  <w:vAlign w:val="center"/>
                </w:tcPr>
                <w:p>
                  <w:pPr>
                    <w:adjustRightInd w:val="0"/>
                    <w:snapToGrid w:val="0"/>
                    <w:ind w:left="-10" w:leftChars="-5" w:right="-10" w:rightChars="-5"/>
                    <w:jc w:val="center"/>
                    <w:rPr>
                      <w:color w:val="auto"/>
                      <w:sz w:val="18"/>
                      <w:szCs w:val="18"/>
                    </w:rPr>
                  </w:pPr>
                  <w:r>
                    <w:rPr>
                      <w:color w:val="auto"/>
                      <w:sz w:val="18"/>
                      <w:szCs w:val="18"/>
                    </w:rPr>
                    <w:t>2400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13" w:type="pct"/>
                  <w:vMerge w:val="continue"/>
                  <w:vAlign w:val="center"/>
                </w:tcPr>
                <w:p>
                  <w:pPr>
                    <w:adjustRightInd w:val="0"/>
                    <w:snapToGrid w:val="0"/>
                    <w:ind w:left="-10" w:leftChars="-5" w:right="-10" w:rightChars="-5"/>
                    <w:jc w:val="center"/>
                    <w:rPr>
                      <w:color w:val="auto"/>
                      <w:sz w:val="18"/>
                      <w:szCs w:val="18"/>
                      <w:lang w:val="zh-CN"/>
                    </w:rPr>
                  </w:pPr>
                </w:p>
              </w:tc>
              <w:tc>
                <w:tcPr>
                  <w:tcW w:w="644" w:type="pct"/>
                  <w:vAlign w:val="center"/>
                </w:tcPr>
                <w:p>
                  <w:pPr>
                    <w:adjustRightInd w:val="0"/>
                    <w:snapToGrid w:val="0"/>
                    <w:ind w:left="-10" w:leftChars="-5" w:right="-10" w:rightChars="-5"/>
                    <w:jc w:val="center"/>
                    <w:rPr>
                      <w:color w:val="auto"/>
                      <w:sz w:val="18"/>
                      <w:szCs w:val="18"/>
                    </w:rPr>
                  </w:pPr>
                  <w:r>
                    <w:rPr>
                      <w:color w:val="auto"/>
                      <w:sz w:val="18"/>
                      <w:szCs w:val="18"/>
                    </w:rPr>
                    <w:t>筛分机</w:t>
                  </w:r>
                </w:p>
              </w:tc>
              <w:tc>
                <w:tcPr>
                  <w:tcW w:w="388" w:type="pct"/>
                </w:tcPr>
                <w:p>
                  <w:pPr>
                    <w:adjustRightInd w:val="0"/>
                    <w:snapToGrid w:val="0"/>
                    <w:ind w:left="-10" w:leftChars="-5" w:right="-10" w:rightChars="-5"/>
                    <w:jc w:val="center"/>
                    <w:rPr>
                      <w:color w:val="auto"/>
                      <w:sz w:val="18"/>
                      <w:szCs w:val="18"/>
                    </w:rPr>
                  </w:pPr>
                  <w:r>
                    <w:rPr>
                      <w:color w:val="auto"/>
                      <w:sz w:val="18"/>
                      <w:szCs w:val="18"/>
                    </w:rPr>
                    <w:t>频发</w:t>
                  </w:r>
                </w:p>
              </w:tc>
              <w:tc>
                <w:tcPr>
                  <w:tcW w:w="606" w:type="pct"/>
                  <w:vAlign w:val="center"/>
                </w:tcPr>
                <w:p>
                  <w:pPr>
                    <w:adjustRightInd w:val="0"/>
                    <w:snapToGrid w:val="0"/>
                    <w:ind w:left="-10" w:leftChars="-5" w:right="-10" w:rightChars="-5"/>
                    <w:jc w:val="center"/>
                    <w:rPr>
                      <w:color w:val="auto"/>
                      <w:sz w:val="18"/>
                      <w:szCs w:val="18"/>
                    </w:rPr>
                  </w:pPr>
                  <w:r>
                    <w:rPr>
                      <w:color w:val="auto"/>
                      <w:sz w:val="18"/>
                      <w:szCs w:val="18"/>
                    </w:rPr>
                    <w:t>类比法</w:t>
                  </w:r>
                </w:p>
              </w:tc>
              <w:tc>
                <w:tcPr>
                  <w:tcW w:w="436" w:type="pct"/>
                  <w:vAlign w:val="center"/>
                </w:tcPr>
                <w:p>
                  <w:pPr>
                    <w:adjustRightInd w:val="0"/>
                    <w:snapToGrid w:val="0"/>
                    <w:ind w:left="-10" w:leftChars="-5" w:right="-10" w:rightChars="-5"/>
                    <w:jc w:val="center"/>
                    <w:rPr>
                      <w:color w:val="auto"/>
                      <w:sz w:val="18"/>
                      <w:szCs w:val="18"/>
                    </w:rPr>
                  </w:pPr>
                  <w:r>
                    <w:rPr>
                      <w:color w:val="auto"/>
                      <w:sz w:val="18"/>
                      <w:szCs w:val="18"/>
                    </w:rPr>
                    <w:t>90</w:t>
                  </w:r>
                </w:p>
              </w:tc>
              <w:tc>
                <w:tcPr>
                  <w:tcW w:w="635" w:type="pct"/>
                  <w:vMerge w:val="continue"/>
                  <w:vAlign w:val="center"/>
                </w:tcPr>
                <w:p>
                  <w:pPr>
                    <w:adjustRightInd w:val="0"/>
                    <w:snapToGrid w:val="0"/>
                    <w:ind w:left="-10" w:leftChars="-5" w:right="-10" w:rightChars="-5"/>
                    <w:jc w:val="center"/>
                    <w:rPr>
                      <w:color w:val="auto"/>
                      <w:sz w:val="18"/>
                      <w:szCs w:val="18"/>
                    </w:rPr>
                  </w:pPr>
                </w:p>
              </w:tc>
              <w:tc>
                <w:tcPr>
                  <w:tcW w:w="558" w:type="pct"/>
                  <w:vAlign w:val="center"/>
                </w:tcPr>
                <w:p>
                  <w:pPr>
                    <w:adjustRightInd w:val="0"/>
                    <w:snapToGrid w:val="0"/>
                    <w:ind w:left="-10" w:leftChars="-5" w:right="-10" w:rightChars="-5"/>
                    <w:jc w:val="center"/>
                    <w:rPr>
                      <w:color w:val="auto"/>
                      <w:sz w:val="18"/>
                      <w:szCs w:val="18"/>
                    </w:rPr>
                  </w:pPr>
                  <w:r>
                    <w:rPr>
                      <w:color w:val="auto"/>
                      <w:sz w:val="18"/>
                      <w:szCs w:val="18"/>
                    </w:rPr>
                    <w:t>20</w:t>
                  </w:r>
                </w:p>
              </w:tc>
              <w:tc>
                <w:tcPr>
                  <w:tcW w:w="579" w:type="pct"/>
                  <w:vAlign w:val="center"/>
                </w:tcPr>
                <w:p>
                  <w:pPr>
                    <w:widowControl/>
                    <w:adjustRightInd w:val="0"/>
                    <w:ind w:left="-10" w:leftChars="-5" w:right="-10" w:rightChars="-5"/>
                    <w:jc w:val="center"/>
                    <w:rPr>
                      <w:color w:val="auto"/>
                      <w:kern w:val="0"/>
                      <w:sz w:val="18"/>
                      <w:szCs w:val="18"/>
                    </w:rPr>
                  </w:pPr>
                  <w:r>
                    <w:rPr>
                      <w:color w:val="auto"/>
                      <w:kern w:val="0"/>
                      <w:sz w:val="18"/>
                      <w:szCs w:val="18"/>
                    </w:rPr>
                    <w:t>70</w:t>
                  </w:r>
                </w:p>
              </w:tc>
              <w:tc>
                <w:tcPr>
                  <w:tcW w:w="540" w:type="pct"/>
                  <w:vAlign w:val="center"/>
                </w:tcPr>
                <w:p>
                  <w:pPr>
                    <w:adjustRightInd w:val="0"/>
                    <w:snapToGrid w:val="0"/>
                    <w:ind w:left="-10" w:leftChars="-5" w:right="-10" w:rightChars="-5"/>
                    <w:jc w:val="center"/>
                    <w:rPr>
                      <w:color w:val="auto"/>
                      <w:sz w:val="18"/>
                      <w:szCs w:val="18"/>
                    </w:rPr>
                  </w:pPr>
                  <w:r>
                    <w:rPr>
                      <w:color w:val="auto"/>
                      <w:sz w:val="18"/>
                      <w:szCs w:val="18"/>
                    </w:rPr>
                    <w:t>2400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13" w:type="pct"/>
                  <w:vMerge w:val="continue"/>
                </w:tcPr>
                <w:p>
                  <w:pPr>
                    <w:adjustRightInd w:val="0"/>
                    <w:snapToGrid w:val="0"/>
                    <w:ind w:left="-10" w:leftChars="-5" w:right="-10" w:rightChars="-5"/>
                    <w:jc w:val="center"/>
                    <w:rPr>
                      <w:color w:val="auto"/>
                      <w:sz w:val="18"/>
                      <w:szCs w:val="18"/>
                      <w:lang w:val="zh-CN"/>
                    </w:rPr>
                  </w:pPr>
                </w:p>
              </w:tc>
              <w:tc>
                <w:tcPr>
                  <w:tcW w:w="644" w:type="pct"/>
                  <w:vAlign w:val="center"/>
                </w:tcPr>
                <w:p>
                  <w:pPr>
                    <w:adjustRightInd w:val="0"/>
                    <w:snapToGrid w:val="0"/>
                    <w:ind w:left="-10" w:leftChars="-5" w:right="-10" w:rightChars="-5"/>
                    <w:jc w:val="center"/>
                    <w:rPr>
                      <w:color w:val="auto"/>
                      <w:sz w:val="18"/>
                      <w:szCs w:val="18"/>
                    </w:rPr>
                  </w:pPr>
                  <w:r>
                    <w:rPr>
                      <w:color w:val="auto"/>
                      <w:sz w:val="18"/>
                      <w:szCs w:val="18"/>
                    </w:rPr>
                    <w:t>输送机</w:t>
                  </w:r>
                </w:p>
              </w:tc>
              <w:tc>
                <w:tcPr>
                  <w:tcW w:w="388" w:type="pct"/>
                </w:tcPr>
                <w:p>
                  <w:pPr>
                    <w:adjustRightInd w:val="0"/>
                    <w:snapToGrid w:val="0"/>
                    <w:ind w:left="-10" w:leftChars="-5" w:right="-10" w:rightChars="-5"/>
                    <w:jc w:val="center"/>
                    <w:rPr>
                      <w:color w:val="auto"/>
                      <w:sz w:val="18"/>
                      <w:szCs w:val="18"/>
                    </w:rPr>
                  </w:pPr>
                  <w:r>
                    <w:rPr>
                      <w:color w:val="auto"/>
                      <w:sz w:val="18"/>
                      <w:szCs w:val="18"/>
                    </w:rPr>
                    <w:t>频发</w:t>
                  </w:r>
                </w:p>
              </w:tc>
              <w:tc>
                <w:tcPr>
                  <w:tcW w:w="606" w:type="pct"/>
                </w:tcPr>
                <w:p>
                  <w:pPr>
                    <w:adjustRightInd w:val="0"/>
                    <w:snapToGrid w:val="0"/>
                    <w:ind w:left="-10" w:leftChars="-5" w:right="-10" w:rightChars="-5"/>
                    <w:jc w:val="center"/>
                    <w:rPr>
                      <w:color w:val="auto"/>
                      <w:sz w:val="18"/>
                      <w:szCs w:val="18"/>
                    </w:rPr>
                  </w:pPr>
                  <w:r>
                    <w:rPr>
                      <w:color w:val="auto"/>
                      <w:sz w:val="18"/>
                      <w:szCs w:val="18"/>
                    </w:rPr>
                    <w:t>类比法</w:t>
                  </w:r>
                </w:p>
              </w:tc>
              <w:tc>
                <w:tcPr>
                  <w:tcW w:w="436" w:type="pct"/>
                  <w:vAlign w:val="center"/>
                </w:tcPr>
                <w:p>
                  <w:pPr>
                    <w:adjustRightInd w:val="0"/>
                    <w:snapToGrid w:val="0"/>
                    <w:ind w:left="-10" w:leftChars="-5" w:right="-10" w:rightChars="-5"/>
                    <w:jc w:val="center"/>
                    <w:rPr>
                      <w:color w:val="auto"/>
                      <w:sz w:val="18"/>
                      <w:szCs w:val="18"/>
                    </w:rPr>
                  </w:pPr>
                  <w:r>
                    <w:rPr>
                      <w:color w:val="auto"/>
                      <w:sz w:val="18"/>
                      <w:szCs w:val="18"/>
                    </w:rPr>
                    <w:t>80</w:t>
                  </w:r>
                </w:p>
              </w:tc>
              <w:tc>
                <w:tcPr>
                  <w:tcW w:w="635" w:type="pct"/>
                  <w:vMerge w:val="continue"/>
                </w:tcPr>
                <w:p>
                  <w:pPr>
                    <w:adjustRightInd w:val="0"/>
                    <w:snapToGrid w:val="0"/>
                    <w:ind w:left="-10" w:leftChars="-5" w:right="-10" w:rightChars="-5"/>
                    <w:jc w:val="center"/>
                    <w:rPr>
                      <w:color w:val="auto"/>
                      <w:sz w:val="18"/>
                      <w:szCs w:val="18"/>
                    </w:rPr>
                  </w:pPr>
                </w:p>
              </w:tc>
              <w:tc>
                <w:tcPr>
                  <w:tcW w:w="558" w:type="pct"/>
                </w:tcPr>
                <w:p>
                  <w:pPr>
                    <w:adjustRightInd w:val="0"/>
                    <w:snapToGrid w:val="0"/>
                    <w:ind w:left="-10" w:leftChars="-5" w:right="-10" w:rightChars="-5"/>
                    <w:jc w:val="center"/>
                    <w:rPr>
                      <w:color w:val="auto"/>
                      <w:sz w:val="18"/>
                      <w:szCs w:val="18"/>
                    </w:rPr>
                  </w:pPr>
                  <w:r>
                    <w:rPr>
                      <w:color w:val="auto"/>
                      <w:sz w:val="18"/>
                      <w:szCs w:val="18"/>
                    </w:rPr>
                    <w:t>20</w:t>
                  </w:r>
                </w:p>
              </w:tc>
              <w:tc>
                <w:tcPr>
                  <w:tcW w:w="579" w:type="pct"/>
                </w:tcPr>
                <w:p>
                  <w:pPr>
                    <w:widowControl/>
                    <w:adjustRightInd w:val="0"/>
                    <w:ind w:left="-10" w:leftChars="-5" w:right="-10" w:rightChars="-5"/>
                    <w:jc w:val="center"/>
                    <w:rPr>
                      <w:color w:val="auto"/>
                      <w:kern w:val="0"/>
                      <w:sz w:val="18"/>
                      <w:szCs w:val="18"/>
                    </w:rPr>
                  </w:pPr>
                  <w:r>
                    <w:rPr>
                      <w:color w:val="auto"/>
                      <w:kern w:val="0"/>
                      <w:sz w:val="18"/>
                      <w:szCs w:val="18"/>
                    </w:rPr>
                    <w:t>60</w:t>
                  </w:r>
                </w:p>
              </w:tc>
              <w:tc>
                <w:tcPr>
                  <w:tcW w:w="540" w:type="pct"/>
                </w:tcPr>
                <w:p>
                  <w:pPr>
                    <w:adjustRightInd w:val="0"/>
                    <w:snapToGrid w:val="0"/>
                    <w:ind w:left="-10" w:leftChars="-5" w:right="-10" w:rightChars="-5"/>
                    <w:jc w:val="center"/>
                    <w:rPr>
                      <w:color w:val="auto"/>
                      <w:sz w:val="18"/>
                      <w:szCs w:val="18"/>
                    </w:rPr>
                  </w:pPr>
                  <w:r>
                    <w:rPr>
                      <w:color w:val="auto"/>
                      <w:sz w:val="18"/>
                      <w:szCs w:val="18"/>
                    </w:rPr>
                    <w:t>2400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13" w:type="pct"/>
                  <w:vMerge w:val="continue"/>
                </w:tcPr>
                <w:p>
                  <w:pPr>
                    <w:adjustRightInd w:val="0"/>
                    <w:snapToGrid w:val="0"/>
                    <w:ind w:left="-10" w:leftChars="-5" w:right="-10" w:rightChars="-5"/>
                    <w:jc w:val="center"/>
                    <w:rPr>
                      <w:color w:val="auto"/>
                      <w:sz w:val="18"/>
                      <w:szCs w:val="18"/>
                      <w:lang w:val="zh-CN"/>
                    </w:rPr>
                  </w:pPr>
                </w:p>
              </w:tc>
              <w:tc>
                <w:tcPr>
                  <w:tcW w:w="644" w:type="pct"/>
                  <w:vAlign w:val="center"/>
                </w:tcPr>
                <w:p>
                  <w:pPr>
                    <w:adjustRightInd w:val="0"/>
                    <w:snapToGrid w:val="0"/>
                    <w:ind w:left="-10" w:leftChars="-5" w:right="-10" w:rightChars="-5"/>
                    <w:jc w:val="center"/>
                    <w:rPr>
                      <w:color w:val="auto"/>
                      <w:sz w:val="18"/>
                      <w:szCs w:val="18"/>
                      <w:lang w:val="zh-CN"/>
                    </w:rPr>
                  </w:pPr>
                  <w:r>
                    <w:rPr>
                      <w:color w:val="auto"/>
                      <w:sz w:val="18"/>
                      <w:szCs w:val="18"/>
                    </w:rPr>
                    <w:t>整形机</w:t>
                  </w:r>
                </w:p>
              </w:tc>
              <w:tc>
                <w:tcPr>
                  <w:tcW w:w="388" w:type="pct"/>
                </w:tcPr>
                <w:p>
                  <w:pPr>
                    <w:adjustRightInd w:val="0"/>
                    <w:snapToGrid w:val="0"/>
                    <w:ind w:left="-10" w:leftChars="-5" w:right="-10" w:rightChars="-5"/>
                    <w:jc w:val="center"/>
                    <w:rPr>
                      <w:color w:val="auto"/>
                      <w:sz w:val="18"/>
                      <w:szCs w:val="18"/>
                    </w:rPr>
                  </w:pPr>
                  <w:r>
                    <w:rPr>
                      <w:color w:val="auto"/>
                      <w:sz w:val="18"/>
                      <w:szCs w:val="18"/>
                    </w:rPr>
                    <w:t>频发</w:t>
                  </w:r>
                </w:p>
              </w:tc>
              <w:tc>
                <w:tcPr>
                  <w:tcW w:w="606" w:type="pct"/>
                </w:tcPr>
                <w:p>
                  <w:pPr>
                    <w:adjustRightInd w:val="0"/>
                    <w:snapToGrid w:val="0"/>
                    <w:ind w:left="-10" w:leftChars="-5" w:right="-10" w:rightChars="-5"/>
                    <w:jc w:val="center"/>
                    <w:rPr>
                      <w:color w:val="auto"/>
                      <w:sz w:val="18"/>
                      <w:szCs w:val="18"/>
                    </w:rPr>
                  </w:pPr>
                  <w:r>
                    <w:rPr>
                      <w:color w:val="auto"/>
                      <w:sz w:val="18"/>
                      <w:szCs w:val="18"/>
                    </w:rPr>
                    <w:t>类比法</w:t>
                  </w:r>
                </w:p>
              </w:tc>
              <w:tc>
                <w:tcPr>
                  <w:tcW w:w="436" w:type="pct"/>
                </w:tcPr>
                <w:p>
                  <w:pPr>
                    <w:adjustRightInd w:val="0"/>
                    <w:snapToGrid w:val="0"/>
                    <w:ind w:left="-10" w:leftChars="-5" w:right="-10" w:rightChars="-5"/>
                    <w:jc w:val="center"/>
                    <w:rPr>
                      <w:color w:val="auto"/>
                      <w:sz w:val="18"/>
                      <w:szCs w:val="18"/>
                    </w:rPr>
                  </w:pPr>
                  <w:r>
                    <w:rPr>
                      <w:color w:val="auto"/>
                      <w:sz w:val="18"/>
                      <w:szCs w:val="18"/>
                    </w:rPr>
                    <w:t>90</w:t>
                  </w:r>
                </w:p>
              </w:tc>
              <w:tc>
                <w:tcPr>
                  <w:tcW w:w="635" w:type="pct"/>
                  <w:vMerge w:val="continue"/>
                </w:tcPr>
                <w:p>
                  <w:pPr>
                    <w:adjustRightInd w:val="0"/>
                    <w:snapToGrid w:val="0"/>
                    <w:ind w:left="-10" w:leftChars="-5" w:right="-10" w:rightChars="-5"/>
                    <w:jc w:val="center"/>
                    <w:rPr>
                      <w:color w:val="auto"/>
                      <w:sz w:val="18"/>
                      <w:szCs w:val="18"/>
                    </w:rPr>
                  </w:pPr>
                </w:p>
              </w:tc>
              <w:tc>
                <w:tcPr>
                  <w:tcW w:w="558" w:type="pct"/>
                </w:tcPr>
                <w:p>
                  <w:pPr>
                    <w:adjustRightInd w:val="0"/>
                    <w:snapToGrid w:val="0"/>
                    <w:ind w:left="-10" w:leftChars="-5" w:right="-10" w:rightChars="-5"/>
                    <w:jc w:val="center"/>
                    <w:rPr>
                      <w:color w:val="auto"/>
                      <w:sz w:val="18"/>
                      <w:szCs w:val="18"/>
                    </w:rPr>
                  </w:pPr>
                  <w:r>
                    <w:rPr>
                      <w:color w:val="auto"/>
                      <w:sz w:val="18"/>
                      <w:szCs w:val="18"/>
                    </w:rPr>
                    <w:t>20</w:t>
                  </w:r>
                </w:p>
              </w:tc>
              <w:tc>
                <w:tcPr>
                  <w:tcW w:w="579" w:type="pct"/>
                </w:tcPr>
                <w:p>
                  <w:pPr>
                    <w:widowControl/>
                    <w:adjustRightInd w:val="0"/>
                    <w:ind w:left="-10" w:leftChars="-5" w:right="-10" w:rightChars="-5"/>
                    <w:jc w:val="center"/>
                    <w:rPr>
                      <w:color w:val="auto"/>
                      <w:kern w:val="0"/>
                      <w:sz w:val="18"/>
                      <w:szCs w:val="18"/>
                    </w:rPr>
                  </w:pPr>
                  <w:r>
                    <w:rPr>
                      <w:color w:val="auto"/>
                      <w:kern w:val="0"/>
                      <w:sz w:val="18"/>
                      <w:szCs w:val="18"/>
                    </w:rPr>
                    <w:t>70</w:t>
                  </w:r>
                </w:p>
              </w:tc>
              <w:tc>
                <w:tcPr>
                  <w:tcW w:w="540" w:type="pct"/>
                </w:tcPr>
                <w:p>
                  <w:pPr>
                    <w:adjustRightInd w:val="0"/>
                    <w:snapToGrid w:val="0"/>
                    <w:ind w:left="-10" w:leftChars="-5" w:right="-10" w:rightChars="-5"/>
                    <w:jc w:val="center"/>
                    <w:rPr>
                      <w:color w:val="auto"/>
                      <w:sz w:val="18"/>
                      <w:szCs w:val="18"/>
                    </w:rPr>
                  </w:pPr>
                  <w:r>
                    <w:rPr>
                      <w:color w:val="auto"/>
                      <w:sz w:val="18"/>
                      <w:szCs w:val="18"/>
                    </w:rPr>
                    <w:t>2400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13" w:type="pct"/>
                  <w:vMerge w:val="continue"/>
                </w:tcPr>
                <w:p>
                  <w:pPr>
                    <w:adjustRightInd w:val="0"/>
                    <w:snapToGrid w:val="0"/>
                    <w:ind w:left="-10" w:leftChars="-5" w:right="-10" w:rightChars="-5"/>
                    <w:jc w:val="center"/>
                    <w:rPr>
                      <w:color w:val="auto"/>
                      <w:sz w:val="18"/>
                      <w:szCs w:val="18"/>
                      <w:lang w:val="zh-CN"/>
                    </w:rPr>
                  </w:pPr>
                </w:p>
              </w:tc>
              <w:tc>
                <w:tcPr>
                  <w:tcW w:w="644" w:type="pct"/>
                  <w:vAlign w:val="center"/>
                </w:tcPr>
                <w:p>
                  <w:pPr>
                    <w:adjustRightInd w:val="0"/>
                    <w:snapToGrid w:val="0"/>
                    <w:ind w:left="-10" w:leftChars="-5" w:right="-10" w:rightChars="-5"/>
                    <w:jc w:val="center"/>
                    <w:rPr>
                      <w:color w:val="auto"/>
                      <w:sz w:val="18"/>
                      <w:szCs w:val="18"/>
                    </w:rPr>
                  </w:pPr>
                  <w:r>
                    <w:rPr>
                      <w:color w:val="auto"/>
                      <w:sz w:val="18"/>
                      <w:szCs w:val="18"/>
                    </w:rPr>
                    <w:t>水泵</w:t>
                  </w:r>
                </w:p>
              </w:tc>
              <w:tc>
                <w:tcPr>
                  <w:tcW w:w="388" w:type="pct"/>
                </w:tcPr>
                <w:p>
                  <w:pPr>
                    <w:adjustRightInd w:val="0"/>
                    <w:snapToGrid w:val="0"/>
                    <w:ind w:left="-10" w:leftChars="-5" w:right="-10" w:rightChars="-5"/>
                    <w:jc w:val="center"/>
                    <w:rPr>
                      <w:color w:val="auto"/>
                      <w:sz w:val="18"/>
                      <w:szCs w:val="18"/>
                    </w:rPr>
                  </w:pPr>
                  <w:r>
                    <w:rPr>
                      <w:color w:val="auto"/>
                      <w:sz w:val="18"/>
                      <w:szCs w:val="18"/>
                    </w:rPr>
                    <w:t>频发</w:t>
                  </w:r>
                </w:p>
              </w:tc>
              <w:tc>
                <w:tcPr>
                  <w:tcW w:w="606" w:type="pct"/>
                </w:tcPr>
                <w:p>
                  <w:pPr>
                    <w:adjustRightInd w:val="0"/>
                    <w:snapToGrid w:val="0"/>
                    <w:ind w:left="-10" w:leftChars="-5" w:right="-10" w:rightChars="-5"/>
                    <w:jc w:val="center"/>
                    <w:rPr>
                      <w:color w:val="auto"/>
                      <w:sz w:val="18"/>
                      <w:szCs w:val="18"/>
                    </w:rPr>
                  </w:pPr>
                  <w:r>
                    <w:rPr>
                      <w:color w:val="auto"/>
                      <w:sz w:val="18"/>
                      <w:szCs w:val="18"/>
                    </w:rPr>
                    <w:t>类比法</w:t>
                  </w:r>
                </w:p>
              </w:tc>
              <w:tc>
                <w:tcPr>
                  <w:tcW w:w="436" w:type="pct"/>
                </w:tcPr>
                <w:p>
                  <w:pPr>
                    <w:adjustRightInd w:val="0"/>
                    <w:snapToGrid w:val="0"/>
                    <w:ind w:left="-10" w:leftChars="-5" w:right="-10" w:rightChars="-5"/>
                    <w:jc w:val="center"/>
                    <w:rPr>
                      <w:color w:val="auto"/>
                      <w:sz w:val="18"/>
                      <w:szCs w:val="18"/>
                    </w:rPr>
                  </w:pPr>
                  <w:r>
                    <w:rPr>
                      <w:color w:val="auto"/>
                      <w:sz w:val="18"/>
                      <w:szCs w:val="18"/>
                    </w:rPr>
                    <w:t>85</w:t>
                  </w:r>
                </w:p>
              </w:tc>
              <w:tc>
                <w:tcPr>
                  <w:tcW w:w="635" w:type="pct"/>
                  <w:vMerge w:val="continue"/>
                </w:tcPr>
                <w:p>
                  <w:pPr>
                    <w:adjustRightInd w:val="0"/>
                    <w:snapToGrid w:val="0"/>
                    <w:ind w:left="-10" w:leftChars="-5" w:right="-10" w:rightChars="-5"/>
                    <w:jc w:val="center"/>
                    <w:rPr>
                      <w:color w:val="auto"/>
                      <w:sz w:val="18"/>
                      <w:szCs w:val="18"/>
                    </w:rPr>
                  </w:pPr>
                </w:p>
              </w:tc>
              <w:tc>
                <w:tcPr>
                  <w:tcW w:w="558" w:type="pct"/>
                </w:tcPr>
                <w:p>
                  <w:pPr>
                    <w:adjustRightInd w:val="0"/>
                    <w:snapToGrid w:val="0"/>
                    <w:ind w:left="-10" w:leftChars="-5" w:right="-10" w:rightChars="-5"/>
                    <w:jc w:val="center"/>
                    <w:rPr>
                      <w:color w:val="auto"/>
                      <w:sz w:val="18"/>
                      <w:szCs w:val="18"/>
                    </w:rPr>
                  </w:pPr>
                  <w:r>
                    <w:rPr>
                      <w:color w:val="auto"/>
                      <w:sz w:val="18"/>
                      <w:szCs w:val="18"/>
                    </w:rPr>
                    <w:t>20</w:t>
                  </w:r>
                </w:p>
              </w:tc>
              <w:tc>
                <w:tcPr>
                  <w:tcW w:w="579" w:type="pct"/>
                </w:tcPr>
                <w:p>
                  <w:pPr>
                    <w:widowControl/>
                    <w:adjustRightInd w:val="0"/>
                    <w:ind w:left="-10" w:leftChars="-5" w:right="-10" w:rightChars="-5"/>
                    <w:jc w:val="center"/>
                    <w:rPr>
                      <w:color w:val="auto"/>
                      <w:kern w:val="0"/>
                      <w:sz w:val="18"/>
                      <w:szCs w:val="18"/>
                    </w:rPr>
                  </w:pPr>
                  <w:r>
                    <w:rPr>
                      <w:color w:val="auto"/>
                      <w:kern w:val="0"/>
                      <w:sz w:val="18"/>
                      <w:szCs w:val="18"/>
                    </w:rPr>
                    <w:t>65</w:t>
                  </w:r>
                </w:p>
              </w:tc>
              <w:tc>
                <w:tcPr>
                  <w:tcW w:w="540" w:type="pct"/>
                </w:tcPr>
                <w:p>
                  <w:pPr>
                    <w:adjustRightInd w:val="0"/>
                    <w:snapToGrid w:val="0"/>
                    <w:ind w:left="-10" w:leftChars="-5" w:right="-10" w:rightChars="-5"/>
                    <w:jc w:val="center"/>
                    <w:rPr>
                      <w:color w:val="auto"/>
                      <w:sz w:val="18"/>
                      <w:szCs w:val="18"/>
                    </w:rPr>
                  </w:pPr>
                  <w:r>
                    <w:rPr>
                      <w:color w:val="auto"/>
                      <w:sz w:val="18"/>
                      <w:szCs w:val="18"/>
                    </w:rPr>
                    <w:t>2400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613" w:type="pct"/>
                  <w:vMerge w:val="continue"/>
                </w:tcPr>
                <w:p>
                  <w:pPr>
                    <w:adjustRightInd w:val="0"/>
                    <w:snapToGrid w:val="0"/>
                    <w:ind w:left="-10" w:leftChars="-5" w:right="-10" w:rightChars="-5"/>
                    <w:jc w:val="center"/>
                    <w:rPr>
                      <w:color w:val="auto"/>
                      <w:sz w:val="18"/>
                      <w:szCs w:val="18"/>
                      <w:lang w:val="zh-CN"/>
                    </w:rPr>
                  </w:pPr>
                </w:p>
              </w:tc>
              <w:tc>
                <w:tcPr>
                  <w:tcW w:w="644" w:type="pct"/>
                  <w:vAlign w:val="center"/>
                </w:tcPr>
                <w:p>
                  <w:pPr>
                    <w:adjustRightInd w:val="0"/>
                    <w:snapToGrid w:val="0"/>
                    <w:ind w:left="-10" w:leftChars="-5" w:right="-10" w:rightChars="-5"/>
                    <w:jc w:val="center"/>
                    <w:rPr>
                      <w:color w:val="auto"/>
                      <w:sz w:val="18"/>
                      <w:szCs w:val="18"/>
                      <w:lang w:val="zh-CN"/>
                    </w:rPr>
                  </w:pPr>
                  <w:r>
                    <w:rPr>
                      <w:color w:val="auto"/>
                      <w:sz w:val="18"/>
                      <w:szCs w:val="18"/>
                    </w:rPr>
                    <w:t>压滤机</w:t>
                  </w:r>
                </w:p>
              </w:tc>
              <w:tc>
                <w:tcPr>
                  <w:tcW w:w="388" w:type="pct"/>
                  <w:vAlign w:val="center"/>
                </w:tcPr>
                <w:p>
                  <w:pPr>
                    <w:adjustRightInd w:val="0"/>
                    <w:snapToGrid w:val="0"/>
                    <w:ind w:left="-10" w:leftChars="-5" w:right="-10" w:rightChars="-5"/>
                    <w:jc w:val="center"/>
                    <w:rPr>
                      <w:color w:val="auto"/>
                      <w:sz w:val="18"/>
                      <w:szCs w:val="18"/>
                    </w:rPr>
                  </w:pPr>
                  <w:r>
                    <w:rPr>
                      <w:color w:val="auto"/>
                      <w:sz w:val="18"/>
                      <w:szCs w:val="18"/>
                    </w:rPr>
                    <w:t>偶发</w:t>
                  </w:r>
                </w:p>
              </w:tc>
              <w:tc>
                <w:tcPr>
                  <w:tcW w:w="606" w:type="pct"/>
                  <w:vAlign w:val="center"/>
                </w:tcPr>
                <w:p>
                  <w:pPr>
                    <w:adjustRightInd w:val="0"/>
                    <w:snapToGrid w:val="0"/>
                    <w:ind w:left="-10" w:leftChars="-5" w:right="-10" w:rightChars="-5"/>
                    <w:jc w:val="center"/>
                    <w:rPr>
                      <w:color w:val="auto"/>
                      <w:sz w:val="18"/>
                      <w:szCs w:val="18"/>
                    </w:rPr>
                  </w:pPr>
                  <w:r>
                    <w:rPr>
                      <w:color w:val="auto"/>
                      <w:sz w:val="18"/>
                      <w:szCs w:val="18"/>
                    </w:rPr>
                    <w:t>类比法</w:t>
                  </w:r>
                </w:p>
              </w:tc>
              <w:tc>
                <w:tcPr>
                  <w:tcW w:w="436" w:type="pct"/>
                  <w:vAlign w:val="center"/>
                </w:tcPr>
                <w:p>
                  <w:pPr>
                    <w:adjustRightInd w:val="0"/>
                    <w:snapToGrid w:val="0"/>
                    <w:ind w:left="-10" w:leftChars="-5" w:right="-10" w:rightChars="-5"/>
                    <w:jc w:val="center"/>
                    <w:rPr>
                      <w:color w:val="auto"/>
                      <w:sz w:val="18"/>
                      <w:szCs w:val="18"/>
                    </w:rPr>
                  </w:pPr>
                  <w:r>
                    <w:rPr>
                      <w:color w:val="auto"/>
                      <w:sz w:val="18"/>
                      <w:szCs w:val="18"/>
                    </w:rPr>
                    <w:t>75</w:t>
                  </w:r>
                </w:p>
              </w:tc>
              <w:tc>
                <w:tcPr>
                  <w:tcW w:w="635" w:type="pct"/>
                  <w:vMerge w:val="continue"/>
                  <w:vAlign w:val="center"/>
                </w:tcPr>
                <w:p>
                  <w:pPr>
                    <w:adjustRightInd w:val="0"/>
                    <w:snapToGrid w:val="0"/>
                    <w:ind w:left="-10" w:leftChars="-5" w:right="-10" w:rightChars="-5"/>
                    <w:jc w:val="center"/>
                    <w:rPr>
                      <w:color w:val="auto"/>
                      <w:sz w:val="18"/>
                      <w:szCs w:val="18"/>
                    </w:rPr>
                  </w:pPr>
                </w:p>
              </w:tc>
              <w:tc>
                <w:tcPr>
                  <w:tcW w:w="558" w:type="pct"/>
                  <w:vAlign w:val="center"/>
                </w:tcPr>
                <w:p>
                  <w:pPr>
                    <w:adjustRightInd w:val="0"/>
                    <w:snapToGrid w:val="0"/>
                    <w:ind w:left="-10" w:leftChars="-5" w:right="-10" w:rightChars="-5"/>
                    <w:jc w:val="center"/>
                    <w:rPr>
                      <w:color w:val="auto"/>
                      <w:sz w:val="18"/>
                      <w:szCs w:val="18"/>
                    </w:rPr>
                  </w:pPr>
                  <w:r>
                    <w:rPr>
                      <w:color w:val="auto"/>
                      <w:sz w:val="18"/>
                      <w:szCs w:val="18"/>
                    </w:rPr>
                    <w:t>20</w:t>
                  </w:r>
                </w:p>
              </w:tc>
              <w:tc>
                <w:tcPr>
                  <w:tcW w:w="579" w:type="pct"/>
                  <w:vAlign w:val="center"/>
                </w:tcPr>
                <w:p>
                  <w:pPr>
                    <w:widowControl/>
                    <w:adjustRightInd w:val="0"/>
                    <w:ind w:left="-10" w:leftChars="-5" w:right="-10" w:rightChars="-5"/>
                    <w:jc w:val="center"/>
                    <w:rPr>
                      <w:color w:val="auto"/>
                      <w:kern w:val="0"/>
                      <w:sz w:val="18"/>
                      <w:szCs w:val="18"/>
                    </w:rPr>
                  </w:pPr>
                  <w:r>
                    <w:rPr>
                      <w:color w:val="auto"/>
                      <w:kern w:val="0"/>
                      <w:sz w:val="18"/>
                      <w:szCs w:val="18"/>
                    </w:rPr>
                    <w:t>55</w:t>
                  </w:r>
                </w:p>
              </w:tc>
              <w:tc>
                <w:tcPr>
                  <w:tcW w:w="540" w:type="pct"/>
                  <w:vAlign w:val="center"/>
                </w:tcPr>
                <w:p>
                  <w:pPr>
                    <w:adjustRightInd w:val="0"/>
                    <w:snapToGrid w:val="0"/>
                    <w:ind w:left="-10" w:leftChars="-5" w:right="-10" w:rightChars="-5"/>
                    <w:jc w:val="center"/>
                    <w:rPr>
                      <w:color w:val="auto"/>
                      <w:sz w:val="18"/>
                      <w:szCs w:val="18"/>
                    </w:rPr>
                  </w:pPr>
                  <w:r>
                    <w:rPr>
                      <w:color w:val="auto"/>
                      <w:sz w:val="18"/>
                      <w:szCs w:val="18"/>
                    </w:rPr>
                    <w:t>1000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613" w:type="pct"/>
                  <w:vAlign w:val="center"/>
                </w:tcPr>
                <w:p>
                  <w:pPr>
                    <w:adjustRightInd w:val="0"/>
                    <w:snapToGrid w:val="0"/>
                    <w:ind w:left="-10" w:leftChars="-5" w:right="-10" w:rightChars="-5"/>
                    <w:jc w:val="center"/>
                    <w:rPr>
                      <w:color w:val="auto"/>
                      <w:sz w:val="18"/>
                      <w:szCs w:val="18"/>
                    </w:rPr>
                  </w:pPr>
                  <w:r>
                    <w:rPr>
                      <w:color w:val="auto"/>
                      <w:sz w:val="18"/>
                      <w:szCs w:val="18"/>
                    </w:rPr>
                    <w:t>运输道路</w:t>
                  </w:r>
                </w:p>
              </w:tc>
              <w:tc>
                <w:tcPr>
                  <w:tcW w:w="644" w:type="pct"/>
                  <w:vAlign w:val="center"/>
                </w:tcPr>
                <w:p>
                  <w:pPr>
                    <w:adjustRightInd w:val="0"/>
                    <w:snapToGrid w:val="0"/>
                    <w:ind w:left="-10" w:leftChars="-5" w:right="-10" w:rightChars="-5"/>
                    <w:jc w:val="center"/>
                    <w:rPr>
                      <w:color w:val="auto"/>
                      <w:sz w:val="18"/>
                      <w:szCs w:val="18"/>
                    </w:rPr>
                  </w:pPr>
                  <w:r>
                    <w:rPr>
                      <w:color w:val="auto"/>
                      <w:sz w:val="18"/>
                      <w:szCs w:val="18"/>
                      <w:lang w:val="zh-CN"/>
                    </w:rPr>
                    <w:t>运输车辆</w:t>
                  </w:r>
                </w:p>
              </w:tc>
              <w:tc>
                <w:tcPr>
                  <w:tcW w:w="388" w:type="pct"/>
                  <w:vAlign w:val="center"/>
                </w:tcPr>
                <w:p>
                  <w:pPr>
                    <w:adjustRightInd w:val="0"/>
                    <w:snapToGrid w:val="0"/>
                    <w:ind w:left="-10" w:leftChars="-5" w:right="-10" w:rightChars="-5"/>
                    <w:jc w:val="center"/>
                    <w:rPr>
                      <w:color w:val="auto"/>
                      <w:sz w:val="18"/>
                      <w:szCs w:val="18"/>
                    </w:rPr>
                  </w:pPr>
                  <w:r>
                    <w:rPr>
                      <w:color w:val="auto"/>
                      <w:sz w:val="18"/>
                      <w:szCs w:val="18"/>
                    </w:rPr>
                    <w:t>频发</w:t>
                  </w:r>
                </w:p>
              </w:tc>
              <w:tc>
                <w:tcPr>
                  <w:tcW w:w="606" w:type="pct"/>
                  <w:vAlign w:val="center"/>
                </w:tcPr>
                <w:p>
                  <w:pPr>
                    <w:adjustRightInd w:val="0"/>
                    <w:snapToGrid w:val="0"/>
                    <w:ind w:left="-10" w:leftChars="-5" w:right="-10" w:rightChars="-5"/>
                    <w:jc w:val="center"/>
                    <w:rPr>
                      <w:color w:val="auto"/>
                      <w:sz w:val="18"/>
                      <w:szCs w:val="18"/>
                    </w:rPr>
                  </w:pPr>
                  <w:r>
                    <w:rPr>
                      <w:color w:val="auto"/>
                      <w:sz w:val="18"/>
                      <w:szCs w:val="18"/>
                    </w:rPr>
                    <w:t>类比法</w:t>
                  </w:r>
                </w:p>
              </w:tc>
              <w:tc>
                <w:tcPr>
                  <w:tcW w:w="436" w:type="pct"/>
                  <w:vAlign w:val="center"/>
                </w:tcPr>
                <w:p>
                  <w:pPr>
                    <w:adjustRightInd w:val="0"/>
                    <w:snapToGrid w:val="0"/>
                    <w:ind w:left="-10" w:leftChars="-5" w:right="-10" w:rightChars="-5"/>
                    <w:jc w:val="center"/>
                    <w:rPr>
                      <w:color w:val="auto"/>
                      <w:sz w:val="18"/>
                      <w:szCs w:val="18"/>
                    </w:rPr>
                  </w:pPr>
                  <w:r>
                    <w:rPr>
                      <w:color w:val="auto"/>
                      <w:sz w:val="18"/>
                      <w:szCs w:val="18"/>
                    </w:rPr>
                    <w:t>90</w:t>
                  </w:r>
                </w:p>
              </w:tc>
              <w:tc>
                <w:tcPr>
                  <w:tcW w:w="635" w:type="pct"/>
                  <w:vAlign w:val="center"/>
                </w:tcPr>
                <w:p>
                  <w:pPr>
                    <w:adjustRightInd w:val="0"/>
                    <w:snapToGrid w:val="0"/>
                    <w:ind w:left="-10" w:leftChars="-5" w:right="-10" w:rightChars="-5"/>
                    <w:jc w:val="center"/>
                    <w:rPr>
                      <w:color w:val="auto"/>
                      <w:sz w:val="18"/>
                      <w:szCs w:val="18"/>
                    </w:rPr>
                  </w:pPr>
                  <w:r>
                    <w:rPr>
                      <w:color w:val="auto"/>
                      <w:sz w:val="18"/>
                      <w:szCs w:val="18"/>
                    </w:rPr>
                    <w:t>加强管理</w:t>
                  </w:r>
                </w:p>
                <w:p>
                  <w:pPr>
                    <w:adjustRightInd w:val="0"/>
                    <w:snapToGrid w:val="0"/>
                    <w:ind w:left="-10" w:leftChars="-5" w:right="-10" w:rightChars="-5"/>
                    <w:jc w:val="center"/>
                    <w:rPr>
                      <w:color w:val="auto"/>
                      <w:sz w:val="18"/>
                      <w:szCs w:val="18"/>
                    </w:rPr>
                  </w:pPr>
                  <w:r>
                    <w:rPr>
                      <w:color w:val="auto"/>
                      <w:sz w:val="18"/>
                      <w:szCs w:val="18"/>
                    </w:rPr>
                    <w:t>限制车速</w:t>
                  </w:r>
                </w:p>
              </w:tc>
              <w:tc>
                <w:tcPr>
                  <w:tcW w:w="558" w:type="pct"/>
                  <w:vAlign w:val="center"/>
                </w:tcPr>
                <w:p>
                  <w:pPr>
                    <w:adjustRightInd w:val="0"/>
                    <w:snapToGrid w:val="0"/>
                    <w:ind w:left="-10" w:leftChars="-5" w:right="-10" w:rightChars="-5"/>
                    <w:jc w:val="center"/>
                    <w:rPr>
                      <w:color w:val="auto"/>
                      <w:sz w:val="18"/>
                      <w:szCs w:val="18"/>
                    </w:rPr>
                  </w:pPr>
                  <w:r>
                    <w:rPr>
                      <w:color w:val="auto"/>
                      <w:sz w:val="18"/>
                      <w:szCs w:val="18"/>
                    </w:rPr>
                    <w:t>/</w:t>
                  </w:r>
                </w:p>
              </w:tc>
              <w:tc>
                <w:tcPr>
                  <w:tcW w:w="579" w:type="pct"/>
                  <w:vAlign w:val="center"/>
                </w:tcPr>
                <w:p>
                  <w:pPr>
                    <w:widowControl/>
                    <w:adjustRightInd w:val="0"/>
                    <w:ind w:left="-10" w:leftChars="-5" w:right="-10" w:rightChars="-5"/>
                    <w:jc w:val="center"/>
                    <w:rPr>
                      <w:color w:val="auto"/>
                      <w:kern w:val="0"/>
                      <w:sz w:val="18"/>
                      <w:szCs w:val="18"/>
                    </w:rPr>
                  </w:pPr>
                  <w:r>
                    <w:rPr>
                      <w:color w:val="auto"/>
                      <w:kern w:val="0"/>
                      <w:sz w:val="18"/>
                      <w:szCs w:val="18"/>
                    </w:rPr>
                    <w:t>90</w:t>
                  </w:r>
                </w:p>
              </w:tc>
              <w:tc>
                <w:tcPr>
                  <w:tcW w:w="540" w:type="pct"/>
                  <w:vAlign w:val="center"/>
                </w:tcPr>
                <w:p>
                  <w:pPr>
                    <w:adjustRightInd w:val="0"/>
                    <w:snapToGrid w:val="0"/>
                    <w:ind w:left="-10" w:leftChars="-5" w:right="-10" w:rightChars="-5"/>
                    <w:jc w:val="center"/>
                    <w:rPr>
                      <w:color w:val="auto"/>
                      <w:sz w:val="18"/>
                      <w:szCs w:val="18"/>
                    </w:rPr>
                  </w:pPr>
                  <w:r>
                    <w:rPr>
                      <w:color w:val="auto"/>
                      <w:sz w:val="18"/>
                      <w:szCs w:val="18"/>
                    </w:rPr>
                    <w:t>2400</w:t>
                  </w:r>
                </w:p>
              </w:tc>
            </w:tr>
          </w:tbl>
          <w:p>
            <w:pPr>
              <w:adjustRightInd w:val="0"/>
              <w:snapToGrid w:val="0"/>
              <w:spacing w:line="360" w:lineRule="auto"/>
              <w:ind w:firstLine="420"/>
              <w:rPr>
                <w:color w:val="auto"/>
                <w:kern w:val="0"/>
                <w:szCs w:val="21"/>
              </w:rPr>
            </w:pPr>
            <w:r>
              <w:rPr>
                <w:color w:val="auto"/>
                <w:kern w:val="0"/>
                <w:szCs w:val="21"/>
              </w:rPr>
              <w:t>2、噪声防治措施</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①</w:t>
            </w:r>
            <w:r>
              <w:rPr>
                <w:color w:val="auto"/>
                <w:kern w:val="0"/>
                <w:szCs w:val="21"/>
              </w:rPr>
              <w:t>优选设备。尽量选择低噪声且符合国家噪声标准的设备。机械设备加强维护保养，定期检查、维修，使其保持最低声级水平运行，及时更换老化和性能降低的旧设备。</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②</w:t>
            </w:r>
            <w:r>
              <w:rPr>
                <w:color w:val="auto"/>
                <w:kern w:val="0"/>
                <w:szCs w:val="21"/>
              </w:rPr>
              <w:t>减振消声。生产区各设备均安装减振垫，尤其是破碎机、筛分机、整形机等振动较大的设备采用单独基础。生产区生产线设备全部安装在封闭车间内，并采取基础减振措施，空压机设置在专用的房间内，能够满足环保要求。</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③</w:t>
            </w:r>
            <w:r>
              <w:rPr>
                <w:color w:val="auto"/>
                <w:kern w:val="0"/>
                <w:szCs w:val="21"/>
              </w:rPr>
              <w:t>优化布局。矿区开采时噪声设备分散在矿山不同的位置，尽量利用周围山体阻挡噪声。生产区各生产单元分别采用轻钢结构板封闭，设备尽量远离厂界且布置在封闭的车间内，利用建筑隔声。空压机等设备设置单独的房间。</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④</w:t>
            </w:r>
            <w:r>
              <w:rPr>
                <w:color w:val="auto"/>
                <w:kern w:val="0"/>
                <w:szCs w:val="21"/>
              </w:rPr>
              <w:t>加强管理，规范操作，避免人为因素造成噪声增大。空压机设移动式设备间，利用建筑隔声降低噪声影响。</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⑤</w:t>
            </w:r>
            <w:r>
              <w:rPr>
                <w:color w:val="auto"/>
                <w:kern w:val="0"/>
                <w:szCs w:val="21"/>
              </w:rPr>
              <w:t>合理安排生产时间，矿石运输安排在白天进行，在经过运输道路沿途村落时，应限制鸣笛；禁止夜间运输，避免夜间运输噪声扰民。</w:t>
            </w:r>
          </w:p>
          <w:p>
            <w:pPr>
              <w:adjustRightInd w:val="0"/>
              <w:snapToGrid w:val="0"/>
              <w:spacing w:line="360" w:lineRule="auto"/>
              <w:ind w:firstLine="420"/>
              <w:rPr>
                <w:color w:val="auto"/>
                <w:kern w:val="0"/>
                <w:szCs w:val="21"/>
              </w:rPr>
            </w:pPr>
            <w:r>
              <w:rPr>
                <w:rFonts w:hint="eastAsia" w:ascii="宋体" w:hAnsi="宋体" w:cs="宋体"/>
                <w:color w:val="auto"/>
                <w:kern w:val="0"/>
                <w:szCs w:val="21"/>
              </w:rPr>
              <w:t>⑥</w:t>
            </w:r>
            <w:r>
              <w:rPr>
                <w:color w:val="auto"/>
                <w:kern w:val="0"/>
                <w:szCs w:val="21"/>
              </w:rPr>
              <w:t>尽量将爆破作业安排在下午4:00~6:00进行。采用多排孔延时爆破、毫秒迟发多段爆破，减少每一段的装药量，严格控制爆破装药量、爆破次数和爆破时间，降低爆破脉冲峰压声级，将爆破噪声控制在较低程度和范围；同时应加强与当地住户的沟通和解释，以取得他们的谅解和支持。</w:t>
            </w:r>
          </w:p>
          <w:p>
            <w:pPr>
              <w:adjustRightInd w:val="0"/>
              <w:snapToGrid w:val="0"/>
              <w:spacing w:line="360" w:lineRule="auto"/>
              <w:ind w:firstLine="420"/>
              <w:rPr>
                <w:color w:val="auto"/>
                <w:kern w:val="0"/>
                <w:szCs w:val="21"/>
              </w:rPr>
            </w:pPr>
            <w:r>
              <w:rPr>
                <w:color w:val="auto"/>
                <w:kern w:val="0"/>
                <w:szCs w:val="21"/>
              </w:rPr>
              <w:t>3、环境影响及达标分析</w:t>
            </w:r>
          </w:p>
          <w:p>
            <w:pPr>
              <w:adjustRightInd w:val="0"/>
              <w:snapToGrid w:val="0"/>
              <w:spacing w:line="360" w:lineRule="auto"/>
              <w:ind w:firstLine="420"/>
              <w:rPr>
                <w:color w:val="auto"/>
                <w:kern w:val="0"/>
                <w:szCs w:val="21"/>
              </w:rPr>
            </w:pPr>
            <w:r>
              <w:rPr>
                <w:rFonts w:hint="eastAsia"/>
                <w:color w:val="auto"/>
                <w:kern w:val="0"/>
                <w:szCs w:val="21"/>
              </w:rPr>
              <w:t>①矿区声环境影响预测</w:t>
            </w:r>
          </w:p>
          <w:p>
            <w:pPr>
              <w:adjustRightInd w:val="0"/>
              <w:snapToGrid w:val="0"/>
              <w:spacing w:line="360" w:lineRule="auto"/>
              <w:ind w:firstLine="420"/>
              <w:rPr>
                <w:color w:val="auto"/>
                <w:kern w:val="0"/>
                <w:szCs w:val="21"/>
              </w:rPr>
            </w:pPr>
            <w:r>
              <w:rPr>
                <w:rFonts w:hint="eastAsia"/>
                <w:color w:val="auto"/>
                <w:kern w:val="0"/>
                <w:szCs w:val="21"/>
              </w:rPr>
              <w:t>经现场踏勘，项目矿区周围均为均有山体、树林，噪声衰减主要是靠厂界山体、树林阻挡隔声。项目仅在昼间生产，夜间不会生产，噪声对周围环境影响较小。项目设备噪声随距离衰减预测分析见下表。</w:t>
            </w:r>
          </w:p>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 xml:space="preserve">-9 </w:t>
            </w:r>
            <w:r>
              <w:rPr>
                <w:rFonts w:hint="eastAsia"/>
                <w:b/>
                <w:color w:val="auto"/>
                <w:kern w:val="0"/>
                <w:sz w:val="18"/>
                <w:szCs w:val="18"/>
              </w:rPr>
              <w:t xml:space="preserve">噪声预测结果 </w:t>
            </w:r>
            <w:r>
              <w:rPr>
                <w:b/>
                <w:color w:val="auto"/>
                <w:kern w:val="0"/>
                <w:sz w:val="18"/>
                <w:szCs w:val="18"/>
              </w:rPr>
              <w:t xml:space="preserve">  </w:t>
            </w:r>
            <w:r>
              <w:rPr>
                <w:rFonts w:hint="eastAsia"/>
                <w:b/>
                <w:color w:val="auto"/>
                <w:kern w:val="0"/>
                <w:sz w:val="18"/>
                <w:szCs w:val="18"/>
              </w:rPr>
              <w:t>单位：dB（A）</w:t>
            </w:r>
          </w:p>
          <w:tbl>
            <w:tblPr>
              <w:tblStyle w:val="1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808"/>
              <w:gridCol w:w="747"/>
              <w:gridCol w:w="675"/>
              <w:gridCol w:w="663"/>
              <w:gridCol w:w="711"/>
              <w:gridCol w:w="566"/>
              <w:gridCol w:w="647"/>
              <w:gridCol w:w="724"/>
              <w:gridCol w:w="7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678" w:type="dxa"/>
                  <w:vAlign w:val="center"/>
                </w:tcPr>
                <w:p>
                  <w:pPr>
                    <w:widowControl/>
                    <w:spacing w:line="280" w:lineRule="exact"/>
                    <w:ind w:left="-71" w:leftChars="-34" w:right="-71" w:rightChars="-34"/>
                    <w:jc w:val="center"/>
                    <w:rPr>
                      <w:bCs/>
                      <w:color w:val="auto"/>
                      <w:sz w:val="18"/>
                    </w:rPr>
                  </w:pPr>
                  <w:r>
                    <w:rPr>
                      <w:bCs/>
                      <w:color w:val="auto"/>
                      <w:sz w:val="18"/>
                    </w:rPr>
                    <w:t>噪声源名称</w:t>
                  </w:r>
                </w:p>
              </w:tc>
              <w:tc>
                <w:tcPr>
                  <w:tcW w:w="808" w:type="dxa"/>
                  <w:vAlign w:val="center"/>
                </w:tcPr>
                <w:p>
                  <w:pPr>
                    <w:widowControl/>
                    <w:spacing w:line="280" w:lineRule="exact"/>
                    <w:ind w:left="-71" w:leftChars="-34" w:right="-71" w:rightChars="-34"/>
                    <w:jc w:val="center"/>
                    <w:rPr>
                      <w:bCs/>
                      <w:color w:val="auto"/>
                      <w:sz w:val="18"/>
                    </w:rPr>
                  </w:pPr>
                  <w:r>
                    <w:rPr>
                      <w:bCs/>
                      <w:color w:val="auto"/>
                      <w:sz w:val="18"/>
                    </w:rPr>
                    <w:t>噪声值</w:t>
                  </w:r>
                </w:p>
              </w:tc>
              <w:tc>
                <w:tcPr>
                  <w:tcW w:w="747" w:type="dxa"/>
                  <w:vAlign w:val="center"/>
                </w:tcPr>
                <w:p>
                  <w:pPr>
                    <w:widowControl/>
                    <w:spacing w:line="280" w:lineRule="exact"/>
                    <w:ind w:left="-71" w:leftChars="-34" w:right="-71" w:rightChars="-34"/>
                    <w:jc w:val="center"/>
                    <w:rPr>
                      <w:bCs/>
                      <w:color w:val="auto"/>
                      <w:sz w:val="18"/>
                    </w:rPr>
                  </w:pPr>
                  <w:r>
                    <w:rPr>
                      <w:bCs/>
                      <w:color w:val="auto"/>
                      <w:sz w:val="18"/>
                    </w:rPr>
                    <w:t>隔声量</w:t>
                  </w:r>
                </w:p>
              </w:tc>
              <w:tc>
                <w:tcPr>
                  <w:tcW w:w="4725" w:type="dxa"/>
                  <w:gridSpan w:val="7"/>
                  <w:vAlign w:val="center"/>
                </w:tcPr>
                <w:p>
                  <w:pPr>
                    <w:widowControl/>
                    <w:spacing w:line="280" w:lineRule="exact"/>
                    <w:ind w:left="-71" w:leftChars="-34" w:right="-71" w:rightChars="-34"/>
                    <w:jc w:val="center"/>
                    <w:rPr>
                      <w:bCs/>
                      <w:color w:val="auto"/>
                      <w:sz w:val="18"/>
                    </w:rPr>
                  </w:pPr>
                  <w:r>
                    <w:rPr>
                      <w:bCs/>
                      <w:color w:val="auto"/>
                      <w:sz w:val="18"/>
                    </w:rPr>
                    <w:t>不同距离的预测结果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678" w:type="dxa"/>
                  <w:vMerge w:val="restart"/>
                  <w:vAlign w:val="center"/>
                </w:tcPr>
                <w:p>
                  <w:pPr>
                    <w:widowControl/>
                    <w:spacing w:line="280" w:lineRule="exact"/>
                    <w:ind w:left="-71" w:leftChars="-34" w:right="-71" w:rightChars="-34"/>
                    <w:jc w:val="center"/>
                    <w:rPr>
                      <w:color w:val="auto"/>
                      <w:sz w:val="18"/>
                    </w:rPr>
                  </w:pPr>
                  <w:r>
                    <w:rPr>
                      <w:color w:val="auto"/>
                      <w:sz w:val="18"/>
                    </w:rPr>
                    <w:t>空压机、钻机、挖掘机、装载机等</w:t>
                  </w:r>
                </w:p>
              </w:tc>
              <w:tc>
                <w:tcPr>
                  <w:tcW w:w="808" w:type="dxa"/>
                  <w:vMerge w:val="restart"/>
                  <w:vAlign w:val="center"/>
                </w:tcPr>
                <w:p>
                  <w:pPr>
                    <w:widowControl/>
                    <w:spacing w:line="280" w:lineRule="exact"/>
                    <w:ind w:left="-71" w:leftChars="-34" w:right="-71" w:rightChars="-34"/>
                    <w:jc w:val="center"/>
                    <w:rPr>
                      <w:color w:val="auto"/>
                      <w:sz w:val="18"/>
                    </w:rPr>
                  </w:pPr>
                  <w:r>
                    <w:rPr>
                      <w:color w:val="auto"/>
                      <w:sz w:val="18"/>
                    </w:rPr>
                    <w:t>99.2</w:t>
                  </w:r>
                </w:p>
              </w:tc>
              <w:tc>
                <w:tcPr>
                  <w:tcW w:w="747" w:type="dxa"/>
                  <w:vMerge w:val="restart"/>
                  <w:vAlign w:val="center"/>
                </w:tcPr>
                <w:p>
                  <w:pPr>
                    <w:widowControl/>
                    <w:spacing w:line="280" w:lineRule="exact"/>
                    <w:ind w:left="-71" w:leftChars="-34" w:right="-71" w:rightChars="-34"/>
                    <w:jc w:val="center"/>
                    <w:rPr>
                      <w:color w:val="auto"/>
                      <w:sz w:val="18"/>
                    </w:rPr>
                  </w:pPr>
                  <w:r>
                    <w:rPr>
                      <w:color w:val="auto"/>
                      <w:sz w:val="18"/>
                    </w:rPr>
                    <w:t>10</w:t>
                  </w:r>
                </w:p>
              </w:tc>
              <w:tc>
                <w:tcPr>
                  <w:tcW w:w="675" w:type="dxa"/>
                  <w:vAlign w:val="center"/>
                </w:tcPr>
                <w:p>
                  <w:pPr>
                    <w:widowControl/>
                    <w:spacing w:line="280" w:lineRule="exact"/>
                    <w:ind w:left="-71" w:leftChars="-34" w:right="-71" w:rightChars="-34"/>
                    <w:jc w:val="center"/>
                    <w:rPr>
                      <w:color w:val="auto"/>
                      <w:sz w:val="18"/>
                    </w:rPr>
                  </w:pPr>
                  <w:r>
                    <w:rPr>
                      <w:color w:val="auto"/>
                      <w:sz w:val="18"/>
                    </w:rPr>
                    <w:t>32m</w:t>
                  </w:r>
                </w:p>
              </w:tc>
              <w:tc>
                <w:tcPr>
                  <w:tcW w:w="663" w:type="dxa"/>
                  <w:vAlign w:val="center"/>
                </w:tcPr>
                <w:p>
                  <w:pPr>
                    <w:widowControl/>
                    <w:spacing w:line="280" w:lineRule="exact"/>
                    <w:ind w:left="-71" w:leftChars="-34" w:right="-71" w:rightChars="-34"/>
                    <w:jc w:val="center"/>
                    <w:rPr>
                      <w:color w:val="auto"/>
                      <w:sz w:val="18"/>
                    </w:rPr>
                  </w:pPr>
                  <w:r>
                    <w:rPr>
                      <w:color w:val="auto"/>
                      <w:sz w:val="18"/>
                    </w:rPr>
                    <w:t>50m</w:t>
                  </w:r>
                </w:p>
              </w:tc>
              <w:tc>
                <w:tcPr>
                  <w:tcW w:w="711" w:type="dxa"/>
                  <w:vAlign w:val="center"/>
                </w:tcPr>
                <w:p>
                  <w:pPr>
                    <w:widowControl/>
                    <w:spacing w:line="280" w:lineRule="exact"/>
                    <w:ind w:left="-71" w:leftChars="-34" w:right="-71" w:rightChars="-34"/>
                    <w:jc w:val="center"/>
                    <w:rPr>
                      <w:color w:val="auto"/>
                      <w:sz w:val="18"/>
                    </w:rPr>
                  </w:pPr>
                  <w:r>
                    <w:rPr>
                      <w:color w:val="auto"/>
                      <w:sz w:val="18"/>
                    </w:rPr>
                    <w:t>100m</w:t>
                  </w:r>
                </w:p>
              </w:tc>
              <w:tc>
                <w:tcPr>
                  <w:tcW w:w="566" w:type="dxa"/>
                  <w:vAlign w:val="center"/>
                </w:tcPr>
                <w:p>
                  <w:pPr>
                    <w:widowControl/>
                    <w:spacing w:line="280" w:lineRule="exact"/>
                    <w:ind w:left="-71" w:leftChars="-34" w:right="-71" w:rightChars="-34"/>
                    <w:jc w:val="center"/>
                    <w:rPr>
                      <w:color w:val="auto"/>
                      <w:sz w:val="18"/>
                    </w:rPr>
                  </w:pPr>
                  <w:r>
                    <w:rPr>
                      <w:color w:val="auto"/>
                      <w:sz w:val="18"/>
                    </w:rPr>
                    <w:t>110m</w:t>
                  </w:r>
                </w:p>
              </w:tc>
              <w:tc>
                <w:tcPr>
                  <w:tcW w:w="647" w:type="dxa"/>
                  <w:vAlign w:val="center"/>
                </w:tcPr>
                <w:p>
                  <w:pPr>
                    <w:widowControl/>
                    <w:spacing w:line="280" w:lineRule="exact"/>
                    <w:ind w:left="-71" w:leftChars="-34" w:right="-71" w:rightChars="-34"/>
                    <w:jc w:val="center"/>
                    <w:rPr>
                      <w:color w:val="auto"/>
                      <w:sz w:val="18"/>
                    </w:rPr>
                  </w:pPr>
                  <w:r>
                    <w:rPr>
                      <w:color w:val="auto"/>
                      <w:sz w:val="18"/>
                    </w:rPr>
                    <w:t>150m</w:t>
                  </w:r>
                </w:p>
              </w:tc>
              <w:tc>
                <w:tcPr>
                  <w:tcW w:w="724" w:type="dxa"/>
                  <w:vAlign w:val="center"/>
                </w:tcPr>
                <w:p>
                  <w:pPr>
                    <w:widowControl/>
                    <w:spacing w:line="280" w:lineRule="exact"/>
                    <w:ind w:left="-71" w:leftChars="-34" w:right="-71" w:rightChars="-34"/>
                    <w:jc w:val="center"/>
                    <w:rPr>
                      <w:color w:val="auto"/>
                      <w:sz w:val="18"/>
                    </w:rPr>
                  </w:pPr>
                  <w:r>
                    <w:rPr>
                      <w:color w:val="auto"/>
                      <w:sz w:val="18"/>
                    </w:rPr>
                    <w:t>200m</w:t>
                  </w:r>
                </w:p>
              </w:tc>
              <w:tc>
                <w:tcPr>
                  <w:tcW w:w="739" w:type="dxa"/>
                  <w:vAlign w:val="center"/>
                </w:tcPr>
                <w:p>
                  <w:pPr>
                    <w:widowControl/>
                    <w:spacing w:line="280" w:lineRule="exact"/>
                    <w:ind w:left="-71" w:leftChars="-34" w:right="-71" w:rightChars="-34"/>
                    <w:jc w:val="center"/>
                    <w:rPr>
                      <w:color w:val="auto"/>
                      <w:sz w:val="18"/>
                    </w:rPr>
                  </w:pPr>
                  <w:r>
                    <w:rPr>
                      <w:color w:val="auto"/>
                      <w:sz w:val="18"/>
                    </w:rPr>
                    <w:t>300m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678" w:type="dxa"/>
                  <w:vMerge w:val="continue"/>
                  <w:vAlign w:val="center"/>
                </w:tcPr>
                <w:p>
                  <w:pPr>
                    <w:widowControl/>
                    <w:spacing w:line="280" w:lineRule="exact"/>
                    <w:ind w:left="-71" w:leftChars="-34" w:right="-71" w:rightChars="-34"/>
                    <w:jc w:val="center"/>
                    <w:rPr>
                      <w:color w:val="auto"/>
                      <w:sz w:val="18"/>
                    </w:rPr>
                  </w:pPr>
                </w:p>
              </w:tc>
              <w:tc>
                <w:tcPr>
                  <w:tcW w:w="808" w:type="dxa"/>
                  <w:vMerge w:val="continue"/>
                  <w:vAlign w:val="center"/>
                </w:tcPr>
                <w:p>
                  <w:pPr>
                    <w:widowControl/>
                    <w:spacing w:line="280" w:lineRule="exact"/>
                    <w:ind w:left="-71" w:leftChars="-34" w:right="-71" w:rightChars="-34"/>
                    <w:jc w:val="center"/>
                    <w:rPr>
                      <w:color w:val="auto"/>
                      <w:sz w:val="18"/>
                    </w:rPr>
                  </w:pPr>
                </w:p>
              </w:tc>
              <w:tc>
                <w:tcPr>
                  <w:tcW w:w="747" w:type="dxa"/>
                  <w:vMerge w:val="continue"/>
                  <w:vAlign w:val="center"/>
                </w:tcPr>
                <w:p>
                  <w:pPr>
                    <w:widowControl/>
                    <w:spacing w:line="280" w:lineRule="exact"/>
                    <w:ind w:left="-71" w:leftChars="-34" w:right="-71" w:rightChars="-34"/>
                    <w:jc w:val="center"/>
                    <w:rPr>
                      <w:color w:val="auto"/>
                      <w:sz w:val="18"/>
                    </w:rPr>
                  </w:pPr>
                </w:p>
              </w:tc>
              <w:tc>
                <w:tcPr>
                  <w:tcW w:w="675" w:type="dxa"/>
                  <w:vAlign w:val="center"/>
                </w:tcPr>
                <w:p>
                  <w:pPr>
                    <w:widowControl/>
                    <w:spacing w:line="280" w:lineRule="exact"/>
                    <w:ind w:left="-71" w:leftChars="-34" w:right="-71" w:rightChars="-34"/>
                    <w:jc w:val="center"/>
                    <w:rPr>
                      <w:color w:val="auto"/>
                      <w:sz w:val="18"/>
                    </w:rPr>
                  </w:pPr>
                  <w:r>
                    <w:rPr>
                      <w:color w:val="auto"/>
                      <w:sz w:val="18"/>
                    </w:rPr>
                    <w:t>59.1</w:t>
                  </w:r>
                </w:p>
              </w:tc>
              <w:tc>
                <w:tcPr>
                  <w:tcW w:w="663" w:type="dxa"/>
                  <w:vAlign w:val="center"/>
                </w:tcPr>
                <w:p>
                  <w:pPr>
                    <w:widowControl/>
                    <w:spacing w:line="280" w:lineRule="exact"/>
                    <w:ind w:left="-71" w:leftChars="-34" w:right="-71" w:rightChars="-34"/>
                    <w:jc w:val="center"/>
                    <w:rPr>
                      <w:color w:val="auto"/>
                      <w:sz w:val="18"/>
                    </w:rPr>
                  </w:pPr>
                  <w:r>
                    <w:rPr>
                      <w:color w:val="auto"/>
                      <w:sz w:val="18"/>
                    </w:rPr>
                    <w:t>55.2</w:t>
                  </w:r>
                </w:p>
              </w:tc>
              <w:tc>
                <w:tcPr>
                  <w:tcW w:w="711" w:type="dxa"/>
                  <w:vAlign w:val="center"/>
                </w:tcPr>
                <w:p>
                  <w:pPr>
                    <w:widowControl/>
                    <w:spacing w:line="280" w:lineRule="exact"/>
                    <w:ind w:left="-71" w:leftChars="-34" w:right="-71" w:rightChars="-34"/>
                    <w:jc w:val="center"/>
                    <w:rPr>
                      <w:color w:val="auto"/>
                      <w:sz w:val="18"/>
                    </w:rPr>
                  </w:pPr>
                  <w:r>
                    <w:rPr>
                      <w:color w:val="auto"/>
                      <w:sz w:val="18"/>
                    </w:rPr>
                    <w:t>49.2</w:t>
                  </w:r>
                </w:p>
              </w:tc>
              <w:tc>
                <w:tcPr>
                  <w:tcW w:w="566" w:type="dxa"/>
                  <w:vAlign w:val="center"/>
                </w:tcPr>
                <w:p>
                  <w:pPr>
                    <w:widowControl/>
                    <w:spacing w:line="280" w:lineRule="exact"/>
                    <w:ind w:left="-71" w:leftChars="-34" w:right="-71" w:rightChars="-34"/>
                    <w:jc w:val="center"/>
                    <w:rPr>
                      <w:color w:val="auto"/>
                      <w:sz w:val="18"/>
                    </w:rPr>
                  </w:pPr>
                  <w:r>
                    <w:rPr>
                      <w:color w:val="auto"/>
                      <w:sz w:val="18"/>
                    </w:rPr>
                    <w:t>48.4</w:t>
                  </w:r>
                </w:p>
              </w:tc>
              <w:tc>
                <w:tcPr>
                  <w:tcW w:w="647" w:type="dxa"/>
                  <w:vAlign w:val="center"/>
                </w:tcPr>
                <w:p>
                  <w:pPr>
                    <w:widowControl/>
                    <w:spacing w:line="280" w:lineRule="exact"/>
                    <w:ind w:left="-71" w:leftChars="-34" w:right="-71" w:rightChars="-34"/>
                    <w:jc w:val="center"/>
                    <w:rPr>
                      <w:color w:val="auto"/>
                      <w:sz w:val="18"/>
                    </w:rPr>
                  </w:pPr>
                  <w:r>
                    <w:rPr>
                      <w:color w:val="auto"/>
                      <w:sz w:val="18"/>
                    </w:rPr>
                    <w:t>45.7</w:t>
                  </w:r>
                </w:p>
              </w:tc>
              <w:tc>
                <w:tcPr>
                  <w:tcW w:w="724" w:type="dxa"/>
                  <w:vAlign w:val="center"/>
                </w:tcPr>
                <w:p>
                  <w:pPr>
                    <w:widowControl/>
                    <w:spacing w:line="280" w:lineRule="exact"/>
                    <w:ind w:left="-71" w:leftChars="-34" w:right="-71" w:rightChars="-34"/>
                    <w:jc w:val="center"/>
                    <w:rPr>
                      <w:color w:val="auto"/>
                      <w:sz w:val="18"/>
                    </w:rPr>
                  </w:pPr>
                  <w:r>
                    <w:rPr>
                      <w:color w:val="auto"/>
                      <w:sz w:val="18"/>
                    </w:rPr>
                    <w:t>443.2</w:t>
                  </w:r>
                </w:p>
              </w:tc>
              <w:tc>
                <w:tcPr>
                  <w:tcW w:w="739" w:type="dxa"/>
                  <w:vAlign w:val="center"/>
                </w:tcPr>
                <w:p>
                  <w:pPr>
                    <w:widowControl/>
                    <w:spacing w:line="280" w:lineRule="exact"/>
                    <w:ind w:left="-71" w:leftChars="-34" w:right="-71" w:rightChars="-34"/>
                    <w:jc w:val="center"/>
                    <w:rPr>
                      <w:color w:val="auto"/>
                      <w:sz w:val="18"/>
                    </w:rPr>
                  </w:pPr>
                  <w:r>
                    <w:rPr>
                      <w:color w:val="auto"/>
                      <w:sz w:val="18"/>
                    </w:rPr>
                    <w:t>39.7</w:t>
                  </w:r>
                </w:p>
              </w:tc>
            </w:tr>
          </w:tbl>
          <w:p>
            <w:pPr>
              <w:adjustRightInd w:val="0"/>
              <w:snapToGrid w:val="0"/>
              <w:spacing w:line="360" w:lineRule="auto"/>
              <w:ind w:firstLine="420"/>
              <w:rPr>
                <w:color w:val="auto"/>
                <w:kern w:val="0"/>
                <w:szCs w:val="21"/>
              </w:rPr>
            </w:pPr>
            <w:r>
              <w:rPr>
                <w:rFonts w:hint="eastAsia"/>
                <w:color w:val="auto"/>
                <w:kern w:val="0"/>
                <w:szCs w:val="21"/>
              </w:rPr>
              <w:t>本项目矿山为爆破开采方式，营运期主要噪声设备为空压机、钻机、挖掘机、装载机等。当噪声设备距离开采区厂界距离小于32m时，生产噪声对场界的贡献值不能满足《工业企业厂界环境噪声排放标准》（GB12348-2008）2类标准限值。根据调查，开采区5</w:t>
            </w:r>
            <w:r>
              <w:rPr>
                <w:color w:val="auto"/>
                <w:kern w:val="0"/>
                <w:szCs w:val="21"/>
              </w:rPr>
              <w:t>00</w:t>
            </w:r>
            <w:r>
              <w:rPr>
                <w:rFonts w:hint="eastAsia"/>
                <w:color w:val="auto"/>
                <w:kern w:val="0"/>
                <w:szCs w:val="21"/>
              </w:rPr>
              <w:t>m范围内无居民住户，开采期间对周边居民影响很小。</w:t>
            </w:r>
          </w:p>
          <w:p>
            <w:pPr>
              <w:adjustRightInd w:val="0"/>
              <w:snapToGrid w:val="0"/>
              <w:spacing w:line="360" w:lineRule="auto"/>
              <w:ind w:firstLine="420"/>
              <w:rPr>
                <w:color w:val="auto"/>
                <w:kern w:val="0"/>
                <w:szCs w:val="21"/>
              </w:rPr>
            </w:pPr>
            <w:r>
              <w:rPr>
                <w:rFonts w:hint="eastAsia"/>
                <w:color w:val="auto"/>
                <w:kern w:val="0"/>
                <w:szCs w:val="21"/>
              </w:rPr>
              <w:t>由于项目为矿山开采类项目，开采作业中设备均布置在开采平台上，设备位置会随着开采平台的移动而变化，不会固定在一个位置。当需要靠近边界开采时，噪声源与边界距离较近，会导致厂界噪声超标。但项目不会一直在边界开采，不会造成持续的噪声超标现象；随着开采点远离边界，开采噪声对边界的贡献值也会随着降低，对周围环境影响较小。</w:t>
            </w:r>
          </w:p>
          <w:p>
            <w:pPr>
              <w:adjustRightInd w:val="0"/>
              <w:snapToGrid w:val="0"/>
              <w:spacing w:line="360" w:lineRule="auto"/>
              <w:ind w:firstLine="420"/>
              <w:rPr>
                <w:color w:val="auto"/>
                <w:kern w:val="0"/>
                <w:szCs w:val="21"/>
              </w:rPr>
            </w:pPr>
            <w:r>
              <w:rPr>
                <w:rFonts w:hint="eastAsia"/>
                <w:color w:val="auto"/>
                <w:kern w:val="0"/>
                <w:szCs w:val="21"/>
              </w:rPr>
              <w:t>②生产区环境影响</w:t>
            </w:r>
          </w:p>
          <w:p>
            <w:pPr>
              <w:adjustRightInd w:val="0"/>
              <w:snapToGrid w:val="0"/>
              <w:spacing w:line="360" w:lineRule="auto"/>
              <w:ind w:firstLine="420"/>
              <w:rPr>
                <w:color w:val="auto"/>
                <w:kern w:val="0"/>
                <w:szCs w:val="21"/>
              </w:rPr>
            </w:pPr>
            <w:r>
              <w:rPr>
                <w:rFonts w:hint="eastAsia"/>
                <w:color w:val="auto"/>
                <w:kern w:val="0"/>
                <w:szCs w:val="21"/>
              </w:rPr>
              <w:t>生产区的生产设备相对固定，且均在封闭的车间内。由于项目生产设备相对集中，因此将整个生产区作为一个点声源进行预测，经过叠加主要生产设备，计算出整个车间源强约99.6dB(A)，项目的噪声预测结果见下表。</w:t>
            </w:r>
          </w:p>
          <w:p>
            <w:pPr>
              <w:adjustRightInd w:val="0"/>
              <w:snapToGrid w:val="0"/>
              <w:spacing w:line="360" w:lineRule="auto"/>
              <w:jc w:val="center"/>
              <w:rPr>
                <w:b/>
                <w:color w:val="auto"/>
                <w:kern w:val="0"/>
                <w:sz w:val="18"/>
                <w:szCs w:val="18"/>
              </w:rPr>
            </w:pPr>
            <w:r>
              <w:rPr>
                <w:b/>
                <w:color w:val="auto"/>
                <w:kern w:val="0"/>
                <w:sz w:val="18"/>
                <w:szCs w:val="18"/>
              </w:rPr>
              <w:t>表5-10 生产区噪声预测结果   单位：dB（A）</w:t>
            </w:r>
          </w:p>
          <w:tbl>
            <w:tblPr>
              <w:tblStyle w:val="1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762"/>
              <w:gridCol w:w="744"/>
              <w:gridCol w:w="968"/>
              <w:gridCol w:w="804"/>
              <w:gridCol w:w="841"/>
              <w:gridCol w:w="829"/>
              <w:gridCol w:w="931"/>
              <w:gridCol w:w="9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00" w:type="dxa"/>
                  <w:vAlign w:val="center"/>
                </w:tcPr>
                <w:p>
                  <w:pPr>
                    <w:widowControl/>
                    <w:spacing w:line="280" w:lineRule="exact"/>
                    <w:ind w:left="-71" w:leftChars="-34" w:right="-71" w:rightChars="-34"/>
                    <w:jc w:val="center"/>
                    <w:rPr>
                      <w:bCs/>
                      <w:color w:val="auto"/>
                      <w:sz w:val="18"/>
                      <w:szCs w:val="18"/>
                    </w:rPr>
                  </w:pPr>
                  <w:r>
                    <w:rPr>
                      <w:bCs/>
                      <w:color w:val="auto"/>
                      <w:sz w:val="18"/>
                      <w:szCs w:val="18"/>
                    </w:rPr>
                    <w:t>方位</w:t>
                  </w:r>
                </w:p>
              </w:tc>
              <w:tc>
                <w:tcPr>
                  <w:tcW w:w="762" w:type="dxa"/>
                  <w:vAlign w:val="center"/>
                </w:tcPr>
                <w:p>
                  <w:pPr>
                    <w:widowControl/>
                    <w:spacing w:line="280" w:lineRule="exact"/>
                    <w:ind w:left="-71" w:leftChars="-34" w:right="-71" w:rightChars="-34"/>
                    <w:jc w:val="center"/>
                    <w:rPr>
                      <w:bCs/>
                      <w:color w:val="auto"/>
                      <w:sz w:val="18"/>
                      <w:szCs w:val="18"/>
                    </w:rPr>
                  </w:pPr>
                  <w:r>
                    <w:rPr>
                      <w:bCs/>
                      <w:color w:val="auto"/>
                      <w:sz w:val="18"/>
                      <w:szCs w:val="18"/>
                    </w:rPr>
                    <w:t>源强</w:t>
                  </w:r>
                </w:p>
              </w:tc>
              <w:tc>
                <w:tcPr>
                  <w:tcW w:w="744" w:type="dxa"/>
                  <w:vAlign w:val="center"/>
                </w:tcPr>
                <w:p>
                  <w:pPr>
                    <w:widowControl/>
                    <w:spacing w:line="280" w:lineRule="exact"/>
                    <w:ind w:left="-71" w:leftChars="-34" w:right="-71" w:rightChars="-34"/>
                    <w:jc w:val="center"/>
                    <w:rPr>
                      <w:bCs/>
                      <w:color w:val="auto"/>
                      <w:sz w:val="18"/>
                      <w:szCs w:val="18"/>
                    </w:rPr>
                  </w:pPr>
                  <w:r>
                    <w:rPr>
                      <w:bCs/>
                      <w:color w:val="auto"/>
                      <w:sz w:val="18"/>
                      <w:szCs w:val="18"/>
                    </w:rPr>
                    <w:t>隔声量</w:t>
                  </w:r>
                </w:p>
              </w:tc>
              <w:tc>
                <w:tcPr>
                  <w:tcW w:w="968" w:type="dxa"/>
                  <w:vAlign w:val="center"/>
                </w:tcPr>
                <w:p>
                  <w:pPr>
                    <w:widowControl/>
                    <w:spacing w:line="280" w:lineRule="exact"/>
                    <w:ind w:left="-71" w:leftChars="-34" w:right="-71" w:rightChars="-34"/>
                    <w:jc w:val="center"/>
                    <w:rPr>
                      <w:bCs/>
                      <w:color w:val="auto"/>
                      <w:sz w:val="18"/>
                      <w:szCs w:val="18"/>
                    </w:rPr>
                  </w:pPr>
                  <w:r>
                    <w:rPr>
                      <w:bCs/>
                      <w:color w:val="auto"/>
                      <w:sz w:val="18"/>
                      <w:szCs w:val="18"/>
                    </w:rPr>
                    <w:t>与噪声源的距离</w:t>
                  </w:r>
                </w:p>
              </w:tc>
              <w:tc>
                <w:tcPr>
                  <w:tcW w:w="804" w:type="dxa"/>
                  <w:vAlign w:val="center"/>
                </w:tcPr>
                <w:p>
                  <w:pPr>
                    <w:widowControl/>
                    <w:spacing w:line="280" w:lineRule="exact"/>
                    <w:ind w:left="-71" w:leftChars="-34" w:right="-71" w:rightChars="-34"/>
                    <w:jc w:val="center"/>
                    <w:rPr>
                      <w:bCs/>
                      <w:color w:val="auto"/>
                      <w:sz w:val="18"/>
                      <w:szCs w:val="18"/>
                    </w:rPr>
                  </w:pPr>
                  <w:r>
                    <w:rPr>
                      <w:bCs/>
                      <w:color w:val="auto"/>
                      <w:sz w:val="18"/>
                      <w:szCs w:val="18"/>
                    </w:rPr>
                    <w:t>贡献值</w:t>
                  </w:r>
                </w:p>
              </w:tc>
              <w:tc>
                <w:tcPr>
                  <w:tcW w:w="841" w:type="dxa"/>
                  <w:vAlign w:val="center"/>
                </w:tcPr>
                <w:p>
                  <w:pPr>
                    <w:widowControl/>
                    <w:spacing w:line="280" w:lineRule="exact"/>
                    <w:ind w:left="-71" w:leftChars="-34" w:right="-71" w:rightChars="-34"/>
                    <w:jc w:val="center"/>
                    <w:rPr>
                      <w:bCs/>
                      <w:color w:val="auto"/>
                      <w:sz w:val="18"/>
                      <w:szCs w:val="18"/>
                    </w:rPr>
                  </w:pPr>
                  <w:r>
                    <w:rPr>
                      <w:bCs/>
                      <w:color w:val="auto"/>
                      <w:sz w:val="18"/>
                      <w:szCs w:val="18"/>
                    </w:rPr>
                    <w:t>背景值</w:t>
                  </w:r>
                </w:p>
              </w:tc>
              <w:tc>
                <w:tcPr>
                  <w:tcW w:w="829" w:type="dxa"/>
                  <w:vAlign w:val="center"/>
                </w:tcPr>
                <w:p>
                  <w:pPr>
                    <w:widowControl/>
                    <w:spacing w:line="280" w:lineRule="exact"/>
                    <w:ind w:left="-71" w:leftChars="-34" w:right="-71" w:rightChars="-34"/>
                    <w:jc w:val="center"/>
                    <w:rPr>
                      <w:bCs/>
                      <w:color w:val="auto"/>
                      <w:sz w:val="18"/>
                      <w:szCs w:val="18"/>
                    </w:rPr>
                  </w:pPr>
                  <w:r>
                    <w:rPr>
                      <w:bCs/>
                      <w:color w:val="auto"/>
                      <w:sz w:val="18"/>
                      <w:szCs w:val="18"/>
                    </w:rPr>
                    <w:t>预测值</w:t>
                  </w:r>
                </w:p>
              </w:tc>
              <w:tc>
                <w:tcPr>
                  <w:tcW w:w="931" w:type="dxa"/>
                  <w:vAlign w:val="center"/>
                </w:tcPr>
                <w:p>
                  <w:pPr>
                    <w:widowControl/>
                    <w:spacing w:line="280" w:lineRule="exact"/>
                    <w:ind w:left="-71" w:leftChars="-34" w:right="-71" w:rightChars="-34"/>
                    <w:jc w:val="center"/>
                    <w:rPr>
                      <w:bCs/>
                      <w:color w:val="auto"/>
                      <w:sz w:val="18"/>
                      <w:szCs w:val="18"/>
                    </w:rPr>
                  </w:pPr>
                  <w:r>
                    <w:rPr>
                      <w:bCs/>
                      <w:color w:val="auto"/>
                      <w:sz w:val="18"/>
                      <w:szCs w:val="18"/>
                    </w:rPr>
                    <w:t>执行标准</w:t>
                  </w:r>
                </w:p>
              </w:tc>
              <w:tc>
                <w:tcPr>
                  <w:tcW w:w="995" w:type="dxa"/>
                  <w:vAlign w:val="center"/>
                </w:tcPr>
                <w:p>
                  <w:pPr>
                    <w:widowControl/>
                    <w:spacing w:line="280" w:lineRule="exact"/>
                    <w:ind w:left="-71" w:leftChars="-34" w:right="-71" w:rightChars="-34"/>
                    <w:jc w:val="center"/>
                    <w:rPr>
                      <w:bCs/>
                      <w:color w:val="auto"/>
                      <w:sz w:val="18"/>
                      <w:szCs w:val="18"/>
                    </w:rPr>
                  </w:pPr>
                  <w:r>
                    <w:rPr>
                      <w:bCs/>
                      <w:color w:val="auto"/>
                      <w:sz w:val="18"/>
                      <w:szCs w:val="18"/>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100" w:type="dxa"/>
                  <w:vAlign w:val="center"/>
                </w:tcPr>
                <w:p>
                  <w:pPr>
                    <w:widowControl/>
                    <w:spacing w:line="280" w:lineRule="exact"/>
                    <w:ind w:left="-71" w:leftChars="-34" w:right="-71" w:rightChars="-34"/>
                    <w:jc w:val="center"/>
                    <w:rPr>
                      <w:color w:val="auto"/>
                      <w:sz w:val="18"/>
                      <w:szCs w:val="18"/>
                    </w:rPr>
                  </w:pPr>
                  <w:r>
                    <w:rPr>
                      <w:color w:val="auto"/>
                      <w:sz w:val="18"/>
                      <w:szCs w:val="18"/>
                    </w:rPr>
                    <w:t>东厂界</w:t>
                  </w:r>
                </w:p>
              </w:tc>
              <w:tc>
                <w:tcPr>
                  <w:tcW w:w="762" w:type="dxa"/>
                  <w:vAlign w:val="center"/>
                </w:tcPr>
                <w:p>
                  <w:pPr>
                    <w:widowControl/>
                    <w:spacing w:line="280" w:lineRule="exact"/>
                    <w:ind w:left="-71" w:leftChars="-34" w:right="-71" w:rightChars="-34"/>
                    <w:jc w:val="center"/>
                    <w:rPr>
                      <w:color w:val="auto"/>
                      <w:sz w:val="18"/>
                      <w:szCs w:val="18"/>
                    </w:rPr>
                  </w:pPr>
                  <w:r>
                    <w:rPr>
                      <w:color w:val="auto"/>
                      <w:sz w:val="18"/>
                      <w:szCs w:val="18"/>
                    </w:rPr>
                    <w:t>99.6</w:t>
                  </w:r>
                </w:p>
              </w:tc>
              <w:tc>
                <w:tcPr>
                  <w:tcW w:w="744" w:type="dxa"/>
                  <w:vAlign w:val="center"/>
                </w:tcPr>
                <w:p>
                  <w:pPr>
                    <w:widowControl/>
                    <w:spacing w:line="280" w:lineRule="exact"/>
                    <w:ind w:left="-71" w:leftChars="-34" w:right="-71" w:rightChars="-34"/>
                    <w:jc w:val="center"/>
                    <w:rPr>
                      <w:color w:val="auto"/>
                      <w:sz w:val="18"/>
                      <w:szCs w:val="18"/>
                    </w:rPr>
                  </w:pPr>
                  <w:r>
                    <w:rPr>
                      <w:color w:val="auto"/>
                      <w:sz w:val="18"/>
                      <w:szCs w:val="18"/>
                    </w:rPr>
                    <w:t>20</w:t>
                  </w:r>
                </w:p>
              </w:tc>
              <w:tc>
                <w:tcPr>
                  <w:tcW w:w="968" w:type="dxa"/>
                  <w:vAlign w:val="center"/>
                </w:tcPr>
                <w:p>
                  <w:pPr>
                    <w:widowControl/>
                    <w:spacing w:line="280" w:lineRule="exact"/>
                    <w:ind w:left="-71" w:leftChars="-34" w:right="-71" w:rightChars="-34"/>
                    <w:jc w:val="center"/>
                    <w:rPr>
                      <w:color w:val="auto"/>
                      <w:sz w:val="18"/>
                      <w:szCs w:val="18"/>
                    </w:rPr>
                  </w:pPr>
                  <w:r>
                    <w:rPr>
                      <w:color w:val="auto"/>
                      <w:sz w:val="18"/>
                      <w:szCs w:val="18"/>
                    </w:rPr>
                    <w:t>38</w:t>
                  </w:r>
                </w:p>
              </w:tc>
              <w:tc>
                <w:tcPr>
                  <w:tcW w:w="804" w:type="dxa"/>
                  <w:vAlign w:val="bottom"/>
                </w:tcPr>
                <w:p>
                  <w:pPr>
                    <w:widowControl/>
                    <w:spacing w:line="280" w:lineRule="exact"/>
                    <w:ind w:left="-71" w:leftChars="-34" w:right="-71" w:rightChars="-34"/>
                    <w:jc w:val="center"/>
                    <w:rPr>
                      <w:color w:val="auto"/>
                      <w:sz w:val="18"/>
                      <w:szCs w:val="18"/>
                    </w:rPr>
                  </w:pPr>
                  <w:r>
                    <w:rPr>
                      <w:color w:val="auto"/>
                      <w:sz w:val="18"/>
                      <w:szCs w:val="18"/>
                    </w:rPr>
                    <w:t>48.7</w:t>
                  </w:r>
                </w:p>
              </w:tc>
              <w:tc>
                <w:tcPr>
                  <w:tcW w:w="841" w:type="dxa"/>
                  <w:vAlign w:val="center"/>
                </w:tcPr>
                <w:p>
                  <w:pPr>
                    <w:widowControl/>
                    <w:spacing w:line="280" w:lineRule="exact"/>
                    <w:ind w:left="-71" w:leftChars="-34" w:right="-71" w:rightChars="-34"/>
                    <w:jc w:val="center"/>
                    <w:rPr>
                      <w:color w:val="auto"/>
                      <w:sz w:val="18"/>
                      <w:szCs w:val="18"/>
                    </w:rPr>
                  </w:pPr>
                  <w:r>
                    <w:rPr>
                      <w:color w:val="auto"/>
                      <w:sz w:val="18"/>
                      <w:szCs w:val="18"/>
                    </w:rPr>
                    <w:t>/</w:t>
                  </w:r>
                </w:p>
              </w:tc>
              <w:tc>
                <w:tcPr>
                  <w:tcW w:w="829" w:type="dxa"/>
                  <w:vAlign w:val="center"/>
                </w:tcPr>
                <w:p>
                  <w:pPr>
                    <w:widowControl/>
                    <w:spacing w:line="280" w:lineRule="exact"/>
                    <w:ind w:left="-71" w:leftChars="-34" w:right="-71" w:rightChars="-34"/>
                    <w:jc w:val="center"/>
                    <w:rPr>
                      <w:color w:val="auto"/>
                      <w:sz w:val="18"/>
                      <w:szCs w:val="18"/>
                    </w:rPr>
                  </w:pPr>
                  <w:r>
                    <w:rPr>
                      <w:color w:val="auto"/>
                      <w:sz w:val="18"/>
                      <w:szCs w:val="18"/>
                    </w:rPr>
                    <w:t>/</w:t>
                  </w:r>
                </w:p>
              </w:tc>
              <w:tc>
                <w:tcPr>
                  <w:tcW w:w="931" w:type="dxa"/>
                  <w:vMerge w:val="restart"/>
                  <w:vAlign w:val="center"/>
                </w:tcPr>
                <w:p>
                  <w:pPr>
                    <w:widowControl/>
                    <w:spacing w:line="280" w:lineRule="exact"/>
                    <w:ind w:left="-71" w:leftChars="-34" w:right="-71" w:rightChars="-34"/>
                    <w:jc w:val="center"/>
                    <w:rPr>
                      <w:color w:val="auto"/>
                      <w:sz w:val="18"/>
                      <w:szCs w:val="18"/>
                    </w:rPr>
                  </w:pPr>
                  <w:r>
                    <w:rPr>
                      <w:rFonts w:hint="eastAsia"/>
                      <w:color w:val="auto"/>
                      <w:sz w:val="18"/>
                      <w:szCs w:val="18"/>
                    </w:rPr>
                    <w:t>昼间</w:t>
                  </w:r>
                  <w:r>
                    <w:rPr>
                      <w:color w:val="auto"/>
                      <w:sz w:val="18"/>
                      <w:szCs w:val="18"/>
                    </w:rPr>
                    <w:t>60</w:t>
                  </w:r>
                </w:p>
                <w:p>
                  <w:pPr>
                    <w:widowControl/>
                    <w:spacing w:line="280" w:lineRule="exact"/>
                    <w:ind w:left="-71" w:leftChars="-34" w:right="-71" w:rightChars="-34"/>
                    <w:jc w:val="center"/>
                    <w:rPr>
                      <w:color w:val="auto"/>
                      <w:sz w:val="18"/>
                      <w:szCs w:val="18"/>
                    </w:rPr>
                  </w:pPr>
                  <w:r>
                    <w:rPr>
                      <w:rFonts w:hint="eastAsia"/>
                      <w:color w:val="auto"/>
                      <w:sz w:val="18"/>
                      <w:szCs w:val="18"/>
                    </w:rPr>
                    <w:t>夜间5</w:t>
                  </w:r>
                  <w:r>
                    <w:rPr>
                      <w:color w:val="auto"/>
                      <w:sz w:val="18"/>
                      <w:szCs w:val="18"/>
                    </w:rPr>
                    <w:t>0</w:t>
                  </w:r>
                </w:p>
              </w:tc>
              <w:tc>
                <w:tcPr>
                  <w:tcW w:w="995" w:type="dxa"/>
                  <w:vAlign w:val="center"/>
                </w:tcPr>
                <w:p>
                  <w:pPr>
                    <w:widowControl/>
                    <w:spacing w:line="280" w:lineRule="exact"/>
                    <w:ind w:left="-71" w:leftChars="-34" w:right="-71" w:rightChars="-34"/>
                    <w:jc w:val="center"/>
                    <w:rPr>
                      <w:color w:val="auto"/>
                      <w:sz w:val="18"/>
                      <w:szCs w:val="18"/>
                    </w:rPr>
                  </w:pPr>
                  <w:r>
                    <w:rPr>
                      <w:color w:val="auto"/>
                      <w:sz w:val="18"/>
                      <w:szCs w:val="18"/>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100" w:type="dxa"/>
                  <w:vAlign w:val="center"/>
                </w:tcPr>
                <w:p>
                  <w:pPr>
                    <w:widowControl/>
                    <w:spacing w:line="280" w:lineRule="exact"/>
                    <w:ind w:left="-71" w:leftChars="-34" w:right="-71" w:rightChars="-34"/>
                    <w:jc w:val="center"/>
                    <w:rPr>
                      <w:color w:val="auto"/>
                      <w:sz w:val="18"/>
                      <w:szCs w:val="18"/>
                    </w:rPr>
                  </w:pPr>
                  <w:r>
                    <w:rPr>
                      <w:color w:val="auto"/>
                      <w:sz w:val="18"/>
                      <w:szCs w:val="18"/>
                    </w:rPr>
                    <w:t>南厂界</w:t>
                  </w:r>
                </w:p>
              </w:tc>
              <w:tc>
                <w:tcPr>
                  <w:tcW w:w="762" w:type="dxa"/>
                  <w:vAlign w:val="center"/>
                </w:tcPr>
                <w:p>
                  <w:pPr>
                    <w:widowControl/>
                    <w:spacing w:line="280" w:lineRule="exact"/>
                    <w:ind w:left="-71" w:leftChars="-34" w:right="-71" w:rightChars="-34"/>
                    <w:jc w:val="center"/>
                    <w:rPr>
                      <w:color w:val="auto"/>
                      <w:sz w:val="18"/>
                      <w:szCs w:val="18"/>
                    </w:rPr>
                  </w:pPr>
                  <w:r>
                    <w:rPr>
                      <w:color w:val="auto"/>
                      <w:sz w:val="18"/>
                      <w:szCs w:val="18"/>
                    </w:rPr>
                    <w:t>99.6</w:t>
                  </w:r>
                </w:p>
              </w:tc>
              <w:tc>
                <w:tcPr>
                  <w:tcW w:w="744" w:type="dxa"/>
                  <w:vAlign w:val="center"/>
                </w:tcPr>
                <w:p>
                  <w:pPr>
                    <w:widowControl/>
                    <w:spacing w:line="280" w:lineRule="exact"/>
                    <w:ind w:left="-71" w:leftChars="-34" w:right="-71" w:rightChars="-34"/>
                    <w:jc w:val="center"/>
                    <w:rPr>
                      <w:color w:val="auto"/>
                      <w:sz w:val="18"/>
                      <w:szCs w:val="18"/>
                    </w:rPr>
                  </w:pPr>
                  <w:r>
                    <w:rPr>
                      <w:color w:val="auto"/>
                      <w:sz w:val="18"/>
                      <w:szCs w:val="18"/>
                    </w:rPr>
                    <w:t>20</w:t>
                  </w:r>
                </w:p>
              </w:tc>
              <w:tc>
                <w:tcPr>
                  <w:tcW w:w="968" w:type="dxa"/>
                  <w:vAlign w:val="center"/>
                </w:tcPr>
                <w:p>
                  <w:pPr>
                    <w:widowControl/>
                    <w:spacing w:line="280" w:lineRule="exact"/>
                    <w:ind w:left="-71" w:leftChars="-34" w:right="-71" w:rightChars="-34"/>
                    <w:jc w:val="center"/>
                    <w:rPr>
                      <w:color w:val="auto"/>
                      <w:sz w:val="18"/>
                      <w:szCs w:val="18"/>
                    </w:rPr>
                  </w:pPr>
                  <w:r>
                    <w:rPr>
                      <w:color w:val="auto"/>
                      <w:sz w:val="18"/>
                      <w:szCs w:val="18"/>
                    </w:rPr>
                    <w:t>65</w:t>
                  </w:r>
                </w:p>
              </w:tc>
              <w:tc>
                <w:tcPr>
                  <w:tcW w:w="804" w:type="dxa"/>
                  <w:vAlign w:val="bottom"/>
                </w:tcPr>
                <w:p>
                  <w:pPr>
                    <w:widowControl/>
                    <w:spacing w:line="280" w:lineRule="exact"/>
                    <w:ind w:left="-71" w:leftChars="-34" w:right="-71" w:rightChars="-34"/>
                    <w:jc w:val="center"/>
                    <w:rPr>
                      <w:color w:val="auto"/>
                      <w:sz w:val="18"/>
                      <w:szCs w:val="18"/>
                    </w:rPr>
                  </w:pPr>
                  <w:r>
                    <w:rPr>
                      <w:color w:val="auto"/>
                      <w:sz w:val="18"/>
                      <w:szCs w:val="18"/>
                    </w:rPr>
                    <w:t>43.3</w:t>
                  </w:r>
                </w:p>
              </w:tc>
              <w:tc>
                <w:tcPr>
                  <w:tcW w:w="841" w:type="dxa"/>
                  <w:vAlign w:val="center"/>
                </w:tcPr>
                <w:p>
                  <w:pPr>
                    <w:widowControl/>
                    <w:spacing w:line="280" w:lineRule="exact"/>
                    <w:ind w:left="-71" w:leftChars="-34" w:right="-71" w:rightChars="-34"/>
                    <w:jc w:val="center"/>
                    <w:rPr>
                      <w:color w:val="auto"/>
                      <w:sz w:val="18"/>
                      <w:szCs w:val="18"/>
                    </w:rPr>
                  </w:pPr>
                  <w:r>
                    <w:rPr>
                      <w:color w:val="auto"/>
                      <w:sz w:val="18"/>
                      <w:szCs w:val="18"/>
                    </w:rPr>
                    <w:t>/</w:t>
                  </w:r>
                </w:p>
              </w:tc>
              <w:tc>
                <w:tcPr>
                  <w:tcW w:w="829" w:type="dxa"/>
                  <w:vAlign w:val="center"/>
                </w:tcPr>
                <w:p>
                  <w:pPr>
                    <w:widowControl/>
                    <w:spacing w:line="280" w:lineRule="exact"/>
                    <w:ind w:left="-71" w:leftChars="-34" w:right="-71" w:rightChars="-34"/>
                    <w:jc w:val="center"/>
                    <w:rPr>
                      <w:color w:val="auto"/>
                      <w:sz w:val="18"/>
                      <w:szCs w:val="18"/>
                    </w:rPr>
                  </w:pPr>
                  <w:r>
                    <w:rPr>
                      <w:color w:val="auto"/>
                      <w:sz w:val="18"/>
                      <w:szCs w:val="18"/>
                    </w:rPr>
                    <w:t>/</w:t>
                  </w:r>
                </w:p>
              </w:tc>
              <w:tc>
                <w:tcPr>
                  <w:tcW w:w="931" w:type="dxa"/>
                  <w:vMerge w:val="continue"/>
                  <w:vAlign w:val="center"/>
                </w:tcPr>
                <w:p>
                  <w:pPr>
                    <w:widowControl/>
                    <w:spacing w:line="280" w:lineRule="exact"/>
                    <w:ind w:left="-71" w:leftChars="-34" w:right="-71" w:rightChars="-34"/>
                    <w:jc w:val="center"/>
                    <w:rPr>
                      <w:color w:val="auto"/>
                      <w:sz w:val="18"/>
                      <w:szCs w:val="18"/>
                    </w:rPr>
                  </w:pPr>
                </w:p>
              </w:tc>
              <w:tc>
                <w:tcPr>
                  <w:tcW w:w="995" w:type="dxa"/>
                  <w:vAlign w:val="center"/>
                </w:tcPr>
                <w:p>
                  <w:pPr>
                    <w:widowControl/>
                    <w:spacing w:line="280" w:lineRule="exact"/>
                    <w:ind w:left="-71" w:leftChars="-34" w:right="-71" w:rightChars="-34"/>
                    <w:jc w:val="center"/>
                    <w:rPr>
                      <w:color w:val="auto"/>
                      <w:sz w:val="18"/>
                      <w:szCs w:val="18"/>
                    </w:rPr>
                  </w:pPr>
                  <w:r>
                    <w:rPr>
                      <w:color w:val="auto"/>
                      <w:sz w:val="18"/>
                      <w:szCs w:val="18"/>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100" w:type="dxa"/>
                  <w:vAlign w:val="center"/>
                </w:tcPr>
                <w:p>
                  <w:pPr>
                    <w:widowControl/>
                    <w:spacing w:line="280" w:lineRule="exact"/>
                    <w:ind w:left="-71" w:leftChars="-34" w:right="-71" w:rightChars="-34"/>
                    <w:jc w:val="center"/>
                    <w:rPr>
                      <w:color w:val="auto"/>
                      <w:sz w:val="18"/>
                      <w:szCs w:val="18"/>
                    </w:rPr>
                  </w:pPr>
                  <w:r>
                    <w:rPr>
                      <w:color w:val="auto"/>
                      <w:sz w:val="18"/>
                      <w:szCs w:val="18"/>
                    </w:rPr>
                    <w:t>西厂界</w:t>
                  </w:r>
                </w:p>
              </w:tc>
              <w:tc>
                <w:tcPr>
                  <w:tcW w:w="762" w:type="dxa"/>
                  <w:vAlign w:val="center"/>
                </w:tcPr>
                <w:p>
                  <w:pPr>
                    <w:widowControl/>
                    <w:spacing w:line="280" w:lineRule="exact"/>
                    <w:ind w:left="-71" w:leftChars="-34" w:right="-71" w:rightChars="-34"/>
                    <w:jc w:val="center"/>
                    <w:rPr>
                      <w:color w:val="auto"/>
                      <w:sz w:val="18"/>
                      <w:szCs w:val="18"/>
                    </w:rPr>
                  </w:pPr>
                  <w:r>
                    <w:rPr>
                      <w:color w:val="auto"/>
                      <w:sz w:val="18"/>
                      <w:szCs w:val="18"/>
                    </w:rPr>
                    <w:t>99.6</w:t>
                  </w:r>
                </w:p>
              </w:tc>
              <w:tc>
                <w:tcPr>
                  <w:tcW w:w="744" w:type="dxa"/>
                  <w:vAlign w:val="center"/>
                </w:tcPr>
                <w:p>
                  <w:pPr>
                    <w:widowControl/>
                    <w:spacing w:line="280" w:lineRule="exact"/>
                    <w:ind w:left="-71" w:leftChars="-34" w:right="-71" w:rightChars="-34"/>
                    <w:jc w:val="center"/>
                    <w:rPr>
                      <w:color w:val="auto"/>
                      <w:sz w:val="18"/>
                      <w:szCs w:val="18"/>
                    </w:rPr>
                  </w:pPr>
                  <w:r>
                    <w:rPr>
                      <w:color w:val="auto"/>
                      <w:sz w:val="18"/>
                      <w:szCs w:val="18"/>
                    </w:rPr>
                    <w:t>20</w:t>
                  </w:r>
                </w:p>
              </w:tc>
              <w:tc>
                <w:tcPr>
                  <w:tcW w:w="968" w:type="dxa"/>
                  <w:vAlign w:val="center"/>
                </w:tcPr>
                <w:p>
                  <w:pPr>
                    <w:widowControl/>
                    <w:spacing w:line="280" w:lineRule="exact"/>
                    <w:ind w:left="-71" w:leftChars="-34" w:right="-71" w:rightChars="-34"/>
                    <w:jc w:val="center"/>
                    <w:rPr>
                      <w:color w:val="auto"/>
                      <w:sz w:val="18"/>
                      <w:szCs w:val="18"/>
                    </w:rPr>
                  </w:pPr>
                  <w:r>
                    <w:rPr>
                      <w:color w:val="auto"/>
                      <w:sz w:val="18"/>
                      <w:szCs w:val="18"/>
                    </w:rPr>
                    <w:t>32</w:t>
                  </w:r>
                </w:p>
              </w:tc>
              <w:tc>
                <w:tcPr>
                  <w:tcW w:w="804" w:type="dxa"/>
                  <w:vAlign w:val="bottom"/>
                </w:tcPr>
                <w:p>
                  <w:pPr>
                    <w:widowControl/>
                    <w:spacing w:line="280" w:lineRule="exact"/>
                    <w:ind w:left="-71" w:leftChars="-34" w:right="-71" w:rightChars="-34"/>
                    <w:jc w:val="center"/>
                    <w:rPr>
                      <w:color w:val="auto"/>
                      <w:sz w:val="18"/>
                      <w:szCs w:val="18"/>
                    </w:rPr>
                  </w:pPr>
                  <w:r>
                    <w:rPr>
                      <w:color w:val="auto"/>
                      <w:sz w:val="18"/>
                      <w:szCs w:val="18"/>
                    </w:rPr>
                    <w:t>49.5</w:t>
                  </w:r>
                </w:p>
              </w:tc>
              <w:tc>
                <w:tcPr>
                  <w:tcW w:w="841" w:type="dxa"/>
                  <w:vAlign w:val="center"/>
                </w:tcPr>
                <w:p>
                  <w:pPr>
                    <w:widowControl/>
                    <w:spacing w:line="280" w:lineRule="exact"/>
                    <w:ind w:left="-71" w:leftChars="-34" w:right="-71" w:rightChars="-34"/>
                    <w:jc w:val="center"/>
                    <w:rPr>
                      <w:color w:val="auto"/>
                      <w:sz w:val="18"/>
                      <w:szCs w:val="18"/>
                    </w:rPr>
                  </w:pPr>
                  <w:r>
                    <w:rPr>
                      <w:color w:val="auto"/>
                      <w:sz w:val="18"/>
                      <w:szCs w:val="18"/>
                    </w:rPr>
                    <w:t>/</w:t>
                  </w:r>
                </w:p>
              </w:tc>
              <w:tc>
                <w:tcPr>
                  <w:tcW w:w="829" w:type="dxa"/>
                  <w:vAlign w:val="center"/>
                </w:tcPr>
                <w:p>
                  <w:pPr>
                    <w:widowControl/>
                    <w:spacing w:line="280" w:lineRule="exact"/>
                    <w:ind w:left="-71" w:leftChars="-34" w:right="-71" w:rightChars="-34"/>
                    <w:jc w:val="center"/>
                    <w:rPr>
                      <w:color w:val="auto"/>
                      <w:sz w:val="18"/>
                      <w:szCs w:val="18"/>
                    </w:rPr>
                  </w:pPr>
                  <w:r>
                    <w:rPr>
                      <w:color w:val="auto"/>
                      <w:sz w:val="18"/>
                      <w:szCs w:val="18"/>
                    </w:rPr>
                    <w:t>/</w:t>
                  </w:r>
                </w:p>
              </w:tc>
              <w:tc>
                <w:tcPr>
                  <w:tcW w:w="931" w:type="dxa"/>
                  <w:vMerge w:val="continue"/>
                  <w:vAlign w:val="center"/>
                </w:tcPr>
                <w:p>
                  <w:pPr>
                    <w:widowControl/>
                    <w:spacing w:line="280" w:lineRule="exact"/>
                    <w:ind w:left="-71" w:leftChars="-34" w:right="-71" w:rightChars="-34"/>
                    <w:jc w:val="center"/>
                    <w:rPr>
                      <w:color w:val="auto"/>
                      <w:sz w:val="18"/>
                      <w:szCs w:val="18"/>
                    </w:rPr>
                  </w:pPr>
                </w:p>
              </w:tc>
              <w:tc>
                <w:tcPr>
                  <w:tcW w:w="995" w:type="dxa"/>
                  <w:vAlign w:val="center"/>
                </w:tcPr>
                <w:p>
                  <w:pPr>
                    <w:widowControl/>
                    <w:spacing w:line="280" w:lineRule="exact"/>
                    <w:ind w:left="-71" w:leftChars="-34" w:right="-71" w:rightChars="-34"/>
                    <w:jc w:val="center"/>
                    <w:rPr>
                      <w:color w:val="auto"/>
                      <w:sz w:val="18"/>
                      <w:szCs w:val="18"/>
                    </w:rPr>
                  </w:pPr>
                  <w:r>
                    <w:rPr>
                      <w:color w:val="auto"/>
                      <w:sz w:val="18"/>
                      <w:szCs w:val="18"/>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100" w:type="dxa"/>
                  <w:vAlign w:val="center"/>
                </w:tcPr>
                <w:p>
                  <w:pPr>
                    <w:widowControl/>
                    <w:spacing w:line="280" w:lineRule="exact"/>
                    <w:ind w:left="-71" w:leftChars="-34" w:right="-71" w:rightChars="-34"/>
                    <w:jc w:val="center"/>
                    <w:rPr>
                      <w:color w:val="auto"/>
                      <w:sz w:val="18"/>
                      <w:szCs w:val="18"/>
                    </w:rPr>
                  </w:pPr>
                  <w:r>
                    <w:rPr>
                      <w:color w:val="auto"/>
                      <w:sz w:val="18"/>
                      <w:szCs w:val="18"/>
                    </w:rPr>
                    <w:t>北厂界</w:t>
                  </w:r>
                </w:p>
              </w:tc>
              <w:tc>
                <w:tcPr>
                  <w:tcW w:w="762" w:type="dxa"/>
                  <w:vAlign w:val="center"/>
                </w:tcPr>
                <w:p>
                  <w:pPr>
                    <w:widowControl/>
                    <w:spacing w:line="280" w:lineRule="exact"/>
                    <w:ind w:left="-71" w:leftChars="-34" w:right="-71" w:rightChars="-34"/>
                    <w:jc w:val="center"/>
                    <w:rPr>
                      <w:color w:val="auto"/>
                      <w:sz w:val="18"/>
                      <w:szCs w:val="18"/>
                    </w:rPr>
                  </w:pPr>
                  <w:r>
                    <w:rPr>
                      <w:color w:val="auto"/>
                      <w:sz w:val="18"/>
                      <w:szCs w:val="18"/>
                    </w:rPr>
                    <w:t>99.6</w:t>
                  </w:r>
                </w:p>
              </w:tc>
              <w:tc>
                <w:tcPr>
                  <w:tcW w:w="744" w:type="dxa"/>
                  <w:vAlign w:val="center"/>
                </w:tcPr>
                <w:p>
                  <w:pPr>
                    <w:widowControl/>
                    <w:spacing w:line="280" w:lineRule="exact"/>
                    <w:ind w:left="-71" w:leftChars="-34" w:right="-71" w:rightChars="-34"/>
                    <w:jc w:val="center"/>
                    <w:rPr>
                      <w:color w:val="auto"/>
                      <w:sz w:val="18"/>
                      <w:szCs w:val="18"/>
                    </w:rPr>
                  </w:pPr>
                  <w:r>
                    <w:rPr>
                      <w:color w:val="auto"/>
                      <w:sz w:val="18"/>
                      <w:szCs w:val="18"/>
                    </w:rPr>
                    <w:t>20</w:t>
                  </w:r>
                </w:p>
              </w:tc>
              <w:tc>
                <w:tcPr>
                  <w:tcW w:w="968" w:type="dxa"/>
                  <w:vAlign w:val="center"/>
                </w:tcPr>
                <w:p>
                  <w:pPr>
                    <w:widowControl/>
                    <w:spacing w:line="280" w:lineRule="exact"/>
                    <w:ind w:left="-71" w:leftChars="-34" w:right="-71" w:rightChars="-34"/>
                    <w:jc w:val="center"/>
                    <w:rPr>
                      <w:color w:val="auto"/>
                      <w:sz w:val="18"/>
                      <w:szCs w:val="18"/>
                    </w:rPr>
                  </w:pPr>
                  <w:r>
                    <w:rPr>
                      <w:color w:val="auto"/>
                      <w:sz w:val="18"/>
                      <w:szCs w:val="18"/>
                    </w:rPr>
                    <w:t>57</w:t>
                  </w:r>
                </w:p>
              </w:tc>
              <w:tc>
                <w:tcPr>
                  <w:tcW w:w="804" w:type="dxa"/>
                  <w:vAlign w:val="bottom"/>
                </w:tcPr>
                <w:p>
                  <w:pPr>
                    <w:widowControl/>
                    <w:spacing w:line="280" w:lineRule="exact"/>
                    <w:ind w:left="-71" w:leftChars="-34" w:right="-71" w:rightChars="-34"/>
                    <w:jc w:val="center"/>
                    <w:rPr>
                      <w:color w:val="auto"/>
                      <w:sz w:val="18"/>
                      <w:szCs w:val="18"/>
                    </w:rPr>
                  </w:pPr>
                  <w:r>
                    <w:rPr>
                      <w:color w:val="auto"/>
                      <w:sz w:val="18"/>
                      <w:szCs w:val="18"/>
                    </w:rPr>
                    <w:t>44.4</w:t>
                  </w:r>
                </w:p>
              </w:tc>
              <w:tc>
                <w:tcPr>
                  <w:tcW w:w="841" w:type="dxa"/>
                  <w:vAlign w:val="center"/>
                </w:tcPr>
                <w:p>
                  <w:pPr>
                    <w:widowControl/>
                    <w:spacing w:line="280" w:lineRule="exact"/>
                    <w:ind w:left="-71" w:leftChars="-34" w:right="-71" w:rightChars="-34"/>
                    <w:jc w:val="center"/>
                    <w:rPr>
                      <w:color w:val="auto"/>
                      <w:sz w:val="18"/>
                      <w:szCs w:val="18"/>
                    </w:rPr>
                  </w:pPr>
                  <w:r>
                    <w:rPr>
                      <w:color w:val="auto"/>
                      <w:sz w:val="18"/>
                      <w:szCs w:val="18"/>
                    </w:rPr>
                    <w:t>/</w:t>
                  </w:r>
                </w:p>
              </w:tc>
              <w:tc>
                <w:tcPr>
                  <w:tcW w:w="829" w:type="dxa"/>
                  <w:vAlign w:val="center"/>
                </w:tcPr>
                <w:p>
                  <w:pPr>
                    <w:widowControl/>
                    <w:spacing w:line="280" w:lineRule="exact"/>
                    <w:ind w:left="-71" w:leftChars="-34" w:right="-71" w:rightChars="-34"/>
                    <w:jc w:val="center"/>
                    <w:rPr>
                      <w:color w:val="auto"/>
                      <w:sz w:val="18"/>
                      <w:szCs w:val="18"/>
                    </w:rPr>
                  </w:pPr>
                  <w:r>
                    <w:rPr>
                      <w:color w:val="auto"/>
                      <w:sz w:val="18"/>
                      <w:szCs w:val="18"/>
                    </w:rPr>
                    <w:t>/</w:t>
                  </w:r>
                </w:p>
              </w:tc>
              <w:tc>
                <w:tcPr>
                  <w:tcW w:w="931" w:type="dxa"/>
                  <w:vMerge w:val="continue"/>
                  <w:vAlign w:val="center"/>
                </w:tcPr>
                <w:p>
                  <w:pPr>
                    <w:widowControl/>
                    <w:spacing w:line="280" w:lineRule="exact"/>
                    <w:ind w:left="-71" w:leftChars="-34" w:right="-71" w:rightChars="-34"/>
                    <w:jc w:val="center"/>
                    <w:rPr>
                      <w:color w:val="auto"/>
                      <w:sz w:val="18"/>
                      <w:szCs w:val="18"/>
                    </w:rPr>
                  </w:pPr>
                </w:p>
              </w:tc>
              <w:tc>
                <w:tcPr>
                  <w:tcW w:w="995" w:type="dxa"/>
                  <w:vAlign w:val="center"/>
                </w:tcPr>
                <w:p>
                  <w:pPr>
                    <w:widowControl/>
                    <w:spacing w:line="280" w:lineRule="exact"/>
                    <w:ind w:left="-71" w:leftChars="-34" w:right="-71" w:rightChars="-34"/>
                    <w:jc w:val="center"/>
                    <w:rPr>
                      <w:color w:val="auto"/>
                      <w:sz w:val="18"/>
                      <w:szCs w:val="18"/>
                    </w:rPr>
                  </w:pPr>
                  <w:r>
                    <w:rPr>
                      <w:color w:val="auto"/>
                      <w:sz w:val="18"/>
                      <w:szCs w:val="18"/>
                    </w:rPr>
                    <w:t>达标</w:t>
                  </w:r>
                </w:p>
              </w:tc>
            </w:tr>
          </w:tbl>
          <w:p>
            <w:pPr>
              <w:adjustRightInd w:val="0"/>
              <w:snapToGrid w:val="0"/>
              <w:spacing w:line="360" w:lineRule="auto"/>
              <w:ind w:firstLine="420"/>
              <w:rPr>
                <w:color w:val="auto"/>
                <w:kern w:val="0"/>
                <w:szCs w:val="21"/>
              </w:rPr>
            </w:pPr>
            <w:r>
              <w:rPr>
                <w:rFonts w:hint="eastAsia"/>
                <w:color w:val="auto"/>
                <w:kern w:val="0"/>
                <w:szCs w:val="21"/>
              </w:rPr>
              <w:t>由上表预测结果可知，本项目在采取优选设备、建筑隔声、基础减振、距离衰减等措施的情况下，项目生产区四周噪声预测值能够满足《工业企业厂界环境噪声排放标准》（GB12348-2008）2类声环境功能区的排放限值要求。</w:t>
            </w:r>
          </w:p>
          <w:p>
            <w:pPr>
              <w:adjustRightInd w:val="0"/>
              <w:snapToGrid w:val="0"/>
              <w:spacing w:line="360" w:lineRule="auto"/>
              <w:ind w:firstLine="420"/>
              <w:rPr>
                <w:color w:val="auto"/>
                <w:kern w:val="0"/>
                <w:szCs w:val="21"/>
              </w:rPr>
            </w:pPr>
            <w:r>
              <w:rPr>
                <w:rFonts w:hint="eastAsia"/>
                <w:color w:val="auto"/>
                <w:kern w:val="0"/>
                <w:szCs w:val="21"/>
              </w:rPr>
              <w:t>评价认为，项目建设不会改变区域声环境质量现状。</w:t>
            </w:r>
          </w:p>
          <w:p>
            <w:pPr>
              <w:adjustRightInd w:val="0"/>
              <w:snapToGrid w:val="0"/>
              <w:spacing w:line="360" w:lineRule="auto"/>
              <w:ind w:firstLine="420"/>
              <w:rPr>
                <w:color w:val="auto"/>
                <w:kern w:val="0"/>
                <w:szCs w:val="21"/>
              </w:rPr>
            </w:pPr>
            <w:r>
              <w:rPr>
                <w:rFonts w:hint="eastAsia"/>
                <w:color w:val="auto"/>
                <w:kern w:val="0"/>
                <w:szCs w:val="21"/>
              </w:rPr>
              <w:t>③爆破噪声影响分析</w:t>
            </w:r>
          </w:p>
          <w:p>
            <w:pPr>
              <w:adjustRightInd w:val="0"/>
              <w:snapToGrid w:val="0"/>
              <w:spacing w:line="360" w:lineRule="auto"/>
              <w:ind w:firstLine="420"/>
              <w:rPr>
                <w:color w:val="auto"/>
                <w:kern w:val="0"/>
                <w:szCs w:val="21"/>
              </w:rPr>
            </w:pPr>
            <w:r>
              <w:rPr>
                <w:rFonts w:hint="eastAsia"/>
                <w:color w:val="auto"/>
                <w:kern w:val="0"/>
                <w:szCs w:val="21"/>
              </w:rPr>
              <w:t>项目进行爆破作业时噪声较大，预测结果见下表。</w:t>
            </w:r>
          </w:p>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-11</w:t>
            </w:r>
            <w:r>
              <w:rPr>
                <w:rFonts w:hint="eastAsia"/>
                <w:b/>
                <w:color w:val="auto"/>
                <w:kern w:val="0"/>
                <w:sz w:val="18"/>
                <w:szCs w:val="18"/>
              </w:rPr>
              <w:t xml:space="preserve"> 爆破噪声随距离衰减预测结果表 </w:t>
            </w:r>
            <w:r>
              <w:rPr>
                <w:b/>
                <w:color w:val="auto"/>
                <w:kern w:val="0"/>
                <w:sz w:val="18"/>
                <w:szCs w:val="18"/>
              </w:rPr>
              <w:t xml:space="preserve">  单位：dB（A）</w:t>
            </w:r>
          </w:p>
          <w:tbl>
            <w:tblPr>
              <w:tblStyle w:val="1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706"/>
              <w:gridCol w:w="704"/>
              <w:gridCol w:w="724"/>
              <w:gridCol w:w="672"/>
              <w:gridCol w:w="682"/>
              <w:gridCol w:w="638"/>
              <w:gridCol w:w="639"/>
              <w:gridCol w:w="629"/>
              <w:gridCol w:w="682"/>
              <w:gridCol w:w="6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361" w:type="dxa"/>
                  <w:vAlign w:val="center"/>
                </w:tcPr>
                <w:p>
                  <w:pPr>
                    <w:autoSpaceDE w:val="0"/>
                    <w:autoSpaceDN w:val="0"/>
                    <w:adjustRightInd w:val="0"/>
                    <w:jc w:val="center"/>
                    <w:rPr>
                      <w:color w:val="auto"/>
                      <w:sz w:val="18"/>
                      <w:szCs w:val="18"/>
                    </w:rPr>
                  </w:pPr>
                  <w:r>
                    <w:rPr>
                      <w:color w:val="auto"/>
                      <w:sz w:val="18"/>
                      <w:szCs w:val="18"/>
                    </w:rPr>
                    <w:t>距离</w:t>
                  </w:r>
                </w:p>
              </w:tc>
              <w:tc>
                <w:tcPr>
                  <w:tcW w:w="706" w:type="dxa"/>
                  <w:vAlign w:val="center"/>
                </w:tcPr>
                <w:p>
                  <w:pPr>
                    <w:autoSpaceDE w:val="0"/>
                    <w:autoSpaceDN w:val="0"/>
                    <w:adjustRightInd w:val="0"/>
                    <w:jc w:val="center"/>
                    <w:rPr>
                      <w:color w:val="auto"/>
                      <w:sz w:val="18"/>
                      <w:szCs w:val="18"/>
                    </w:rPr>
                  </w:pPr>
                  <w:r>
                    <w:rPr>
                      <w:color w:val="auto"/>
                      <w:sz w:val="18"/>
                      <w:szCs w:val="18"/>
                    </w:rPr>
                    <w:t>5</w:t>
                  </w:r>
                </w:p>
              </w:tc>
              <w:tc>
                <w:tcPr>
                  <w:tcW w:w="704" w:type="dxa"/>
                  <w:vAlign w:val="center"/>
                </w:tcPr>
                <w:p>
                  <w:pPr>
                    <w:autoSpaceDE w:val="0"/>
                    <w:autoSpaceDN w:val="0"/>
                    <w:adjustRightInd w:val="0"/>
                    <w:jc w:val="center"/>
                    <w:rPr>
                      <w:color w:val="auto"/>
                      <w:sz w:val="18"/>
                      <w:szCs w:val="18"/>
                    </w:rPr>
                  </w:pPr>
                  <w:r>
                    <w:rPr>
                      <w:color w:val="auto"/>
                      <w:sz w:val="18"/>
                      <w:szCs w:val="18"/>
                    </w:rPr>
                    <w:t>10</w:t>
                  </w:r>
                </w:p>
              </w:tc>
              <w:tc>
                <w:tcPr>
                  <w:tcW w:w="724" w:type="dxa"/>
                  <w:vAlign w:val="center"/>
                </w:tcPr>
                <w:p>
                  <w:pPr>
                    <w:autoSpaceDE w:val="0"/>
                    <w:autoSpaceDN w:val="0"/>
                    <w:adjustRightInd w:val="0"/>
                    <w:jc w:val="center"/>
                    <w:rPr>
                      <w:color w:val="auto"/>
                      <w:sz w:val="18"/>
                      <w:szCs w:val="18"/>
                    </w:rPr>
                  </w:pPr>
                  <w:r>
                    <w:rPr>
                      <w:color w:val="auto"/>
                      <w:sz w:val="18"/>
                      <w:szCs w:val="18"/>
                    </w:rPr>
                    <w:t>50</w:t>
                  </w:r>
                </w:p>
              </w:tc>
              <w:tc>
                <w:tcPr>
                  <w:tcW w:w="672" w:type="dxa"/>
                  <w:vAlign w:val="center"/>
                </w:tcPr>
                <w:p>
                  <w:pPr>
                    <w:autoSpaceDE w:val="0"/>
                    <w:autoSpaceDN w:val="0"/>
                    <w:adjustRightInd w:val="0"/>
                    <w:jc w:val="center"/>
                    <w:rPr>
                      <w:color w:val="auto"/>
                      <w:sz w:val="18"/>
                      <w:szCs w:val="18"/>
                    </w:rPr>
                  </w:pPr>
                  <w:r>
                    <w:rPr>
                      <w:color w:val="auto"/>
                      <w:sz w:val="18"/>
                      <w:szCs w:val="18"/>
                    </w:rPr>
                    <w:t>100</w:t>
                  </w:r>
                </w:p>
              </w:tc>
              <w:tc>
                <w:tcPr>
                  <w:tcW w:w="682" w:type="dxa"/>
                  <w:vAlign w:val="center"/>
                </w:tcPr>
                <w:p>
                  <w:pPr>
                    <w:autoSpaceDE w:val="0"/>
                    <w:autoSpaceDN w:val="0"/>
                    <w:adjustRightInd w:val="0"/>
                    <w:jc w:val="center"/>
                    <w:rPr>
                      <w:color w:val="auto"/>
                      <w:sz w:val="18"/>
                      <w:szCs w:val="18"/>
                    </w:rPr>
                  </w:pPr>
                  <w:r>
                    <w:rPr>
                      <w:color w:val="auto"/>
                      <w:sz w:val="18"/>
                      <w:szCs w:val="18"/>
                    </w:rPr>
                    <w:t>150</w:t>
                  </w:r>
                </w:p>
              </w:tc>
              <w:tc>
                <w:tcPr>
                  <w:tcW w:w="638" w:type="dxa"/>
                  <w:vAlign w:val="center"/>
                </w:tcPr>
                <w:p>
                  <w:pPr>
                    <w:autoSpaceDE w:val="0"/>
                    <w:autoSpaceDN w:val="0"/>
                    <w:adjustRightInd w:val="0"/>
                    <w:jc w:val="center"/>
                    <w:rPr>
                      <w:color w:val="auto"/>
                      <w:sz w:val="18"/>
                      <w:szCs w:val="18"/>
                    </w:rPr>
                  </w:pPr>
                  <w:r>
                    <w:rPr>
                      <w:color w:val="auto"/>
                      <w:sz w:val="18"/>
                      <w:szCs w:val="18"/>
                    </w:rPr>
                    <w:t>200</w:t>
                  </w:r>
                </w:p>
              </w:tc>
              <w:tc>
                <w:tcPr>
                  <w:tcW w:w="639" w:type="dxa"/>
                  <w:vAlign w:val="center"/>
                </w:tcPr>
                <w:p>
                  <w:pPr>
                    <w:autoSpaceDE w:val="0"/>
                    <w:autoSpaceDN w:val="0"/>
                    <w:adjustRightInd w:val="0"/>
                    <w:jc w:val="center"/>
                    <w:rPr>
                      <w:color w:val="auto"/>
                      <w:sz w:val="18"/>
                      <w:szCs w:val="18"/>
                    </w:rPr>
                  </w:pPr>
                  <w:r>
                    <w:rPr>
                      <w:color w:val="auto"/>
                      <w:sz w:val="18"/>
                      <w:szCs w:val="18"/>
                    </w:rPr>
                    <w:t>300</w:t>
                  </w:r>
                </w:p>
              </w:tc>
              <w:tc>
                <w:tcPr>
                  <w:tcW w:w="629" w:type="dxa"/>
                  <w:vAlign w:val="center"/>
                </w:tcPr>
                <w:p>
                  <w:pPr>
                    <w:autoSpaceDE w:val="0"/>
                    <w:autoSpaceDN w:val="0"/>
                    <w:adjustRightInd w:val="0"/>
                    <w:jc w:val="center"/>
                    <w:rPr>
                      <w:color w:val="auto"/>
                      <w:sz w:val="18"/>
                      <w:szCs w:val="18"/>
                    </w:rPr>
                  </w:pPr>
                  <w:r>
                    <w:rPr>
                      <w:color w:val="auto"/>
                      <w:sz w:val="18"/>
                      <w:szCs w:val="18"/>
                    </w:rPr>
                    <w:t>400</w:t>
                  </w:r>
                </w:p>
              </w:tc>
              <w:tc>
                <w:tcPr>
                  <w:tcW w:w="682" w:type="dxa"/>
                  <w:vAlign w:val="center"/>
                </w:tcPr>
                <w:p>
                  <w:pPr>
                    <w:autoSpaceDE w:val="0"/>
                    <w:autoSpaceDN w:val="0"/>
                    <w:adjustRightInd w:val="0"/>
                    <w:jc w:val="center"/>
                    <w:rPr>
                      <w:color w:val="auto"/>
                      <w:sz w:val="18"/>
                      <w:szCs w:val="18"/>
                    </w:rPr>
                  </w:pPr>
                  <w:r>
                    <w:rPr>
                      <w:color w:val="auto"/>
                      <w:sz w:val="18"/>
                      <w:szCs w:val="18"/>
                    </w:rPr>
                    <w:t>500</w:t>
                  </w:r>
                </w:p>
              </w:tc>
              <w:tc>
                <w:tcPr>
                  <w:tcW w:w="639" w:type="dxa"/>
                  <w:vAlign w:val="center"/>
                </w:tcPr>
                <w:p>
                  <w:pPr>
                    <w:autoSpaceDE w:val="0"/>
                    <w:autoSpaceDN w:val="0"/>
                    <w:adjustRightInd w:val="0"/>
                    <w:jc w:val="center"/>
                    <w:rPr>
                      <w:color w:val="auto"/>
                      <w:sz w:val="18"/>
                      <w:szCs w:val="18"/>
                    </w:rPr>
                  </w:pPr>
                  <w:r>
                    <w:rPr>
                      <w:color w:val="auto"/>
                      <w:sz w:val="18"/>
                      <w:szCs w:val="18"/>
                    </w:rPr>
                    <w:t>1000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361" w:type="dxa"/>
                  <w:vAlign w:val="center"/>
                </w:tcPr>
                <w:p>
                  <w:pPr>
                    <w:autoSpaceDE w:val="0"/>
                    <w:autoSpaceDN w:val="0"/>
                    <w:adjustRightInd w:val="0"/>
                    <w:jc w:val="center"/>
                    <w:rPr>
                      <w:bCs/>
                      <w:color w:val="auto"/>
                      <w:sz w:val="18"/>
                      <w:szCs w:val="18"/>
                    </w:rPr>
                  </w:pPr>
                  <w:r>
                    <w:rPr>
                      <w:bCs/>
                      <w:color w:val="auto"/>
                      <w:sz w:val="18"/>
                      <w:szCs w:val="18"/>
                    </w:rPr>
                    <w:t>声级</w:t>
                  </w:r>
                </w:p>
                <w:p>
                  <w:pPr>
                    <w:autoSpaceDE w:val="0"/>
                    <w:autoSpaceDN w:val="0"/>
                    <w:adjustRightInd w:val="0"/>
                    <w:jc w:val="center"/>
                    <w:rPr>
                      <w:bCs/>
                      <w:color w:val="auto"/>
                      <w:sz w:val="18"/>
                      <w:szCs w:val="18"/>
                    </w:rPr>
                  </w:pPr>
                  <w:r>
                    <w:rPr>
                      <w:bCs/>
                      <w:color w:val="auto"/>
                      <w:sz w:val="18"/>
                      <w:szCs w:val="18"/>
                    </w:rPr>
                    <w:t>（源强130）</w:t>
                  </w:r>
                </w:p>
              </w:tc>
              <w:tc>
                <w:tcPr>
                  <w:tcW w:w="706" w:type="dxa"/>
                  <w:vAlign w:val="center"/>
                </w:tcPr>
                <w:p>
                  <w:pPr>
                    <w:autoSpaceDE w:val="0"/>
                    <w:autoSpaceDN w:val="0"/>
                    <w:adjustRightInd w:val="0"/>
                    <w:jc w:val="center"/>
                    <w:rPr>
                      <w:bCs/>
                      <w:color w:val="auto"/>
                      <w:sz w:val="18"/>
                      <w:szCs w:val="18"/>
                    </w:rPr>
                  </w:pPr>
                  <w:r>
                    <w:rPr>
                      <w:bCs/>
                      <w:color w:val="auto"/>
                      <w:sz w:val="18"/>
                      <w:szCs w:val="18"/>
                    </w:rPr>
                    <w:t>116</w:t>
                  </w:r>
                </w:p>
              </w:tc>
              <w:tc>
                <w:tcPr>
                  <w:tcW w:w="704" w:type="dxa"/>
                  <w:vAlign w:val="center"/>
                </w:tcPr>
                <w:p>
                  <w:pPr>
                    <w:autoSpaceDE w:val="0"/>
                    <w:autoSpaceDN w:val="0"/>
                    <w:adjustRightInd w:val="0"/>
                    <w:jc w:val="center"/>
                    <w:rPr>
                      <w:bCs/>
                      <w:color w:val="auto"/>
                      <w:sz w:val="18"/>
                      <w:szCs w:val="18"/>
                    </w:rPr>
                  </w:pPr>
                  <w:r>
                    <w:rPr>
                      <w:bCs/>
                      <w:color w:val="auto"/>
                      <w:sz w:val="18"/>
                      <w:szCs w:val="18"/>
                    </w:rPr>
                    <w:t>110</w:t>
                  </w:r>
                </w:p>
              </w:tc>
              <w:tc>
                <w:tcPr>
                  <w:tcW w:w="724" w:type="dxa"/>
                  <w:vAlign w:val="center"/>
                </w:tcPr>
                <w:p>
                  <w:pPr>
                    <w:autoSpaceDE w:val="0"/>
                    <w:autoSpaceDN w:val="0"/>
                    <w:adjustRightInd w:val="0"/>
                    <w:jc w:val="center"/>
                    <w:rPr>
                      <w:bCs/>
                      <w:color w:val="auto"/>
                      <w:sz w:val="18"/>
                      <w:szCs w:val="18"/>
                    </w:rPr>
                  </w:pPr>
                  <w:r>
                    <w:rPr>
                      <w:bCs/>
                      <w:color w:val="auto"/>
                      <w:sz w:val="18"/>
                      <w:szCs w:val="18"/>
                    </w:rPr>
                    <w:t>96</w:t>
                  </w:r>
                </w:p>
              </w:tc>
              <w:tc>
                <w:tcPr>
                  <w:tcW w:w="672" w:type="dxa"/>
                  <w:vAlign w:val="center"/>
                </w:tcPr>
                <w:p>
                  <w:pPr>
                    <w:autoSpaceDE w:val="0"/>
                    <w:autoSpaceDN w:val="0"/>
                    <w:adjustRightInd w:val="0"/>
                    <w:jc w:val="center"/>
                    <w:rPr>
                      <w:bCs/>
                      <w:color w:val="auto"/>
                      <w:sz w:val="18"/>
                      <w:szCs w:val="18"/>
                    </w:rPr>
                  </w:pPr>
                  <w:r>
                    <w:rPr>
                      <w:bCs/>
                      <w:color w:val="auto"/>
                      <w:sz w:val="18"/>
                      <w:szCs w:val="18"/>
                    </w:rPr>
                    <w:t>90</w:t>
                  </w:r>
                </w:p>
              </w:tc>
              <w:tc>
                <w:tcPr>
                  <w:tcW w:w="682" w:type="dxa"/>
                  <w:vAlign w:val="center"/>
                </w:tcPr>
                <w:p>
                  <w:pPr>
                    <w:autoSpaceDE w:val="0"/>
                    <w:autoSpaceDN w:val="0"/>
                    <w:adjustRightInd w:val="0"/>
                    <w:jc w:val="center"/>
                    <w:rPr>
                      <w:bCs/>
                      <w:color w:val="auto"/>
                      <w:sz w:val="18"/>
                      <w:szCs w:val="18"/>
                    </w:rPr>
                  </w:pPr>
                  <w:r>
                    <w:rPr>
                      <w:bCs/>
                      <w:color w:val="auto"/>
                      <w:sz w:val="18"/>
                      <w:szCs w:val="18"/>
                    </w:rPr>
                    <w:t>86.5</w:t>
                  </w:r>
                </w:p>
              </w:tc>
              <w:tc>
                <w:tcPr>
                  <w:tcW w:w="638" w:type="dxa"/>
                  <w:vAlign w:val="center"/>
                </w:tcPr>
                <w:p>
                  <w:pPr>
                    <w:autoSpaceDE w:val="0"/>
                    <w:autoSpaceDN w:val="0"/>
                    <w:adjustRightInd w:val="0"/>
                    <w:jc w:val="center"/>
                    <w:rPr>
                      <w:bCs/>
                      <w:color w:val="auto"/>
                      <w:sz w:val="18"/>
                      <w:szCs w:val="18"/>
                    </w:rPr>
                  </w:pPr>
                  <w:r>
                    <w:rPr>
                      <w:bCs/>
                      <w:color w:val="auto"/>
                      <w:sz w:val="18"/>
                      <w:szCs w:val="18"/>
                    </w:rPr>
                    <w:t>84.0</w:t>
                  </w:r>
                </w:p>
              </w:tc>
              <w:tc>
                <w:tcPr>
                  <w:tcW w:w="639" w:type="dxa"/>
                  <w:vAlign w:val="center"/>
                </w:tcPr>
                <w:p>
                  <w:pPr>
                    <w:autoSpaceDE w:val="0"/>
                    <w:autoSpaceDN w:val="0"/>
                    <w:adjustRightInd w:val="0"/>
                    <w:jc w:val="center"/>
                    <w:rPr>
                      <w:bCs/>
                      <w:color w:val="auto"/>
                      <w:sz w:val="18"/>
                      <w:szCs w:val="18"/>
                    </w:rPr>
                  </w:pPr>
                  <w:r>
                    <w:rPr>
                      <w:bCs/>
                      <w:color w:val="auto"/>
                      <w:sz w:val="18"/>
                      <w:szCs w:val="18"/>
                    </w:rPr>
                    <w:t>80.5</w:t>
                  </w:r>
                </w:p>
              </w:tc>
              <w:tc>
                <w:tcPr>
                  <w:tcW w:w="629" w:type="dxa"/>
                  <w:vAlign w:val="center"/>
                </w:tcPr>
                <w:p>
                  <w:pPr>
                    <w:autoSpaceDE w:val="0"/>
                    <w:autoSpaceDN w:val="0"/>
                    <w:adjustRightInd w:val="0"/>
                    <w:jc w:val="center"/>
                    <w:rPr>
                      <w:bCs/>
                      <w:color w:val="auto"/>
                      <w:sz w:val="18"/>
                      <w:szCs w:val="18"/>
                    </w:rPr>
                  </w:pPr>
                  <w:r>
                    <w:rPr>
                      <w:bCs/>
                      <w:color w:val="auto"/>
                      <w:sz w:val="18"/>
                      <w:szCs w:val="18"/>
                    </w:rPr>
                    <w:t>78.0</w:t>
                  </w:r>
                </w:p>
              </w:tc>
              <w:tc>
                <w:tcPr>
                  <w:tcW w:w="682" w:type="dxa"/>
                  <w:vAlign w:val="center"/>
                </w:tcPr>
                <w:p>
                  <w:pPr>
                    <w:autoSpaceDE w:val="0"/>
                    <w:autoSpaceDN w:val="0"/>
                    <w:adjustRightInd w:val="0"/>
                    <w:jc w:val="center"/>
                    <w:rPr>
                      <w:bCs/>
                      <w:color w:val="auto"/>
                      <w:sz w:val="18"/>
                      <w:szCs w:val="18"/>
                    </w:rPr>
                  </w:pPr>
                  <w:r>
                    <w:rPr>
                      <w:bCs/>
                      <w:color w:val="auto"/>
                      <w:sz w:val="18"/>
                      <w:szCs w:val="18"/>
                    </w:rPr>
                    <w:t>76.0</w:t>
                  </w:r>
                </w:p>
              </w:tc>
              <w:tc>
                <w:tcPr>
                  <w:tcW w:w="639" w:type="dxa"/>
                  <w:vAlign w:val="center"/>
                </w:tcPr>
                <w:p>
                  <w:pPr>
                    <w:autoSpaceDE w:val="0"/>
                    <w:autoSpaceDN w:val="0"/>
                    <w:adjustRightInd w:val="0"/>
                    <w:jc w:val="center"/>
                    <w:rPr>
                      <w:bCs/>
                      <w:color w:val="auto"/>
                      <w:sz w:val="18"/>
                      <w:szCs w:val="18"/>
                    </w:rPr>
                  </w:pPr>
                  <w:r>
                    <w:rPr>
                      <w:bCs/>
                      <w:color w:val="auto"/>
                      <w:sz w:val="18"/>
                      <w:szCs w:val="18"/>
                    </w:rPr>
                    <w:t>70.0</w:t>
                  </w:r>
                </w:p>
              </w:tc>
            </w:tr>
          </w:tbl>
          <w:p>
            <w:pPr>
              <w:adjustRightInd w:val="0"/>
              <w:snapToGrid w:val="0"/>
              <w:spacing w:line="360" w:lineRule="auto"/>
              <w:ind w:firstLine="420"/>
              <w:rPr>
                <w:color w:val="auto"/>
                <w:kern w:val="0"/>
                <w:szCs w:val="21"/>
              </w:rPr>
            </w:pPr>
            <w:r>
              <w:rPr>
                <w:rFonts w:hint="eastAsia"/>
                <w:color w:val="auto"/>
                <w:kern w:val="0"/>
                <w:szCs w:val="21"/>
              </w:rPr>
              <w:t>由上表预测结果可知，爆破作业噪声对周边200m范围内的噪声贡献值均较大，爆破噪声对周围声环境质量造成一定程度的影响。本项目距离矿区最近居民点为7</w:t>
            </w:r>
            <w:r>
              <w:rPr>
                <w:color w:val="auto"/>
                <w:kern w:val="0"/>
                <w:szCs w:val="21"/>
              </w:rPr>
              <w:t>60</w:t>
            </w:r>
            <w:r>
              <w:rPr>
                <w:rFonts w:hint="eastAsia"/>
                <w:color w:val="auto"/>
                <w:kern w:val="0"/>
                <w:szCs w:val="21"/>
              </w:rPr>
              <w:t>m，不能满足《声环境质量标准》（GB3096-2008）中的相应标准要求，但是爆破噪声为瞬时噪声，年爆破次数有限，约为</w:t>
            </w:r>
            <w:r>
              <w:rPr>
                <w:color w:val="auto"/>
                <w:kern w:val="0"/>
                <w:szCs w:val="21"/>
              </w:rPr>
              <w:t>63</w:t>
            </w:r>
            <w:r>
              <w:rPr>
                <w:rFonts w:hint="eastAsia"/>
                <w:color w:val="auto"/>
                <w:kern w:val="0"/>
                <w:szCs w:val="21"/>
              </w:rPr>
              <w:t>次/年，且爆破作业均安排在昼间进行。同时应加强与当地住户的沟通和解释，以取得他们的谅解和支持，由于爆破噪声影响时间非常短，不会对附近居民的正常生活造成明显影响。</w:t>
            </w:r>
          </w:p>
          <w:p>
            <w:pPr>
              <w:adjustRightInd w:val="0"/>
              <w:snapToGrid w:val="0"/>
              <w:spacing w:line="360" w:lineRule="auto"/>
              <w:ind w:firstLine="420"/>
              <w:rPr>
                <w:color w:val="auto"/>
                <w:kern w:val="0"/>
                <w:szCs w:val="21"/>
              </w:rPr>
            </w:pPr>
            <w:r>
              <w:rPr>
                <w:rFonts w:hint="eastAsia"/>
                <w:color w:val="auto"/>
                <w:kern w:val="0"/>
                <w:szCs w:val="21"/>
              </w:rPr>
              <w:t>4、监测计划</w:t>
            </w:r>
          </w:p>
          <w:p>
            <w:pPr>
              <w:adjustRightInd w:val="0"/>
              <w:snapToGrid w:val="0"/>
              <w:spacing w:line="360" w:lineRule="auto"/>
              <w:ind w:firstLine="420"/>
              <w:rPr>
                <w:color w:val="auto"/>
                <w:kern w:val="0"/>
                <w:szCs w:val="21"/>
              </w:rPr>
            </w:pPr>
            <w:r>
              <w:rPr>
                <w:rFonts w:hint="eastAsia"/>
                <w:color w:val="auto"/>
                <w:kern w:val="0"/>
                <w:szCs w:val="21"/>
              </w:rPr>
              <w:t>根据《排污单位自行监测技术指南 总则》（HJ819-2017）文件，并结合本项目污染物的特点，制定营运期监测计划见下表。</w:t>
            </w:r>
          </w:p>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 xml:space="preserve">-12 </w:t>
            </w:r>
            <w:r>
              <w:rPr>
                <w:rFonts w:hint="eastAsia"/>
                <w:b/>
                <w:color w:val="auto"/>
                <w:kern w:val="0"/>
                <w:sz w:val="18"/>
                <w:szCs w:val="18"/>
              </w:rPr>
              <w:t>营运期噪声监测计划</w:t>
            </w:r>
          </w:p>
          <w:tbl>
            <w:tblPr>
              <w:tblStyle w:val="14"/>
              <w:tblW w:w="801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816"/>
              <w:gridCol w:w="1154"/>
              <w:gridCol w:w="2812"/>
              <w:gridCol w:w="12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991" w:type="dxa"/>
                  <w:vAlign w:val="center"/>
                </w:tcPr>
                <w:p>
                  <w:pPr>
                    <w:autoSpaceDE w:val="0"/>
                    <w:autoSpaceDN w:val="0"/>
                    <w:adjustRightInd w:val="0"/>
                    <w:jc w:val="center"/>
                    <w:rPr>
                      <w:color w:val="auto"/>
                      <w:sz w:val="18"/>
                      <w:szCs w:val="18"/>
                    </w:rPr>
                  </w:pPr>
                  <w:r>
                    <w:rPr>
                      <w:color w:val="auto"/>
                      <w:sz w:val="18"/>
                      <w:szCs w:val="18"/>
                    </w:rPr>
                    <w:t>监测项目</w:t>
                  </w:r>
                </w:p>
              </w:tc>
              <w:tc>
                <w:tcPr>
                  <w:tcW w:w="1816" w:type="dxa"/>
                  <w:vAlign w:val="center"/>
                </w:tcPr>
                <w:p>
                  <w:pPr>
                    <w:autoSpaceDE w:val="0"/>
                    <w:autoSpaceDN w:val="0"/>
                    <w:adjustRightInd w:val="0"/>
                    <w:jc w:val="center"/>
                    <w:rPr>
                      <w:color w:val="auto"/>
                      <w:sz w:val="18"/>
                      <w:szCs w:val="18"/>
                    </w:rPr>
                  </w:pPr>
                  <w:r>
                    <w:rPr>
                      <w:color w:val="auto"/>
                      <w:sz w:val="18"/>
                      <w:szCs w:val="18"/>
                    </w:rPr>
                    <w:t>监测点位</w:t>
                  </w:r>
                </w:p>
              </w:tc>
              <w:tc>
                <w:tcPr>
                  <w:tcW w:w="1154" w:type="dxa"/>
                  <w:vAlign w:val="center"/>
                </w:tcPr>
                <w:p>
                  <w:pPr>
                    <w:autoSpaceDE w:val="0"/>
                    <w:autoSpaceDN w:val="0"/>
                    <w:adjustRightInd w:val="0"/>
                    <w:jc w:val="center"/>
                    <w:rPr>
                      <w:color w:val="auto"/>
                      <w:sz w:val="18"/>
                      <w:szCs w:val="18"/>
                    </w:rPr>
                  </w:pPr>
                  <w:r>
                    <w:rPr>
                      <w:color w:val="auto"/>
                      <w:sz w:val="18"/>
                      <w:szCs w:val="18"/>
                    </w:rPr>
                    <w:t>监测因子</w:t>
                  </w:r>
                </w:p>
              </w:tc>
              <w:tc>
                <w:tcPr>
                  <w:tcW w:w="2812" w:type="dxa"/>
                  <w:vAlign w:val="center"/>
                </w:tcPr>
                <w:p>
                  <w:pPr>
                    <w:autoSpaceDE w:val="0"/>
                    <w:autoSpaceDN w:val="0"/>
                    <w:adjustRightInd w:val="0"/>
                    <w:jc w:val="center"/>
                    <w:rPr>
                      <w:color w:val="auto"/>
                      <w:sz w:val="18"/>
                      <w:szCs w:val="18"/>
                    </w:rPr>
                  </w:pPr>
                  <w:r>
                    <w:rPr>
                      <w:color w:val="auto"/>
                      <w:sz w:val="18"/>
                      <w:szCs w:val="18"/>
                    </w:rPr>
                    <w:t>监测频次</w:t>
                  </w:r>
                </w:p>
              </w:tc>
              <w:tc>
                <w:tcPr>
                  <w:tcW w:w="1244" w:type="dxa"/>
                  <w:vAlign w:val="center"/>
                </w:tcPr>
                <w:p>
                  <w:pPr>
                    <w:autoSpaceDE w:val="0"/>
                    <w:autoSpaceDN w:val="0"/>
                    <w:adjustRightInd w:val="0"/>
                    <w:jc w:val="center"/>
                    <w:rPr>
                      <w:color w:val="auto"/>
                      <w:sz w:val="18"/>
                      <w:szCs w:val="18"/>
                    </w:rPr>
                  </w:pPr>
                  <w:r>
                    <w:rPr>
                      <w:color w:val="auto"/>
                      <w:sz w:val="18"/>
                      <w:szCs w:val="18"/>
                    </w:rPr>
                    <w:t>监测周期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91" w:type="dxa"/>
                  <w:vAlign w:val="center"/>
                </w:tcPr>
                <w:p>
                  <w:pPr>
                    <w:autoSpaceDE w:val="0"/>
                    <w:autoSpaceDN w:val="0"/>
                    <w:adjustRightInd w:val="0"/>
                    <w:jc w:val="center"/>
                    <w:rPr>
                      <w:bCs/>
                      <w:color w:val="auto"/>
                      <w:sz w:val="18"/>
                      <w:szCs w:val="18"/>
                    </w:rPr>
                  </w:pPr>
                  <w:r>
                    <w:rPr>
                      <w:bCs/>
                      <w:color w:val="auto"/>
                      <w:sz w:val="18"/>
                      <w:szCs w:val="18"/>
                    </w:rPr>
                    <w:t>噪声</w:t>
                  </w:r>
                </w:p>
              </w:tc>
              <w:tc>
                <w:tcPr>
                  <w:tcW w:w="1816" w:type="dxa"/>
                  <w:vAlign w:val="center"/>
                </w:tcPr>
                <w:p>
                  <w:pPr>
                    <w:autoSpaceDE w:val="0"/>
                    <w:autoSpaceDN w:val="0"/>
                    <w:adjustRightInd w:val="0"/>
                    <w:jc w:val="center"/>
                    <w:rPr>
                      <w:bCs/>
                      <w:color w:val="auto"/>
                      <w:sz w:val="18"/>
                      <w:szCs w:val="18"/>
                    </w:rPr>
                  </w:pPr>
                  <w:r>
                    <w:rPr>
                      <w:bCs/>
                      <w:color w:val="auto"/>
                      <w:sz w:val="18"/>
                      <w:szCs w:val="18"/>
                    </w:rPr>
                    <w:t>生产区厂界四周开采区四周</w:t>
                  </w:r>
                </w:p>
              </w:tc>
              <w:tc>
                <w:tcPr>
                  <w:tcW w:w="1154" w:type="dxa"/>
                  <w:vAlign w:val="center"/>
                </w:tcPr>
                <w:p>
                  <w:pPr>
                    <w:autoSpaceDE w:val="0"/>
                    <w:autoSpaceDN w:val="0"/>
                    <w:adjustRightInd w:val="0"/>
                    <w:jc w:val="center"/>
                    <w:rPr>
                      <w:bCs/>
                      <w:color w:val="auto"/>
                      <w:sz w:val="18"/>
                      <w:szCs w:val="18"/>
                    </w:rPr>
                  </w:pPr>
                  <w:r>
                    <w:rPr>
                      <w:color w:val="auto"/>
                      <w:sz w:val="18"/>
                      <w:szCs w:val="18"/>
                    </w:rPr>
                    <w:t>噪声</w:t>
                  </w:r>
                </w:p>
              </w:tc>
              <w:tc>
                <w:tcPr>
                  <w:tcW w:w="2812" w:type="dxa"/>
                  <w:vAlign w:val="center"/>
                </w:tcPr>
                <w:p>
                  <w:pPr>
                    <w:autoSpaceDE w:val="0"/>
                    <w:autoSpaceDN w:val="0"/>
                    <w:adjustRightInd w:val="0"/>
                    <w:jc w:val="center"/>
                    <w:rPr>
                      <w:bCs/>
                      <w:color w:val="auto"/>
                      <w:sz w:val="18"/>
                      <w:szCs w:val="18"/>
                    </w:rPr>
                  </w:pPr>
                  <w:r>
                    <w:rPr>
                      <w:bCs/>
                      <w:color w:val="auto"/>
                      <w:sz w:val="18"/>
                      <w:szCs w:val="18"/>
                    </w:rPr>
                    <w:t>1天（每天昼</w:t>
                  </w:r>
                  <w:r>
                    <w:rPr>
                      <w:rFonts w:hint="eastAsia"/>
                      <w:bCs/>
                      <w:color w:val="auto"/>
                      <w:sz w:val="18"/>
                      <w:szCs w:val="18"/>
                    </w:rPr>
                    <w:t>夜各一次</w:t>
                  </w:r>
                  <w:r>
                    <w:rPr>
                      <w:bCs/>
                      <w:color w:val="auto"/>
                      <w:sz w:val="18"/>
                      <w:szCs w:val="18"/>
                    </w:rPr>
                    <w:t>）</w:t>
                  </w:r>
                </w:p>
              </w:tc>
              <w:tc>
                <w:tcPr>
                  <w:tcW w:w="1244" w:type="dxa"/>
                  <w:vAlign w:val="center"/>
                </w:tcPr>
                <w:p>
                  <w:pPr>
                    <w:autoSpaceDE w:val="0"/>
                    <w:autoSpaceDN w:val="0"/>
                    <w:adjustRightInd w:val="0"/>
                    <w:jc w:val="center"/>
                    <w:rPr>
                      <w:bCs/>
                      <w:color w:val="auto"/>
                      <w:sz w:val="18"/>
                      <w:szCs w:val="18"/>
                    </w:rPr>
                  </w:pPr>
                  <w:r>
                    <w:rPr>
                      <w:bCs/>
                      <w:color w:val="auto"/>
                      <w:sz w:val="18"/>
                      <w:szCs w:val="18"/>
                    </w:rPr>
                    <w:t>每季度1次</w:t>
                  </w:r>
                </w:p>
              </w:tc>
            </w:tr>
          </w:tbl>
          <w:p>
            <w:pPr>
              <w:adjustRightInd w:val="0"/>
              <w:snapToGrid w:val="0"/>
              <w:spacing w:line="360" w:lineRule="auto"/>
              <w:rPr>
                <w:rFonts w:ascii="宋体" w:hAnsi="宋体" w:cs="宋体"/>
                <w:b/>
                <w:color w:val="auto"/>
                <w:szCs w:val="21"/>
              </w:rPr>
            </w:pPr>
            <w:r>
              <w:rPr>
                <w:rFonts w:hint="eastAsia" w:ascii="宋体" w:hAnsi="宋体" w:cs="宋体"/>
                <w:b/>
                <w:color w:val="auto"/>
                <w:szCs w:val="21"/>
              </w:rPr>
              <w:t>五、固体废物</w:t>
            </w:r>
          </w:p>
          <w:p>
            <w:pPr>
              <w:adjustRightInd w:val="0"/>
              <w:snapToGrid w:val="0"/>
              <w:spacing w:line="360" w:lineRule="auto"/>
              <w:ind w:firstLine="420"/>
              <w:rPr>
                <w:color w:val="auto"/>
                <w:kern w:val="0"/>
                <w:szCs w:val="21"/>
              </w:rPr>
            </w:pPr>
            <w:r>
              <w:rPr>
                <w:rFonts w:hint="eastAsia"/>
                <w:color w:val="auto"/>
                <w:kern w:val="0"/>
                <w:szCs w:val="21"/>
              </w:rPr>
              <w:t>1、源强及处置措施</w:t>
            </w:r>
          </w:p>
          <w:p>
            <w:pPr>
              <w:adjustRightInd w:val="0"/>
              <w:snapToGrid w:val="0"/>
              <w:spacing w:line="360" w:lineRule="auto"/>
              <w:ind w:firstLine="420"/>
              <w:rPr>
                <w:color w:val="auto"/>
                <w:kern w:val="0"/>
                <w:szCs w:val="21"/>
              </w:rPr>
            </w:pPr>
            <w:r>
              <w:rPr>
                <w:rFonts w:hint="eastAsia"/>
                <w:color w:val="auto"/>
                <w:kern w:val="0"/>
                <w:szCs w:val="21"/>
              </w:rPr>
              <w:t>营运期固废主要有剥离的植被枝丫和表土、沉淀底泥、废矿物油及生活垃圾。</w:t>
            </w:r>
          </w:p>
          <w:p>
            <w:pPr>
              <w:adjustRightInd w:val="0"/>
              <w:snapToGrid w:val="0"/>
              <w:spacing w:line="360" w:lineRule="auto"/>
              <w:ind w:firstLine="420"/>
              <w:rPr>
                <w:color w:val="auto"/>
                <w:kern w:val="0"/>
                <w:szCs w:val="21"/>
              </w:rPr>
            </w:pPr>
            <w:r>
              <w:rPr>
                <w:rFonts w:hint="eastAsia"/>
                <w:color w:val="auto"/>
                <w:kern w:val="0"/>
                <w:szCs w:val="21"/>
              </w:rPr>
              <w:t>①剥离的植被枝丫</w:t>
            </w:r>
          </w:p>
          <w:p>
            <w:pPr>
              <w:adjustRightInd w:val="0"/>
              <w:snapToGrid w:val="0"/>
              <w:spacing w:line="360" w:lineRule="auto"/>
              <w:ind w:firstLine="420"/>
              <w:rPr>
                <w:color w:val="auto"/>
                <w:kern w:val="0"/>
                <w:szCs w:val="21"/>
              </w:rPr>
            </w:pPr>
            <w:r>
              <w:rPr>
                <w:rFonts w:hint="eastAsia"/>
                <w:color w:val="auto"/>
                <w:kern w:val="0"/>
                <w:szCs w:val="21"/>
              </w:rPr>
              <w:t>项目矿山表土地表植被清理产生的植被、枝桠等，堆放在表土临时堆场，后期运至采空区回填，不会造成环境污染。</w:t>
            </w:r>
          </w:p>
          <w:p>
            <w:pPr>
              <w:adjustRightInd w:val="0"/>
              <w:snapToGrid w:val="0"/>
              <w:spacing w:line="360" w:lineRule="auto"/>
              <w:ind w:firstLine="420"/>
              <w:rPr>
                <w:color w:val="auto"/>
                <w:kern w:val="0"/>
                <w:szCs w:val="21"/>
              </w:rPr>
            </w:pPr>
            <w:r>
              <w:rPr>
                <w:rFonts w:hint="eastAsia"/>
                <w:color w:val="auto"/>
                <w:kern w:val="0"/>
                <w:szCs w:val="21"/>
              </w:rPr>
              <w:t>②剥离表土</w:t>
            </w:r>
          </w:p>
          <w:p>
            <w:pPr>
              <w:adjustRightInd w:val="0"/>
              <w:snapToGrid w:val="0"/>
              <w:spacing w:line="360" w:lineRule="auto"/>
              <w:ind w:firstLine="420"/>
              <w:rPr>
                <w:color w:val="auto"/>
                <w:kern w:val="0"/>
                <w:szCs w:val="21"/>
              </w:rPr>
            </w:pPr>
            <w:r>
              <w:rPr>
                <w:rFonts w:hint="eastAsia"/>
                <w:color w:val="auto"/>
                <w:kern w:val="0"/>
                <w:szCs w:val="21"/>
              </w:rPr>
              <w:t>根据《</w:t>
            </w:r>
            <w:r>
              <w:rPr>
                <w:rFonts w:hint="eastAsia" w:ascii="宋体" w:hAnsi="宋体" w:cs="宋体"/>
                <w:color w:val="auto"/>
                <w:kern w:val="0"/>
                <w:szCs w:val="21"/>
              </w:rPr>
              <w:t>四川省宣汉县漆树土家族乡乘龙村鲁家洞建筑石料用灰岩、建筑用白云岩矿矿产资源开发利用方案</w:t>
            </w:r>
            <w:r>
              <w:rPr>
                <w:rFonts w:hint="eastAsia"/>
                <w:color w:val="auto"/>
                <w:kern w:val="0"/>
                <w:szCs w:val="21"/>
              </w:rPr>
              <w:t>》，矿山开出的尾矿与原矿一并运至加工区综合利用，实现“资源化、减量化、无害化”处置，矿区不设尾矿库。矿区表层泥土覆盖厚度达30cm，整个开采区剥离的表土量约</w:t>
            </w:r>
            <w:r>
              <w:rPr>
                <w:color w:val="auto"/>
                <w:kern w:val="0"/>
                <w:szCs w:val="21"/>
              </w:rPr>
              <w:t>13.76</w:t>
            </w:r>
            <w:r>
              <w:rPr>
                <w:rFonts w:hint="eastAsia"/>
                <w:color w:val="auto"/>
                <w:kern w:val="0"/>
                <w:szCs w:val="21"/>
              </w:rPr>
              <w:t>万m³。矿区拟在采场西北侧设置表土临时堆场1个，用于矿山剥离的表层土临时堆放，并作为后期生态恢复覆土。堆排总高度约 45m，最高堆排标高+1230m，最低堆排标高+1185m，设计容积约</w:t>
            </w:r>
            <w:r>
              <w:rPr>
                <w:color w:val="auto"/>
                <w:kern w:val="0"/>
                <w:szCs w:val="21"/>
              </w:rPr>
              <w:t>14</w:t>
            </w:r>
            <w:r>
              <w:rPr>
                <w:rFonts w:hint="eastAsia"/>
                <w:color w:val="auto"/>
                <w:kern w:val="0"/>
                <w:szCs w:val="21"/>
              </w:rPr>
              <w:t>万m³。</w:t>
            </w:r>
            <w:r>
              <w:rPr>
                <w:rFonts w:hint="eastAsia" w:ascii="宋体" w:hAnsi="宋体" w:cs="宋体"/>
                <w:color w:val="auto"/>
                <w:kern w:val="0"/>
                <w:szCs w:val="21"/>
              </w:rPr>
              <w:t>废料弃土场地</w:t>
            </w:r>
            <w:r>
              <w:rPr>
                <w:rFonts w:hint="eastAsia"/>
                <w:color w:val="auto"/>
                <w:kern w:val="0"/>
                <w:szCs w:val="21"/>
              </w:rPr>
              <w:t>占地面积约24亩。</w:t>
            </w:r>
          </w:p>
          <w:p>
            <w:pPr>
              <w:adjustRightInd w:val="0"/>
              <w:snapToGrid w:val="0"/>
              <w:spacing w:line="360" w:lineRule="auto"/>
              <w:ind w:firstLine="420"/>
              <w:rPr>
                <w:color w:val="auto"/>
                <w:kern w:val="0"/>
                <w:szCs w:val="21"/>
              </w:rPr>
            </w:pPr>
            <w:r>
              <w:rPr>
                <w:rFonts w:hint="eastAsia"/>
                <w:color w:val="auto"/>
                <w:kern w:val="0"/>
                <w:szCs w:val="21"/>
              </w:rPr>
              <w:t>③沉淀底泥</w:t>
            </w:r>
          </w:p>
          <w:p>
            <w:pPr>
              <w:adjustRightInd w:val="0"/>
              <w:snapToGrid w:val="0"/>
              <w:spacing w:line="360" w:lineRule="auto"/>
              <w:ind w:firstLine="420"/>
              <w:rPr>
                <w:color w:val="auto"/>
                <w:kern w:val="0"/>
                <w:szCs w:val="21"/>
              </w:rPr>
            </w:pPr>
            <w:r>
              <w:rPr>
                <w:rFonts w:hint="eastAsia"/>
                <w:color w:val="auto"/>
                <w:kern w:val="0"/>
                <w:szCs w:val="21"/>
              </w:rPr>
              <w:t>车辆冲洗水沉淀池、初期雨水池、废水沉淀罐经过一段时间的运行，沉淀池底部将会产生沉淀底泥。</w:t>
            </w:r>
          </w:p>
          <w:p>
            <w:pPr>
              <w:adjustRightInd w:val="0"/>
              <w:snapToGrid w:val="0"/>
              <w:spacing w:line="360" w:lineRule="auto"/>
              <w:ind w:firstLine="420"/>
              <w:rPr>
                <w:color w:val="auto"/>
                <w:kern w:val="0"/>
                <w:szCs w:val="21"/>
              </w:rPr>
            </w:pPr>
            <w:r>
              <w:rPr>
                <w:rFonts w:hint="eastAsia"/>
                <w:color w:val="auto"/>
                <w:kern w:val="0"/>
                <w:szCs w:val="21"/>
              </w:rPr>
              <w:t>&lt;1&gt;矿山初期雨水沉淀池泥沙主要来自雨水冲刷开采场，带走的泥土及矿石颗粒物，定期清理干化后暂存于表土临时堆场，后期用于采空区的生态恢复。</w:t>
            </w:r>
          </w:p>
          <w:p>
            <w:pPr>
              <w:adjustRightInd w:val="0"/>
              <w:snapToGrid w:val="0"/>
              <w:spacing w:line="360" w:lineRule="auto"/>
              <w:ind w:firstLine="420"/>
              <w:rPr>
                <w:color w:val="auto"/>
                <w:kern w:val="0"/>
                <w:szCs w:val="21"/>
              </w:rPr>
            </w:pPr>
            <w:r>
              <w:rPr>
                <w:rFonts w:hint="eastAsia"/>
                <w:color w:val="auto"/>
                <w:kern w:val="0"/>
                <w:szCs w:val="21"/>
              </w:rPr>
              <w:t>&lt;2&gt;矿区车辆冲洗池的泥沙定期清理，车辆冲洗沉淀池泥沙清理频率为4次/月，每次清理量约2.6t（含水率约为98%），沉淀泥沙经自然风干，形成干化泥沙约0.13t/月，1.58t/a（含水率约为60%）。拟在沉淀池旁建设泥沙干化池，干化后暂存于表土临时堆场，后期用于采空区的生态恢复。</w:t>
            </w:r>
          </w:p>
          <w:p>
            <w:pPr>
              <w:adjustRightInd w:val="0"/>
              <w:snapToGrid w:val="0"/>
              <w:spacing w:line="360" w:lineRule="auto"/>
              <w:ind w:firstLine="420"/>
              <w:rPr>
                <w:color w:val="auto"/>
                <w:kern w:val="0"/>
                <w:szCs w:val="21"/>
              </w:rPr>
            </w:pPr>
            <w:r>
              <w:rPr>
                <w:rFonts w:hint="eastAsia"/>
                <w:color w:val="auto"/>
                <w:kern w:val="0"/>
                <w:szCs w:val="21"/>
              </w:rPr>
              <w:t>&lt;3&gt;项目生产区将对废水处理系统配套设置底泥压滤机3台（2用1备），主要对废水沉淀罐的底泥进行干化，干化后的泥饼为</w:t>
            </w:r>
            <w:r>
              <w:rPr>
                <w:color w:val="auto"/>
                <w:kern w:val="0"/>
                <w:szCs w:val="21"/>
              </w:rPr>
              <w:t>4</w:t>
            </w:r>
            <w:r>
              <w:rPr>
                <w:rFonts w:hint="eastAsia"/>
                <w:color w:val="auto"/>
                <w:kern w:val="0"/>
                <w:szCs w:val="21"/>
              </w:rPr>
              <w:t>.125t/d、</w:t>
            </w:r>
            <w:r>
              <w:rPr>
                <w:color w:val="auto"/>
                <w:kern w:val="0"/>
                <w:szCs w:val="21"/>
              </w:rPr>
              <w:t>1237.5</w:t>
            </w:r>
            <w:r>
              <w:rPr>
                <w:rFonts w:hint="eastAsia"/>
                <w:color w:val="auto"/>
                <w:kern w:val="0"/>
                <w:szCs w:val="21"/>
              </w:rPr>
              <w:t>t/a（含水率约为60%），每天由运矿车辆及时运回矿区，暂存在表土临时堆场，后期用于采空区的生态恢复。泥饼临时堆放区应采取“防雨、防风、防遗撒”措施，采取硬化、设置围挡和防雨顶棚等。</w:t>
            </w:r>
          </w:p>
          <w:p>
            <w:pPr>
              <w:adjustRightInd w:val="0"/>
              <w:snapToGrid w:val="0"/>
              <w:spacing w:line="360" w:lineRule="auto"/>
              <w:ind w:firstLine="420"/>
              <w:rPr>
                <w:color w:val="auto"/>
                <w:kern w:val="0"/>
                <w:szCs w:val="21"/>
              </w:rPr>
            </w:pPr>
            <w:r>
              <w:rPr>
                <w:rFonts w:hint="eastAsia"/>
                <w:color w:val="auto"/>
                <w:kern w:val="0"/>
                <w:szCs w:val="21"/>
              </w:rPr>
              <w:t>&lt;4&gt;加工区车辆冲洗池的泥沙定期清理，车辆冲洗沉淀池泥沙清理频率为4次/月，每次清理量约4.0t（含水率约为98%），沉淀泥沙经自然风干，形成干化泥沙约0.2t/月、2.4t/a（含水率约为60%），干化后可与沉淀罐的底泥一起暂存后外运至矿山，用于后期生态恢复覆土。</w:t>
            </w:r>
          </w:p>
          <w:p>
            <w:pPr>
              <w:adjustRightInd w:val="0"/>
              <w:snapToGrid w:val="0"/>
              <w:spacing w:line="360" w:lineRule="auto"/>
              <w:ind w:firstLine="420"/>
              <w:rPr>
                <w:color w:val="auto"/>
                <w:kern w:val="0"/>
                <w:szCs w:val="21"/>
              </w:rPr>
            </w:pPr>
            <w:r>
              <w:rPr>
                <w:rFonts w:hint="eastAsia"/>
                <w:color w:val="auto"/>
                <w:kern w:val="0"/>
                <w:szCs w:val="21"/>
              </w:rPr>
              <w:t>④生活垃圾</w:t>
            </w:r>
          </w:p>
          <w:p>
            <w:pPr>
              <w:adjustRightInd w:val="0"/>
              <w:snapToGrid w:val="0"/>
              <w:spacing w:line="360" w:lineRule="auto"/>
              <w:ind w:firstLine="420"/>
              <w:rPr>
                <w:color w:val="auto"/>
                <w:kern w:val="0"/>
                <w:szCs w:val="21"/>
              </w:rPr>
            </w:pPr>
            <w:r>
              <w:rPr>
                <w:rFonts w:hint="eastAsia"/>
                <w:color w:val="auto"/>
                <w:kern w:val="0"/>
                <w:szCs w:val="21"/>
              </w:rPr>
              <w:t>项目矿区工作人员</w:t>
            </w:r>
            <w:r>
              <w:rPr>
                <w:color w:val="auto"/>
                <w:kern w:val="0"/>
                <w:szCs w:val="21"/>
              </w:rPr>
              <w:t>40</w:t>
            </w:r>
            <w:r>
              <w:rPr>
                <w:rFonts w:hint="eastAsia"/>
                <w:color w:val="auto"/>
                <w:kern w:val="0"/>
                <w:szCs w:val="21"/>
              </w:rPr>
              <w:t>人、生产区工作人员</w:t>
            </w:r>
            <w:r>
              <w:rPr>
                <w:color w:val="auto"/>
                <w:kern w:val="0"/>
                <w:szCs w:val="21"/>
              </w:rPr>
              <w:t>58</w:t>
            </w:r>
            <w:r>
              <w:rPr>
                <w:rFonts w:hint="eastAsia"/>
                <w:color w:val="auto"/>
                <w:kern w:val="0"/>
                <w:szCs w:val="21"/>
              </w:rPr>
              <w:t>人，经计算生活垃圾产生量约为</w:t>
            </w:r>
            <w:r>
              <w:rPr>
                <w:color w:val="auto"/>
                <w:kern w:val="0"/>
                <w:szCs w:val="21"/>
              </w:rPr>
              <w:t>49</w:t>
            </w:r>
            <w:r>
              <w:rPr>
                <w:rFonts w:hint="eastAsia"/>
                <w:color w:val="auto"/>
                <w:kern w:val="0"/>
                <w:szCs w:val="21"/>
              </w:rPr>
              <w:t>kg/d（矿区</w:t>
            </w:r>
            <w:r>
              <w:rPr>
                <w:color w:val="auto"/>
                <w:kern w:val="0"/>
                <w:szCs w:val="21"/>
              </w:rPr>
              <w:t>20</w:t>
            </w:r>
            <w:r>
              <w:rPr>
                <w:rFonts w:hint="eastAsia"/>
                <w:color w:val="auto"/>
                <w:kern w:val="0"/>
                <w:szCs w:val="21"/>
              </w:rPr>
              <w:t>kg/d、生产区</w:t>
            </w:r>
            <w:r>
              <w:rPr>
                <w:color w:val="auto"/>
                <w:kern w:val="0"/>
                <w:szCs w:val="21"/>
              </w:rPr>
              <w:t>29</w:t>
            </w:r>
            <w:r>
              <w:rPr>
                <w:rFonts w:hint="eastAsia"/>
                <w:color w:val="auto"/>
                <w:kern w:val="0"/>
                <w:szCs w:val="21"/>
              </w:rPr>
              <w:t>kg/d），</w:t>
            </w:r>
            <w:r>
              <w:rPr>
                <w:color w:val="auto"/>
                <w:kern w:val="0"/>
                <w:szCs w:val="21"/>
              </w:rPr>
              <w:t>14.7</w:t>
            </w:r>
            <w:r>
              <w:rPr>
                <w:rFonts w:hint="eastAsia"/>
                <w:color w:val="auto"/>
                <w:kern w:val="0"/>
                <w:szCs w:val="21"/>
              </w:rPr>
              <w:t>t/a。分别采用袋装收集后，自行运送至当地场镇垃圾收集点，由当地环卫部门定期清理至填埋场处置。</w:t>
            </w:r>
          </w:p>
          <w:p>
            <w:pPr>
              <w:adjustRightInd w:val="0"/>
              <w:snapToGrid w:val="0"/>
              <w:spacing w:line="360" w:lineRule="auto"/>
              <w:ind w:firstLine="420"/>
              <w:rPr>
                <w:color w:val="auto"/>
                <w:kern w:val="0"/>
                <w:szCs w:val="21"/>
              </w:rPr>
            </w:pPr>
            <w:r>
              <w:rPr>
                <w:rFonts w:hint="eastAsia"/>
                <w:color w:val="auto"/>
                <w:kern w:val="0"/>
                <w:szCs w:val="21"/>
              </w:rPr>
              <w:t>⑤废矿物油、废油桶</w:t>
            </w:r>
          </w:p>
          <w:p>
            <w:pPr>
              <w:adjustRightInd w:val="0"/>
              <w:snapToGrid w:val="0"/>
              <w:spacing w:line="360" w:lineRule="auto"/>
              <w:ind w:firstLine="420"/>
              <w:rPr>
                <w:color w:val="auto"/>
                <w:kern w:val="0"/>
                <w:szCs w:val="21"/>
              </w:rPr>
            </w:pPr>
            <w:r>
              <w:rPr>
                <w:rFonts w:hint="eastAsia"/>
                <w:color w:val="auto"/>
                <w:kern w:val="0"/>
                <w:szCs w:val="21"/>
              </w:rPr>
              <w:t>根据调查，项目拟在现场办公及维修场地建设危废暂存间1个，面积约</w:t>
            </w:r>
            <w:r>
              <w:rPr>
                <w:color w:val="auto"/>
                <w:kern w:val="0"/>
                <w:szCs w:val="21"/>
              </w:rPr>
              <w:t>20</w:t>
            </w:r>
            <w:r>
              <w:rPr>
                <w:rFonts w:hint="eastAsia"/>
                <w:color w:val="auto"/>
                <w:kern w:val="0"/>
                <w:szCs w:val="21"/>
              </w:rPr>
              <w:t>m</w:t>
            </w:r>
            <w:r>
              <w:rPr>
                <w:rFonts w:hint="eastAsia"/>
                <w:color w:val="auto"/>
                <w:kern w:val="0"/>
                <w:szCs w:val="21"/>
                <w:vertAlign w:val="superscript"/>
              </w:rPr>
              <w:t>2</w:t>
            </w:r>
            <w:r>
              <w:rPr>
                <w:rFonts w:hint="eastAsia"/>
                <w:color w:val="auto"/>
                <w:kern w:val="0"/>
                <w:szCs w:val="21"/>
              </w:rPr>
              <w:t>。日常废矿物油产生量约为0.</w:t>
            </w:r>
            <w:r>
              <w:rPr>
                <w:color w:val="auto"/>
                <w:kern w:val="0"/>
                <w:szCs w:val="21"/>
              </w:rPr>
              <w:t>6</w:t>
            </w:r>
            <w:r>
              <w:rPr>
                <w:rFonts w:hint="eastAsia"/>
                <w:color w:val="auto"/>
                <w:kern w:val="0"/>
                <w:szCs w:val="21"/>
              </w:rPr>
              <w:t>t/a、废油桶0.</w:t>
            </w:r>
            <w:r>
              <w:rPr>
                <w:color w:val="auto"/>
                <w:kern w:val="0"/>
                <w:szCs w:val="21"/>
              </w:rPr>
              <w:t>1</w:t>
            </w:r>
            <w:r>
              <w:rPr>
                <w:rFonts w:hint="eastAsia"/>
                <w:color w:val="auto"/>
                <w:kern w:val="0"/>
                <w:szCs w:val="21"/>
              </w:rPr>
              <w:t>t/a。危废暂存间应按照《危险废物贮存污染物控制标准》要求建设。本项目矿山设备保养仅为添加黄油、润滑油等，不产生废矿物油。</w:t>
            </w:r>
          </w:p>
          <w:p>
            <w:pPr>
              <w:adjustRightInd w:val="0"/>
              <w:snapToGrid w:val="0"/>
              <w:spacing w:line="360" w:lineRule="auto"/>
              <w:jc w:val="center"/>
              <w:rPr>
                <w:b/>
                <w:color w:val="auto"/>
                <w:kern w:val="0"/>
                <w:sz w:val="18"/>
                <w:szCs w:val="18"/>
              </w:rPr>
            </w:pPr>
            <w:r>
              <w:rPr>
                <w:b/>
                <w:color w:val="auto"/>
                <w:kern w:val="0"/>
                <w:sz w:val="18"/>
                <w:szCs w:val="18"/>
              </w:rPr>
              <w:t>表5-13 项目一般固废产生情况</w:t>
            </w:r>
          </w:p>
          <w:tbl>
            <w:tblPr>
              <w:tblStyle w:val="14"/>
              <w:tblW w:w="801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927"/>
              <w:gridCol w:w="1028"/>
              <w:gridCol w:w="977"/>
              <w:gridCol w:w="774"/>
              <w:gridCol w:w="490"/>
              <w:gridCol w:w="983"/>
              <w:gridCol w:w="1013"/>
              <w:gridCol w:w="13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37" w:type="dxa"/>
                  <w:vAlign w:val="center"/>
                </w:tcPr>
                <w:p>
                  <w:pPr>
                    <w:ind w:left="-71" w:leftChars="-34" w:right="-71" w:rightChars="-34"/>
                    <w:jc w:val="center"/>
                    <w:rPr>
                      <w:color w:val="auto"/>
                      <w:sz w:val="18"/>
                      <w:szCs w:val="18"/>
                    </w:rPr>
                  </w:pPr>
                  <w:r>
                    <w:rPr>
                      <w:color w:val="auto"/>
                      <w:sz w:val="18"/>
                      <w:szCs w:val="18"/>
                    </w:rPr>
                    <w:t>序号</w:t>
                  </w:r>
                </w:p>
              </w:tc>
              <w:tc>
                <w:tcPr>
                  <w:tcW w:w="927" w:type="dxa"/>
                  <w:vAlign w:val="center"/>
                </w:tcPr>
                <w:p>
                  <w:pPr>
                    <w:ind w:left="-71" w:leftChars="-34" w:right="-71" w:rightChars="-34"/>
                    <w:jc w:val="center"/>
                    <w:rPr>
                      <w:color w:val="auto"/>
                      <w:sz w:val="18"/>
                      <w:szCs w:val="18"/>
                    </w:rPr>
                  </w:pPr>
                  <w:r>
                    <w:rPr>
                      <w:color w:val="auto"/>
                      <w:sz w:val="18"/>
                      <w:szCs w:val="18"/>
                    </w:rPr>
                    <w:t>名称</w:t>
                  </w:r>
                </w:p>
              </w:tc>
              <w:tc>
                <w:tcPr>
                  <w:tcW w:w="1028" w:type="dxa"/>
                  <w:vAlign w:val="center"/>
                </w:tcPr>
                <w:p>
                  <w:pPr>
                    <w:ind w:left="-71" w:leftChars="-34" w:right="-71" w:rightChars="-34"/>
                    <w:jc w:val="center"/>
                    <w:rPr>
                      <w:color w:val="auto"/>
                      <w:sz w:val="18"/>
                      <w:szCs w:val="18"/>
                    </w:rPr>
                  </w:pPr>
                  <w:r>
                    <w:rPr>
                      <w:color w:val="auto"/>
                      <w:sz w:val="18"/>
                      <w:szCs w:val="18"/>
                    </w:rPr>
                    <w:t>产生环节</w:t>
                  </w:r>
                </w:p>
              </w:tc>
              <w:tc>
                <w:tcPr>
                  <w:tcW w:w="977" w:type="dxa"/>
                  <w:vAlign w:val="center"/>
                </w:tcPr>
                <w:p>
                  <w:pPr>
                    <w:ind w:left="-71" w:leftChars="-34" w:right="-71" w:rightChars="-34"/>
                    <w:jc w:val="center"/>
                    <w:rPr>
                      <w:color w:val="auto"/>
                      <w:sz w:val="18"/>
                      <w:szCs w:val="18"/>
                    </w:rPr>
                  </w:pPr>
                  <w:r>
                    <w:rPr>
                      <w:color w:val="auto"/>
                      <w:sz w:val="18"/>
                      <w:szCs w:val="18"/>
                    </w:rPr>
                    <w:t>编号</w:t>
                  </w:r>
                </w:p>
              </w:tc>
              <w:tc>
                <w:tcPr>
                  <w:tcW w:w="774" w:type="dxa"/>
                  <w:vAlign w:val="center"/>
                </w:tcPr>
                <w:p>
                  <w:pPr>
                    <w:ind w:left="-71" w:leftChars="-34" w:right="-71" w:rightChars="-34"/>
                    <w:jc w:val="center"/>
                    <w:rPr>
                      <w:color w:val="auto"/>
                      <w:sz w:val="18"/>
                      <w:szCs w:val="18"/>
                    </w:rPr>
                  </w:pPr>
                  <w:r>
                    <w:rPr>
                      <w:color w:val="auto"/>
                      <w:sz w:val="18"/>
                      <w:szCs w:val="18"/>
                    </w:rPr>
                    <w:t>产生量</w:t>
                  </w:r>
                </w:p>
              </w:tc>
              <w:tc>
                <w:tcPr>
                  <w:tcW w:w="490" w:type="dxa"/>
                  <w:vAlign w:val="center"/>
                </w:tcPr>
                <w:p>
                  <w:pPr>
                    <w:ind w:left="-71" w:leftChars="-34" w:right="-71" w:rightChars="-34"/>
                    <w:jc w:val="center"/>
                    <w:rPr>
                      <w:color w:val="auto"/>
                      <w:sz w:val="18"/>
                      <w:szCs w:val="18"/>
                    </w:rPr>
                  </w:pPr>
                  <w:r>
                    <w:rPr>
                      <w:color w:val="auto"/>
                      <w:sz w:val="18"/>
                      <w:szCs w:val="18"/>
                    </w:rPr>
                    <w:t>形状</w:t>
                  </w:r>
                </w:p>
              </w:tc>
              <w:tc>
                <w:tcPr>
                  <w:tcW w:w="983" w:type="dxa"/>
                  <w:vAlign w:val="center"/>
                </w:tcPr>
                <w:p>
                  <w:pPr>
                    <w:ind w:left="-71" w:leftChars="-34" w:right="-71" w:rightChars="-34"/>
                    <w:jc w:val="center"/>
                    <w:rPr>
                      <w:color w:val="auto"/>
                      <w:sz w:val="18"/>
                      <w:szCs w:val="18"/>
                    </w:rPr>
                  </w:pPr>
                  <w:r>
                    <w:rPr>
                      <w:color w:val="auto"/>
                      <w:sz w:val="18"/>
                      <w:szCs w:val="18"/>
                    </w:rPr>
                    <w:t>类别</w:t>
                  </w:r>
                </w:p>
              </w:tc>
              <w:tc>
                <w:tcPr>
                  <w:tcW w:w="1013" w:type="dxa"/>
                  <w:vAlign w:val="center"/>
                </w:tcPr>
                <w:p>
                  <w:pPr>
                    <w:ind w:left="-71" w:leftChars="-34" w:right="-71" w:rightChars="-34"/>
                    <w:jc w:val="center"/>
                    <w:rPr>
                      <w:color w:val="auto"/>
                      <w:sz w:val="18"/>
                      <w:szCs w:val="18"/>
                    </w:rPr>
                  </w:pPr>
                  <w:r>
                    <w:rPr>
                      <w:color w:val="auto"/>
                      <w:sz w:val="18"/>
                      <w:szCs w:val="18"/>
                    </w:rPr>
                    <w:t>贮存方式</w:t>
                  </w:r>
                </w:p>
              </w:tc>
              <w:tc>
                <w:tcPr>
                  <w:tcW w:w="1388" w:type="dxa"/>
                  <w:vAlign w:val="center"/>
                </w:tcPr>
                <w:p>
                  <w:pPr>
                    <w:ind w:left="-71" w:leftChars="-34" w:right="-71" w:rightChars="-34"/>
                    <w:jc w:val="center"/>
                    <w:rPr>
                      <w:color w:val="auto"/>
                      <w:sz w:val="18"/>
                      <w:szCs w:val="18"/>
                    </w:rPr>
                  </w:pPr>
                  <w:r>
                    <w:rPr>
                      <w:color w:val="auto"/>
                      <w:sz w:val="18"/>
                      <w:szCs w:val="18"/>
                    </w:rPr>
                    <w:t>处置去向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37" w:type="dxa"/>
                  <w:vAlign w:val="center"/>
                </w:tcPr>
                <w:p>
                  <w:pPr>
                    <w:ind w:left="-71" w:leftChars="-34" w:right="-71" w:rightChars="-34"/>
                    <w:jc w:val="center"/>
                    <w:rPr>
                      <w:color w:val="auto"/>
                      <w:sz w:val="18"/>
                      <w:szCs w:val="18"/>
                    </w:rPr>
                  </w:pPr>
                  <w:r>
                    <w:rPr>
                      <w:color w:val="auto"/>
                      <w:sz w:val="18"/>
                      <w:szCs w:val="18"/>
                    </w:rPr>
                    <w:t>1</w:t>
                  </w:r>
                </w:p>
              </w:tc>
              <w:tc>
                <w:tcPr>
                  <w:tcW w:w="927" w:type="dxa"/>
                  <w:vAlign w:val="center"/>
                </w:tcPr>
                <w:p>
                  <w:pPr>
                    <w:ind w:left="-71" w:leftChars="-34" w:right="-71" w:rightChars="-34"/>
                    <w:jc w:val="center"/>
                    <w:rPr>
                      <w:color w:val="auto"/>
                      <w:sz w:val="18"/>
                      <w:szCs w:val="18"/>
                    </w:rPr>
                  </w:pPr>
                  <w:r>
                    <w:rPr>
                      <w:color w:val="auto"/>
                      <w:sz w:val="18"/>
                      <w:szCs w:val="18"/>
                    </w:rPr>
                    <w:t>剥离表土</w:t>
                  </w:r>
                </w:p>
              </w:tc>
              <w:tc>
                <w:tcPr>
                  <w:tcW w:w="1028" w:type="dxa"/>
                  <w:vAlign w:val="center"/>
                </w:tcPr>
                <w:p>
                  <w:pPr>
                    <w:ind w:left="-71" w:leftChars="-34" w:right="-71" w:rightChars="-34"/>
                    <w:jc w:val="center"/>
                    <w:rPr>
                      <w:color w:val="auto"/>
                      <w:sz w:val="18"/>
                      <w:szCs w:val="18"/>
                    </w:rPr>
                  </w:pPr>
                  <w:r>
                    <w:rPr>
                      <w:color w:val="auto"/>
                      <w:sz w:val="18"/>
                      <w:szCs w:val="18"/>
                    </w:rPr>
                    <w:t>表土剥离</w:t>
                  </w:r>
                </w:p>
              </w:tc>
              <w:tc>
                <w:tcPr>
                  <w:tcW w:w="977" w:type="dxa"/>
                  <w:vAlign w:val="center"/>
                </w:tcPr>
                <w:p>
                  <w:pPr>
                    <w:ind w:left="-71" w:leftChars="-34" w:right="-71" w:rightChars="-34"/>
                    <w:jc w:val="center"/>
                    <w:rPr>
                      <w:color w:val="auto"/>
                      <w:sz w:val="18"/>
                      <w:szCs w:val="18"/>
                    </w:rPr>
                  </w:pPr>
                  <w:r>
                    <w:rPr>
                      <w:color w:val="auto"/>
                      <w:sz w:val="18"/>
                      <w:szCs w:val="18"/>
                    </w:rPr>
                    <w:t>101-001-29</w:t>
                  </w:r>
                </w:p>
              </w:tc>
              <w:tc>
                <w:tcPr>
                  <w:tcW w:w="774" w:type="dxa"/>
                  <w:vAlign w:val="center"/>
                </w:tcPr>
                <w:p>
                  <w:pPr>
                    <w:ind w:left="-71" w:leftChars="-34" w:right="-71" w:rightChars="-34"/>
                    <w:jc w:val="center"/>
                    <w:rPr>
                      <w:color w:val="auto"/>
                      <w:sz w:val="18"/>
                      <w:szCs w:val="18"/>
                    </w:rPr>
                  </w:pPr>
                  <w:r>
                    <w:rPr>
                      <w:color w:val="auto"/>
                      <w:sz w:val="18"/>
                      <w:szCs w:val="18"/>
                    </w:rPr>
                    <w:t>13.76</w:t>
                  </w:r>
                  <w:r>
                    <w:rPr>
                      <w:rFonts w:hint="eastAsia"/>
                      <w:color w:val="auto"/>
                      <w:sz w:val="18"/>
                      <w:szCs w:val="18"/>
                    </w:rPr>
                    <w:t>万</w:t>
                  </w:r>
                  <w:r>
                    <w:rPr>
                      <w:color w:val="auto"/>
                      <w:sz w:val="18"/>
                      <w:szCs w:val="18"/>
                    </w:rPr>
                    <w:t>m</w:t>
                  </w:r>
                  <w:r>
                    <w:rPr>
                      <w:color w:val="auto"/>
                      <w:sz w:val="18"/>
                      <w:szCs w:val="18"/>
                      <w:vertAlign w:val="superscript"/>
                    </w:rPr>
                    <w:t>3</w:t>
                  </w:r>
                </w:p>
              </w:tc>
              <w:tc>
                <w:tcPr>
                  <w:tcW w:w="490" w:type="dxa"/>
                  <w:vAlign w:val="center"/>
                </w:tcPr>
                <w:p>
                  <w:pPr>
                    <w:ind w:left="-71" w:leftChars="-34" w:right="-71" w:rightChars="-34"/>
                    <w:jc w:val="center"/>
                    <w:rPr>
                      <w:bCs/>
                      <w:color w:val="auto"/>
                      <w:sz w:val="18"/>
                      <w:szCs w:val="18"/>
                    </w:rPr>
                  </w:pPr>
                  <w:r>
                    <w:rPr>
                      <w:color w:val="auto"/>
                      <w:kern w:val="0"/>
                      <w:sz w:val="18"/>
                      <w:szCs w:val="18"/>
                    </w:rPr>
                    <w:t>固态</w:t>
                  </w:r>
                </w:p>
              </w:tc>
              <w:tc>
                <w:tcPr>
                  <w:tcW w:w="983" w:type="dxa"/>
                  <w:vAlign w:val="center"/>
                </w:tcPr>
                <w:p>
                  <w:pPr>
                    <w:ind w:left="-71" w:leftChars="-34" w:right="-71" w:rightChars="-34"/>
                    <w:jc w:val="center"/>
                    <w:rPr>
                      <w:color w:val="auto"/>
                      <w:sz w:val="18"/>
                      <w:szCs w:val="18"/>
                    </w:rPr>
                  </w:pPr>
                  <w:r>
                    <w:rPr>
                      <w:color w:val="auto"/>
                      <w:sz w:val="18"/>
                      <w:szCs w:val="18"/>
                    </w:rPr>
                    <w:t>矿物型废物</w:t>
                  </w:r>
                </w:p>
              </w:tc>
              <w:tc>
                <w:tcPr>
                  <w:tcW w:w="1013" w:type="dxa"/>
                  <w:vAlign w:val="center"/>
                </w:tcPr>
                <w:p>
                  <w:pPr>
                    <w:ind w:left="-71" w:leftChars="-34" w:right="-71" w:rightChars="-34"/>
                    <w:jc w:val="center"/>
                    <w:rPr>
                      <w:color w:val="auto"/>
                      <w:sz w:val="18"/>
                      <w:szCs w:val="18"/>
                    </w:rPr>
                  </w:pPr>
                  <w:r>
                    <w:rPr>
                      <w:color w:val="auto"/>
                      <w:sz w:val="18"/>
                      <w:szCs w:val="18"/>
                    </w:rPr>
                    <w:t>固定点堆放</w:t>
                  </w:r>
                </w:p>
              </w:tc>
              <w:tc>
                <w:tcPr>
                  <w:tcW w:w="1388" w:type="dxa"/>
                  <w:vMerge w:val="restart"/>
                  <w:vAlign w:val="center"/>
                </w:tcPr>
                <w:p>
                  <w:pPr>
                    <w:ind w:left="-71" w:leftChars="-34" w:right="-71" w:rightChars="-34"/>
                    <w:jc w:val="center"/>
                    <w:rPr>
                      <w:color w:val="auto"/>
                      <w:sz w:val="18"/>
                      <w:szCs w:val="18"/>
                    </w:rPr>
                  </w:pPr>
                  <w:r>
                    <w:rPr>
                      <w:color w:val="auto"/>
                      <w:sz w:val="18"/>
                      <w:szCs w:val="18"/>
                    </w:rPr>
                    <w:t>设置表土临时堆场，后期</w:t>
                  </w:r>
                  <w:r>
                    <w:rPr>
                      <w:rFonts w:hint="eastAsia"/>
                      <w:color w:val="auto"/>
                      <w:sz w:val="18"/>
                      <w:szCs w:val="18"/>
                    </w:rPr>
                    <w:t>用作</w:t>
                  </w:r>
                  <w:r>
                    <w:rPr>
                      <w:color w:val="auto"/>
                      <w:sz w:val="18"/>
                      <w:szCs w:val="18"/>
                    </w:rPr>
                    <w:t>采空区生态恢复的覆土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37" w:type="dxa"/>
                  <w:vAlign w:val="center"/>
                </w:tcPr>
                <w:p>
                  <w:pPr>
                    <w:ind w:left="-71" w:leftChars="-34" w:right="-71" w:rightChars="-34"/>
                    <w:jc w:val="center"/>
                    <w:rPr>
                      <w:color w:val="auto"/>
                      <w:sz w:val="18"/>
                      <w:szCs w:val="18"/>
                    </w:rPr>
                  </w:pPr>
                </w:p>
              </w:tc>
              <w:tc>
                <w:tcPr>
                  <w:tcW w:w="927" w:type="dxa"/>
                  <w:vAlign w:val="center"/>
                </w:tcPr>
                <w:p>
                  <w:pPr>
                    <w:ind w:left="-71" w:leftChars="-34" w:right="-71" w:rightChars="-34"/>
                    <w:jc w:val="center"/>
                    <w:rPr>
                      <w:color w:val="auto"/>
                      <w:sz w:val="18"/>
                      <w:szCs w:val="18"/>
                    </w:rPr>
                  </w:pPr>
                  <w:r>
                    <w:rPr>
                      <w:color w:val="auto"/>
                      <w:sz w:val="18"/>
                      <w:szCs w:val="18"/>
                    </w:rPr>
                    <w:t>植被枝丫</w:t>
                  </w:r>
                </w:p>
              </w:tc>
              <w:tc>
                <w:tcPr>
                  <w:tcW w:w="1028" w:type="dxa"/>
                  <w:vAlign w:val="center"/>
                </w:tcPr>
                <w:p>
                  <w:pPr>
                    <w:ind w:left="-71" w:leftChars="-34" w:right="-71" w:rightChars="-34"/>
                    <w:jc w:val="center"/>
                    <w:rPr>
                      <w:color w:val="auto"/>
                      <w:sz w:val="18"/>
                      <w:szCs w:val="18"/>
                    </w:rPr>
                  </w:pPr>
                  <w:r>
                    <w:rPr>
                      <w:color w:val="auto"/>
                      <w:sz w:val="18"/>
                      <w:szCs w:val="18"/>
                    </w:rPr>
                    <w:t>表土剥离</w:t>
                  </w:r>
                </w:p>
              </w:tc>
              <w:tc>
                <w:tcPr>
                  <w:tcW w:w="977" w:type="dxa"/>
                  <w:vAlign w:val="center"/>
                </w:tcPr>
                <w:p>
                  <w:pPr>
                    <w:ind w:left="-71" w:leftChars="-34" w:right="-71" w:rightChars="-34"/>
                    <w:jc w:val="center"/>
                    <w:rPr>
                      <w:color w:val="auto"/>
                      <w:sz w:val="18"/>
                      <w:szCs w:val="18"/>
                    </w:rPr>
                  </w:pPr>
                  <w:r>
                    <w:rPr>
                      <w:color w:val="auto"/>
                      <w:sz w:val="18"/>
                      <w:szCs w:val="18"/>
                    </w:rPr>
                    <w:t>101-002-99</w:t>
                  </w:r>
                </w:p>
              </w:tc>
              <w:tc>
                <w:tcPr>
                  <w:tcW w:w="774" w:type="dxa"/>
                  <w:vAlign w:val="center"/>
                </w:tcPr>
                <w:p>
                  <w:pPr>
                    <w:ind w:left="-71" w:leftChars="-34" w:right="-71" w:rightChars="-34"/>
                    <w:jc w:val="center"/>
                    <w:rPr>
                      <w:color w:val="auto"/>
                      <w:sz w:val="18"/>
                      <w:szCs w:val="18"/>
                    </w:rPr>
                  </w:pPr>
                  <w:r>
                    <w:rPr>
                      <w:color w:val="auto"/>
                      <w:sz w:val="18"/>
                      <w:szCs w:val="18"/>
                    </w:rPr>
                    <w:t>少量</w:t>
                  </w:r>
                </w:p>
              </w:tc>
              <w:tc>
                <w:tcPr>
                  <w:tcW w:w="490" w:type="dxa"/>
                  <w:vAlign w:val="center"/>
                </w:tcPr>
                <w:p>
                  <w:pPr>
                    <w:ind w:left="-71" w:leftChars="-34" w:right="-71" w:rightChars="-34"/>
                    <w:jc w:val="center"/>
                    <w:rPr>
                      <w:bCs/>
                      <w:color w:val="auto"/>
                      <w:sz w:val="18"/>
                      <w:szCs w:val="18"/>
                    </w:rPr>
                  </w:pPr>
                  <w:r>
                    <w:rPr>
                      <w:color w:val="auto"/>
                      <w:kern w:val="0"/>
                      <w:sz w:val="18"/>
                      <w:szCs w:val="18"/>
                    </w:rPr>
                    <w:t>固态</w:t>
                  </w:r>
                </w:p>
              </w:tc>
              <w:tc>
                <w:tcPr>
                  <w:tcW w:w="983" w:type="dxa"/>
                  <w:vAlign w:val="center"/>
                </w:tcPr>
                <w:p>
                  <w:pPr>
                    <w:ind w:left="-71" w:leftChars="-34" w:right="-71" w:rightChars="-34"/>
                    <w:jc w:val="center"/>
                    <w:rPr>
                      <w:color w:val="auto"/>
                      <w:sz w:val="18"/>
                      <w:szCs w:val="18"/>
                    </w:rPr>
                  </w:pPr>
                  <w:r>
                    <w:rPr>
                      <w:color w:val="auto"/>
                      <w:sz w:val="18"/>
                      <w:szCs w:val="18"/>
                    </w:rPr>
                    <w:t>植物型废物</w:t>
                  </w:r>
                </w:p>
              </w:tc>
              <w:tc>
                <w:tcPr>
                  <w:tcW w:w="1013" w:type="dxa"/>
                  <w:vAlign w:val="center"/>
                </w:tcPr>
                <w:p>
                  <w:pPr>
                    <w:ind w:left="-71" w:leftChars="-34" w:right="-71" w:rightChars="-34"/>
                    <w:jc w:val="center"/>
                    <w:rPr>
                      <w:color w:val="auto"/>
                      <w:sz w:val="18"/>
                      <w:szCs w:val="18"/>
                    </w:rPr>
                  </w:pPr>
                  <w:r>
                    <w:rPr>
                      <w:color w:val="auto"/>
                      <w:sz w:val="18"/>
                      <w:szCs w:val="18"/>
                    </w:rPr>
                    <w:t>固定点堆放</w:t>
                  </w:r>
                </w:p>
              </w:tc>
              <w:tc>
                <w:tcPr>
                  <w:tcW w:w="1388" w:type="dxa"/>
                  <w:vMerge w:val="continue"/>
                  <w:vAlign w:val="center"/>
                </w:tcPr>
                <w:p>
                  <w:pPr>
                    <w:ind w:left="-71" w:leftChars="-34" w:right="-71" w:rightChars="-34"/>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437" w:type="dxa"/>
                  <w:vAlign w:val="center"/>
                </w:tcPr>
                <w:p>
                  <w:pPr>
                    <w:ind w:left="-71" w:leftChars="-34" w:right="-71" w:rightChars="-34"/>
                    <w:jc w:val="center"/>
                    <w:rPr>
                      <w:color w:val="auto"/>
                      <w:sz w:val="18"/>
                      <w:szCs w:val="18"/>
                    </w:rPr>
                  </w:pPr>
                  <w:r>
                    <w:rPr>
                      <w:rFonts w:hint="eastAsia"/>
                      <w:color w:val="auto"/>
                      <w:sz w:val="18"/>
                      <w:szCs w:val="18"/>
                    </w:rPr>
                    <w:t>2</w:t>
                  </w:r>
                </w:p>
              </w:tc>
              <w:tc>
                <w:tcPr>
                  <w:tcW w:w="927" w:type="dxa"/>
                  <w:vAlign w:val="center"/>
                </w:tcPr>
                <w:p>
                  <w:pPr>
                    <w:ind w:left="-71" w:leftChars="-34" w:right="-71" w:rightChars="-34"/>
                    <w:jc w:val="center"/>
                    <w:rPr>
                      <w:color w:val="auto"/>
                      <w:sz w:val="18"/>
                      <w:szCs w:val="18"/>
                    </w:rPr>
                  </w:pPr>
                  <w:r>
                    <w:rPr>
                      <w:color w:val="auto"/>
                      <w:sz w:val="18"/>
                      <w:szCs w:val="18"/>
                    </w:rPr>
                    <w:t>沉淀泥沙</w:t>
                  </w:r>
                </w:p>
              </w:tc>
              <w:tc>
                <w:tcPr>
                  <w:tcW w:w="1028" w:type="dxa"/>
                  <w:vAlign w:val="center"/>
                </w:tcPr>
                <w:p>
                  <w:pPr>
                    <w:ind w:left="-71" w:leftChars="-34" w:right="-71" w:rightChars="-34"/>
                    <w:jc w:val="center"/>
                    <w:rPr>
                      <w:color w:val="auto"/>
                      <w:sz w:val="18"/>
                      <w:szCs w:val="18"/>
                    </w:rPr>
                  </w:pPr>
                  <w:r>
                    <w:rPr>
                      <w:color w:val="auto"/>
                      <w:sz w:val="18"/>
                      <w:szCs w:val="18"/>
                    </w:rPr>
                    <w:t>车辆冲洗沉淀池、初期雨水沉淀池</w:t>
                  </w:r>
                </w:p>
              </w:tc>
              <w:tc>
                <w:tcPr>
                  <w:tcW w:w="977" w:type="dxa"/>
                  <w:vAlign w:val="center"/>
                </w:tcPr>
                <w:p>
                  <w:pPr>
                    <w:ind w:left="-71" w:leftChars="-34" w:right="-71" w:rightChars="-34"/>
                    <w:jc w:val="center"/>
                    <w:rPr>
                      <w:color w:val="auto"/>
                      <w:sz w:val="18"/>
                      <w:szCs w:val="18"/>
                    </w:rPr>
                  </w:pPr>
                  <w:r>
                    <w:rPr>
                      <w:color w:val="auto"/>
                      <w:sz w:val="18"/>
                      <w:szCs w:val="18"/>
                    </w:rPr>
                    <w:t>101-004-29</w:t>
                  </w:r>
                </w:p>
              </w:tc>
              <w:tc>
                <w:tcPr>
                  <w:tcW w:w="774" w:type="dxa"/>
                  <w:vAlign w:val="center"/>
                </w:tcPr>
                <w:p>
                  <w:pPr>
                    <w:ind w:left="-71" w:leftChars="-34" w:right="-71" w:rightChars="-34"/>
                    <w:jc w:val="center"/>
                    <w:rPr>
                      <w:color w:val="auto"/>
                      <w:sz w:val="18"/>
                      <w:szCs w:val="18"/>
                    </w:rPr>
                  </w:pPr>
                  <w:r>
                    <w:rPr>
                      <w:color w:val="auto"/>
                      <w:sz w:val="18"/>
                      <w:szCs w:val="18"/>
                    </w:rPr>
                    <w:t>3.98t/a</w:t>
                  </w:r>
                </w:p>
              </w:tc>
              <w:tc>
                <w:tcPr>
                  <w:tcW w:w="490" w:type="dxa"/>
                  <w:vAlign w:val="center"/>
                </w:tcPr>
                <w:p>
                  <w:pPr>
                    <w:ind w:left="-71" w:leftChars="-34" w:right="-71" w:rightChars="-34"/>
                    <w:jc w:val="center"/>
                    <w:rPr>
                      <w:color w:val="auto"/>
                      <w:kern w:val="0"/>
                      <w:sz w:val="18"/>
                      <w:szCs w:val="18"/>
                    </w:rPr>
                  </w:pPr>
                  <w:r>
                    <w:rPr>
                      <w:color w:val="auto"/>
                      <w:kern w:val="0"/>
                      <w:sz w:val="18"/>
                      <w:szCs w:val="18"/>
                    </w:rPr>
                    <w:t>固态</w:t>
                  </w:r>
                </w:p>
              </w:tc>
              <w:tc>
                <w:tcPr>
                  <w:tcW w:w="983" w:type="dxa"/>
                  <w:vAlign w:val="center"/>
                </w:tcPr>
                <w:p>
                  <w:pPr>
                    <w:ind w:left="-71" w:leftChars="-34" w:right="-71" w:rightChars="-34"/>
                    <w:jc w:val="center"/>
                    <w:rPr>
                      <w:color w:val="auto"/>
                      <w:sz w:val="18"/>
                      <w:szCs w:val="18"/>
                    </w:rPr>
                  </w:pPr>
                  <w:r>
                    <w:rPr>
                      <w:color w:val="auto"/>
                      <w:sz w:val="18"/>
                      <w:szCs w:val="18"/>
                    </w:rPr>
                    <w:t>矿物型废物</w:t>
                  </w:r>
                </w:p>
              </w:tc>
              <w:tc>
                <w:tcPr>
                  <w:tcW w:w="1013" w:type="dxa"/>
                  <w:vAlign w:val="center"/>
                </w:tcPr>
                <w:p>
                  <w:pPr>
                    <w:ind w:left="-71" w:leftChars="-34" w:right="-71" w:rightChars="-34"/>
                    <w:jc w:val="center"/>
                    <w:rPr>
                      <w:color w:val="auto"/>
                      <w:sz w:val="18"/>
                      <w:szCs w:val="18"/>
                    </w:rPr>
                  </w:pPr>
                  <w:r>
                    <w:rPr>
                      <w:color w:val="auto"/>
                      <w:sz w:val="18"/>
                      <w:szCs w:val="18"/>
                    </w:rPr>
                    <w:t>固定点堆放</w:t>
                  </w:r>
                </w:p>
              </w:tc>
              <w:tc>
                <w:tcPr>
                  <w:tcW w:w="1388" w:type="dxa"/>
                  <w:vMerge w:val="continue"/>
                  <w:vAlign w:val="center"/>
                </w:tcPr>
                <w:p>
                  <w:pPr>
                    <w:ind w:left="-71" w:leftChars="-34" w:right="-71" w:rightChars="-34"/>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37" w:type="dxa"/>
                  <w:vAlign w:val="center"/>
                </w:tcPr>
                <w:p>
                  <w:pPr>
                    <w:ind w:left="-71" w:leftChars="-34" w:right="-71" w:rightChars="-34"/>
                    <w:jc w:val="center"/>
                    <w:rPr>
                      <w:color w:val="auto"/>
                      <w:sz w:val="18"/>
                      <w:szCs w:val="18"/>
                    </w:rPr>
                  </w:pPr>
                  <w:r>
                    <w:rPr>
                      <w:color w:val="auto"/>
                      <w:sz w:val="18"/>
                      <w:szCs w:val="18"/>
                    </w:rPr>
                    <w:t>3</w:t>
                  </w:r>
                </w:p>
              </w:tc>
              <w:tc>
                <w:tcPr>
                  <w:tcW w:w="927" w:type="dxa"/>
                  <w:vAlign w:val="center"/>
                </w:tcPr>
                <w:p>
                  <w:pPr>
                    <w:ind w:left="-71" w:leftChars="-34" w:right="-71" w:rightChars="-34"/>
                    <w:jc w:val="center"/>
                    <w:rPr>
                      <w:color w:val="auto"/>
                      <w:sz w:val="18"/>
                      <w:szCs w:val="18"/>
                    </w:rPr>
                  </w:pPr>
                  <w:r>
                    <w:rPr>
                      <w:rFonts w:hint="eastAsia"/>
                      <w:color w:val="auto"/>
                      <w:sz w:val="18"/>
                      <w:szCs w:val="18"/>
                    </w:rPr>
                    <w:t>泥饼</w:t>
                  </w:r>
                </w:p>
              </w:tc>
              <w:tc>
                <w:tcPr>
                  <w:tcW w:w="1028" w:type="dxa"/>
                  <w:vAlign w:val="center"/>
                </w:tcPr>
                <w:p>
                  <w:pPr>
                    <w:ind w:left="-71" w:leftChars="-34" w:right="-71" w:rightChars="-34"/>
                    <w:jc w:val="center"/>
                    <w:rPr>
                      <w:color w:val="auto"/>
                      <w:sz w:val="18"/>
                      <w:szCs w:val="18"/>
                    </w:rPr>
                  </w:pPr>
                  <w:r>
                    <w:rPr>
                      <w:color w:val="auto"/>
                      <w:sz w:val="18"/>
                      <w:szCs w:val="18"/>
                    </w:rPr>
                    <w:t>压滤机</w:t>
                  </w:r>
                </w:p>
              </w:tc>
              <w:tc>
                <w:tcPr>
                  <w:tcW w:w="977" w:type="dxa"/>
                  <w:vAlign w:val="center"/>
                </w:tcPr>
                <w:p>
                  <w:pPr>
                    <w:ind w:left="-71" w:leftChars="-34" w:right="-71" w:rightChars="-34"/>
                    <w:jc w:val="center"/>
                    <w:rPr>
                      <w:color w:val="auto"/>
                      <w:sz w:val="18"/>
                      <w:szCs w:val="18"/>
                    </w:rPr>
                  </w:pPr>
                  <w:r>
                    <w:rPr>
                      <w:color w:val="auto"/>
                      <w:sz w:val="18"/>
                      <w:szCs w:val="18"/>
                    </w:rPr>
                    <w:t>101-005-29</w:t>
                  </w:r>
                </w:p>
              </w:tc>
              <w:tc>
                <w:tcPr>
                  <w:tcW w:w="774" w:type="dxa"/>
                  <w:vAlign w:val="center"/>
                </w:tcPr>
                <w:p>
                  <w:pPr>
                    <w:ind w:left="-71" w:leftChars="-34" w:right="-71" w:rightChars="-34"/>
                    <w:jc w:val="center"/>
                    <w:rPr>
                      <w:color w:val="auto"/>
                      <w:sz w:val="18"/>
                      <w:szCs w:val="18"/>
                    </w:rPr>
                  </w:pPr>
                  <w:r>
                    <w:rPr>
                      <w:color w:val="auto"/>
                      <w:sz w:val="18"/>
                      <w:szCs w:val="18"/>
                    </w:rPr>
                    <w:t>637.5t/a</w:t>
                  </w:r>
                </w:p>
              </w:tc>
              <w:tc>
                <w:tcPr>
                  <w:tcW w:w="490" w:type="dxa"/>
                  <w:vAlign w:val="center"/>
                </w:tcPr>
                <w:p>
                  <w:pPr>
                    <w:ind w:left="-71" w:leftChars="-34" w:right="-71" w:rightChars="-34"/>
                    <w:jc w:val="center"/>
                    <w:rPr>
                      <w:color w:val="auto"/>
                      <w:kern w:val="0"/>
                      <w:sz w:val="18"/>
                      <w:szCs w:val="18"/>
                    </w:rPr>
                  </w:pPr>
                  <w:r>
                    <w:rPr>
                      <w:color w:val="auto"/>
                      <w:kern w:val="0"/>
                      <w:sz w:val="18"/>
                      <w:szCs w:val="18"/>
                    </w:rPr>
                    <w:t>固态</w:t>
                  </w:r>
                </w:p>
              </w:tc>
              <w:tc>
                <w:tcPr>
                  <w:tcW w:w="983" w:type="dxa"/>
                  <w:vAlign w:val="center"/>
                </w:tcPr>
                <w:p>
                  <w:pPr>
                    <w:ind w:left="-71" w:leftChars="-34" w:right="-71" w:rightChars="-34"/>
                    <w:jc w:val="center"/>
                    <w:rPr>
                      <w:color w:val="auto"/>
                      <w:sz w:val="18"/>
                      <w:szCs w:val="18"/>
                    </w:rPr>
                  </w:pPr>
                  <w:r>
                    <w:rPr>
                      <w:color w:val="auto"/>
                      <w:sz w:val="18"/>
                      <w:szCs w:val="18"/>
                    </w:rPr>
                    <w:t>矿物型废物</w:t>
                  </w:r>
                </w:p>
              </w:tc>
              <w:tc>
                <w:tcPr>
                  <w:tcW w:w="1013" w:type="dxa"/>
                  <w:vAlign w:val="center"/>
                </w:tcPr>
                <w:p>
                  <w:pPr>
                    <w:ind w:left="-71" w:leftChars="-34" w:right="-71" w:rightChars="-34"/>
                    <w:jc w:val="center"/>
                    <w:rPr>
                      <w:color w:val="auto"/>
                      <w:sz w:val="18"/>
                      <w:szCs w:val="18"/>
                    </w:rPr>
                  </w:pPr>
                  <w:r>
                    <w:rPr>
                      <w:color w:val="auto"/>
                      <w:sz w:val="18"/>
                      <w:szCs w:val="18"/>
                    </w:rPr>
                    <w:t>固定点堆放</w:t>
                  </w:r>
                </w:p>
              </w:tc>
              <w:tc>
                <w:tcPr>
                  <w:tcW w:w="1388" w:type="dxa"/>
                  <w:vMerge w:val="continue"/>
                  <w:vAlign w:val="center"/>
                </w:tcPr>
                <w:p>
                  <w:pPr>
                    <w:ind w:left="-71" w:leftChars="-34" w:right="-71" w:rightChars="-34"/>
                    <w:jc w:val="center"/>
                    <w:rPr>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37" w:type="dxa"/>
                  <w:vAlign w:val="center"/>
                </w:tcPr>
                <w:p>
                  <w:pPr>
                    <w:ind w:left="-71" w:leftChars="-34" w:right="-71" w:rightChars="-34"/>
                    <w:jc w:val="center"/>
                    <w:rPr>
                      <w:color w:val="auto"/>
                      <w:sz w:val="18"/>
                      <w:szCs w:val="18"/>
                    </w:rPr>
                  </w:pPr>
                  <w:r>
                    <w:rPr>
                      <w:color w:val="auto"/>
                      <w:sz w:val="18"/>
                      <w:szCs w:val="18"/>
                    </w:rPr>
                    <w:t>5</w:t>
                  </w:r>
                </w:p>
              </w:tc>
              <w:tc>
                <w:tcPr>
                  <w:tcW w:w="927" w:type="dxa"/>
                  <w:vAlign w:val="center"/>
                </w:tcPr>
                <w:p>
                  <w:pPr>
                    <w:ind w:left="-71" w:leftChars="-34" w:right="-71" w:rightChars="-34"/>
                    <w:jc w:val="center"/>
                    <w:rPr>
                      <w:color w:val="auto"/>
                      <w:sz w:val="18"/>
                      <w:szCs w:val="18"/>
                    </w:rPr>
                  </w:pPr>
                  <w:r>
                    <w:rPr>
                      <w:color w:val="auto"/>
                      <w:sz w:val="18"/>
                      <w:szCs w:val="18"/>
                    </w:rPr>
                    <w:t>生活垃圾</w:t>
                  </w:r>
                </w:p>
              </w:tc>
              <w:tc>
                <w:tcPr>
                  <w:tcW w:w="1028" w:type="dxa"/>
                  <w:vAlign w:val="center"/>
                </w:tcPr>
                <w:p>
                  <w:pPr>
                    <w:ind w:left="-71" w:leftChars="-34" w:right="-71" w:rightChars="-34"/>
                    <w:jc w:val="center"/>
                    <w:rPr>
                      <w:color w:val="auto"/>
                      <w:sz w:val="18"/>
                      <w:szCs w:val="18"/>
                    </w:rPr>
                  </w:pPr>
                  <w:r>
                    <w:rPr>
                      <w:color w:val="auto"/>
                      <w:sz w:val="18"/>
                      <w:szCs w:val="18"/>
                    </w:rPr>
                    <w:t>办公生活</w:t>
                  </w:r>
                </w:p>
              </w:tc>
              <w:tc>
                <w:tcPr>
                  <w:tcW w:w="977" w:type="dxa"/>
                  <w:vAlign w:val="center"/>
                </w:tcPr>
                <w:p>
                  <w:pPr>
                    <w:ind w:left="-71" w:leftChars="-34" w:right="-71" w:rightChars="-34"/>
                    <w:jc w:val="center"/>
                    <w:rPr>
                      <w:color w:val="auto"/>
                      <w:sz w:val="18"/>
                      <w:szCs w:val="18"/>
                    </w:rPr>
                  </w:pPr>
                  <w:r>
                    <w:rPr>
                      <w:color w:val="auto"/>
                      <w:sz w:val="18"/>
                      <w:szCs w:val="18"/>
                    </w:rPr>
                    <w:t>/</w:t>
                  </w:r>
                </w:p>
              </w:tc>
              <w:tc>
                <w:tcPr>
                  <w:tcW w:w="774" w:type="dxa"/>
                  <w:vAlign w:val="center"/>
                </w:tcPr>
                <w:p>
                  <w:pPr>
                    <w:ind w:left="-71" w:leftChars="-34" w:right="-71" w:rightChars="-34"/>
                    <w:jc w:val="center"/>
                    <w:rPr>
                      <w:color w:val="auto"/>
                      <w:sz w:val="18"/>
                      <w:szCs w:val="18"/>
                    </w:rPr>
                  </w:pPr>
                  <w:r>
                    <w:rPr>
                      <w:color w:val="auto"/>
                      <w:sz w:val="18"/>
                      <w:szCs w:val="18"/>
                    </w:rPr>
                    <w:t>14.7t/a</w:t>
                  </w:r>
                </w:p>
              </w:tc>
              <w:tc>
                <w:tcPr>
                  <w:tcW w:w="490" w:type="dxa"/>
                  <w:vAlign w:val="center"/>
                </w:tcPr>
                <w:p>
                  <w:pPr>
                    <w:ind w:left="-71" w:leftChars="-34" w:right="-71" w:rightChars="-34"/>
                    <w:jc w:val="center"/>
                    <w:rPr>
                      <w:color w:val="auto"/>
                      <w:kern w:val="0"/>
                      <w:sz w:val="18"/>
                      <w:szCs w:val="18"/>
                    </w:rPr>
                  </w:pPr>
                  <w:r>
                    <w:rPr>
                      <w:color w:val="auto"/>
                      <w:kern w:val="0"/>
                      <w:sz w:val="18"/>
                      <w:szCs w:val="18"/>
                    </w:rPr>
                    <w:t>固态</w:t>
                  </w:r>
                </w:p>
              </w:tc>
              <w:tc>
                <w:tcPr>
                  <w:tcW w:w="983" w:type="dxa"/>
                  <w:vAlign w:val="center"/>
                </w:tcPr>
                <w:p>
                  <w:pPr>
                    <w:ind w:left="-71" w:leftChars="-34" w:right="-71" w:rightChars="-34"/>
                    <w:jc w:val="center"/>
                    <w:rPr>
                      <w:color w:val="auto"/>
                      <w:sz w:val="18"/>
                      <w:szCs w:val="18"/>
                    </w:rPr>
                  </w:pPr>
                  <w:r>
                    <w:rPr>
                      <w:color w:val="auto"/>
                      <w:sz w:val="18"/>
                      <w:szCs w:val="18"/>
                    </w:rPr>
                    <w:t>/</w:t>
                  </w:r>
                </w:p>
              </w:tc>
              <w:tc>
                <w:tcPr>
                  <w:tcW w:w="1013" w:type="dxa"/>
                  <w:vAlign w:val="center"/>
                </w:tcPr>
                <w:p>
                  <w:pPr>
                    <w:ind w:left="-71" w:leftChars="-34" w:right="-71" w:rightChars="-34"/>
                    <w:jc w:val="center"/>
                    <w:rPr>
                      <w:color w:val="auto"/>
                      <w:sz w:val="18"/>
                      <w:szCs w:val="18"/>
                    </w:rPr>
                  </w:pPr>
                  <w:r>
                    <w:rPr>
                      <w:color w:val="auto"/>
                      <w:sz w:val="18"/>
                      <w:szCs w:val="18"/>
                    </w:rPr>
                    <w:t>袋装收集</w:t>
                  </w:r>
                </w:p>
              </w:tc>
              <w:tc>
                <w:tcPr>
                  <w:tcW w:w="1388" w:type="dxa"/>
                  <w:vAlign w:val="center"/>
                </w:tcPr>
                <w:p>
                  <w:pPr>
                    <w:ind w:left="-71" w:leftChars="-34" w:right="-71" w:rightChars="-34"/>
                    <w:jc w:val="center"/>
                    <w:rPr>
                      <w:color w:val="auto"/>
                      <w:sz w:val="18"/>
                      <w:szCs w:val="18"/>
                    </w:rPr>
                  </w:pPr>
                  <w:r>
                    <w:rPr>
                      <w:color w:val="auto"/>
                      <w:sz w:val="18"/>
                      <w:szCs w:val="18"/>
                    </w:rPr>
                    <w:t>运至附近生活垃圾收集点</w:t>
                  </w:r>
                </w:p>
              </w:tc>
            </w:tr>
          </w:tbl>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 xml:space="preserve">-14 </w:t>
            </w:r>
            <w:r>
              <w:rPr>
                <w:rFonts w:hint="eastAsia"/>
                <w:b/>
                <w:color w:val="auto"/>
                <w:kern w:val="0"/>
                <w:sz w:val="18"/>
                <w:szCs w:val="18"/>
              </w:rPr>
              <w:t>项目危险废物产生情况表</w:t>
            </w:r>
          </w:p>
          <w:tbl>
            <w:tblPr>
              <w:tblStyle w:val="14"/>
              <w:tblW w:w="807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9"/>
              <w:gridCol w:w="998"/>
              <w:gridCol w:w="835"/>
              <w:gridCol w:w="581"/>
              <w:gridCol w:w="941"/>
              <w:gridCol w:w="645"/>
              <w:gridCol w:w="398"/>
              <w:gridCol w:w="761"/>
              <w:gridCol w:w="835"/>
              <w:gridCol w:w="550"/>
              <w:gridCol w:w="485"/>
              <w:gridCol w:w="69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49" w:type="dxa"/>
                  <w:vAlign w:val="center"/>
                </w:tcPr>
                <w:p>
                  <w:pPr>
                    <w:autoSpaceDE w:val="0"/>
                    <w:autoSpaceDN w:val="0"/>
                    <w:adjustRightInd w:val="0"/>
                    <w:ind w:left="-71" w:leftChars="-34" w:right="-71" w:rightChars="-34"/>
                    <w:jc w:val="center"/>
                    <w:rPr>
                      <w:color w:val="auto"/>
                      <w:sz w:val="18"/>
                      <w:szCs w:val="18"/>
                    </w:rPr>
                  </w:pPr>
                  <w:r>
                    <w:rPr>
                      <w:color w:val="auto"/>
                      <w:sz w:val="18"/>
                      <w:szCs w:val="18"/>
                    </w:rPr>
                    <w:t>序号</w:t>
                  </w:r>
                </w:p>
              </w:tc>
              <w:tc>
                <w:tcPr>
                  <w:tcW w:w="998" w:type="dxa"/>
                  <w:vAlign w:val="center"/>
                </w:tcPr>
                <w:p>
                  <w:pPr>
                    <w:autoSpaceDE w:val="0"/>
                    <w:autoSpaceDN w:val="0"/>
                    <w:adjustRightInd w:val="0"/>
                    <w:ind w:left="-71" w:leftChars="-34" w:right="-71" w:rightChars="-34"/>
                    <w:jc w:val="center"/>
                    <w:rPr>
                      <w:color w:val="auto"/>
                      <w:sz w:val="18"/>
                      <w:szCs w:val="18"/>
                    </w:rPr>
                  </w:pPr>
                  <w:r>
                    <w:rPr>
                      <w:color w:val="auto"/>
                      <w:sz w:val="18"/>
                      <w:szCs w:val="18"/>
                    </w:rPr>
                    <w:t>名称</w:t>
                  </w:r>
                </w:p>
              </w:tc>
              <w:tc>
                <w:tcPr>
                  <w:tcW w:w="835" w:type="dxa"/>
                  <w:vAlign w:val="center"/>
                </w:tcPr>
                <w:p>
                  <w:pPr>
                    <w:autoSpaceDE w:val="0"/>
                    <w:autoSpaceDN w:val="0"/>
                    <w:adjustRightInd w:val="0"/>
                    <w:ind w:left="-71" w:leftChars="-34" w:right="-71" w:rightChars="-34"/>
                    <w:jc w:val="center"/>
                    <w:rPr>
                      <w:color w:val="auto"/>
                      <w:sz w:val="18"/>
                      <w:szCs w:val="18"/>
                    </w:rPr>
                  </w:pPr>
                  <w:r>
                    <w:rPr>
                      <w:color w:val="auto"/>
                      <w:sz w:val="18"/>
                      <w:szCs w:val="18"/>
                    </w:rPr>
                    <w:t>产生环节</w:t>
                  </w:r>
                </w:p>
              </w:tc>
              <w:tc>
                <w:tcPr>
                  <w:tcW w:w="581" w:type="dxa"/>
                  <w:vAlign w:val="center"/>
                </w:tcPr>
                <w:p>
                  <w:pPr>
                    <w:pStyle w:val="46"/>
                    <w:ind w:left="-53" w:leftChars="-25" w:right="-53" w:rightChars="-25"/>
                    <w:jc w:val="center"/>
                    <w:rPr>
                      <w:rFonts w:ascii="Times New Roman" w:hAnsi="Times New Roman"/>
                      <w:color w:val="auto"/>
                      <w:kern w:val="2"/>
                      <w:sz w:val="18"/>
                      <w:szCs w:val="18"/>
                    </w:rPr>
                  </w:pPr>
                  <w:r>
                    <w:rPr>
                      <w:rFonts w:ascii="Times New Roman" w:hAnsi="Times New Roman"/>
                      <w:color w:val="auto"/>
                      <w:kern w:val="2"/>
                      <w:sz w:val="18"/>
                      <w:szCs w:val="18"/>
                    </w:rPr>
                    <w:t>危废类别</w:t>
                  </w:r>
                </w:p>
              </w:tc>
              <w:tc>
                <w:tcPr>
                  <w:tcW w:w="941" w:type="dxa"/>
                  <w:vAlign w:val="center"/>
                </w:tcPr>
                <w:p>
                  <w:pPr>
                    <w:pStyle w:val="46"/>
                    <w:ind w:left="-53" w:leftChars="-25" w:right="-53" w:rightChars="-25"/>
                    <w:jc w:val="center"/>
                    <w:rPr>
                      <w:rFonts w:ascii="Times New Roman" w:hAnsi="Times New Roman"/>
                      <w:color w:val="auto"/>
                      <w:kern w:val="2"/>
                      <w:sz w:val="18"/>
                      <w:szCs w:val="18"/>
                    </w:rPr>
                  </w:pPr>
                  <w:r>
                    <w:rPr>
                      <w:rFonts w:ascii="Times New Roman" w:hAnsi="Times New Roman"/>
                      <w:color w:val="auto"/>
                      <w:kern w:val="2"/>
                      <w:sz w:val="18"/>
                      <w:szCs w:val="18"/>
                    </w:rPr>
                    <w:t>危废代码</w:t>
                  </w:r>
                </w:p>
              </w:tc>
              <w:tc>
                <w:tcPr>
                  <w:tcW w:w="645" w:type="dxa"/>
                  <w:vAlign w:val="center"/>
                </w:tcPr>
                <w:p>
                  <w:pPr>
                    <w:autoSpaceDE w:val="0"/>
                    <w:autoSpaceDN w:val="0"/>
                    <w:adjustRightInd w:val="0"/>
                    <w:ind w:left="-71" w:leftChars="-34" w:right="-71" w:rightChars="-34"/>
                    <w:jc w:val="center"/>
                    <w:rPr>
                      <w:color w:val="auto"/>
                      <w:sz w:val="18"/>
                      <w:szCs w:val="18"/>
                    </w:rPr>
                  </w:pPr>
                  <w:r>
                    <w:rPr>
                      <w:color w:val="auto"/>
                      <w:sz w:val="18"/>
                      <w:szCs w:val="18"/>
                    </w:rPr>
                    <w:t>产生量</w:t>
                  </w:r>
                </w:p>
              </w:tc>
              <w:tc>
                <w:tcPr>
                  <w:tcW w:w="398" w:type="dxa"/>
                  <w:vAlign w:val="center"/>
                </w:tcPr>
                <w:p>
                  <w:pPr>
                    <w:ind w:left="-71" w:leftChars="-34" w:right="-71" w:rightChars="-34"/>
                    <w:jc w:val="center"/>
                    <w:rPr>
                      <w:bCs/>
                      <w:color w:val="auto"/>
                      <w:sz w:val="18"/>
                      <w:szCs w:val="18"/>
                    </w:rPr>
                  </w:pPr>
                  <w:r>
                    <w:rPr>
                      <w:bCs/>
                      <w:color w:val="auto"/>
                      <w:sz w:val="18"/>
                      <w:szCs w:val="18"/>
                    </w:rPr>
                    <w:t>性状</w:t>
                  </w:r>
                </w:p>
              </w:tc>
              <w:tc>
                <w:tcPr>
                  <w:tcW w:w="761" w:type="dxa"/>
                  <w:vAlign w:val="center"/>
                </w:tcPr>
                <w:p>
                  <w:pPr>
                    <w:autoSpaceDE w:val="0"/>
                    <w:autoSpaceDN w:val="0"/>
                    <w:adjustRightInd w:val="0"/>
                    <w:ind w:left="-71" w:leftChars="-34" w:right="-71" w:rightChars="-34"/>
                    <w:jc w:val="center"/>
                    <w:rPr>
                      <w:color w:val="auto"/>
                      <w:sz w:val="18"/>
                      <w:szCs w:val="18"/>
                    </w:rPr>
                  </w:pPr>
                  <w:r>
                    <w:rPr>
                      <w:color w:val="auto"/>
                      <w:sz w:val="18"/>
                      <w:szCs w:val="18"/>
                    </w:rPr>
                    <w:t>主要</w:t>
                  </w:r>
                </w:p>
                <w:p>
                  <w:pPr>
                    <w:autoSpaceDE w:val="0"/>
                    <w:autoSpaceDN w:val="0"/>
                    <w:adjustRightInd w:val="0"/>
                    <w:ind w:left="-71" w:leftChars="-34" w:right="-71" w:rightChars="-34"/>
                    <w:jc w:val="center"/>
                    <w:rPr>
                      <w:color w:val="auto"/>
                      <w:sz w:val="18"/>
                      <w:szCs w:val="18"/>
                    </w:rPr>
                  </w:pPr>
                  <w:r>
                    <w:rPr>
                      <w:color w:val="auto"/>
                      <w:sz w:val="18"/>
                      <w:szCs w:val="18"/>
                    </w:rPr>
                    <w:t>成分</w:t>
                  </w:r>
                </w:p>
              </w:tc>
              <w:tc>
                <w:tcPr>
                  <w:tcW w:w="835" w:type="dxa"/>
                  <w:vAlign w:val="center"/>
                </w:tcPr>
                <w:p>
                  <w:pPr>
                    <w:ind w:left="-71" w:leftChars="-34" w:right="-71" w:rightChars="-34"/>
                    <w:jc w:val="center"/>
                    <w:rPr>
                      <w:color w:val="auto"/>
                      <w:sz w:val="18"/>
                      <w:szCs w:val="18"/>
                    </w:rPr>
                  </w:pPr>
                  <w:r>
                    <w:rPr>
                      <w:bCs/>
                      <w:color w:val="auto"/>
                      <w:sz w:val="18"/>
                      <w:szCs w:val="18"/>
                    </w:rPr>
                    <w:t>有害成分</w:t>
                  </w:r>
                </w:p>
              </w:tc>
              <w:tc>
                <w:tcPr>
                  <w:tcW w:w="550" w:type="dxa"/>
                  <w:vAlign w:val="center"/>
                </w:tcPr>
                <w:p>
                  <w:pPr>
                    <w:ind w:left="-71" w:leftChars="-34" w:right="-71" w:rightChars="-34"/>
                    <w:jc w:val="center"/>
                    <w:rPr>
                      <w:color w:val="auto"/>
                      <w:sz w:val="18"/>
                      <w:szCs w:val="18"/>
                    </w:rPr>
                  </w:pPr>
                  <w:r>
                    <w:rPr>
                      <w:bCs/>
                      <w:color w:val="auto"/>
                      <w:sz w:val="18"/>
                      <w:szCs w:val="18"/>
                    </w:rPr>
                    <w:t>产废周期</w:t>
                  </w:r>
                </w:p>
              </w:tc>
              <w:tc>
                <w:tcPr>
                  <w:tcW w:w="485" w:type="dxa"/>
                  <w:vAlign w:val="center"/>
                </w:tcPr>
                <w:p>
                  <w:pPr>
                    <w:ind w:left="-71" w:leftChars="-34" w:right="-71" w:rightChars="-34"/>
                    <w:jc w:val="center"/>
                    <w:rPr>
                      <w:bCs/>
                      <w:color w:val="auto"/>
                      <w:sz w:val="18"/>
                      <w:szCs w:val="18"/>
                    </w:rPr>
                  </w:pPr>
                  <w:r>
                    <w:rPr>
                      <w:bCs/>
                      <w:color w:val="auto"/>
                      <w:sz w:val="18"/>
                      <w:szCs w:val="18"/>
                    </w:rPr>
                    <w:t>危险特性</w:t>
                  </w:r>
                </w:p>
              </w:tc>
              <w:tc>
                <w:tcPr>
                  <w:tcW w:w="696" w:type="dxa"/>
                  <w:vAlign w:val="center"/>
                </w:tcPr>
                <w:p>
                  <w:pPr>
                    <w:ind w:left="-71" w:leftChars="-34" w:right="-71" w:rightChars="-34"/>
                    <w:jc w:val="center"/>
                    <w:rPr>
                      <w:color w:val="auto"/>
                      <w:sz w:val="18"/>
                      <w:szCs w:val="18"/>
                    </w:rPr>
                  </w:pPr>
                  <w:r>
                    <w:rPr>
                      <w:color w:val="auto"/>
                      <w:sz w:val="18"/>
                      <w:szCs w:val="18"/>
                    </w:rPr>
                    <w:t>污染防治措施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49" w:type="dxa"/>
                  <w:vAlign w:val="center"/>
                </w:tcPr>
                <w:p>
                  <w:pPr>
                    <w:autoSpaceDE w:val="0"/>
                    <w:autoSpaceDN w:val="0"/>
                    <w:adjustRightInd w:val="0"/>
                    <w:ind w:left="-90" w:leftChars="-43" w:right="-90" w:rightChars="-43"/>
                    <w:jc w:val="center"/>
                    <w:rPr>
                      <w:bCs/>
                      <w:color w:val="auto"/>
                      <w:sz w:val="18"/>
                      <w:szCs w:val="18"/>
                    </w:rPr>
                  </w:pPr>
                  <w:r>
                    <w:rPr>
                      <w:bCs/>
                      <w:color w:val="auto"/>
                      <w:sz w:val="18"/>
                      <w:szCs w:val="18"/>
                    </w:rPr>
                    <w:t>1</w:t>
                  </w:r>
                </w:p>
              </w:tc>
              <w:tc>
                <w:tcPr>
                  <w:tcW w:w="998" w:type="dxa"/>
                  <w:vAlign w:val="center"/>
                </w:tcPr>
                <w:p>
                  <w:pPr>
                    <w:ind w:left="-90" w:leftChars="-43" w:right="-90" w:rightChars="-43"/>
                    <w:jc w:val="center"/>
                    <w:rPr>
                      <w:color w:val="auto"/>
                      <w:kern w:val="0"/>
                      <w:sz w:val="18"/>
                      <w:szCs w:val="18"/>
                    </w:rPr>
                  </w:pPr>
                  <w:r>
                    <w:rPr>
                      <w:color w:val="auto"/>
                      <w:kern w:val="0"/>
                      <w:sz w:val="18"/>
                      <w:szCs w:val="18"/>
                    </w:rPr>
                    <w:t>废矿物油</w:t>
                  </w:r>
                </w:p>
              </w:tc>
              <w:tc>
                <w:tcPr>
                  <w:tcW w:w="835" w:type="dxa"/>
                  <w:vAlign w:val="center"/>
                </w:tcPr>
                <w:p>
                  <w:pPr>
                    <w:ind w:left="-90" w:leftChars="-43" w:right="-90" w:rightChars="-43"/>
                    <w:jc w:val="center"/>
                    <w:rPr>
                      <w:color w:val="auto"/>
                      <w:kern w:val="0"/>
                      <w:sz w:val="18"/>
                      <w:szCs w:val="18"/>
                    </w:rPr>
                  </w:pPr>
                  <w:r>
                    <w:rPr>
                      <w:color w:val="auto"/>
                      <w:kern w:val="0"/>
                      <w:sz w:val="18"/>
                      <w:szCs w:val="18"/>
                    </w:rPr>
                    <w:t>设备保养</w:t>
                  </w:r>
                </w:p>
              </w:tc>
              <w:tc>
                <w:tcPr>
                  <w:tcW w:w="581" w:type="dxa"/>
                  <w:vAlign w:val="center"/>
                </w:tcPr>
                <w:p>
                  <w:pPr>
                    <w:ind w:left="-90" w:leftChars="-43" w:right="-90" w:rightChars="-43"/>
                    <w:jc w:val="center"/>
                    <w:rPr>
                      <w:color w:val="auto"/>
                      <w:kern w:val="0"/>
                      <w:sz w:val="18"/>
                      <w:szCs w:val="18"/>
                    </w:rPr>
                  </w:pPr>
                  <w:r>
                    <w:rPr>
                      <w:color w:val="auto"/>
                      <w:kern w:val="0"/>
                      <w:sz w:val="18"/>
                      <w:szCs w:val="18"/>
                    </w:rPr>
                    <w:t>HW49</w:t>
                  </w:r>
                </w:p>
              </w:tc>
              <w:tc>
                <w:tcPr>
                  <w:tcW w:w="941" w:type="dxa"/>
                  <w:vAlign w:val="center"/>
                </w:tcPr>
                <w:p>
                  <w:pPr>
                    <w:ind w:left="-90" w:leftChars="-43" w:right="-90" w:rightChars="-43"/>
                    <w:jc w:val="center"/>
                    <w:rPr>
                      <w:color w:val="auto"/>
                      <w:kern w:val="0"/>
                      <w:sz w:val="18"/>
                      <w:szCs w:val="18"/>
                    </w:rPr>
                  </w:pPr>
                  <w:r>
                    <w:rPr>
                      <w:color w:val="auto"/>
                      <w:kern w:val="0"/>
                      <w:sz w:val="18"/>
                      <w:szCs w:val="18"/>
                    </w:rPr>
                    <w:t>900-249-08</w:t>
                  </w:r>
                </w:p>
              </w:tc>
              <w:tc>
                <w:tcPr>
                  <w:tcW w:w="645" w:type="dxa"/>
                  <w:vAlign w:val="center"/>
                </w:tcPr>
                <w:p>
                  <w:pPr>
                    <w:ind w:left="-71" w:leftChars="-34" w:right="-71" w:rightChars="-34"/>
                    <w:jc w:val="center"/>
                    <w:rPr>
                      <w:color w:val="auto"/>
                      <w:kern w:val="0"/>
                      <w:sz w:val="18"/>
                      <w:szCs w:val="18"/>
                    </w:rPr>
                  </w:pPr>
                  <w:r>
                    <w:rPr>
                      <w:color w:val="auto"/>
                      <w:kern w:val="0"/>
                      <w:sz w:val="18"/>
                      <w:szCs w:val="18"/>
                    </w:rPr>
                    <w:t>0.6t/a</w:t>
                  </w:r>
                </w:p>
              </w:tc>
              <w:tc>
                <w:tcPr>
                  <w:tcW w:w="398" w:type="dxa"/>
                  <w:vAlign w:val="center"/>
                </w:tcPr>
                <w:p>
                  <w:pPr>
                    <w:ind w:left="-90" w:leftChars="-43" w:right="-90" w:rightChars="-43"/>
                    <w:jc w:val="center"/>
                    <w:rPr>
                      <w:color w:val="auto"/>
                      <w:kern w:val="0"/>
                      <w:sz w:val="18"/>
                      <w:szCs w:val="18"/>
                    </w:rPr>
                  </w:pPr>
                  <w:r>
                    <w:rPr>
                      <w:color w:val="auto"/>
                      <w:kern w:val="0"/>
                      <w:sz w:val="18"/>
                      <w:szCs w:val="18"/>
                    </w:rPr>
                    <w:t>液态</w:t>
                  </w:r>
                </w:p>
              </w:tc>
              <w:tc>
                <w:tcPr>
                  <w:tcW w:w="761" w:type="dxa"/>
                  <w:vAlign w:val="center"/>
                </w:tcPr>
                <w:p>
                  <w:pPr>
                    <w:ind w:left="-90" w:leftChars="-43" w:right="-90" w:rightChars="-43"/>
                    <w:jc w:val="center"/>
                    <w:rPr>
                      <w:color w:val="auto"/>
                      <w:kern w:val="0"/>
                      <w:sz w:val="18"/>
                      <w:szCs w:val="18"/>
                    </w:rPr>
                  </w:pPr>
                  <w:r>
                    <w:rPr>
                      <w:color w:val="auto"/>
                      <w:kern w:val="0"/>
                      <w:sz w:val="18"/>
                      <w:szCs w:val="18"/>
                    </w:rPr>
                    <w:t>烃类</w:t>
                  </w:r>
                </w:p>
              </w:tc>
              <w:tc>
                <w:tcPr>
                  <w:tcW w:w="835" w:type="dxa"/>
                  <w:vAlign w:val="center"/>
                </w:tcPr>
                <w:p>
                  <w:pPr>
                    <w:ind w:left="-71" w:leftChars="-34" w:right="-71" w:rightChars="-34"/>
                    <w:jc w:val="center"/>
                    <w:rPr>
                      <w:color w:val="auto"/>
                      <w:kern w:val="0"/>
                      <w:sz w:val="18"/>
                      <w:szCs w:val="18"/>
                    </w:rPr>
                  </w:pPr>
                  <w:r>
                    <w:rPr>
                      <w:color w:val="auto"/>
                      <w:kern w:val="0"/>
                      <w:sz w:val="18"/>
                      <w:szCs w:val="18"/>
                    </w:rPr>
                    <w:t>废矿物油</w:t>
                  </w:r>
                </w:p>
              </w:tc>
              <w:tc>
                <w:tcPr>
                  <w:tcW w:w="550" w:type="dxa"/>
                  <w:vAlign w:val="center"/>
                </w:tcPr>
                <w:p>
                  <w:pPr>
                    <w:ind w:left="-71" w:leftChars="-34" w:right="-71" w:rightChars="-34"/>
                    <w:jc w:val="center"/>
                    <w:rPr>
                      <w:color w:val="auto"/>
                      <w:kern w:val="0"/>
                      <w:sz w:val="18"/>
                      <w:szCs w:val="18"/>
                    </w:rPr>
                  </w:pPr>
                  <w:r>
                    <w:rPr>
                      <w:color w:val="auto"/>
                      <w:kern w:val="0"/>
                      <w:sz w:val="18"/>
                      <w:szCs w:val="18"/>
                    </w:rPr>
                    <w:t>1月</w:t>
                  </w:r>
                </w:p>
              </w:tc>
              <w:tc>
                <w:tcPr>
                  <w:tcW w:w="485" w:type="dxa"/>
                  <w:vAlign w:val="center"/>
                </w:tcPr>
                <w:p>
                  <w:pPr>
                    <w:ind w:left="-71" w:leftChars="-34" w:right="-71" w:rightChars="-34"/>
                    <w:jc w:val="center"/>
                    <w:rPr>
                      <w:color w:val="auto"/>
                      <w:kern w:val="0"/>
                      <w:sz w:val="18"/>
                      <w:szCs w:val="18"/>
                    </w:rPr>
                  </w:pPr>
                  <w:r>
                    <w:rPr>
                      <w:color w:val="auto"/>
                      <w:kern w:val="0"/>
                      <w:sz w:val="18"/>
                      <w:szCs w:val="18"/>
                    </w:rPr>
                    <w:t>T/In</w:t>
                  </w:r>
                </w:p>
              </w:tc>
              <w:tc>
                <w:tcPr>
                  <w:tcW w:w="696" w:type="dxa"/>
                  <w:vMerge w:val="restart"/>
                  <w:vAlign w:val="center"/>
                </w:tcPr>
                <w:p>
                  <w:pPr>
                    <w:ind w:left="-71" w:leftChars="-34" w:right="-71" w:rightChars="-34"/>
                    <w:jc w:val="center"/>
                    <w:rPr>
                      <w:color w:val="auto"/>
                      <w:kern w:val="0"/>
                      <w:sz w:val="18"/>
                      <w:szCs w:val="18"/>
                    </w:rPr>
                  </w:pPr>
                  <w:r>
                    <w:rPr>
                      <w:color w:val="auto"/>
                      <w:kern w:val="0"/>
                      <w:sz w:val="18"/>
                      <w:szCs w:val="18"/>
                    </w:rPr>
                    <w:t>收集后交由有资质单位处理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49" w:type="dxa"/>
                  <w:vAlign w:val="center"/>
                </w:tcPr>
                <w:p>
                  <w:pPr>
                    <w:autoSpaceDE w:val="0"/>
                    <w:autoSpaceDN w:val="0"/>
                    <w:adjustRightInd w:val="0"/>
                    <w:ind w:left="-90" w:leftChars="-43" w:right="-90" w:rightChars="-43"/>
                    <w:jc w:val="center"/>
                    <w:rPr>
                      <w:bCs/>
                      <w:color w:val="auto"/>
                      <w:sz w:val="18"/>
                      <w:szCs w:val="18"/>
                    </w:rPr>
                  </w:pPr>
                  <w:r>
                    <w:rPr>
                      <w:bCs/>
                      <w:color w:val="auto"/>
                      <w:sz w:val="18"/>
                      <w:szCs w:val="18"/>
                    </w:rPr>
                    <w:t>2</w:t>
                  </w:r>
                </w:p>
              </w:tc>
              <w:tc>
                <w:tcPr>
                  <w:tcW w:w="998" w:type="dxa"/>
                  <w:vAlign w:val="center"/>
                </w:tcPr>
                <w:p>
                  <w:pPr>
                    <w:ind w:left="-105" w:leftChars="-50" w:right="-105" w:rightChars="-50"/>
                    <w:jc w:val="center"/>
                    <w:rPr>
                      <w:color w:val="auto"/>
                      <w:kern w:val="0"/>
                      <w:sz w:val="18"/>
                      <w:szCs w:val="18"/>
                    </w:rPr>
                  </w:pPr>
                  <w:r>
                    <w:rPr>
                      <w:color w:val="auto"/>
                      <w:kern w:val="0"/>
                      <w:sz w:val="18"/>
                      <w:szCs w:val="18"/>
                    </w:rPr>
                    <w:t>废矿物油桶</w:t>
                  </w:r>
                </w:p>
              </w:tc>
              <w:tc>
                <w:tcPr>
                  <w:tcW w:w="835" w:type="dxa"/>
                  <w:vAlign w:val="center"/>
                </w:tcPr>
                <w:p>
                  <w:pPr>
                    <w:ind w:left="-105" w:leftChars="-50" w:right="-105" w:rightChars="-50"/>
                    <w:jc w:val="center"/>
                    <w:rPr>
                      <w:color w:val="auto"/>
                      <w:kern w:val="0"/>
                      <w:sz w:val="18"/>
                      <w:szCs w:val="18"/>
                    </w:rPr>
                  </w:pPr>
                  <w:r>
                    <w:rPr>
                      <w:color w:val="auto"/>
                      <w:kern w:val="0"/>
                      <w:sz w:val="18"/>
                      <w:szCs w:val="18"/>
                    </w:rPr>
                    <w:t>设备维护</w:t>
                  </w:r>
                </w:p>
              </w:tc>
              <w:tc>
                <w:tcPr>
                  <w:tcW w:w="581" w:type="dxa"/>
                  <w:vAlign w:val="center"/>
                </w:tcPr>
                <w:p>
                  <w:pPr>
                    <w:ind w:left="-105" w:leftChars="-50" w:right="-105" w:rightChars="-50"/>
                    <w:jc w:val="center"/>
                    <w:rPr>
                      <w:color w:val="auto"/>
                      <w:kern w:val="0"/>
                      <w:sz w:val="18"/>
                      <w:szCs w:val="18"/>
                    </w:rPr>
                  </w:pPr>
                  <w:r>
                    <w:rPr>
                      <w:color w:val="auto"/>
                      <w:kern w:val="0"/>
                      <w:sz w:val="18"/>
                      <w:szCs w:val="18"/>
                    </w:rPr>
                    <w:t>HW49</w:t>
                  </w:r>
                </w:p>
              </w:tc>
              <w:tc>
                <w:tcPr>
                  <w:tcW w:w="941" w:type="dxa"/>
                  <w:vAlign w:val="center"/>
                </w:tcPr>
                <w:p>
                  <w:pPr>
                    <w:ind w:left="-105" w:leftChars="-50" w:right="-105" w:rightChars="-50"/>
                    <w:jc w:val="center"/>
                    <w:rPr>
                      <w:color w:val="auto"/>
                      <w:kern w:val="0"/>
                      <w:sz w:val="18"/>
                      <w:szCs w:val="18"/>
                    </w:rPr>
                  </w:pPr>
                  <w:r>
                    <w:rPr>
                      <w:color w:val="auto"/>
                      <w:kern w:val="0"/>
                      <w:sz w:val="18"/>
                      <w:szCs w:val="18"/>
                    </w:rPr>
                    <w:t>900-041-49</w:t>
                  </w:r>
                </w:p>
              </w:tc>
              <w:tc>
                <w:tcPr>
                  <w:tcW w:w="645" w:type="dxa"/>
                  <w:vAlign w:val="center"/>
                </w:tcPr>
                <w:p>
                  <w:pPr>
                    <w:ind w:left="-71" w:leftChars="-34" w:right="-71" w:rightChars="-34"/>
                    <w:jc w:val="center"/>
                    <w:rPr>
                      <w:color w:val="auto"/>
                      <w:kern w:val="0"/>
                      <w:sz w:val="18"/>
                      <w:szCs w:val="18"/>
                    </w:rPr>
                  </w:pPr>
                  <w:r>
                    <w:rPr>
                      <w:color w:val="auto"/>
                      <w:kern w:val="0"/>
                      <w:sz w:val="18"/>
                      <w:szCs w:val="18"/>
                    </w:rPr>
                    <w:t>0.1t/a</w:t>
                  </w:r>
                </w:p>
              </w:tc>
              <w:tc>
                <w:tcPr>
                  <w:tcW w:w="398" w:type="dxa"/>
                  <w:vAlign w:val="center"/>
                </w:tcPr>
                <w:p>
                  <w:pPr>
                    <w:ind w:left="-105" w:leftChars="-50" w:right="-105" w:rightChars="-50"/>
                    <w:jc w:val="center"/>
                    <w:rPr>
                      <w:color w:val="auto"/>
                      <w:kern w:val="0"/>
                      <w:sz w:val="18"/>
                      <w:szCs w:val="18"/>
                    </w:rPr>
                  </w:pPr>
                  <w:r>
                    <w:rPr>
                      <w:color w:val="auto"/>
                      <w:kern w:val="0"/>
                      <w:sz w:val="18"/>
                      <w:szCs w:val="18"/>
                    </w:rPr>
                    <w:t>固态</w:t>
                  </w:r>
                </w:p>
              </w:tc>
              <w:tc>
                <w:tcPr>
                  <w:tcW w:w="761" w:type="dxa"/>
                  <w:vAlign w:val="center"/>
                </w:tcPr>
                <w:p>
                  <w:pPr>
                    <w:ind w:left="-105" w:leftChars="-50" w:right="-105" w:rightChars="-50"/>
                    <w:jc w:val="center"/>
                    <w:rPr>
                      <w:color w:val="auto"/>
                      <w:kern w:val="0"/>
                      <w:sz w:val="18"/>
                      <w:szCs w:val="18"/>
                    </w:rPr>
                  </w:pPr>
                  <w:r>
                    <w:rPr>
                      <w:color w:val="auto"/>
                      <w:kern w:val="0"/>
                      <w:sz w:val="18"/>
                      <w:szCs w:val="18"/>
                    </w:rPr>
                    <w:t>树脂</w:t>
                  </w:r>
                </w:p>
              </w:tc>
              <w:tc>
                <w:tcPr>
                  <w:tcW w:w="835" w:type="dxa"/>
                  <w:vAlign w:val="center"/>
                </w:tcPr>
                <w:p>
                  <w:pPr>
                    <w:ind w:left="-71" w:leftChars="-34" w:right="-71" w:rightChars="-34"/>
                    <w:jc w:val="center"/>
                    <w:rPr>
                      <w:color w:val="auto"/>
                      <w:kern w:val="0"/>
                      <w:sz w:val="18"/>
                      <w:szCs w:val="18"/>
                    </w:rPr>
                  </w:pPr>
                  <w:r>
                    <w:rPr>
                      <w:color w:val="auto"/>
                      <w:kern w:val="0"/>
                      <w:sz w:val="18"/>
                      <w:szCs w:val="18"/>
                    </w:rPr>
                    <w:t>废矿物油</w:t>
                  </w:r>
                </w:p>
              </w:tc>
              <w:tc>
                <w:tcPr>
                  <w:tcW w:w="550" w:type="dxa"/>
                  <w:vAlign w:val="center"/>
                </w:tcPr>
                <w:p>
                  <w:pPr>
                    <w:ind w:left="-71" w:leftChars="-34" w:right="-71" w:rightChars="-34"/>
                    <w:jc w:val="center"/>
                    <w:rPr>
                      <w:color w:val="auto"/>
                      <w:kern w:val="0"/>
                      <w:sz w:val="18"/>
                      <w:szCs w:val="18"/>
                    </w:rPr>
                  </w:pPr>
                  <w:r>
                    <w:rPr>
                      <w:color w:val="auto"/>
                      <w:kern w:val="0"/>
                      <w:sz w:val="18"/>
                      <w:szCs w:val="18"/>
                    </w:rPr>
                    <w:t>1月</w:t>
                  </w:r>
                </w:p>
              </w:tc>
              <w:tc>
                <w:tcPr>
                  <w:tcW w:w="485" w:type="dxa"/>
                  <w:vAlign w:val="center"/>
                </w:tcPr>
                <w:p>
                  <w:pPr>
                    <w:ind w:left="-71" w:leftChars="-34" w:right="-71" w:rightChars="-34"/>
                    <w:jc w:val="center"/>
                    <w:rPr>
                      <w:color w:val="auto"/>
                      <w:kern w:val="0"/>
                      <w:sz w:val="18"/>
                      <w:szCs w:val="18"/>
                    </w:rPr>
                  </w:pPr>
                  <w:r>
                    <w:rPr>
                      <w:rFonts w:eastAsia="TimesNewRomanPSMT"/>
                      <w:color w:val="auto"/>
                      <w:sz w:val="18"/>
                      <w:szCs w:val="18"/>
                    </w:rPr>
                    <w:t>T/In</w:t>
                  </w:r>
                </w:p>
              </w:tc>
              <w:tc>
                <w:tcPr>
                  <w:tcW w:w="696" w:type="dxa"/>
                  <w:vMerge w:val="continue"/>
                  <w:vAlign w:val="center"/>
                </w:tcPr>
                <w:p>
                  <w:pPr>
                    <w:ind w:left="-71" w:leftChars="-34" w:right="-71" w:rightChars="-34"/>
                    <w:jc w:val="center"/>
                    <w:rPr>
                      <w:color w:val="auto"/>
                      <w:kern w:val="0"/>
                      <w:sz w:val="18"/>
                      <w:szCs w:val="18"/>
                    </w:rPr>
                  </w:pPr>
                </w:p>
              </w:tc>
            </w:tr>
          </w:tbl>
          <w:p>
            <w:pPr>
              <w:adjustRightInd w:val="0"/>
              <w:snapToGrid w:val="0"/>
              <w:spacing w:line="360" w:lineRule="auto"/>
              <w:ind w:firstLine="420"/>
              <w:rPr>
                <w:color w:val="auto"/>
                <w:kern w:val="0"/>
                <w:szCs w:val="21"/>
              </w:rPr>
            </w:pPr>
            <w:r>
              <w:rPr>
                <w:rFonts w:hint="eastAsia"/>
                <w:color w:val="auto"/>
                <w:kern w:val="0"/>
                <w:szCs w:val="21"/>
              </w:rPr>
              <w:t>2、危险废物管理要求</w:t>
            </w:r>
          </w:p>
          <w:p>
            <w:pPr>
              <w:adjustRightInd w:val="0"/>
              <w:snapToGrid w:val="0"/>
              <w:spacing w:line="360" w:lineRule="auto"/>
              <w:ind w:firstLine="420"/>
              <w:rPr>
                <w:color w:val="auto"/>
                <w:kern w:val="0"/>
                <w:szCs w:val="21"/>
              </w:rPr>
            </w:pPr>
            <w:r>
              <w:rPr>
                <w:rFonts w:hint="eastAsia"/>
                <w:color w:val="auto"/>
                <w:kern w:val="0"/>
                <w:szCs w:val="21"/>
              </w:rPr>
              <w:t>①管理要求：本项目营运过程中所产生的危险废物，建设单位应按照《国家危险废物名录》的相关要求，建立、健全危险废物管理责任制，其法定代表人为第一责任人，切实履行职责，防止因危险废物收集、贮存和处理不当导致的环境污染事故。应当制定危险废物收集、贮存和转运有关的规章制度和事故时的应急方案；设置监控部门或者专（兼）职人员，负责检查、督促、落实本单位危险废物的管理工作。平时加强管理，暂存间内严禁堆放除危险废物以外的其他物质，不同类别危险废物严禁混合堆放暂存。</w:t>
            </w:r>
          </w:p>
          <w:p>
            <w:pPr>
              <w:adjustRightInd w:val="0"/>
              <w:snapToGrid w:val="0"/>
              <w:spacing w:line="360" w:lineRule="auto"/>
              <w:ind w:firstLine="420"/>
              <w:rPr>
                <w:color w:val="auto"/>
                <w:kern w:val="0"/>
                <w:szCs w:val="21"/>
              </w:rPr>
            </w:pPr>
            <w:r>
              <w:rPr>
                <w:rFonts w:hint="eastAsia"/>
                <w:color w:val="auto"/>
                <w:kern w:val="0"/>
                <w:szCs w:val="21"/>
              </w:rPr>
              <w:t>②暂存间建设要求：依照《中华人民共和国固体废物污染环境防治法》的规定，建设单位在现场办公及维修场地建设危废暂存间1个，面积约</w:t>
            </w:r>
            <w:r>
              <w:rPr>
                <w:color w:val="auto"/>
                <w:kern w:val="0"/>
                <w:szCs w:val="21"/>
              </w:rPr>
              <w:t>20</w:t>
            </w:r>
            <w:r>
              <w:rPr>
                <w:rFonts w:hint="eastAsia"/>
                <w:color w:val="auto"/>
                <w:kern w:val="0"/>
                <w:szCs w:val="21"/>
              </w:rPr>
              <w:t>m</w:t>
            </w:r>
            <w:r>
              <w:rPr>
                <w:rFonts w:hint="eastAsia"/>
                <w:color w:val="auto"/>
                <w:kern w:val="0"/>
                <w:szCs w:val="21"/>
                <w:vertAlign w:val="superscript"/>
              </w:rPr>
              <w:t>2</w:t>
            </w:r>
            <w:r>
              <w:rPr>
                <w:rFonts w:hint="eastAsia"/>
                <w:color w:val="auto"/>
                <w:kern w:val="0"/>
                <w:szCs w:val="21"/>
              </w:rPr>
              <w:t>。建设单位应按照《危险废物贮存污染物控制标准》要求对危险废物暂存间采取“防风、防雨、防晒、防渗漏”的四防措施，防止二次污染。在暂存间内设密封的储油桶，废矿物油封装于桶内，油桶外应设置围堰，并设置醒目的危险废物标识。暂存间地面及裙角采取防渗处理，防止二次污染，加强防火等安全措施。建设单位应加强对暂存间的管理，暂存间平时保持关闭状态，避免无关人员随意进出。暂存间内严禁堆放除危险废物以外的其他物质，加强防火等安全措施。定期委托有资质的单位回收处理，并严格执行危险废物转移联单制度。</w:t>
            </w:r>
          </w:p>
          <w:p>
            <w:pPr>
              <w:adjustRightInd w:val="0"/>
              <w:snapToGrid w:val="0"/>
              <w:spacing w:line="360" w:lineRule="auto"/>
              <w:ind w:firstLine="420"/>
              <w:rPr>
                <w:color w:val="auto"/>
                <w:kern w:val="0"/>
                <w:szCs w:val="21"/>
              </w:rPr>
            </w:pPr>
            <w:r>
              <w:rPr>
                <w:rFonts w:hint="eastAsia"/>
                <w:color w:val="auto"/>
                <w:kern w:val="0"/>
                <w:szCs w:val="21"/>
              </w:rPr>
              <w:t>③管理台账：建设单位必须单独建立危险废物管理台账，记录危废产生量、暂存量、处置量等。危险废物的转运必须按照《危险废物转移管理办法》（部令第23号）实施，并委托具有危险废物处置资质的单位进行处理，并签订委托处置合同，不得擅自倾倒、堆放危险废物。在进行环保竣工验收时，建设单位必须提供与危废处置单位双方签订的回收处置协议。</w:t>
            </w:r>
          </w:p>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 xml:space="preserve">-15 </w:t>
            </w:r>
            <w:r>
              <w:rPr>
                <w:rFonts w:hint="eastAsia"/>
                <w:b/>
                <w:color w:val="auto"/>
                <w:kern w:val="0"/>
                <w:sz w:val="18"/>
                <w:szCs w:val="18"/>
              </w:rPr>
              <w:t>项目危险废物储存点情况表</w:t>
            </w:r>
          </w:p>
          <w:tbl>
            <w:tblPr>
              <w:tblStyle w:val="14"/>
              <w:tblW w:w="80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587"/>
              <w:gridCol w:w="903"/>
              <w:gridCol w:w="1308"/>
              <w:gridCol w:w="777"/>
              <w:gridCol w:w="654"/>
              <w:gridCol w:w="934"/>
              <w:gridCol w:w="587"/>
              <w:gridCol w:w="6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tblHeader/>
                <w:jc w:val="center"/>
              </w:trPr>
              <w:tc>
                <w:tcPr>
                  <w:tcW w:w="694" w:type="dxa"/>
                  <w:vAlign w:val="center"/>
                </w:tcPr>
                <w:p>
                  <w:pPr>
                    <w:pStyle w:val="57"/>
                    <w:spacing w:beforeLines="0" w:line="280" w:lineRule="exact"/>
                    <w:ind w:left="-90" w:leftChars="-43" w:right="-90" w:rightChars="-43"/>
                    <w:jc w:val="center"/>
                    <w:rPr>
                      <w:bCs/>
                      <w:color w:val="auto"/>
                      <w:sz w:val="18"/>
                      <w:szCs w:val="18"/>
                    </w:rPr>
                  </w:pPr>
                  <w:r>
                    <w:rPr>
                      <w:bCs/>
                      <w:color w:val="auto"/>
                      <w:sz w:val="18"/>
                      <w:szCs w:val="18"/>
                    </w:rPr>
                    <w:t>贮存场</w:t>
                  </w:r>
                </w:p>
                <w:p>
                  <w:pPr>
                    <w:pStyle w:val="57"/>
                    <w:spacing w:beforeLines="0" w:line="280" w:lineRule="exact"/>
                    <w:ind w:left="-90" w:leftChars="-43" w:right="-90" w:rightChars="-43"/>
                    <w:jc w:val="center"/>
                    <w:rPr>
                      <w:bCs/>
                      <w:color w:val="auto"/>
                      <w:sz w:val="18"/>
                      <w:szCs w:val="18"/>
                    </w:rPr>
                  </w:pPr>
                  <w:r>
                    <w:rPr>
                      <w:bCs/>
                      <w:color w:val="auto"/>
                      <w:sz w:val="18"/>
                      <w:szCs w:val="18"/>
                    </w:rPr>
                    <w:t>所名称</w:t>
                  </w:r>
                </w:p>
              </w:tc>
              <w:tc>
                <w:tcPr>
                  <w:tcW w:w="1587" w:type="dxa"/>
                  <w:vAlign w:val="center"/>
                </w:tcPr>
                <w:p>
                  <w:pPr>
                    <w:pStyle w:val="57"/>
                    <w:spacing w:beforeLines="0" w:line="280" w:lineRule="exact"/>
                    <w:ind w:left="-90" w:leftChars="-43" w:right="-90" w:rightChars="-43"/>
                    <w:jc w:val="center"/>
                    <w:rPr>
                      <w:bCs/>
                      <w:color w:val="auto"/>
                      <w:sz w:val="18"/>
                      <w:szCs w:val="18"/>
                    </w:rPr>
                  </w:pPr>
                  <w:r>
                    <w:rPr>
                      <w:bCs/>
                      <w:color w:val="auto"/>
                      <w:sz w:val="18"/>
                      <w:szCs w:val="18"/>
                    </w:rPr>
                    <w:t>危险废物名称</w:t>
                  </w:r>
                </w:p>
              </w:tc>
              <w:tc>
                <w:tcPr>
                  <w:tcW w:w="903" w:type="dxa"/>
                  <w:vAlign w:val="center"/>
                </w:tcPr>
                <w:p>
                  <w:pPr>
                    <w:pStyle w:val="57"/>
                    <w:spacing w:beforeLines="0" w:line="280" w:lineRule="exact"/>
                    <w:ind w:left="-90" w:leftChars="-43" w:right="-90" w:rightChars="-43"/>
                    <w:jc w:val="center"/>
                    <w:rPr>
                      <w:bCs/>
                      <w:color w:val="auto"/>
                      <w:sz w:val="18"/>
                      <w:szCs w:val="18"/>
                    </w:rPr>
                  </w:pPr>
                  <w:r>
                    <w:rPr>
                      <w:bCs/>
                      <w:color w:val="auto"/>
                      <w:sz w:val="18"/>
                      <w:szCs w:val="18"/>
                    </w:rPr>
                    <w:t>危险废物</w:t>
                  </w:r>
                </w:p>
                <w:p>
                  <w:pPr>
                    <w:pStyle w:val="57"/>
                    <w:spacing w:beforeLines="0" w:line="280" w:lineRule="exact"/>
                    <w:ind w:left="-90" w:leftChars="-43" w:right="-90" w:rightChars="-43"/>
                    <w:jc w:val="center"/>
                    <w:rPr>
                      <w:bCs/>
                      <w:color w:val="auto"/>
                      <w:sz w:val="18"/>
                      <w:szCs w:val="18"/>
                    </w:rPr>
                  </w:pPr>
                  <w:r>
                    <w:rPr>
                      <w:bCs/>
                      <w:color w:val="auto"/>
                      <w:sz w:val="18"/>
                      <w:szCs w:val="18"/>
                    </w:rPr>
                    <w:t>类别</w:t>
                  </w:r>
                </w:p>
              </w:tc>
              <w:tc>
                <w:tcPr>
                  <w:tcW w:w="1308" w:type="dxa"/>
                  <w:vAlign w:val="center"/>
                </w:tcPr>
                <w:p>
                  <w:pPr>
                    <w:pStyle w:val="57"/>
                    <w:spacing w:beforeLines="0" w:line="280" w:lineRule="exact"/>
                    <w:ind w:left="-90" w:leftChars="-43" w:right="-90" w:rightChars="-43"/>
                    <w:jc w:val="center"/>
                    <w:rPr>
                      <w:bCs/>
                      <w:color w:val="auto"/>
                      <w:sz w:val="18"/>
                      <w:szCs w:val="18"/>
                    </w:rPr>
                  </w:pPr>
                  <w:r>
                    <w:rPr>
                      <w:bCs/>
                      <w:color w:val="auto"/>
                      <w:sz w:val="18"/>
                      <w:szCs w:val="18"/>
                    </w:rPr>
                    <w:t>危险废物代码</w:t>
                  </w:r>
                </w:p>
              </w:tc>
              <w:tc>
                <w:tcPr>
                  <w:tcW w:w="777" w:type="dxa"/>
                  <w:vAlign w:val="center"/>
                </w:tcPr>
                <w:p>
                  <w:pPr>
                    <w:pStyle w:val="57"/>
                    <w:spacing w:beforeLines="0" w:line="280" w:lineRule="exact"/>
                    <w:ind w:left="-90" w:leftChars="-43" w:right="-90" w:rightChars="-43"/>
                    <w:jc w:val="center"/>
                    <w:rPr>
                      <w:bCs/>
                      <w:color w:val="auto"/>
                      <w:sz w:val="18"/>
                      <w:szCs w:val="18"/>
                    </w:rPr>
                  </w:pPr>
                  <w:r>
                    <w:rPr>
                      <w:bCs/>
                      <w:color w:val="auto"/>
                      <w:sz w:val="18"/>
                      <w:szCs w:val="18"/>
                    </w:rPr>
                    <w:t>位置</w:t>
                  </w:r>
                </w:p>
              </w:tc>
              <w:tc>
                <w:tcPr>
                  <w:tcW w:w="654" w:type="dxa"/>
                  <w:vAlign w:val="center"/>
                </w:tcPr>
                <w:p>
                  <w:pPr>
                    <w:pStyle w:val="57"/>
                    <w:spacing w:beforeLines="0" w:line="280" w:lineRule="exact"/>
                    <w:ind w:left="-90" w:leftChars="-43" w:right="-90" w:rightChars="-43"/>
                    <w:jc w:val="center"/>
                    <w:rPr>
                      <w:bCs/>
                      <w:color w:val="auto"/>
                      <w:sz w:val="18"/>
                      <w:szCs w:val="18"/>
                    </w:rPr>
                  </w:pPr>
                  <w:r>
                    <w:rPr>
                      <w:bCs/>
                      <w:color w:val="auto"/>
                      <w:sz w:val="18"/>
                      <w:szCs w:val="18"/>
                    </w:rPr>
                    <w:t>占地</w:t>
                  </w:r>
                </w:p>
                <w:p>
                  <w:pPr>
                    <w:pStyle w:val="57"/>
                    <w:spacing w:beforeLines="0" w:line="280" w:lineRule="exact"/>
                    <w:ind w:left="-90" w:leftChars="-43" w:right="-90" w:rightChars="-43"/>
                    <w:jc w:val="center"/>
                    <w:rPr>
                      <w:bCs/>
                      <w:color w:val="auto"/>
                      <w:sz w:val="18"/>
                      <w:szCs w:val="18"/>
                    </w:rPr>
                  </w:pPr>
                  <w:r>
                    <w:rPr>
                      <w:bCs/>
                      <w:color w:val="auto"/>
                      <w:sz w:val="18"/>
                      <w:szCs w:val="18"/>
                    </w:rPr>
                    <w:t>面积</w:t>
                  </w:r>
                </w:p>
              </w:tc>
              <w:tc>
                <w:tcPr>
                  <w:tcW w:w="934" w:type="dxa"/>
                  <w:vAlign w:val="center"/>
                </w:tcPr>
                <w:p>
                  <w:pPr>
                    <w:pStyle w:val="57"/>
                    <w:spacing w:beforeLines="0" w:line="280" w:lineRule="exact"/>
                    <w:ind w:left="-90" w:leftChars="-43" w:right="-90" w:rightChars="-43"/>
                    <w:jc w:val="center"/>
                    <w:rPr>
                      <w:bCs/>
                      <w:color w:val="auto"/>
                      <w:sz w:val="18"/>
                      <w:szCs w:val="18"/>
                    </w:rPr>
                  </w:pPr>
                  <w:r>
                    <w:rPr>
                      <w:bCs/>
                      <w:color w:val="auto"/>
                      <w:sz w:val="18"/>
                      <w:szCs w:val="18"/>
                    </w:rPr>
                    <w:t>贮存</w:t>
                  </w:r>
                </w:p>
                <w:p>
                  <w:pPr>
                    <w:pStyle w:val="57"/>
                    <w:spacing w:beforeLines="0" w:line="280" w:lineRule="exact"/>
                    <w:ind w:left="-90" w:leftChars="-43" w:right="-90" w:rightChars="-43"/>
                    <w:jc w:val="center"/>
                    <w:rPr>
                      <w:bCs/>
                      <w:color w:val="auto"/>
                      <w:sz w:val="18"/>
                      <w:szCs w:val="18"/>
                    </w:rPr>
                  </w:pPr>
                  <w:r>
                    <w:rPr>
                      <w:bCs/>
                      <w:color w:val="auto"/>
                      <w:sz w:val="18"/>
                      <w:szCs w:val="18"/>
                    </w:rPr>
                    <w:t>方式</w:t>
                  </w:r>
                </w:p>
              </w:tc>
              <w:tc>
                <w:tcPr>
                  <w:tcW w:w="587" w:type="dxa"/>
                  <w:vAlign w:val="center"/>
                </w:tcPr>
                <w:p>
                  <w:pPr>
                    <w:pStyle w:val="57"/>
                    <w:spacing w:beforeLines="0" w:line="280" w:lineRule="exact"/>
                    <w:ind w:left="-90" w:leftChars="-43" w:right="-90" w:rightChars="-43"/>
                    <w:jc w:val="center"/>
                    <w:rPr>
                      <w:bCs/>
                      <w:color w:val="auto"/>
                      <w:sz w:val="18"/>
                      <w:szCs w:val="18"/>
                    </w:rPr>
                  </w:pPr>
                  <w:r>
                    <w:rPr>
                      <w:bCs/>
                      <w:color w:val="auto"/>
                      <w:sz w:val="18"/>
                      <w:szCs w:val="18"/>
                    </w:rPr>
                    <w:t>贮存</w:t>
                  </w:r>
                </w:p>
                <w:p>
                  <w:pPr>
                    <w:pStyle w:val="57"/>
                    <w:spacing w:beforeLines="0" w:line="280" w:lineRule="exact"/>
                    <w:ind w:left="-90" w:leftChars="-43" w:right="-90" w:rightChars="-43"/>
                    <w:jc w:val="center"/>
                    <w:rPr>
                      <w:bCs/>
                      <w:color w:val="auto"/>
                      <w:sz w:val="18"/>
                      <w:szCs w:val="18"/>
                    </w:rPr>
                  </w:pPr>
                  <w:r>
                    <w:rPr>
                      <w:bCs/>
                      <w:color w:val="auto"/>
                      <w:sz w:val="18"/>
                      <w:szCs w:val="18"/>
                    </w:rPr>
                    <w:t>能力</w:t>
                  </w:r>
                </w:p>
              </w:tc>
              <w:tc>
                <w:tcPr>
                  <w:tcW w:w="652" w:type="dxa"/>
                  <w:vAlign w:val="center"/>
                </w:tcPr>
                <w:p>
                  <w:pPr>
                    <w:pStyle w:val="57"/>
                    <w:spacing w:beforeLines="0" w:line="280" w:lineRule="exact"/>
                    <w:ind w:left="-90" w:leftChars="-43" w:right="-90" w:rightChars="-43"/>
                    <w:jc w:val="center"/>
                    <w:rPr>
                      <w:bCs/>
                      <w:color w:val="auto"/>
                      <w:sz w:val="18"/>
                      <w:szCs w:val="18"/>
                    </w:rPr>
                  </w:pPr>
                  <w:r>
                    <w:rPr>
                      <w:bCs/>
                      <w:color w:val="auto"/>
                      <w:sz w:val="18"/>
                      <w:szCs w:val="18"/>
                    </w:rPr>
                    <w:t>贮存</w:t>
                  </w:r>
                </w:p>
                <w:p>
                  <w:pPr>
                    <w:pStyle w:val="57"/>
                    <w:spacing w:beforeLines="0" w:line="280" w:lineRule="exact"/>
                    <w:ind w:left="-90" w:leftChars="-43" w:right="-90" w:rightChars="-43"/>
                    <w:jc w:val="center"/>
                    <w:rPr>
                      <w:bCs/>
                      <w:color w:val="auto"/>
                      <w:sz w:val="18"/>
                      <w:szCs w:val="18"/>
                    </w:rPr>
                  </w:pPr>
                  <w:r>
                    <w:rPr>
                      <w:bCs/>
                      <w:color w:val="auto"/>
                      <w:sz w:val="18"/>
                      <w:szCs w:val="18"/>
                    </w:rPr>
                    <w:t>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94" w:type="dxa"/>
                  <w:vMerge w:val="restart"/>
                  <w:vAlign w:val="center"/>
                </w:tcPr>
                <w:p>
                  <w:pPr>
                    <w:pStyle w:val="57"/>
                    <w:spacing w:beforeLines="0" w:line="280" w:lineRule="exact"/>
                    <w:ind w:left="-90" w:leftChars="-43" w:right="-90" w:rightChars="-43"/>
                    <w:jc w:val="center"/>
                    <w:rPr>
                      <w:color w:val="auto"/>
                      <w:sz w:val="18"/>
                      <w:szCs w:val="18"/>
                    </w:rPr>
                  </w:pPr>
                  <w:r>
                    <w:rPr>
                      <w:color w:val="auto"/>
                      <w:sz w:val="18"/>
                      <w:szCs w:val="18"/>
                    </w:rPr>
                    <w:t>危废暂存间</w:t>
                  </w:r>
                </w:p>
              </w:tc>
              <w:tc>
                <w:tcPr>
                  <w:tcW w:w="1587" w:type="dxa"/>
                  <w:vAlign w:val="center"/>
                </w:tcPr>
                <w:p>
                  <w:pPr>
                    <w:spacing w:line="280" w:lineRule="exact"/>
                    <w:ind w:left="-90" w:leftChars="-43" w:right="-90" w:rightChars="-43"/>
                    <w:jc w:val="center"/>
                    <w:rPr>
                      <w:color w:val="auto"/>
                      <w:sz w:val="18"/>
                      <w:szCs w:val="18"/>
                    </w:rPr>
                  </w:pPr>
                  <w:r>
                    <w:rPr>
                      <w:color w:val="auto"/>
                      <w:kern w:val="0"/>
                      <w:sz w:val="18"/>
                      <w:szCs w:val="18"/>
                    </w:rPr>
                    <w:t>废矿物油</w:t>
                  </w:r>
                </w:p>
              </w:tc>
              <w:tc>
                <w:tcPr>
                  <w:tcW w:w="903" w:type="dxa"/>
                  <w:vAlign w:val="center"/>
                </w:tcPr>
                <w:p>
                  <w:pPr>
                    <w:spacing w:line="280" w:lineRule="exact"/>
                    <w:ind w:left="-90" w:leftChars="-43" w:right="-90" w:rightChars="-43"/>
                    <w:jc w:val="center"/>
                    <w:rPr>
                      <w:color w:val="auto"/>
                      <w:sz w:val="18"/>
                      <w:szCs w:val="18"/>
                    </w:rPr>
                  </w:pPr>
                  <w:r>
                    <w:rPr>
                      <w:color w:val="auto"/>
                      <w:kern w:val="0"/>
                      <w:sz w:val="18"/>
                      <w:szCs w:val="18"/>
                    </w:rPr>
                    <w:t>HW49</w:t>
                  </w:r>
                </w:p>
              </w:tc>
              <w:tc>
                <w:tcPr>
                  <w:tcW w:w="1308" w:type="dxa"/>
                  <w:vAlign w:val="center"/>
                </w:tcPr>
                <w:p>
                  <w:pPr>
                    <w:spacing w:line="280" w:lineRule="exact"/>
                    <w:ind w:left="-90" w:leftChars="-43" w:right="-90" w:rightChars="-43"/>
                    <w:jc w:val="center"/>
                    <w:rPr>
                      <w:color w:val="auto"/>
                      <w:sz w:val="18"/>
                      <w:szCs w:val="18"/>
                    </w:rPr>
                  </w:pPr>
                  <w:r>
                    <w:rPr>
                      <w:color w:val="auto"/>
                      <w:kern w:val="0"/>
                      <w:sz w:val="18"/>
                      <w:szCs w:val="18"/>
                    </w:rPr>
                    <w:t>900-249-08</w:t>
                  </w:r>
                </w:p>
              </w:tc>
              <w:tc>
                <w:tcPr>
                  <w:tcW w:w="777" w:type="dxa"/>
                  <w:vMerge w:val="restart"/>
                  <w:vAlign w:val="center"/>
                </w:tcPr>
                <w:p>
                  <w:pPr>
                    <w:pStyle w:val="57"/>
                    <w:spacing w:beforeLines="0" w:line="280" w:lineRule="exact"/>
                    <w:ind w:left="-90" w:leftChars="-43" w:right="-90" w:rightChars="-43"/>
                    <w:jc w:val="center"/>
                    <w:rPr>
                      <w:color w:val="auto"/>
                      <w:sz w:val="18"/>
                      <w:szCs w:val="18"/>
                    </w:rPr>
                  </w:pPr>
                  <w:r>
                    <w:rPr>
                      <w:rFonts w:hint="eastAsia"/>
                      <w:color w:val="auto"/>
                      <w:sz w:val="18"/>
                      <w:szCs w:val="18"/>
                    </w:rPr>
                    <w:t>现场办公及维修场地</w:t>
                  </w:r>
                  <w:r>
                    <w:rPr>
                      <w:color w:val="auto"/>
                      <w:sz w:val="18"/>
                      <w:szCs w:val="18"/>
                    </w:rPr>
                    <w:t>独立房间</w:t>
                  </w:r>
                </w:p>
              </w:tc>
              <w:tc>
                <w:tcPr>
                  <w:tcW w:w="654" w:type="dxa"/>
                  <w:vMerge w:val="restart"/>
                  <w:vAlign w:val="center"/>
                </w:tcPr>
                <w:p>
                  <w:pPr>
                    <w:pStyle w:val="57"/>
                    <w:spacing w:beforeLines="0" w:line="280" w:lineRule="exact"/>
                    <w:ind w:left="-90" w:leftChars="-43" w:right="-90" w:rightChars="-43"/>
                    <w:jc w:val="center"/>
                    <w:rPr>
                      <w:color w:val="auto"/>
                      <w:sz w:val="18"/>
                      <w:szCs w:val="18"/>
                    </w:rPr>
                  </w:pPr>
                  <w:r>
                    <w:rPr>
                      <w:color w:val="auto"/>
                      <w:sz w:val="18"/>
                      <w:szCs w:val="18"/>
                    </w:rPr>
                    <w:t>20m</w:t>
                  </w:r>
                  <w:r>
                    <w:rPr>
                      <w:color w:val="auto"/>
                      <w:sz w:val="18"/>
                      <w:szCs w:val="18"/>
                      <w:vertAlign w:val="superscript"/>
                    </w:rPr>
                    <w:t>2</w:t>
                  </w:r>
                </w:p>
              </w:tc>
              <w:tc>
                <w:tcPr>
                  <w:tcW w:w="934" w:type="dxa"/>
                  <w:vAlign w:val="center"/>
                </w:tcPr>
                <w:p>
                  <w:pPr>
                    <w:spacing w:line="280" w:lineRule="exact"/>
                    <w:ind w:left="-71" w:leftChars="-34" w:right="-71" w:rightChars="-34"/>
                    <w:jc w:val="center"/>
                    <w:rPr>
                      <w:color w:val="auto"/>
                      <w:sz w:val="18"/>
                      <w:szCs w:val="18"/>
                    </w:rPr>
                  </w:pPr>
                  <w:r>
                    <w:rPr>
                      <w:color w:val="auto"/>
                      <w:kern w:val="0"/>
                      <w:sz w:val="18"/>
                      <w:szCs w:val="18"/>
                    </w:rPr>
                    <w:t>专用容器</w:t>
                  </w:r>
                </w:p>
              </w:tc>
              <w:tc>
                <w:tcPr>
                  <w:tcW w:w="587" w:type="dxa"/>
                  <w:vAlign w:val="center"/>
                </w:tcPr>
                <w:p>
                  <w:pPr>
                    <w:spacing w:line="280" w:lineRule="exact"/>
                    <w:ind w:left="-71" w:leftChars="-34" w:right="-71" w:rightChars="-34"/>
                    <w:jc w:val="center"/>
                    <w:rPr>
                      <w:color w:val="auto"/>
                      <w:sz w:val="18"/>
                      <w:szCs w:val="18"/>
                    </w:rPr>
                  </w:pPr>
                  <w:r>
                    <w:rPr>
                      <w:color w:val="auto"/>
                      <w:kern w:val="0"/>
                      <w:sz w:val="18"/>
                      <w:szCs w:val="18"/>
                    </w:rPr>
                    <w:t>3.0</w:t>
                  </w:r>
                </w:p>
              </w:tc>
              <w:tc>
                <w:tcPr>
                  <w:tcW w:w="652" w:type="dxa"/>
                  <w:vAlign w:val="center"/>
                </w:tcPr>
                <w:p>
                  <w:pPr>
                    <w:spacing w:line="280" w:lineRule="exact"/>
                    <w:ind w:left="-90" w:leftChars="-43" w:right="-90" w:rightChars="-43"/>
                    <w:jc w:val="center"/>
                    <w:rPr>
                      <w:color w:val="auto"/>
                      <w:sz w:val="18"/>
                      <w:szCs w:val="18"/>
                    </w:rPr>
                  </w:pPr>
                  <w:r>
                    <w:rPr>
                      <w:color w:val="auto"/>
                      <w:sz w:val="18"/>
                      <w:szCs w:val="18"/>
                    </w:rPr>
                    <w:t>6月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94" w:type="dxa"/>
                  <w:vMerge w:val="continue"/>
                  <w:vAlign w:val="center"/>
                </w:tcPr>
                <w:p>
                  <w:pPr>
                    <w:pStyle w:val="57"/>
                    <w:spacing w:beforeLines="0" w:line="280" w:lineRule="exact"/>
                    <w:ind w:left="-90" w:leftChars="-43" w:right="-90" w:rightChars="-43"/>
                    <w:jc w:val="center"/>
                    <w:rPr>
                      <w:color w:val="auto"/>
                      <w:sz w:val="18"/>
                      <w:szCs w:val="18"/>
                    </w:rPr>
                  </w:pPr>
                </w:p>
              </w:tc>
              <w:tc>
                <w:tcPr>
                  <w:tcW w:w="1587" w:type="dxa"/>
                  <w:vAlign w:val="center"/>
                </w:tcPr>
                <w:p>
                  <w:pPr>
                    <w:spacing w:line="280" w:lineRule="exact"/>
                    <w:ind w:left="-105" w:leftChars="-50" w:right="-105" w:rightChars="-50"/>
                    <w:jc w:val="center"/>
                    <w:rPr>
                      <w:color w:val="auto"/>
                      <w:sz w:val="18"/>
                      <w:szCs w:val="18"/>
                    </w:rPr>
                  </w:pPr>
                  <w:r>
                    <w:rPr>
                      <w:color w:val="auto"/>
                      <w:kern w:val="0"/>
                      <w:sz w:val="18"/>
                      <w:szCs w:val="18"/>
                    </w:rPr>
                    <w:t>废矿物油桶</w:t>
                  </w:r>
                </w:p>
              </w:tc>
              <w:tc>
                <w:tcPr>
                  <w:tcW w:w="903" w:type="dxa"/>
                  <w:vAlign w:val="center"/>
                </w:tcPr>
                <w:p>
                  <w:pPr>
                    <w:spacing w:line="280" w:lineRule="exact"/>
                    <w:ind w:left="-105" w:leftChars="-50" w:right="-105" w:rightChars="-50"/>
                    <w:jc w:val="center"/>
                    <w:rPr>
                      <w:color w:val="auto"/>
                      <w:sz w:val="18"/>
                      <w:szCs w:val="18"/>
                    </w:rPr>
                  </w:pPr>
                  <w:r>
                    <w:rPr>
                      <w:color w:val="auto"/>
                      <w:kern w:val="0"/>
                      <w:sz w:val="18"/>
                      <w:szCs w:val="18"/>
                    </w:rPr>
                    <w:t>HW49</w:t>
                  </w:r>
                </w:p>
              </w:tc>
              <w:tc>
                <w:tcPr>
                  <w:tcW w:w="1308" w:type="dxa"/>
                  <w:vAlign w:val="center"/>
                </w:tcPr>
                <w:p>
                  <w:pPr>
                    <w:spacing w:line="280" w:lineRule="exact"/>
                    <w:ind w:left="-105" w:leftChars="-50" w:right="-105" w:rightChars="-50"/>
                    <w:jc w:val="center"/>
                    <w:rPr>
                      <w:color w:val="auto"/>
                      <w:sz w:val="18"/>
                      <w:szCs w:val="18"/>
                    </w:rPr>
                  </w:pPr>
                  <w:r>
                    <w:rPr>
                      <w:color w:val="auto"/>
                      <w:kern w:val="0"/>
                      <w:sz w:val="18"/>
                      <w:szCs w:val="18"/>
                    </w:rPr>
                    <w:t>900-041-49</w:t>
                  </w:r>
                </w:p>
              </w:tc>
              <w:tc>
                <w:tcPr>
                  <w:tcW w:w="777" w:type="dxa"/>
                  <w:vMerge w:val="continue"/>
                  <w:vAlign w:val="center"/>
                </w:tcPr>
                <w:p>
                  <w:pPr>
                    <w:pStyle w:val="57"/>
                    <w:spacing w:beforeLines="0" w:line="280" w:lineRule="exact"/>
                    <w:ind w:left="-90" w:leftChars="-43" w:right="-90" w:rightChars="-43"/>
                    <w:jc w:val="center"/>
                    <w:rPr>
                      <w:color w:val="auto"/>
                      <w:sz w:val="18"/>
                      <w:szCs w:val="18"/>
                    </w:rPr>
                  </w:pPr>
                </w:p>
              </w:tc>
              <w:tc>
                <w:tcPr>
                  <w:tcW w:w="654" w:type="dxa"/>
                  <w:vMerge w:val="continue"/>
                  <w:vAlign w:val="center"/>
                </w:tcPr>
                <w:p>
                  <w:pPr>
                    <w:pStyle w:val="57"/>
                    <w:spacing w:beforeLines="0" w:line="280" w:lineRule="exact"/>
                    <w:ind w:left="-90" w:leftChars="-43" w:right="-90" w:rightChars="-43"/>
                    <w:jc w:val="center"/>
                    <w:rPr>
                      <w:color w:val="auto"/>
                      <w:sz w:val="18"/>
                      <w:szCs w:val="18"/>
                    </w:rPr>
                  </w:pPr>
                </w:p>
              </w:tc>
              <w:tc>
                <w:tcPr>
                  <w:tcW w:w="934" w:type="dxa"/>
                  <w:vAlign w:val="center"/>
                </w:tcPr>
                <w:p>
                  <w:pPr>
                    <w:spacing w:line="280" w:lineRule="exact"/>
                    <w:ind w:left="-71" w:leftChars="-34" w:right="-71" w:rightChars="-34"/>
                    <w:jc w:val="center"/>
                    <w:rPr>
                      <w:color w:val="auto"/>
                      <w:sz w:val="18"/>
                      <w:szCs w:val="18"/>
                    </w:rPr>
                  </w:pPr>
                  <w:r>
                    <w:rPr>
                      <w:color w:val="auto"/>
                      <w:kern w:val="0"/>
                      <w:sz w:val="18"/>
                      <w:szCs w:val="18"/>
                    </w:rPr>
                    <w:t>专用房间</w:t>
                  </w:r>
                </w:p>
              </w:tc>
              <w:tc>
                <w:tcPr>
                  <w:tcW w:w="587" w:type="dxa"/>
                  <w:vAlign w:val="center"/>
                </w:tcPr>
                <w:p>
                  <w:pPr>
                    <w:spacing w:line="280" w:lineRule="exact"/>
                    <w:ind w:left="-71" w:leftChars="-34" w:right="-71" w:rightChars="-34"/>
                    <w:jc w:val="center"/>
                    <w:rPr>
                      <w:color w:val="auto"/>
                      <w:sz w:val="18"/>
                      <w:szCs w:val="18"/>
                    </w:rPr>
                  </w:pPr>
                  <w:r>
                    <w:rPr>
                      <w:color w:val="auto"/>
                      <w:kern w:val="0"/>
                      <w:sz w:val="18"/>
                      <w:szCs w:val="18"/>
                    </w:rPr>
                    <w:t>0.8</w:t>
                  </w:r>
                </w:p>
              </w:tc>
              <w:tc>
                <w:tcPr>
                  <w:tcW w:w="652" w:type="dxa"/>
                  <w:vAlign w:val="center"/>
                </w:tcPr>
                <w:p>
                  <w:pPr>
                    <w:spacing w:line="280" w:lineRule="exact"/>
                    <w:ind w:left="-90" w:leftChars="-43" w:right="-90" w:rightChars="-43"/>
                    <w:jc w:val="center"/>
                    <w:rPr>
                      <w:color w:val="auto"/>
                      <w:sz w:val="18"/>
                      <w:szCs w:val="18"/>
                    </w:rPr>
                  </w:pPr>
                  <w:r>
                    <w:rPr>
                      <w:color w:val="auto"/>
                      <w:sz w:val="18"/>
                      <w:szCs w:val="18"/>
                    </w:rPr>
                    <w:t>6月</w:t>
                  </w:r>
                </w:p>
              </w:tc>
            </w:tr>
          </w:tbl>
          <w:p>
            <w:pPr>
              <w:adjustRightInd w:val="0"/>
              <w:snapToGrid w:val="0"/>
              <w:spacing w:line="360" w:lineRule="auto"/>
              <w:ind w:firstLine="420"/>
              <w:rPr>
                <w:color w:val="auto"/>
                <w:kern w:val="0"/>
                <w:szCs w:val="21"/>
              </w:rPr>
            </w:pPr>
            <w:r>
              <w:rPr>
                <w:rFonts w:hint="eastAsia"/>
                <w:color w:val="auto"/>
                <w:kern w:val="0"/>
                <w:szCs w:val="21"/>
              </w:rPr>
              <w:t>综上所述，本项目固体废物处理处置符合国家《中华人民共和国固体废物污染环境防治法》规定的原则，符合《一般工业固体废物贮存和填埋污染控制标准》（GB18599-2020）和《危险废物贮存污染控制标准》（GB18597-2023）的要求。</w:t>
            </w:r>
          </w:p>
          <w:p>
            <w:pPr>
              <w:adjustRightInd w:val="0"/>
              <w:snapToGrid w:val="0"/>
              <w:spacing w:line="360" w:lineRule="auto"/>
              <w:ind w:firstLine="420"/>
              <w:rPr>
                <w:color w:val="auto"/>
                <w:kern w:val="0"/>
                <w:szCs w:val="21"/>
              </w:rPr>
            </w:pPr>
            <w:r>
              <w:rPr>
                <w:rFonts w:hint="eastAsia"/>
                <w:color w:val="auto"/>
                <w:kern w:val="0"/>
                <w:szCs w:val="21"/>
              </w:rPr>
              <w:t>评价认为，通过建设单位采取的上述控制措施，固体废物全部得到妥善处理或综合利用，不会对周围环境造成污染影响。处理措施经济合理、技术可行。</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六、地下水、土壤</w:t>
            </w:r>
          </w:p>
          <w:p>
            <w:pPr>
              <w:adjustRightInd w:val="0"/>
              <w:snapToGrid w:val="0"/>
              <w:spacing w:line="360" w:lineRule="auto"/>
              <w:ind w:firstLine="420"/>
              <w:rPr>
                <w:color w:val="auto"/>
                <w:kern w:val="0"/>
                <w:szCs w:val="21"/>
              </w:rPr>
            </w:pPr>
            <w:r>
              <w:rPr>
                <w:rFonts w:hint="eastAsia"/>
                <w:color w:val="auto"/>
                <w:kern w:val="0"/>
                <w:szCs w:val="21"/>
              </w:rPr>
              <w:t>1、污染源、污染物类型、污染途径</w:t>
            </w:r>
          </w:p>
          <w:p>
            <w:pPr>
              <w:adjustRightInd w:val="0"/>
              <w:snapToGrid w:val="0"/>
              <w:spacing w:line="360" w:lineRule="auto"/>
              <w:ind w:firstLine="420"/>
              <w:rPr>
                <w:color w:val="auto"/>
                <w:kern w:val="0"/>
                <w:szCs w:val="21"/>
              </w:rPr>
            </w:pPr>
            <w:r>
              <w:rPr>
                <w:rFonts w:hint="eastAsia"/>
                <w:color w:val="auto"/>
                <w:kern w:val="0"/>
                <w:szCs w:val="21"/>
              </w:rPr>
              <w:t>本项目可能存在地下水、土壤污染的区域主要为危废暂存间及排放的废气等。污染物类型主要为石油类和粉尘等。</w:t>
            </w:r>
          </w:p>
          <w:p>
            <w:pPr>
              <w:adjustRightInd w:val="0"/>
              <w:snapToGrid w:val="0"/>
              <w:spacing w:line="360" w:lineRule="auto"/>
              <w:ind w:firstLine="420"/>
              <w:rPr>
                <w:color w:val="auto"/>
                <w:kern w:val="0"/>
                <w:szCs w:val="21"/>
              </w:rPr>
            </w:pPr>
            <w:r>
              <w:rPr>
                <w:rFonts w:hint="eastAsia"/>
                <w:color w:val="auto"/>
                <w:kern w:val="0"/>
                <w:szCs w:val="21"/>
              </w:rPr>
              <w:t>污染途径为垂直下渗、大气沉降。正常状况下，项目不会造成地下水污染，仅在非正常状况下，危废暂存间储存容器出现渗漏和破损等情况，且储存区地面出现裂缝，才会导致油类物质下渗进入地下含水层，造成地下水、土壤污染。另外就是废气处理设施故障，高浓度含尘废气连续长时间排放，导致在下风向地面沉降累积，进而污染地下水和土壤</w:t>
            </w:r>
          </w:p>
          <w:p>
            <w:pPr>
              <w:adjustRightInd w:val="0"/>
              <w:snapToGrid w:val="0"/>
              <w:spacing w:line="360" w:lineRule="auto"/>
              <w:ind w:firstLine="420"/>
              <w:rPr>
                <w:color w:val="auto"/>
                <w:kern w:val="0"/>
                <w:szCs w:val="21"/>
              </w:rPr>
            </w:pPr>
            <w:r>
              <w:rPr>
                <w:rFonts w:hint="eastAsia"/>
                <w:color w:val="auto"/>
                <w:kern w:val="0"/>
                <w:szCs w:val="21"/>
              </w:rPr>
              <w:t>2、污染防治措施</w:t>
            </w:r>
          </w:p>
          <w:p>
            <w:pPr>
              <w:adjustRightInd w:val="0"/>
              <w:snapToGrid w:val="0"/>
              <w:spacing w:line="360" w:lineRule="auto"/>
              <w:ind w:firstLine="420"/>
              <w:rPr>
                <w:color w:val="auto"/>
                <w:kern w:val="0"/>
                <w:szCs w:val="21"/>
              </w:rPr>
            </w:pPr>
            <w:r>
              <w:rPr>
                <w:rFonts w:hint="eastAsia"/>
                <w:color w:val="auto"/>
                <w:kern w:val="0"/>
                <w:szCs w:val="21"/>
              </w:rPr>
              <w:t>本项目对地下水、土壤的可能影响主要是泄漏和大气沉降影响。地下水、土壤污染防治措施坚持“源头控制、末端防治、污染监控、应急响应相结合”的原则，即采取主动控制和被动控制相结合的措施。</w:t>
            </w:r>
          </w:p>
          <w:p>
            <w:pPr>
              <w:adjustRightInd w:val="0"/>
              <w:snapToGrid w:val="0"/>
              <w:spacing w:line="360" w:lineRule="auto"/>
              <w:ind w:firstLine="420"/>
              <w:rPr>
                <w:color w:val="auto"/>
                <w:kern w:val="0"/>
                <w:szCs w:val="21"/>
              </w:rPr>
            </w:pPr>
            <w:r>
              <w:rPr>
                <w:rFonts w:hint="eastAsia"/>
                <w:color w:val="auto"/>
                <w:kern w:val="0"/>
                <w:szCs w:val="21"/>
              </w:rPr>
              <w:t>1）源头控制措施</w:t>
            </w:r>
          </w:p>
          <w:p>
            <w:pPr>
              <w:adjustRightInd w:val="0"/>
              <w:snapToGrid w:val="0"/>
              <w:spacing w:line="360" w:lineRule="auto"/>
              <w:ind w:firstLine="420"/>
              <w:rPr>
                <w:color w:val="auto"/>
                <w:kern w:val="0"/>
                <w:szCs w:val="21"/>
              </w:rPr>
            </w:pPr>
            <w:r>
              <w:rPr>
                <w:rFonts w:hint="eastAsia"/>
                <w:color w:val="auto"/>
                <w:kern w:val="0"/>
                <w:szCs w:val="21"/>
              </w:rPr>
              <w:t>①积极推行实施清洁生产，实现各类废物合理处置，减少污染物的排放量；加强污染物治理设施运行维护和管理，避免事故排放。</w:t>
            </w:r>
          </w:p>
          <w:p>
            <w:pPr>
              <w:adjustRightInd w:val="0"/>
              <w:snapToGrid w:val="0"/>
              <w:spacing w:line="360" w:lineRule="auto"/>
              <w:ind w:firstLine="420"/>
              <w:rPr>
                <w:color w:val="auto"/>
                <w:kern w:val="0"/>
                <w:szCs w:val="21"/>
              </w:rPr>
            </w:pPr>
            <w:r>
              <w:rPr>
                <w:rFonts w:hint="eastAsia"/>
                <w:color w:val="auto"/>
                <w:kern w:val="0"/>
                <w:szCs w:val="21"/>
              </w:rPr>
              <w:t>②项目应根据国家现行相关规范加强环境管理，定期进行巡检并及时处理污染物跑、冒、滴、漏，若发现防渗密封材料老化或损坏，及时维修更换。</w:t>
            </w:r>
          </w:p>
          <w:p>
            <w:pPr>
              <w:adjustRightInd w:val="0"/>
              <w:snapToGrid w:val="0"/>
              <w:spacing w:line="360" w:lineRule="auto"/>
              <w:ind w:firstLine="420"/>
              <w:rPr>
                <w:color w:val="auto"/>
                <w:kern w:val="0"/>
                <w:szCs w:val="21"/>
              </w:rPr>
            </w:pPr>
            <w:r>
              <w:rPr>
                <w:rFonts w:hint="eastAsia"/>
                <w:color w:val="auto"/>
                <w:kern w:val="0"/>
                <w:szCs w:val="21"/>
              </w:rPr>
              <w:t>③严格按照国家相关规范要求，对危废暂存间、废气处理设施加强管理，防止和降低污染物的事故排放，将污染物泄漏的环境风险事故降低到最低程度。</w:t>
            </w:r>
          </w:p>
          <w:p>
            <w:pPr>
              <w:adjustRightInd w:val="0"/>
              <w:snapToGrid w:val="0"/>
              <w:spacing w:line="360" w:lineRule="auto"/>
              <w:ind w:firstLine="420"/>
              <w:rPr>
                <w:color w:val="auto"/>
                <w:kern w:val="0"/>
                <w:szCs w:val="21"/>
              </w:rPr>
            </w:pPr>
            <w:r>
              <w:rPr>
                <w:rFonts w:hint="eastAsia"/>
                <w:color w:val="auto"/>
                <w:kern w:val="0"/>
                <w:szCs w:val="21"/>
              </w:rPr>
              <w:t>2）分区防渗措施</w:t>
            </w:r>
          </w:p>
          <w:p>
            <w:pPr>
              <w:adjustRightInd w:val="0"/>
              <w:snapToGrid w:val="0"/>
              <w:spacing w:line="360" w:lineRule="auto"/>
              <w:ind w:firstLine="420"/>
              <w:rPr>
                <w:color w:val="auto"/>
                <w:kern w:val="0"/>
                <w:szCs w:val="21"/>
              </w:rPr>
            </w:pPr>
            <w:r>
              <w:rPr>
                <w:rFonts w:hint="eastAsia"/>
                <w:color w:val="auto"/>
                <w:kern w:val="0"/>
                <w:szCs w:val="21"/>
              </w:rPr>
              <w:t>为了最大限度降低生产过程中有毒有害物料的跑冒滴漏，防止地下水污染，根据分区防渗的原则，本项目划分为：重点污染防治区、一般污染防治区及简单防渗区。</w:t>
            </w:r>
          </w:p>
          <w:p>
            <w:pPr>
              <w:adjustRightInd w:val="0"/>
              <w:snapToGrid w:val="0"/>
              <w:spacing w:line="360" w:lineRule="auto"/>
              <w:ind w:firstLine="420"/>
              <w:rPr>
                <w:color w:val="auto"/>
                <w:kern w:val="0"/>
                <w:szCs w:val="21"/>
              </w:rPr>
            </w:pPr>
            <w:r>
              <w:rPr>
                <w:rFonts w:hint="eastAsia"/>
                <w:color w:val="auto"/>
                <w:kern w:val="0"/>
                <w:szCs w:val="21"/>
              </w:rPr>
              <w:t>本项目地下水污染防治分区防渗表如下表：</w:t>
            </w:r>
          </w:p>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 xml:space="preserve">-16 </w:t>
            </w:r>
            <w:r>
              <w:rPr>
                <w:rFonts w:hint="eastAsia"/>
                <w:b/>
                <w:color w:val="auto"/>
                <w:kern w:val="0"/>
                <w:sz w:val="18"/>
                <w:szCs w:val="18"/>
              </w:rPr>
              <w:t>地下水污染防治分区防渗一览表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1437"/>
              <w:gridCol w:w="1239"/>
              <w:gridCol w:w="4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034" w:type="dxa"/>
                  <w:tcBorders>
                    <w:left w:val="nil"/>
                  </w:tcBorders>
                  <w:vAlign w:val="center"/>
                </w:tcPr>
                <w:p>
                  <w:pPr>
                    <w:ind w:left="-71" w:leftChars="-34" w:right="-71" w:rightChars="-34"/>
                    <w:jc w:val="center"/>
                    <w:rPr>
                      <w:bCs/>
                      <w:color w:val="auto"/>
                      <w:sz w:val="18"/>
                      <w:szCs w:val="18"/>
                    </w:rPr>
                  </w:pPr>
                  <w:r>
                    <w:rPr>
                      <w:bCs/>
                      <w:color w:val="auto"/>
                      <w:sz w:val="18"/>
                      <w:szCs w:val="18"/>
                    </w:rPr>
                    <w:t>防渗分区</w:t>
                  </w:r>
                </w:p>
              </w:tc>
              <w:tc>
                <w:tcPr>
                  <w:tcW w:w="1437" w:type="dxa"/>
                  <w:vAlign w:val="center"/>
                </w:tcPr>
                <w:p>
                  <w:pPr>
                    <w:ind w:left="-71" w:leftChars="-34" w:right="-71" w:rightChars="-34"/>
                    <w:jc w:val="center"/>
                    <w:rPr>
                      <w:bCs/>
                      <w:color w:val="auto"/>
                      <w:sz w:val="18"/>
                      <w:szCs w:val="18"/>
                    </w:rPr>
                  </w:pPr>
                  <w:r>
                    <w:rPr>
                      <w:bCs/>
                      <w:color w:val="auto"/>
                      <w:sz w:val="18"/>
                      <w:szCs w:val="18"/>
                    </w:rPr>
                    <w:t>位置</w:t>
                  </w:r>
                </w:p>
              </w:tc>
              <w:tc>
                <w:tcPr>
                  <w:tcW w:w="1239" w:type="dxa"/>
                  <w:vAlign w:val="center"/>
                </w:tcPr>
                <w:p>
                  <w:pPr>
                    <w:ind w:left="-71" w:leftChars="-34" w:right="-71" w:rightChars="-34"/>
                    <w:jc w:val="center"/>
                    <w:rPr>
                      <w:bCs/>
                      <w:color w:val="auto"/>
                      <w:sz w:val="18"/>
                      <w:szCs w:val="18"/>
                    </w:rPr>
                  </w:pPr>
                  <w:r>
                    <w:rPr>
                      <w:bCs/>
                      <w:color w:val="auto"/>
                      <w:sz w:val="18"/>
                      <w:szCs w:val="18"/>
                    </w:rPr>
                    <w:t>防渗措施</w:t>
                  </w:r>
                </w:p>
              </w:tc>
              <w:tc>
                <w:tcPr>
                  <w:tcW w:w="4408" w:type="dxa"/>
                  <w:tcBorders>
                    <w:right w:val="nil"/>
                  </w:tcBorders>
                  <w:vAlign w:val="center"/>
                </w:tcPr>
                <w:p>
                  <w:pPr>
                    <w:ind w:left="-71" w:leftChars="-34" w:right="-71" w:rightChars="-34"/>
                    <w:jc w:val="center"/>
                    <w:rPr>
                      <w:bCs/>
                      <w:color w:val="auto"/>
                      <w:sz w:val="18"/>
                      <w:szCs w:val="18"/>
                    </w:rPr>
                  </w:pPr>
                  <w:r>
                    <w:rPr>
                      <w:bCs/>
                      <w:color w:val="auto"/>
                      <w:sz w:val="18"/>
                      <w:szCs w:val="18"/>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034" w:type="dxa"/>
                  <w:tcBorders>
                    <w:left w:val="nil"/>
                  </w:tcBorders>
                  <w:vAlign w:val="center"/>
                </w:tcPr>
                <w:p>
                  <w:pPr>
                    <w:ind w:left="-71" w:leftChars="-34" w:right="-71" w:rightChars="-34"/>
                    <w:jc w:val="center"/>
                    <w:rPr>
                      <w:color w:val="auto"/>
                      <w:sz w:val="18"/>
                      <w:szCs w:val="18"/>
                    </w:rPr>
                  </w:pPr>
                  <w:r>
                    <w:rPr>
                      <w:color w:val="auto"/>
                      <w:sz w:val="18"/>
                      <w:szCs w:val="18"/>
                    </w:rPr>
                    <w:t>重点防渗区</w:t>
                  </w:r>
                </w:p>
              </w:tc>
              <w:tc>
                <w:tcPr>
                  <w:tcW w:w="1437" w:type="dxa"/>
                  <w:tcBorders>
                    <w:bottom w:val="single" w:color="000000" w:sz="6" w:space="0"/>
                  </w:tcBorders>
                  <w:vAlign w:val="center"/>
                </w:tcPr>
                <w:p>
                  <w:pPr>
                    <w:ind w:left="-71" w:leftChars="-34" w:right="-71" w:rightChars="-34"/>
                    <w:jc w:val="center"/>
                    <w:rPr>
                      <w:color w:val="auto"/>
                      <w:sz w:val="18"/>
                      <w:szCs w:val="18"/>
                    </w:rPr>
                  </w:pPr>
                  <w:r>
                    <w:rPr>
                      <w:color w:val="auto"/>
                      <w:sz w:val="18"/>
                      <w:szCs w:val="18"/>
                    </w:rPr>
                    <w:t>危废暂存间</w:t>
                  </w:r>
                </w:p>
              </w:tc>
              <w:tc>
                <w:tcPr>
                  <w:tcW w:w="1239" w:type="dxa"/>
                  <w:vAlign w:val="center"/>
                </w:tcPr>
                <w:p>
                  <w:pPr>
                    <w:ind w:left="-71" w:leftChars="-34" w:right="-71" w:rightChars="-34"/>
                    <w:rPr>
                      <w:color w:val="auto"/>
                      <w:sz w:val="18"/>
                      <w:szCs w:val="18"/>
                    </w:rPr>
                  </w:pPr>
                  <w:r>
                    <w:rPr>
                      <w:color w:val="auto"/>
                      <w:sz w:val="18"/>
                      <w:szCs w:val="18"/>
                    </w:rPr>
                    <w:t>HDPE膜+防渗混凝土</w:t>
                  </w:r>
                </w:p>
              </w:tc>
              <w:tc>
                <w:tcPr>
                  <w:tcW w:w="4408" w:type="dxa"/>
                  <w:tcBorders>
                    <w:right w:val="nil"/>
                  </w:tcBorders>
                  <w:vAlign w:val="center"/>
                </w:tcPr>
                <w:p>
                  <w:pPr>
                    <w:ind w:left="-71" w:leftChars="-34" w:right="-71" w:rightChars="-34"/>
                    <w:rPr>
                      <w:color w:val="auto"/>
                      <w:sz w:val="18"/>
                      <w:szCs w:val="18"/>
                    </w:rPr>
                  </w:pPr>
                  <w:r>
                    <w:rPr>
                      <w:color w:val="auto"/>
                      <w:sz w:val="18"/>
                      <w:szCs w:val="18"/>
                    </w:rPr>
                    <w:t>按照</w:t>
                  </w:r>
                  <w:r>
                    <w:rPr>
                      <w:rFonts w:hint="eastAsia"/>
                      <w:color w:val="auto"/>
                      <w:sz w:val="18"/>
                      <w:szCs w:val="18"/>
                    </w:rPr>
                    <w:t>《危险废物贮存污染控制标准》（GB18597-2023）</w:t>
                  </w:r>
                  <w:r>
                    <w:rPr>
                      <w:color w:val="auto"/>
                      <w:sz w:val="18"/>
                      <w:szCs w:val="18"/>
                    </w:rPr>
                    <w:t>相关要求，防渗层至少为1m厚</w:t>
                  </w:r>
                  <w:r>
                    <w:rPr>
                      <w:rFonts w:hint="eastAsia"/>
                      <w:color w:val="auto"/>
                      <w:sz w:val="18"/>
                      <w:szCs w:val="18"/>
                    </w:rPr>
                    <w:t>黏</w:t>
                  </w:r>
                  <w:r>
                    <w:rPr>
                      <w:color w:val="auto"/>
                      <w:sz w:val="18"/>
                      <w:szCs w:val="18"/>
                    </w:rPr>
                    <w:t>土层（渗透系数≤10</w:t>
                  </w:r>
                  <w:r>
                    <w:rPr>
                      <w:color w:val="auto"/>
                      <w:sz w:val="18"/>
                      <w:szCs w:val="18"/>
                      <w:vertAlign w:val="superscript"/>
                    </w:rPr>
                    <w:t>-10</w:t>
                  </w:r>
                  <w:r>
                    <w:rPr>
                      <w:color w:val="auto"/>
                      <w:sz w:val="18"/>
                      <w:szCs w:val="18"/>
                    </w:rPr>
                    <w:t>cm/s），或2mm厚高密度聚乙烯，或至少2mm厚的其他人工材料，渗透系数≤10</w:t>
                  </w:r>
                  <w:r>
                    <w:rPr>
                      <w:color w:val="auto"/>
                      <w:sz w:val="18"/>
                      <w:szCs w:val="18"/>
                      <w:vertAlign w:val="superscript"/>
                    </w:rPr>
                    <w:t>-10</w:t>
                  </w:r>
                  <w:r>
                    <w:rPr>
                      <w:color w:val="auto"/>
                      <w:sz w:val="18"/>
                      <w:szCs w:val="18"/>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atLeast"/>
                <w:jc w:val="center"/>
              </w:trPr>
              <w:tc>
                <w:tcPr>
                  <w:tcW w:w="1034" w:type="dxa"/>
                  <w:tcBorders>
                    <w:left w:val="nil"/>
                  </w:tcBorders>
                  <w:vAlign w:val="center"/>
                </w:tcPr>
                <w:p>
                  <w:pPr>
                    <w:ind w:left="-71" w:leftChars="-34" w:right="-71" w:rightChars="-34"/>
                    <w:jc w:val="center"/>
                    <w:rPr>
                      <w:color w:val="auto"/>
                      <w:sz w:val="18"/>
                      <w:szCs w:val="18"/>
                    </w:rPr>
                  </w:pPr>
                  <w:r>
                    <w:rPr>
                      <w:color w:val="auto"/>
                      <w:sz w:val="18"/>
                      <w:szCs w:val="18"/>
                    </w:rPr>
                    <w:t>一般防渗区</w:t>
                  </w:r>
                </w:p>
              </w:tc>
              <w:tc>
                <w:tcPr>
                  <w:tcW w:w="1437" w:type="dxa"/>
                  <w:vAlign w:val="center"/>
                </w:tcPr>
                <w:p>
                  <w:pPr>
                    <w:ind w:left="-71" w:leftChars="-34" w:right="-71" w:rightChars="-34"/>
                    <w:jc w:val="center"/>
                    <w:rPr>
                      <w:color w:val="auto"/>
                      <w:sz w:val="18"/>
                      <w:szCs w:val="18"/>
                    </w:rPr>
                  </w:pPr>
                  <w:r>
                    <w:rPr>
                      <w:color w:val="auto"/>
                      <w:sz w:val="18"/>
                      <w:szCs w:val="18"/>
                    </w:rPr>
                    <w:t>废水处理沉淀池、化粪池</w:t>
                  </w:r>
                </w:p>
              </w:tc>
              <w:tc>
                <w:tcPr>
                  <w:tcW w:w="1239" w:type="dxa"/>
                  <w:vAlign w:val="center"/>
                </w:tcPr>
                <w:p>
                  <w:pPr>
                    <w:ind w:left="-71" w:leftChars="-34" w:right="-71" w:rightChars="-34"/>
                    <w:jc w:val="center"/>
                    <w:rPr>
                      <w:color w:val="auto"/>
                      <w:sz w:val="18"/>
                      <w:szCs w:val="18"/>
                    </w:rPr>
                  </w:pPr>
                  <w:r>
                    <w:rPr>
                      <w:color w:val="auto"/>
                      <w:sz w:val="18"/>
                      <w:szCs w:val="18"/>
                    </w:rPr>
                    <w:t>抗渗混凝土或钢板</w:t>
                  </w:r>
                </w:p>
              </w:tc>
              <w:tc>
                <w:tcPr>
                  <w:tcW w:w="4408" w:type="dxa"/>
                  <w:tcBorders>
                    <w:right w:val="nil"/>
                  </w:tcBorders>
                  <w:vAlign w:val="center"/>
                </w:tcPr>
                <w:p>
                  <w:pPr>
                    <w:ind w:left="-71" w:leftChars="-34" w:right="-71" w:rightChars="-34"/>
                    <w:rPr>
                      <w:color w:val="auto"/>
                      <w:sz w:val="18"/>
                      <w:szCs w:val="18"/>
                    </w:rPr>
                  </w:pPr>
                  <w:r>
                    <w:rPr>
                      <w:color w:val="auto"/>
                      <w:sz w:val="18"/>
                      <w:szCs w:val="18"/>
                    </w:rPr>
                    <w:t>等效粘土防渗层Mb≥1.5m， K≤10</w:t>
                  </w:r>
                  <w:r>
                    <w:rPr>
                      <w:color w:val="auto"/>
                      <w:sz w:val="18"/>
                      <w:szCs w:val="18"/>
                      <w:vertAlign w:val="superscript"/>
                    </w:rPr>
                    <w:t>-7</w:t>
                  </w:r>
                  <w:r>
                    <w:rPr>
                      <w:color w:val="auto"/>
                      <w:sz w:val="18"/>
                      <w:szCs w:val="18"/>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4" w:type="dxa"/>
                  <w:tcBorders>
                    <w:left w:val="nil"/>
                  </w:tcBorders>
                  <w:vAlign w:val="center"/>
                </w:tcPr>
                <w:p>
                  <w:pPr>
                    <w:ind w:left="-71" w:leftChars="-34" w:right="-71" w:rightChars="-34"/>
                    <w:jc w:val="center"/>
                    <w:rPr>
                      <w:color w:val="auto"/>
                      <w:sz w:val="18"/>
                      <w:szCs w:val="18"/>
                    </w:rPr>
                  </w:pPr>
                  <w:r>
                    <w:rPr>
                      <w:color w:val="auto"/>
                      <w:sz w:val="18"/>
                      <w:szCs w:val="18"/>
                    </w:rPr>
                    <w:t>简单防渗区</w:t>
                  </w:r>
                </w:p>
              </w:tc>
              <w:tc>
                <w:tcPr>
                  <w:tcW w:w="1437" w:type="dxa"/>
                  <w:vAlign w:val="center"/>
                </w:tcPr>
                <w:p>
                  <w:pPr>
                    <w:ind w:left="-71" w:leftChars="-34" w:right="-71" w:rightChars="-34"/>
                    <w:jc w:val="center"/>
                    <w:rPr>
                      <w:color w:val="auto"/>
                      <w:sz w:val="18"/>
                      <w:szCs w:val="18"/>
                    </w:rPr>
                  </w:pPr>
                  <w:r>
                    <w:rPr>
                      <w:color w:val="auto"/>
                      <w:sz w:val="18"/>
                      <w:szCs w:val="18"/>
                    </w:rPr>
                    <w:t>其他</w:t>
                  </w:r>
                </w:p>
              </w:tc>
              <w:tc>
                <w:tcPr>
                  <w:tcW w:w="1239" w:type="dxa"/>
                  <w:vAlign w:val="center"/>
                </w:tcPr>
                <w:p>
                  <w:pPr>
                    <w:ind w:left="-71" w:leftChars="-34" w:right="-71" w:rightChars="-34"/>
                    <w:jc w:val="center"/>
                    <w:rPr>
                      <w:color w:val="auto"/>
                      <w:sz w:val="18"/>
                      <w:szCs w:val="18"/>
                    </w:rPr>
                  </w:pPr>
                  <w:r>
                    <w:rPr>
                      <w:color w:val="auto"/>
                      <w:sz w:val="18"/>
                      <w:szCs w:val="18"/>
                    </w:rPr>
                    <w:t>混凝土硬化</w:t>
                  </w:r>
                </w:p>
              </w:tc>
              <w:tc>
                <w:tcPr>
                  <w:tcW w:w="4408" w:type="dxa"/>
                  <w:tcBorders>
                    <w:right w:val="nil"/>
                  </w:tcBorders>
                  <w:vAlign w:val="center"/>
                </w:tcPr>
                <w:p>
                  <w:pPr>
                    <w:ind w:left="-71" w:leftChars="-34" w:right="-71" w:rightChars="-34"/>
                    <w:rPr>
                      <w:color w:val="auto"/>
                      <w:sz w:val="18"/>
                      <w:szCs w:val="18"/>
                    </w:rPr>
                  </w:pPr>
                  <w:r>
                    <w:rPr>
                      <w:color w:val="auto"/>
                      <w:sz w:val="18"/>
                      <w:szCs w:val="18"/>
                    </w:rPr>
                    <w:t>一般地面硬化</w:t>
                  </w:r>
                </w:p>
              </w:tc>
            </w:tr>
          </w:tbl>
          <w:p>
            <w:pPr>
              <w:adjustRightInd w:val="0"/>
              <w:snapToGrid w:val="0"/>
              <w:spacing w:line="360" w:lineRule="auto"/>
              <w:ind w:firstLine="420"/>
              <w:rPr>
                <w:color w:val="auto"/>
                <w:kern w:val="0"/>
                <w:szCs w:val="21"/>
              </w:rPr>
            </w:pPr>
            <w:r>
              <w:rPr>
                <w:rFonts w:hint="eastAsia"/>
                <w:color w:val="auto"/>
                <w:kern w:val="0"/>
                <w:szCs w:val="21"/>
              </w:rPr>
              <w:t>采取上述措施后，可有效预防项目运行过程对地下水、土壤造成污染。其处理措施技术可行、经济合理。</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七、环境风险分析</w:t>
            </w:r>
          </w:p>
          <w:p>
            <w:pPr>
              <w:adjustRightInd w:val="0"/>
              <w:snapToGrid w:val="0"/>
              <w:spacing w:line="360" w:lineRule="auto"/>
              <w:ind w:firstLine="420"/>
              <w:rPr>
                <w:color w:val="auto"/>
                <w:kern w:val="0"/>
                <w:szCs w:val="21"/>
              </w:rPr>
            </w:pPr>
            <w:r>
              <w:rPr>
                <w:rFonts w:hint="eastAsia"/>
                <w:color w:val="auto"/>
                <w:kern w:val="0"/>
                <w:szCs w:val="21"/>
              </w:rPr>
              <w:t>1、危险物质</w:t>
            </w:r>
          </w:p>
          <w:p>
            <w:pPr>
              <w:adjustRightInd w:val="0"/>
              <w:snapToGrid w:val="0"/>
              <w:spacing w:line="360" w:lineRule="auto"/>
              <w:ind w:firstLine="420"/>
              <w:rPr>
                <w:color w:val="auto"/>
                <w:kern w:val="0"/>
                <w:szCs w:val="21"/>
              </w:rPr>
            </w:pPr>
            <w:r>
              <w:rPr>
                <w:rFonts w:hint="eastAsia"/>
                <w:color w:val="auto"/>
                <w:kern w:val="0"/>
                <w:szCs w:val="21"/>
              </w:rPr>
              <w:t>生产过程涉及的危险物质为设备检修产生的少量废矿物油，最大贮存量约为</w:t>
            </w:r>
            <w:r>
              <w:rPr>
                <w:color w:val="auto"/>
                <w:kern w:val="0"/>
                <w:szCs w:val="21"/>
              </w:rPr>
              <w:t>3</w:t>
            </w:r>
            <w:r>
              <w:rPr>
                <w:rFonts w:hint="eastAsia"/>
                <w:color w:val="auto"/>
                <w:kern w:val="0"/>
                <w:szCs w:val="21"/>
              </w:rPr>
              <w:t>t。</w:t>
            </w:r>
          </w:p>
          <w:p>
            <w:pPr>
              <w:adjustRightInd w:val="0"/>
              <w:snapToGrid w:val="0"/>
              <w:spacing w:line="360" w:lineRule="auto"/>
              <w:ind w:firstLine="420"/>
              <w:rPr>
                <w:color w:val="auto"/>
                <w:kern w:val="0"/>
                <w:szCs w:val="21"/>
              </w:rPr>
            </w:pPr>
            <w:r>
              <w:rPr>
                <w:rFonts w:hint="eastAsia"/>
                <w:color w:val="auto"/>
                <w:kern w:val="0"/>
                <w:szCs w:val="21"/>
              </w:rPr>
              <w:t>2、风险源分布及影响途径</w:t>
            </w:r>
          </w:p>
          <w:p>
            <w:pPr>
              <w:adjustRightInd w:val="0"/>
              <w:snapToGrid w:val="0"/>
              <w:spacing w:line="360" w:lineRule="auto"/>
              <w:ind w:firstLine="420"/>
              <w:rPr>
                <w:color w:val="auto"/>
                <w:kern w:val="0"/>
                <w:szCs w:val="21"/>
              </w:rPr>
            </w:pPr>
            <w:r>
              <w:rPr>
                <w:rFonts w:hint="eastAsia"/>
                <w:color w:val="auto"/>
                <w:kern w:val="0"/>
                <w:szCs w:val="21"/>
              </w:rPr>
              <w:t>本项目的风险源主要分布于危废暂存间、废水处理设施和表土临时堆场。</w:t>
            </w:r>
          </w:p>
          <w:p>
            <w:pPr>
              <w:adjustRightInd w:val="0"/>
              <w:snapToGrid w:val="0"/>
              <w:spacing w:line="360" w:lineRule="auto"/>
              <w:ind w:firstLine="420"/>
              <w:rPr>
                <w:color w:val="auto"/>
                <w:kern w:val="0"/>
                <w:szCs w:val="21"/>
              </w:rPr>
            </w:pPr>
            <w:r>
              <w:rPr>
                <w:rFonts w:hint="eastAsia"/>
                <w:color w:val="auto"/>
                <w:kern w:val="0"/>
                <w:szCs w:val="21"/>
              </w:rPr>
              <w:t>①废矿物油泄漏事故</w:t>
            </w:r>
          </w:p>
          <w:p>
            <w:pPr>
              <w:adjustRightInd w:val="0"/>
              <w:snapToGrid w:val="0"/>
              <w:spacing w:line="360" w:lineRule="auto"/>
              <w:ind w:firstLine="420"/>
              <w:rPr>
                <w:color w:val="auto"/>
                <w:kern w:val="0"/>
                <w:szCs w:val="21"/>
              </w:rPr>
            </w:pPr>
            <w:r>
              <w:rPr>
                <w:rFonts w:hint="eastAsia"/>
                <w:color w:val="auto"/>
                <w:kern w:val="0"/>
                <w:szCs w:val="21"/>
              </w:rPr>
              <w:t>废矿物油一旦发生泄漏事故，进入外环境中，造成地表水水质污染；另外，废矿物油的渗透可能造成地下水和土壤的污染。油类物资泄漏或渗漏污染物对地下水的影响主要是由于降雨或废水排放等通过垂直渗透进入包气带，进入包气带的污染物在物理、化学和生物作用下经吸附、转化、迁移和分解后输入地下水和土壤。</w:t>
            </w:r>
          </w:p>
          <w:p>
            <w:pPr>
              <w:adjustRightInd w:val="0"/>
              <w:snapToGrid w:val="0"/>
              <w:spacing w:line="360" w:lineRule="auto"/>
              <w:ind w:firstLine="420"/>
              <w:rPr>
                <w:color w:val="auto"/>
                <w:kern w:val="0"/>
                <w:szCs w:val="21"/>
              </w:rPr>
            </w:pPr>
            <w:r>
              <w:rPr>
                <w:rFonts w:hint="eastAsia"/>
                <w:color w:val="auto"/>
                <w:kern w:val="0"/>
                <w:szCs w:val="21"/>
              </w:rPr>
              <w:t>②表土临时堆场垮塌风险分析</w:t>
            </w:r>
          </w:p>
          <w:p>
            <w:pPr>
              <w:adjustRightInd w:val="0"/>
              <w:snapToGrid w:val="0"/>
              <w:spacing w:line="360" w:lineRule="auto"/>
              <w:ind w:firstLine="420"/>
              <w:rPr>
                <w:color w:val="auto"/>
                <w:kern w:val="0"/>
                <w:szCs w:val="21"/>
              </w:rPr>
            </w:pPr>
            <w:r>
              <w:rPr>
                <w:rFonts w:hint="eastAsia"/>
                <w:color w:val="auto"/>
                <w:kern w:val="0"/>
                <w:szCs w:val="21"/>
              </w:rPr>
              <w:t>开采过程露天开采设置的表土临时堆场，如逐年堆积、其堆积量大，且较为松散，如无可靠的固土、挡土和水土保持措施，在遇暴雨或地震等自然灾害时，更易发生崩塌、滑坡塌方或形成泥石流现象，将对矿区外植被、农作物、区域环境甚至人民群众生命财产造成极大危害。</w:t>
            </w:r>
          </w:p>
          <w:p>
            <w:pPr>
              <w:adjustRightInd w:val="0"/>
              <w:snapToGrid w:val="0"/>
              <w:spacing w:line="360" w:lineRule="auto"/>
              <w:ind w:firstLine="420"/>
              <w:rPr>
                <w:color w:val="auto"/>
                <w:kern w:val="0"/>
                <w:szCs w:val="21"/>
              </w:rPr>
            </w:pPr>
            <w:r>
              <w:rPr>
                <w:rFonts w:hint="eastAsia"/>
                <w:color w:val="auto"/>
                <w:kern w:val="0"/>
                <w:szCs w:val="21"/>
              </w:rPr>
              <w:t>③开采边坡失稳风险分析</w:t>
            </w:r>
          </w:p>
          <w:p>
            <w:pPr>
              <w:adjustRightInd w:val="0"/>
              <w:snapToGrid w:val="0"/>
              <w:spacing w:line="360" w:lineRule="auto"/>
              <w:ind w:firstLine="420"/>
              <w:rPr>
                <w:color w:val="auto"/>
                <w:kern w:val="0"/>
                <w:szCs w:val="21"/>
              </w:rPr>
            </w:pPr>
            <w:r>
              <w:rPr>
                <w:rFonts w:hint="eastAsia"/>
                <w:color w:val="auto"/>
                <w:kern w:val="0"/>
                <w:szCs w:val="21"/>
              </w:rPr>
              <w:t>矿山采用露天开采方式，随着开采工作的深入进行，在一定程度上改变了自然边坡的原有稳定性，若开采不当，使坡面形态改变，一定程度上形成地下水局部疏干及地表排水排泄方式途径改变；特别是切坡后易形成高陡坡，沿层理面和炮震裂缝容易形成滑坡及崩塌；同时废石矿渣不合理堆置致使地表水改道、沟渠堵塞，雨季时形成地表水拥堵，影响地表水正常排泄，加剧局部斜坡坡脚及凹地的浸蚀及冲刷作用，也可能诱发小型滑坡、矿渣泥石流等不良地质现象。所以应采取有效的防范措施，防止滑坡、崩塌等地质灾害的发生。若采场内形成的危岩未能及时清除，则在雨季和爆破震动时，存在崩塌的可能性，将危及作业人员及设备的安全，危险性中等。</w:t>
            </w:r>
          </w:p>
          <w:p>
            <w:pPr>
              <w:adjustRightInd w:val="0"/>
              <w:snapToGrid w:val="0"/>
              <w:spacing w:line="360" w:lineRule="auto"/>
              <w:ind w:firstLine="420"/>
              <w:rPr>
                <w:color w:val="auto"/>
                <w:kern w:val="0"/>
                <w:szCs w:val="21"/>
              </w:rPr>
            </w:pPr>
            <w:r>
              <w:rPr>
                <w:rFonts w:hint="eastAsia"/>
                <w:color w:val="auto"/>
                <w:kern w:val="0"/>
                <w:szCs w:val="21"/>
              </w:rPr>
              <w:t>④废水处理设施故障</w:t>
            </w:r>
          </w:p>
          <w:p>
            <w:pPr>
              <w:adjustRightInd w:val="0"/>
              <w:snapToGrid w:val="0"/>
              <w:spacing w:line="360" w:lineRule="auto"/>
              <w:ind w:firstLine="420"/>
              <w:rPr>
                <w:color w:val="auto"/>
                <w:kern w:val="0"/>
                <w:szCs w:val="21"/>
              </w:rPr>
            </w:pPr>
            <w:r>
              <w:rPr>
                <w:rFonts w:hint="eastAsia"/>
                <w:color w:val="auto"/>
                <w:kern w:val="0"/>
                <w:szCs w:val="21"/>
              </w:rPr>
              <w:t>废水处理设施故障主要为设备运行不正常，发生泄漏引发废水事故外排，将威胁到东面石溪河及下游的前河。</w:t>
            </w:r>
          </w:p>
          <w:p>
            <w:pPr>
              <w:adjustRightInd w:val="0"/>
              <w:snapToGrid w:val="0"/>
              <w:spacing w:line="360" w:lineRule="auto"/>
              <w:ind w:firstLine="420"/>
              <w:rPr>
                <w:color w:val="auto"/>
                <w:kern w:val="0"/>
                <w:szCs w:val="21"/>
              </w:rPr>
            </w:pPr>
            <w:r>
              <w:rPr>
                <w:rFonts w:hint="eastAsia"/>
                <w:color w:val="auto"/>
                <w:kern w:val="0"/>
                <w:szCs w:val="21"/>
              </w:rPr>
              <w:t>3、环境风险防范措施</w:t>
            </w:r>
          </w:p>
          <w:p>
            <w:pPr>
              <w:adjustRightInd w:val="0"/>
              <w:snapToGrid w:val="0"/>
              <w:spacing w:line="360" w:lineRule="auto"/>
              <w:ind w:firstLine="420"/>
              <w:rPr>
                <w:color w:val="auto"/>
                <w:kern w:val="0"/>
                <w:szCs w:val="21"/>
              </w:rPr>
            </w:pPr>
            <w:r>
              <w:rPr>
                <w:rFonts w:hint="eastAsia"/>
                <w:color w:val="auto"/>
                <w:kern w:val="0"/>
                <w:szCs w:val="21"/>
              </w:rPr>
              <w:t>（1）</w:t>
            </w:r>
            <w:r>
              <w:rPr>
                <w:rFonts w:hint="eastAsia" w:ascii="宋体" w:hAnsi="宋体" w:cs="宋体"/>
                <w:color w:val="auto"/>
                <w:kern w:val="0"/>
                <w:szCs w:val="21"/>
              </w:rPr>
              <w:t>废料弃土场地</w:t>
            </w:r>
            <w:r>
              <w:rPr>
                <w:rFonts w:hint="eastAsia"/>
                <w:color w:val="auto"/>
                <w:kern w:val="0"/>
                <w:szCs w:val="21"/>
              </w:rPr>
              <w:t>及开采边坡崩塌风险防范措施</w:t>
            </w:r>
          </w:p>
          <w:p>
            <w:pPr>
              <w:adjustRightInd w:val="0"/>
              <w:snapToGrid w:val="0"/>
              <w:spacing w:line="360" w:lineRule="auto"/>
              <w:ind w:firstLine="420"/>
              <w:rPr>
                <w:color w:val="auto"/>
                <w:kern w:val="0"/>
                <w:szCs w:val="21"/>
              </w:rPr>
            </w:pPr>
            <w:r>
              <w:rPr>
                <w:rFonts w:hint="eastAsia"/>
                <w:color w:val="auto"/>
                <w:kern w:val="0"/>
                <w:szCs w:val="21"/>
              </w:rPr>
              <w:t>①认真贯彻“安全第一，预防为主”的生产方针，设置专门的机构和人员负责检查工作。经常开展安全生产检查活动，查出事故隐患，提出预防措施，防止堆场坍塌、垮塌事故的发生。</w:t>
            </w:r>
          </w:p>
          <w:p>
            <w:pPr>
              <w:adjustRightInd w:val="0"/>
              <w:snapToGrid w:val="0"/>
              <w:spacing w:line="360" w:lineRule="auto"/>
              <w:ind w:firstLine="420"/>
              <w:rPr>
                <w:color w:val="auto"/>
                <w:kern w:val="0"/>
                <w:szCs w:val="21"/>
              </w:rPr>
            </w:pPr>
            <w:r>
              <w:rPr>
                <w:rFonts w:hint="eastAsia"/>
                <w:color w:val="auto"/>
                <w:kern w:val="0"/>
                <w:szCs w:val="21"/>
              </w:rPr>
              <w:t>②合理选择</w:t>
            </w:r>
            <w:r>
              <w:rPr>
                <w:rFonts w:hint="eastAsia" w:ascii="宋体" w:hAnsi="宋体" w:cs="宋体"/>
                <w:color w:val="auto"/>
                <w:kern w:val="0"/>
                <w:szCs w:val="21"/>
              </w:rPr>
              <w:t>废料弃土场地</w:t>
            </w:r>
            <w:r>
              <w:rPr>
                <w:rFonts w:hint="eastAsia"/>
                <w:color w:val="auto"/>
                <w:kern w:val="0"/>
                <w:szCs w:val="21"/>
              </w:rPr>
              <w:t>位置。堆场临边坡一侧边缘处必须先修筑一条墙基稳固、留有泄水孔的挡土墙，在临时堆场的上部四周修建截洪沟，防止洪水冲毁临时堆场，挡土墙必须坚固结实，确保不垮塌，防止暴雨时垮塌引起滑动塌方、泥石流。临时堆场在出现最终采空区后，边开采边用于回填采空区和土地复垦，进行植被恢复。闭矿后，临时堆场表土用于最终采场土地生态修复种植树木，对排土场进行植被恢复。</w:t>
            </w:r>
          </w:p>
          <w:p>
            <w:pPr>
              <w:adjustRightInd w:val="0"/>
              <w:snapToGrid w:val="0"/>
              <w:spacing w:line="360" w:lineRule="auto"/>
              <w:ind w:firstLine="420"/>
              <w:rPr>
                <w:color w:val="auto"/>
                <w:kern w:val="0"/>
                <w:szCs w:val="21"/>
              </w:rPr>
            </w:pPr>
            <w:r>
              <w:rPr>
                <w:rFonts w:hint="eastAsia"/>
                <w:color w:val="auto"/>
                <w:kern w:val="0"/>
                <w:szCs w:val="21"/>
              </w:rPr>
              <w:t>③表土临时堆场的建设应符合《国务院办公厅关于进一步加强矿山安全生产工作的紧急通知》（国办发明电〔2008〕35号）等相关规范中的要求，同时须在堆场下部修砌挡墙支护和堆积体边坡护理。</w:t>
            </w:r>
          </w:p>
          <w:p>
            <w:pPr>
              <w:adjustRightInd w:val="0"/>
              <w:snapToGrid w:val="0"/>
              <w:spacing w:line="360" w:lineRule="auto"/>
              <w:ind w:firstLine="420"/>
              <w:rPr>
                <w:color w:val="auto"/>
                <w:kern w:val="0"/>
                <w:szCs w:val="21"/>
              </w:rPr>
            </w:pPr>
            <w:r>
              <w:rPr>
                <w:rFonts w:hint="eastAsia"/>
                <w:color w:val="auto"/>
                <w:kern w:val="0"/>
                <w:szCs w:val="21"/>
              </w:rPr>
              <w:t>④建设单位应制定堆场作业规程，作业管理等应符合《金属非金属矿山排土场安全生产规则》（AQ2005-2005）的规定。建立健全临时堆场管理制度和管理档案，建立排土场监测系统，定期监测，建立汛期应急处置救援预案。加强排土场隐患排查。</w:t>
            </w:r>
          </w:p>
          <w:p>
            <w:pPr>
              <w:adjustRightInd w:val="0"/>
              <w:snapToGrid w:val="0"/>
              <w:spacing w:line="360" w:lineRule="auto"/>
              <w:ind w:firstLine="420"/>
              <w:rPr>
                <w:color w:val="auto"/>
                <w:kern w:val="0"/>
                <w:szCs w:val="21"/>
              </w:rPr>
            </w:pPr>
            <w:r>
              <w:rPr>
                <w:rFonts w:hint="eastAsia"/>
                <w:color w:val="auto"/>
                <w:kern w:val="0"/>
                <w:szCs w:val="21"/>
              </w:rPr>
              <w:t>⑤在留足后期生态覆土所需表土的前提下，尽量将多余表土进行综合利用，减少堆场堆积量。</w:t>
            </w:r>
          </w:p>
          <w:p>
            <w:pPr>
              <w:adjustRightInd w:val="0"/>
              <w:snapToGrid w:val="0"/>
              <w:spacing w:line="360" w:lineRule="auto"/>
              <w:ind w:firstLine="420"/>
              <w:rPr>
                <w:color w:val="auto"/>
                <w:kern w:val="0"/>
                <w:szCs w:val="21"/>
              </w:rPr>
            </w:pPr>
            <w:r>
              <w:rPr>
                <w:rFonts w:hint="eastAsia"/>
                <w:color w:val="auto"/>
                <w:kern w:val="0"/>
                <w:szCs w:val="21"/>
              </w:rPr>
              <w:t>⑥便道两侧严禁开挖边坡，对过陡边坡处适当修筑挡墙，以防道路边坡崩塌。</w:t>
            </w:r>
          </w:p>
          <w:p>
            <w:pPr>
              <w:adjustRightInd w:val="0"/>
              <w:snapToGrid w:val="0"/>
              <w:spacing w:line="360" w:lineRule="auto"/>
              <w:ind w:firstLine="420"/>
              <w:rPr>
                <w:color w:val="auto"/>
                <w:kern w:val="0"/>
                <w:szCs w:val="21"/>
              </w:rPr>
            </w:pPr>
            <w:r>
              <w:rPr>
                <w:rFonts w:hint="eastAsia"/>
                <w:color w:val="auto"/>
                <w:kern w:val="0"/>
                <w:szCs w:val="21"/>
              </w:rPr>
              <w:t>⑦建设单位应当安排人员巡视矿山采矿场、排土场等场地，特别是对岩矿石节理、裂隙发育地段，更要引起重视，预防边坡垮塌。建立健全边坡管理、检查制度，发现问题迅速处理。</w:t>
            </w:r>
          </w:p>
          <w:p>
            <w:pPr>
              <w:adjustRightInd w:val="0"/>
              <w:snapToGrid w:val="0"/>
              <w:spacing w:line="360" w:lineRule="auto"/>
              <w:ind w:firstLine="420"/>
              <w:rPr>
                <w:color w:val="auto"/>
                <w:kern w:val="0"/>
                <w:szCs w:val="21"/>
              </w:rPr>
            </w:pPr>
            <w:r>
              <w:rPr>
                <w:rFonts w:hint="eastAsia"/>
                <w:color w:val="auto"/>
                <w:kern w:val="0"/>
                <w:szCs w:val="21"/>
              </w:rPr>
              <w:t>⑧矿山闭坑后，将堆场的表土回填入采坑；处理不稳固的边坡；用单独堆放的表层剥离土覆盖并种植当地适宜的植物进行绿化，防止水土流失与泥石流。</w:t>
            </w:r>
          </w:p>
          <w:p>
            <w:pPr>
              <w:adjustRightInd w:val="0"/>
              <w:snapToGrid w:val="0"/>
              <w:spacing w:line="360" w:lineRule="auto"/>
              <w:ind w:firstLine="420"/>
              <w:rPr>
                <w:color w:val="auto"/>
                <w:kern w:val="0"/>
                <w:szCs w:val="21"/>
              </w:rPr>
            </w:pPr>
            <w:r>
              <w:rPr>
                <w:rFonts w:hint="eastAsia"/>
                <w:color w:val="auto"/>
                <w:kern w:val="0"/>
                <w:szCs w:val="21"/>
              </w:rPr>
              <w:t>（2）矿山边坡垮塌预防措施</w:t>
            </w:r>
          </w:p>
          <w:p>
            <w:pPr>
              <w:adjustRightInd w:val="0"/>
              <w:snapToGrid w:val="0"/>
              <w:spacing w:line="360" w:lineRule="auto"/>
              <w:ind w:firstLine="420"/>
              <w:rPr>
                <w:color w:val="auto"/>
                <w:kern w:val="0"/>
                <w:szCs w:val="21"/>
              </w:rPr>
            </w:pPr>
            <w:r>
              <w:rPr>
                <w:rFonts w:hint="eastAsia"/>
                <w:color w:val="auto"/>
                <w:kern w:val="0"/>
                <w:szCs w:val="21"/>
              </w:rPr>
              <w:t>①合理布置：该矿山开采区地形坡度大，开采剥离的范围较大，采区形成的边坡高陡，加之周边岩体工程地质条件较差，矿方应把边坡安全应视为重点。为此，采场边坡角的留设（含台阶边坡角和最终边坡角），应按照开采设计严格控制在安全坡角之内。设计中按岩土的性质、赋存条件分别设置了合理的台阶高度、安全平台宽度和台阶边坡角，使采场最终边坡角控制在稳定边坡角值之内，建议本矿山最终边坡角不大于60°。</w:t>
            </w:r>
          </w:p>
          <w:p>
            <w:pPr>
              <w:adjustRightInd w:val="0"/>
              <w:snapToGrid w:val="0"/>
              <w:spacing w:line="360" w:lineRule="auto"/>
              <w:ind w:firstLine="420"/>
              <w:rPr>
                <w:color w:val="auto"/>
                <w:kern w:val="0"/>
                <w:szCs w:val="21"/>
              </w:rPr>
            </w:pPr>
            <w:r>
              <w:rPr>
                <w:rFonts w:hint="eastAsia"/>
                <w:color w:val="auto"/>
                <w:kern w:val="0"/>
                <w:szCs w:val="21"/>
              </w:rPr>
              <w:t>②工程措施：露天矿开采时，采用台阶式开采作业，选择合理的边坡高度、边坡角和采掘工艺，以防止边坡失稳；开采时应清除危岩，以避免发生崩塌而对采场设备和作业人员造成危害。当出现贯通性外倾结构面、稳定性欠佳的岩体以及存在安全隐患的边坡（特别是人工开采形成的台阶、坡面以及破碎的陡边坡）时，应及时采取支护、清危等措施，防止边坡发生滑塌及崩落等地质灾害。在采场顶部，开采境界以外的合适位置设截水沟，将雨水排离采场以防止雨水渗透、冲刷边坡。</w:t>
            </w:r>
          </w:p>
          <w:p>
            <w:pPr>
              <w:adjustRightInd w:val="0"/>
              <w:snapToGrid w:val="0"/>
              <w:spacing w:line="360" w:lineRule="auto"/>
              <w:ind w:firstLine="420"/>
              <w:rPr>
                <w:color w:val="auto"/>
                <w:kern w:val="0"/>
                <w:szCs w:val="21"/>
              </w:rPr>
            </w:pPr>
            <w:r>
              <w:rPr>
                <w:rFonts w:hint="eastAsia"/>
                <w:color w:val="auto"/>
                <w:kern w:val="0"/>
                <w:szCs w:val="21"/>
              </w:rPr>
              <w:t>③矿山开采期间，采场底盘要形成坡度不小于5‰的正坡，以保障采区平面正常排水，同时应在矿区四周新建截排水沟，截排水沟应该直通矿区外围的水沟，以防止地表水流入采场，此外矿山应在堆渣场处埋设涵管，以防止堆渣活动堵塞水沟，造成排水不畅而引发地质灾害。矿山应对排水系统做好巡查工作。</w:t>
            </w:r>
          </w:p>
          <w:p>
            <w:pPr>
              <w:adjustRightInd w:val="0"/>
              <w:snapToGrid w:val="0"/>
              <w:spacing w:line="360" w:lineRule="auto"/>
              <w:ind w:firstLine="420"/>
              <w:rPr>
                <w:color w:val="auto"/>
                <w:kern w:val="0"/>
                <w:szCs w:val="21"/>
              </w:rPr>
            </w:pPr>
            <w:r>
              <w:rPr>
                <w:rFonts w:hint="eastAsia"/>
                <w:color w:val="auto"/>
                <w:kern w:val="0"/>
                <w:szCs w:val="21"/>
              </w:rPr>
              <w:t>④在临近采场最终边坡时，应控制爆破方法，防止因爆破引起边坡失稳。应采用光面爆破、预裂爆破等控制爆破技术，降低单段爆破炸药量，尽可能降低爆破效应对边坡的破坏作用，并力争形成较平整的台阶坡面。定期检查边坡、边邦的稳定状况，及时清理松动浮石，对稳定性较差的软弱岩层最终边坡，应采取锚喷、浆砌等局部或全部加固措施。</w:t>
            </w:r>
          </w:p>
          <w:p>
            <w:pPr>
              <w:adjustRightInd w:val="0"/>
              <w:snapToGrid w:val="0"/>
              <w:spacing w:line="360" w:lineRule="auto"/>
              <w:ind w:firstLine="420"/>
              <w:rPr>
                <w:color w:val="auto"/>
                <w:kern w:val="0"/>
                <w:szCs w:val="21"/>
              </w:rPr>
            </w:pPr>
            <w:r>
              <w:rPr>
                <w:rFonts w:hint="eastAsia"/>
                <w:color w:val="auto"/>
                <w:kern w:val="0"/>
                <w:szCs w:val="21"/>
              </w:rPr>
              <w:t>⑤建设单位应派专业人员对边坡应进行定点定期观测、巡查，提前预判，发生异常及时上报、及时处理。在最终边坡附近爆破，必须采用控制爆破和采取减震措施，同时加强疏通和维护截、排水沟，防止地表水渗入炮震裂隙或外倾裂隙引起边坡滑坡或滑塌等地质灾害。对不稳定边坡应及时进行监测和治理，采取支挡、加固等措施，对坡面危岩、浮石应及时清除，防止其滚落，危及施工人员及设备安全。</w:t>
            </w:r>
          </w:p>
          <w:p>
            <w:pPr>
              <w:adjustRightInd w:val="0"/>
              <w:snapToGrid w:val="0"/>
              <w:spacing w:line="360" w:lineRule="auto"/>
              <w:ind w:firstLine="420"/>
              <w:rPr>
                <w:color w:val="auto"/>
                <w:kern w:val="0"/>
                <w:szCs w:val="21"/>
              </w:rPr>
            </w:pPr>
            <w:r>
              <w:rPr>
                <w:rFonts w:hint="eastAsia"/>
                <w:color w:val="auto"/>
                <w:kern w:val="0"/>
                <w:szCs w:val="21"/>
              </w:rPr>
              <w:t>⑥健全边坡管理和检查制度，对边坡重点部位和有潜在滑坡危险的地段应采取有效的防治措施，并定期由有资质的中介机构进行检测和边坡稳定性分析。</w:t>
            </w:r>
          </w:p>
          <w:p>
            <w:pPr>
              <w:adjustRightInd w:val="0"/>
              <w:snapToGrid w:val="0"/>
              <w:spacing w:line="360" w:lineRule="auto"/>
              <w:ind w:firstLine="420"/>
              <w:rPr>
                <w:color w:val="auto"/>
                <w:kern w:val="0"/>
                <w:szCs w:val="21"/>
              </w:rPr>
            </w:pPr>
            <w:r>
              <w:rPr>
                <w:rFonts w:hint="eastAsia"/>
                <w:color w:val="auto"/>
                <w:kern w:val="0"/>
                <w:szCs w:val="21"/>
              </w:rPr>
              <w:t>⑦矿山开采结束后，应加强复垦，恢复植被，以防止水土流失，诱发泥石流等地质灾害。</w:t>
            </w:r>
          </w:p>
          <w:p>
            <w:pPr>
              <w:adjustRightInd w:val="0"/>
              <w:snapToGrid w:val="0"/>
              <w:spacing w:line="360" w:lineRule="auto"/>
              <w:ind w:firstLine="420"/>
              <w:rPr>
                <w:color w:val="auto"/>
                <w:kern w:val="0"/>
                <w:szCs w:val="21"/>
              </w:rPr>
            </w:pPr>
            <w:r>
              <w:rPr>
                <w:rFonts w:hint="eastAsia"/>
                <w:color w:val="auto"/>
                <w:kern w:val="0"/>
                <w:szCs w:val="21"/>
              </w:rPr>
              <w:t>综合上述，矿区工程地质条件一般，但在今后的开采中</w:t>
            </w:r>
            <w:r>
              <w:rPr>
                <w:rFonts w:hint="eastAsia"/>
                <w:color w:val="auto"/>
                <w:kern w:val="0"/>
                <w:szCs w:val="21"/>
                <w:lang w:eastAsia="zh-CN"/>
              </w:rPr>
              <w:t>必须严格</w:t>
            </w:r>
            <w:r>
              <w:rPr>
                <w:rFonts w:hint="eastAsia"/>
                <w:color w:val="auto"/>
                <w:kern w:val="0"/>
                <w:szCs w:val="21"/>
              </w:rPr>
              <w:t>按照开发利用方案中设计的开采顺序进行，严禁形成倒台阶，同时应注意台阶边坡角和最终边坡的角度以及保证边坡的稳定性，确保安全生产。</w:t>
            </w:r>
          </w:p>
          <w:p>
            <w:pPr>
              <w:adjustRightInd w:val="0"/>
              <w:snapToGrid w:val="0"/>
              <w:spacing w:line="360" w:lineRule="auto"/>
              <w:ind w:firstLine="420"/>
              <w:rPr>
                <w:color w:val="auto"/>
                <w:kern w:val="0"/>
                <w:szCs w:val="21"/>
              </w:rPr>
            </w:pPr>
            <w:r>
              <w:rPr>
                <w:rFonts w:hint="eastAsia"/>
                <w:color w:val="auto"/>
                <w:kern w:val="0"/>
                <w:szCs w:val="21"/>
              </w:rPr>
              <w:t>（3）废水处理设施的风险防范措施及应急要求</w:t>
            </w:r>
          </w:p>
          <w:p>
            <w:pPr>
              <w:adjustRightInd w:val="0"/>
              <w:snapToGrid w:val="0"/>
              <w:spacing w:line="360" w:lineRule="auto"/>
              <w:ind w:firstLine="420"/>
              <w:rPr>
                <w:color w:val="auto"/>
                <w:kern w:val="0"/>
                <w:szCs w:val="21"/>
              </w:rPr>
            </w:pPr>
            <w:r>
              <w:rPr>
                <w:rFonts w:hint="eastAsia"/>
                <w:color w:val="auto"/>
                <w:kern w:val="0"/>
                <w:szCs w:val="21"/>
              </w:rPr>
              <w:t>①为了防止废水处理设施垮塌。项目矿山初期雨水沉淀池拟建设为半地下式结构地下部分为钢筋混凝土结构、水泥防渗，高出地面部分也采用钢筋混凝土结构修建、水泥防渗。发生人为破坏导致池体垮塌的风险极小。生产区废水处理系统采用钢制罐体结构；车辆冲洗池为钢筋混凝土结构，增加池体的稳定性。</w:t>
            </w:r>
          </w:p>
          <w:p>
            <w:pPr>
              <w:adjustRightInd w:val="0"/>
              <w:snapToGrid w:val="0"/>
              <w:spacing w:line="360" w:lineRule="auto"/>
              <w:ind w:firstLine="420"/>
              <w:rPr>
                <w:color w:val="auto"/>
                <w:kern w:val="0"/>
                <w:szCs w:val="21"/>
              </w:rPr>
            </w:pPr>
            <w:r>
              <w:rPr>
                <w:rFonts w:hint="eastAsia"/>
                <w:color w:val="auto"/>
                <w:kern w:val="0"/>
                <w:szCs w:val="21"/>
              </w:rPr>
              <w:t>②沉淀底泥定期采用污泥泵清理，确保沉淀池正常运行。</w:t>
            </w:r>
          </w:p>
          <w:p>
            <w:pPr>
              <w:adjustRightInd w:val="0"/>
              <w:snapToGrid w:val="0"/>
              <w:spacing w:line="360" w:lineRule="auto"/>
              <w:ind w:firstLine="420"/>
              <w:rPr>
                <w:color w:val="auto"/>
                <w:kern w:val="0"/>
                <w:szCs w:val="21"/>
              </w:rPr>
            </w:pPr>
            <w:r>
              <w:rPr>
                <w:rFonts w:hint="eastAsia"/>
                <w:color w:val="auto"/>
                <w:kern w:val="0"/>
                <w:szCs w:val="21"/>
              </w:rPr>
              <w:t>③建议在场地最低位置设置事故废水收集池，兼做场地雨水收集池，确保场地散排废水、冲洗废水不外排，事故水池平时应保持空置状态，确保事故状态下能够发挥作用。</w:t>
            </w:r>
          </w:p>
          <w:p>
            <w:pPr>
              <w:adjustRightInd w:val="0"/>
              <w:snapToGrid w:val="0"/>
              <w:spacing w:line="360" w:lineRule="auto"/>
              <w:ind w:firstLine="420"/>
              <w:rPr>
                <w:color w:val="auto"/>
                <w:kern w:val="0"/>
                <w:szCs w:val="21"/>
              </w:rPr>
            </w:pPr>
            <w:r>
              <w:rPr>
                <w:rFonts w:hint="eastAsia"/>
                <w:color w:val="auto"/>
                <w:kern w:val="0"/>
                <w:szCs w:val="21"/>
              </w:rPr>
              <w:t>（4）废矿物油泄漏防范措施及应急要求</w:t>
            </w:r>
          </w:p>
          <w:p>
            <w:pPr>
              <w:adjustRightInd w:val="0"/>
              <w:snapToGrid w:val="0"/>
              <w:spacing w:line="360" w:lineRule="auto"/>
              <w:ind w:firstLine="420"/>
              <w:rPr>
                <w:color w:val="auto"/>
                <w:kern w:val="0"/>
                <w:szCs w:val="21"/>
              </w:rPr>
            </w:pPr>
            <w:r>
              <w:rPr>
                <w:rFonts w:hint="eastAsia"/>
                <w:color w:val="auto"/>
                <w:kern w:val="0"/>
                <w:szCs w:val="21"/>
              </w:rPr>
              <w:t>①认真贯彻“安全第一，预防为主”的生产方针，设置专门的机构和人员负责检查工作。经常开展安全生产检查活动，查出事故隐患，提出预防措施，防止安全事故的发生。</w:t>
            </w:r>
          </w:p>
          <w:p>
            <w:pPr>
              <w:adjustRightInd w:val="0"/>
              <w:snapToGrid w:val="0"/>
              <w:spacing w:line="360" w:lineRule="auto"/>
              <w:ind w:firstLine="420"/>
              <w:rPr>
                <w:color w:val="auto"/>
                <w:kern w:val="0"/>
                <w:szCs w:val="21"/>
              </w:rPr>
            </w:pPr>
            <w:r>
              <w:rPr>
                <w:rFonts w:hint="eastAsia"/>
                <w:color w:val="auto"/>
                <w:kern w:val="0"/>
                <w:szCs w:val="21"/>
              </w:rPr>
              <w:t>②对危废暂存间进行规范建设，采取四防措施，废矿物油油容器周围应设防渗围堰。暂存间地面防渗层为至少1米厚黏土层(渗透系数≤10</w:t>
            </w:r>
            <w:r>
              <w:rPr>
                <w:rFonts w:hint="eastAsia"/>
                <w:color w:val="auto"/>
                <w:kern w:val="0"/>
                <w:szCs w:val="21"/>
                <w:vertAlign w:val="superscript"/>
              </w:rPr>
              <w:t>-7</w:t>
            </w:r>
            <w:r>
              <w:rPr>
                <w:rFonts w:hint="eastAsia"/>
                <w:color w:val="auto"/>
                <w:kern w:val="0"/>
                <w:szCs w:val="21"/>
              </w:rPr>
              <w:t>厘米/秒)，或2毫米厚高密度聚乙烯，或至少2毫米厚的其它人工材料，渗透系数≤10</w:t>
            </w:r>
            <w:r>
              <w:rPr>
                <w:rFonts w:hint="eastAsia"/>
                <w:color w:val="auto"/>
                <w:kern w:val="0"/>
                <w:szCs w:val="21"/>
                <w:vertAlign w:val="superscript"/>
              </w:rPr>
              <w:t>-10</w:t>
            </w:r>
            <w:r>
              <w:rPr>
                <w:rFonts w:hint="eastAsia"/>
                <w:color w:val="auto"/>
                <w:kern w:val="0"/>
                <w:szCs w:val="21"/>
              </w:rPr>
              <w:t>厘米/秒。</w:t>
            </w:r>
          </w:p>
          <w:p>
            <w:pPr>
              <w:adjustRightInd w:val="0"/>
              <w:snapToGrid w:val="0"/>
              <w:spacing w:line="360" w:lineRule="auto"/>
              <w:ind w:firstLine="420"/>
              <w:rPr>
                <w:color w:val="auto"/>
                <w:kern w:val="0"/>
                <w:szCs w:val="21"/>
              </w:rPr>
            </w:pPr>
            <w:r>
              <w:rPr>
                <w:rFonts w:hint="eastAsia"/>
                <w:color w:val="auto"/>
                <w:kern w:val="0"/>
                <w:szCs w:val="21"/>
              </w:rPr>
              <w:t>③危废暂存间等易燃物质区域配备一定数量的消防器材，预防火灾事故发生。废矿物油设置明显的标识、标牌，严禁烟火等。加强危险品在运输、装卸、储存、使用中的管理。</w:t>
            </w:r>
          </w:p>
          <w:p>
            <w:pPr>
              <w:adjustRightInd w:val="0"/>
              <w:snapToGrid w:val="0"/>
              <w:spacing w:line="360" w:lineRule="auto"/>
              <w:ind w:firstLine="420"/>
              <w:rPr>
                <w:color w:val="auto"/>
                <w:kern w:val="0"/>
                <w:szCs w:val="21"/>
              </w:rPr>
            </w:pPr>
            <w:r>
              <w:rPr>
                <w:rFonts w:hint="eastAsia"/>
                <w:color w:val="auto"/>
                <w:kern w:val="0"/>
                <w:szCs w:val="21"/>
              </w:rPr>
              <w:t>④根据《</w:t>
            </w:r>
            <w:r>
              <w:rPr>
                <w:rFonts w:hint="eastAsia"/>
                <w:color w:val="auto"/>
                <w:kern w:val="0"/>
                <w:szCs w:val="21"/>
                <w:lang w:eastAsia="zh-CN"/>
              </w:rPr>
              <w:t>中华人民共和国固体废物污染环境防治法</w:t>
            </w:r>
            <w:r>
              <w:rPr>
                <w:rFonts w:hint="eastAsia"/>
                <w:color w:val="auto"/>
                <w:kern w:val="0"/>
                <w:szCs w:val="21"/>
              </w:rPr>
              <w:t>》规定要求，产生的危险废物应严格按照《四川省环境保护厅关于进一步规范危险废物省内转移工作的通知》（川环函〔2017〕710 号）与达市环发〔2017〕88号文件要求进行处理处置。各类危险废物处置之前，厂内临时储存和运输也应按照危险废物管理和处置相关要求进行，固定危废临时堆放区域和在场区内的运输路线。</w:t>
            </w:r>
          </w:p>
          <w:p>
            <w:pPr>
              <w:adjustRightInd w:val="0"/>
              <w:snapToGrid w:val="0"/>
              <w:spacing w:line="360" w:lineRule="auto"/>
              <w:ind w:firstLine="420"/>
              <w:rPr>
                <w:color w:val="auto"/>
                <w:kern w:val="0"/>
                <w:szCs w:val="21"/>
              </w:rPr>
            </w:pPr>
            <w:r>
              <w:rPr>
                <w:rFonts w:hint="eastAsia"/>
                <w:color w:val="auto"/>
                <w:kern w:val="0"/>
                <w:szCs w:val="21"/>
              </w:rPr>
              <w:t>⑤及时将产生的危废委托有资质的单位回收处置，尽量避免长时间暂存。定期对厂区内的危废暂存间等进行检查、保养。</w:t>
            </w:r>
          </w:p>
          <w:p>
            <w:pPr>
              <w:adjustRightInd w:val="0"/>
              <w:snapToGrid w:val="0"/>
              <w:spacing w:line="360" w:lineRule="auto"/>
              <w:ind w:firstLine="420"/>
              <w:rPr>
                <w:color w:val="auto"/>
                <w:kern w:val="0"/>
                <w:szCs w:val="21"/>
              </w:rPr>
            </w:pPr>
            <w:r>
              <w:rPr>
                <w:rFonts w:hint="eastAsia"/>
                <w:color w:val="auto"/>
                <w:kern w:val="0"/>
                <w:szCs w:val="21"/>
              </w:rPr>
              <w:t>⑥按照《国家突发环境事件应急预案》（国办函〔2014〕119号）、地方和相关部门的要求，制定符合项目实际需要的应急预案，一旦发生事故，迅速采取有效处理措施进行抢险修复，最大限度降低对周围环境和人民生命财产的危害。</w:t>
            </w:r>
          </w:p>
          <w:p>
            <w:pPr>
              <w:adjustRightInd w:val="0"/>
              <w:snapToGrid w:val="0"/>
              <w:spacing w:line="360" w:lineRule="auto"/>
              <w:rPr>
                <w:rFonts w:ascii="宋体" w:hAnsi="宋体" w:cs="宋体"/>
                <w:b/>
                <w:color w:val="auto"/>
                <w:szCs w:val="21"/>
              </w:rPr>
            </w:pPr>
            <w:r>
              <w:rPr>
                <w:rFonts w:hint="eastAsia" w:ascii="宋体" w:hAnsi="宋体" w:cs="宋体"/>
                <w:b/>
                <w:color w:val="auto"/>
                <w:szCs w:val="21"/>
              </w:rPr>
              <w:t>八、风险防范投资及结论</w:t>
            </w:r>
          </w:p>
          <w:p>
            <w:pPr>
              <w:adjustRightInd w:val="0"/>
              <w:snapToGrid w:val="0"/>
              <w:spacing w:line="360" w:lineRule="auto"/>
              <w:ind w:firstLine="420"/>
              <w:rPr>
                <w:color w:val="auto"/>
                <w:kern w:val="0"/>
              </w:rPr>
            </w:pPr>
            <w:r>
              <w:rPr>
                <w:color w:val="auto"/>
                <w:kern w:val="0"/>
              </w:rPr>
              <w:t>本项目的事故风险防范工程措施及投资见下表。</w:t>
            </w:r>
          </w:p>
          <w:p>
            <w:pPr>
              <w:adjustRightInd w:val="0"/>
              <w:snapToGrid w:val="0"/>
              <w:spacing w:line="360" w:lineRule="auto"/>
              <w:jc w:val="center"/>
              <w:rPr>
                <w:b/>
                <w:color w:val="auto"/>
                <w:kern w:val="0"/>
                <w:sz w:val="18"/>
                <w:szCs w:val="18"/>
              </w:rPr>
            </w:pPr>
            <w:r>
              <w:rPr>
                <w:rFonts w:hint="eastAsia"/>
                <w:b/>
                <w:color w:val="auto"/>
                <w:kern w:val="0"/>
                <w:sz w:val="18"/>
                <w:szCs w:val="18"/>
              </w:rPr>
              <w:t>表5</w:t>
            </w:r>
            <w:r>
              <w:rPr>
                <w:b/>
                <w:color w:val="auto"/>
                <w:kern w:val="0"/>
                <w:sz w:val="18"/>
                <w:szCs w:val="18"/>
              </w:rPr>
              <w:t xml:space="preserve">-17 </w:t>
            </w:r>
            <w:r>
              <w:rPr>
                <w:rFonts w:hint="eastAsia"/>
                <w:b/>
                <w:color w:val="auto"/>
                <w:kern w:val="0"/>
                <w:sz w:val="18"/>
                <w:szCs w:val="18"/>
              </w:rPr>
              <w:t>事故风险防范措施及投资一览表</w:t>
            </w:r>
          </w:p>
          <w:tbl>
            <w:tblPr>
              <w:tblStyle w:val="14"/>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09"/>
              <w:gridCol w:w="5821"/>
              <w:gridCol w:w="1008"/>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1209" w:type="dxa"/>
                  <w:vAlign w:val="center"/>
                </w:tcPr>
                <w:p>
                  <w:pPr>
                    <w:pStyle w:val="58"/>
                    <w:topLinePunct/>
                    <w:spacing w:line="280" w:lineRule="exact"/>
                    <w:ind w:left="-53" w:leftChars="-25" w:right="-53" w:rightChars="-25"/>
                    <w:rPr>
                      <w:rFonts w:hAnsi="Times New Roman"/>
                      <w:bCs/>
                      <w:color w:val="auto"/>
                      <w:sz w:val="18"/>
                      <w:szCs w:val="18"/>
                    </w:rPr>
                  </w:pPr>
                  <w:r>
                    <w:rPr>
                      <w:rFonts w:hAnsi="Times New Roman"/>
                      <w:bCs/>
                      <w:color w:val="auto"/>
                      <w:sz w:val="18"/>
                      <w:szCs w:val="18"/>
                    </w:rPr>
                    <w:t>项目</w:t>
                  </w:r>
                </w:p>
              </w:tc>
              <w:tc>
                <w:tcPr>
                  <w:tcW w:w="5821" w:type="dxa"/>
                  <w:vAlign w:val="center"/>
                </w:tcPr>
                <w:p>
                  <w:pPr>
                    <w:pStyle w:val="58"/>
                    <w:topLinePunct/>
                    <w:spacing w:line="280" w:lineRule="exact"/>
                    <w:ind w:left="-53" w:leftChars="-25" w:right="-53" w:rightChars="-25"/>
                    <w:rPr>
                      <w:rFonts w:hAnsi="Times New Roman"/>
                      <w:bCs/>
                      <w:color w:val="auto"/>
                      <w:sz w:val="18"/>
                      <w:szCs w:val="18"/>
                    </w:rPr>
                  </w:pPr>
                  <w:r>
                    <w:rPr>
                      <w:rFonts w:hAnsi="Times New Roman"/>
                      <w:bCs/>
                      <w:color w:val="auto"/>
                      <w:sz w:val="18"/>
                      <w:szCs w:val="18"/>
                    </w:rPr>
                    <w:t>内容</w:t>
                  </w:r>
                </w:p>
              </w:tc>
              <w:tc>
                <w:tcPr>
                  <w:tcW w:w="1008" w:type="dxa"/>
                  <w:vAlign w:val="center"/>
                </w:tcPr>
                <w:p>
                  <w:pPr>
                    <w:pStyle w:val="58"/>
                    <w:topLinePunct/>
                    <w:spacing w:line="280" w:lineRule="exact"/>
                    <w:ind w:left="-53" w:leftChars="-25" w:right="-53" w:rightChars="-25"/>
                    <w:rPr>
                      <w:rFonts w:hAnsi="Times New Roman"/>
                      <w:bCs/>
                      <w:color w:val="auto"/>
                      <w:sz w:val="18"/>
                      <w:szCs w:val="18"/>
                    </w:rPr>
                  </w:pPr>
                  <w:r>
                    <w:rPr>
                      <w:rFonts w:hAnsi="Times New Roman"/>
                      <w:bCs/>
                      <w:color w:val="auto"/>
                      <w:sz w:val="18"/>
                      <w:szCs w:val="18"/>
                    </w:rPr>
                    <w:t>投资（万元)</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16" w:hRule="atLeast"/>
                <w:jc w:val="center"/>
              </w:trPr>
              <w:tc>
                <w:tcPr>
                  <w:tcW w:w="1209" w:type="dxa"/>
                  <w:vAlign w:val="center"/>
                </w:tcPr>
                <w:p>
                  <w:pPr>
                    <w:pStyle w:val="58"/>
                    <w:topLinePunct/>
                    <w:spacing w:line="280" w:lineRule="exact"/>
                    <w:ind w:left="-53" w:leftChars="-25" w:right="-53" w:rightChars="-25"/>
                    <w:rPr>
                      <w:rFonts w:hAnsi="Times New Roman"/>
                      <w:color w:val="auto"/>
                      <w:sz w:val="18"/>
                      <w:szCs w:val="18"/>
                    </w:rPr>
                  </w:pPr>
                  <w:r>
                    <w:rPr>
                      <w:rFonts w:hAnsi="Times New Roman"/>
                      <w:color w:val="auto"/>
                      <w:sz w:val="18"/>
                      <w:szCs w:val="18"/>
                    </w:rPr>
                    <w:t>危废暂存间</w:t>
                  </w:r>
                </w:p>
              </w:tc>
              <w:tc>
                <w:tcPr>
                  <w:tcW w:w="5821" w:type="dxa"/>
                  <w:vAlign w:val="center"/>
                </w:tcPr>
                <w:p>
                  <w:pPr>
                    <w:pStyle w:val="58"/>
                    <w:topLinePunct/>
                    <w:spacing w:line="280" w:lineRule="exact"/>
                    <w:ind w:left="-53" w:leftChars="-25" w:right="-53" w:rightChars="-25"/>
                    <w:jc w:val="both"/>
                    <w:rPr>
                      <w:rFonts w:hAnsi="Times New Roman"/>
                      <w:color w:val="auto"/>
                      <w:sz w:val="18"/>
                      <w:szCs w:val="18"/>
                    </w:rPr>
                  </w:pPr>
                  <w:r>
                    <w:rPr>
                      <w:rFonts w:hAnsi="Times New Roman"/>
                      <w:color w:val="auto"/>
                      <w:sz w:val="18"/>
                      <w:szCs w:val="18"/>
                    </w:rPr>
                    <w:t>对危废暂存间进行规范建设，采取四防措施。暂存间地面防渗层为至少1米厚</w:t>
                  </w:r>
                  <w:r>
                    <w:rPr>
                      <w:rFonts w:hint="eastAsia" w:hAnsi="Times New Roman"/>
                      <w:color w:val="auto"/>
                      <w:sz w:val="18"/>
                      <w:szCs w:val="18"/>
                    </w:rPr>
                    <w:t>黏</w:t>
                  </w:r>
                  <w:r>
                    <w:rPr>
                      <w:rFonts w:hAnsi="Times New Roman"/>
                      <w:color w:val="auto"/>
                      <w:sz w:val="18"/>
                      <w:szCs w:val="18"/>
                    </w:rPr>
                    <w:t>土层(渗透系数≤10</w:t>
                  </w:r>
                  <w:r>
                    <w:rPr>
                      <w:rFonts w:hAnsi="Times New Roman"/>
                      <w:color w:val="auto"/>
                      <w:sz w:val="18"/>
                      <w:szCs w:val="18"/>
                      <w:vertAlign w:val="superscript"/>
                    </w:rPr>
                    <w:t>-7</w:t>
                  </w:r>
                  <w:r>
                    <w:rPr>
                      <w:rFonts w:hAnsi="Times New Roman"/>
                      <w:color w:val="auto"/>
                      <w:sz w:val="18"/>
                      <w:szCs w:val="18"/>
                    </w:rPr>
                    <w:t>厘米/秒)，或2毫米厚</w:t>
                  </w:r>
                  <w:r>
                    <w:rPr>
                      <w:color w:val="auto"/>
                    </w:rPr>
                    <w:fldChar w:fldCharType="begin"/>
                  </w:r>
                  <w:r>
                    <w:rPr>
                      <w:color w:val="auto"/>
                    </w:rPr>
                    <w:instrText xml:space="preserve"> HYPERLINK "https://baike.so.com/doc/6184927-6398177.html" \t "https://baike.so.com/doc/_blank" </w:instrText>
                  </w:r>
                  <w:r>
                    <w:rPr>
                      <w:color w:val="auto"/>
                    </w:rPr>
                    <w:fldChar w:fldCharType="separate"/>
                  </w:r>
                  <w:r>
                    <w:rPr>
                      <w:rStyle w:val="18"/>
                      <w:rFonts w:hAnsi="Times New Roman"/>
                      <w:color w:val="auto"/>
                      <w:sz w:val="18"/>
                      <w:szCs w:val="18"/>
                    </w:rPr>
                    <w:t>高密度聚乙烯</w:t>
                  </w:r>
                  <w:r>
                    <w:rPr>
                      <w:rStyle w:val="18"/>
                      <w:rFonts w:hAnsi="Times New Roman"/>
                      <w:color w:val="auto"/>
                      <w:sz w:val="18"/>
                      <w:szCs w:val="18"/>
                    </w:rPr>
                    <w:fldChar w:fldCharType="end"/>
                  </w:r>
                  <w:r>
                    <w:rPr>
                      <w:rFonts w:hAnsi="Times New Roman"/>
                      <w:color w:val="auto"/>
                      <w:sz w:val="18"/>
                      <w:szCs w:val="18"/>
                    </w:rPr>
                    <w:t>，或至少2毫米厚的其它人工材料，渗透系数≤10</w:t>
                  </w:r>
                  <w:r>
                    <w:rPr>
                      <w:rFonts w:hAnsi="Times New Roman"/>
                      <w:color w:val="auto"/>
                      <w:sz w:val="18"/>
                      <w:szCs w:val="18"/>
                      <w:vertAlign w:val="superscript"/>
                    </w:rPr>
                    <w:t>-10</w:t>
                  </w:r>
                  <w:r>
                    <w:rPr>
                      <w:rFonts w:hAnsi="Times New Roman"/>
                      <w:color w:val="auto"/>
                      <w:sz w:val="18"/>
                      <w:szCs w:val="18"/>
                    </w:rPr>
                    <w:t>厘米/秒；危废暂存间、堆放矿物油等易燃物质区域配备一定数量的消防器材，预防火灾事故发生废矿物油、机油储存区设置明显的标识、标牌，严禁烟火等</w:t>
                  </w:r>
                </w:p>
              </w:tc>
              <w:tc>
                <w:tcPr>
                  <w:tcW w:w="1008" w:type="dxa"/>
                  <w:vAlign w:val="center"/>
                </w:tcPr>
                <w:p>
                  <w:pPr>
                    <w:pStyle w:val="58"/>
                    <w:topLinePunct/>
                    <w:spacing w:line="280" w:lineRule="exact"/>
                    <w:ind w:left="-53" w:leftChars="-25" w:right="-53" w:rightChars="-25"/>
                    <w:rPr>
                      <w:rFonts w:hAnsi="Times New Roman"/>
                      <w:color w:val="auto"/>
                      <w:sz w:val="18"/>
                      <w:szCs w:val="18"/>
                    </w:rPr>
                  </w:pPr>
                  <w:r>
                    <w:rPr>
                      <w:rFonts w:hAnsi="Times New Roman"/>
                      <w:color w:val="auto"/>
                      <w:sz w:val="18"/>
                      <w:szCs w:val="18"/>
                    </w:rPr>
                    <w:t>3</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95" w:hRule="atLeast"/>
                <w:jc w:val="center"/>
              </w:trPr>
              <w:tc>
                <w:tcPr>
                  <w:tcW w:w="1209" w:type="dxa"/>
                  <w:vAlign w:val="center"/>
                </w:tcPr>
                <w:p>
                  <w:pPr>
                    <w:pStyle w:val="58"/>
                    <w:topLinePunct/>
                    <w:spacing w:line="280" w:lineRule="exact"/>
                    <w:ind w:left="-53" w:leftChars="-25" w:right="-53" w:rightChars="-25"/>
                    <w:rPr>
                      <w:rFonts w:hAnsi="Times New Roman"/>
                      <w:color w:val="auto"/>
                      <w:sz w:val="18"/>
                      <w:szCs w:val="18"/>
                    </w:rPr>
                  </w:pPr>
                  <w:r>
                    <w:rPr>
                      <w:rFonts w:hAnsi="Times New Roman"/>
                      <w:color w:val="auto"/>
                      <w:sz w:val="18"/>
                      <w:szCs w:val="18"/>
                    </w:rPr>
                    <w:t>表土临时堆场</w:t>
                  </w:r>
                </w:p>
              </w:tc>
              <w:tc>
                <w:tcPr>
                  <w:tcW w:w="5821" w:type="dxa"/>
                  <w:vAlign w:val="center"/>
                </w:tcPr>
                <w:p>
                  <w:pPr>
                    <w:pStyle w:val="58"/>
                    <w:topLinePunct/>
                    <w:spacing w:line="280" w:lineRule="exact"/>
                    <w:ind w:left="-53" w:leftChars="-25" w:right="-53" w:rightChars="-25"/>
                    <w:jc w:val="left"/>
                    <w:rPr>
                      <w:rFonts w:hAnsi="Times New Roman"/>
                      <w:color w:val="auto"/>
                      <w:sz w:val="18"/>
                      <w:szCs w:val="18"/>
                    </w:rPr>
                  </w:pPr>
                  <w:r>
                    <w:rPr>
                      <w:rFonts w:hAnsi="Times New Roman"/>
                      <w:color w:val="auto"/>
                      <w:sz w:val="18"/>
                      <w:szCs w:val="18"/>
                    </w:rPr>
                    <w:t>按要求开展地质灾害评估预测、堆场底部建设防洪和排水设施，临空面修建拦渣坝（墙），M7.5浆砌片石挡土墙，堆场表面采用防尘网覆盖或播撒植被种子绿化防护等，堆场底部设过水涵洞等排水、泄洪等防护设施。堆场四周修建截排水沟，避免雨水对堆存物造成冲刷</w:t>
                  </w:r>
                </w:p>
              </w:tc>
              <w:tc>
                <w:tcPr>
                  <w:tcW w:w="1008" w:type="dxa"/>
                  <w:vAlign w:val="center"/>
                </w:tcPr>
                <w:p>
                  <w:pPr>
                    <w:pStyle w:val="58"/>
                    <w:topLinePunct/>
                    <w:spacing w:line="280" w:lineRule="exact"/>
                    <w:ind w:left="-53" w:leftChars="-25" w:right="-53" w:rightChars="-25"/>
                    <w:rPr>
                      <w:rFonts w:hAnsi="Times New Roman"/>
                      <w:color w:val="auto"/>
                      <w:sz w:val="18"/>
                      <w:szCs w:val="18"/>
                    </w:rPr>
                  </w:pPr>
                  <w:r>
                    <w:rPr>
                      <w:rFonts w:hAnsi="Times New Roman"/>
                      <w:color w:val="auto"/>
                      <w:sz w:val="18"/>
                      <w:szCs w:val="18"/>
                    </w:rPr>
                    <w:t>40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09" w:type="dxa"/>
                  <w:vAlign w:val="center"/>
                </w:tcPr>
                <w:p>
                  <w:pPr>
                    <w:pStyle w:val="58"/>
                    <w:topLinePunct/>
                    <w:spacing w:line="280" w:lineRule="exact"/>
                    <w:ind w:left="-53" w:leftChars="-25" w:right="-53" w:rightChars="-25"/>
                    <w:rPr>
                      <w:rFonts w:hAnsi="Times New Roman"/>
                      <w:color w:val="auto"/>
                      <w:sz w:val="18"/>
                      <w:szCs w:val="18"/>
                    </w:rPr>
                  </w:pPr>
                  <w:r>
                    <w:rPr>
                      <w:rFonts w:hAnsi="Times New Roman"/>
                      <w:color w:val="auto"/>
                      <w:sz w:val="18"/>
                      <w:szCs w:val="18"/>
                    </w:rPr>
                    <w:t>废水处理设施</w:t>
                  </w:r>
                </w:p>
              </w:tc>
              <w:tc>
                <w:tcPr>
                  <w:tcW w:w="5821" w:type="dxa"/>
                  <w:vAlign w:val="center"/>
                </w:tcPr>
                <w:p>
                  <w:pPr>
                    <w:pStyle w:val="58"/>
                    <w:topLinePunct/>
                    <w:spacing w:line="280" w:lineRule="exact"/>
                    <w:ind w:left="-53" w:leftChars="-25" w:right="-53" w:rightChars="-25"/>
                    <w:jc w:val="left"/>
                    <w:rPr>
                      <w:rFonts w:hAnsi="Times New Roman"/>
                      <w:color w:val="auto"/>
                      <w:sz w:val="18"/>
                      <w:szCs w:val="18"/>
                    </w:rPr>
                  </w:pPr>
                  <w:r>
                    <w:rPr>
                      <w:rFonts w:hAnsi="Times New Roman"/>
                      <w:color w:val="auto"/>
                      <w:sz w:val="18"/>
                      <w:szCs w:val="18"/>
                    </w:rPr>
                    <w:t>矿山初期雨水沉淀池半地下式建设，钢筋混凝土结构修建、水泥防渗。生产区废水处理系统采用钢制罐体结构；车辆冲洗池采用钢筋混凝土结构</w:t>
                  </w:r>
                </w:p>
              </w:tc>
              <w:tc>
                <w:tcPr>
                  <w:tcW w:w="1008" w:type="dxa"/>
                  <w:vAlign w:val="center"/>
                </w:tcPr>
                <w:p>
                  <w:pPr>
                    <w:pStyle w:val="58"/>
                    <w:topLinePunct/>
                    <w:spacing w:line="280" w:lineRule="exact"/>
                    <w:ind w:left="-53" w:leftChars="-25" w:right="-53" w:rightChars="-25"/>
                    <w:rPr>
                      <w:rFonts w:hAnsi="Times New Roman"/>
                      <w:color w:val="auto"/>
                      <w:sz w:val="18"/>
                      <w:szCs w:val="18"/>
                    </w:rPr>
                  </w:pPr>
                  <w:r>
                    <w:rPr>
                      <w:rFonts w:hAnsi="Times New Roman"/>
                      <w:color w:val="auto"/>
                      <w:sz w:val="18"/>
                      <w:szCs w:val="18"/>
                    </w:rPr>
                    <w:t>10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7030" w:type="dxa"/>
                  <w:gridSpan w:val="2"/>
                  <w:vAlign w:val="center"/>
                </w:tcPr>
                <w:p>
                  <w:pPr>
                    <w:pStyle w:val="58"/>
                    <w:topLinePunct/>
                    <w:spacing w:line="280" w:lineRule="exact"/>
                    <w:ind w:left="-53" w:leftChars="-25" w:right="-53" w:rightChars="-25"/>
                    <w:rPr>
                      <w:rFonts w:hAnsi="Times New Roman"/>
                      <w:color w:val="auto"/>
                      <w:sz w:val="18"/>
                      <w:szCs w:val="18"/>
                    </w:rPr>
                  </w:pPr>
                  <w:r>
                    <w:rPr>
                      <w:rFonts w:hAnsi="Times New Roman"/>
                      <w:color w:val="auto"/>
                      <w:sz w:val="18"/>
                      <w:szCs w:val="18"/>
                    </w:rPr>
                    <w:t>合计</w:t>
                  </w:r>
                </w:p>
              </w:tc>
              <w:tc>
                <w:tcPr>
                  <w:tcW w:w="1008" w:type="dxa"/>
                  <w:vAlign w:val="center"/>
                </w:tcPr>
                <w:p>
                  <w:pPr>
                    <w:pStyle w:val="58"/>
                    <w:topLinePunct/>
                    <w:spacing w:line="280" w:lineRule="exact"/>
                    <w:ind w:left="-53" w:leftChars="-25" w:right="-53" w:rightChars="-25"/>
                    <w:rPr>
                      <w:rFonts w:hAnsi="Times New Roman"/>
                      <w:color w:val="auto"/>
                      <w:sz w:val="18"/>
                      <w:szCs w:val="18"/>
                    </w:rPr>
                  </w:pPr>
                  <w:r>
                    <w:rPr>
                      <w:rFonts w:hAnsi="Times New Roman"/>
                      <w:color w:val="auto"/>
                      <w:sz w:val="18"/>
                      <w:szCs w:val="18"/>
                    </w:rPr>
                    <w:t>53</w:t>
                  </w:r>
                </w:p>
              </w:tc>
            </w:tr>
          </w:tbl>
          <w:p>
            <w:pPr>
              <w:adjustRightInd w:val="0"/>
              <w:snapToGrid w:val="0"/>
              <w:spacing w:line="360" w:lineRule="auto"/>
              <w:ind w:firstLine="420"/>
              <w:rPr>
                <w:color w:val="auto"/>
                <w:kern w:val="0"/>
                <w:szCs w:val="21"/>
              </w:rPr>
            </w:pPr>
            <w:r>
              <w:rPr>
                <w:rFonts w:hint="eastAsia"/>
                <w:color w:val="auto"/>
                <w:kern w:val="0"/>
                <w:szCs w:val="21"/>
              </w:rPr>
              <w:t>本项目在采取上述有针对性的风险防范及应急措施后，可将风险事故降至可接受水平。项目拟采取的风险防范措施及应急预案从环境保护角度可行。</w:t>
            </w:r>
          </w:p>
          <w:p>
            <w:pPr>
              <w:adjustRightInd w:val="0"/>
              <w:snapToGrid w:val="0"/>
              <w:spacing w:line="360" w:lineRule="auto"/>
              <w:ind w:firstLine="420"/>
              <w:rPr>
                <w:color w:val="auto"/>
                <w:kern w:val="0"/>
                <w:szCs w:val="21"/>
              </w:rPr>
            </w:pPr>
          </w:p>
          <w:p>
            <w:pPr>
              <w:adjustRightInd w:val="0"/>
              <w:snapToGrid w:val="0"/>
              <w:spacing w:line="360" w:lineRule="auto"/>
              <w:rPr>
                <w:rFonts w:ascii="宋体" w:hAnsi="宋体" w:cs="宋体"/>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753" w:type="dxa"/>
            <w:vAlign w:val="center"/>
          </w:tcPr>
          <w:p>
            <w:pPr>
              <w:adjustRightInd w:val="0"/>
              <w:snapToGrid w:val="0"/>
              <w:spacing w:line="360" w:lineRule="auto"/>
              <w:jc w:val="center"/>
              <w:rPr>
                <w:rFonts w:ascii="宋体" w:hAnsi="宋体" w:cs="宋体"/>
                <w:bCs/>
                <w:color w:val="auto"/>
                <w:spacing w:val="10"/>
                <w:szCs w:val="21"/>
              </w:rPr>
            </w:pPr>
            <w:r>
              <w:rPr>
                <w:rFonts w:hint="eastAsia" w:ascii="宋体" w:hAnsi="宋体"/>
                <w:bCs/>
                <w:color w:val="auto"/>
                <w:szCs w:val="21"/>
              </w:rPr>
              <w:t>其他</w:t>
            </w:r>
          </w:p>
        </w:tc>
        <w:tc>
          <w:tcPr>
            <w:tcW w:w="8457" w:type="dxa"/>
          </w:tcPr>
          <w:p>
            <w:pPr>
              <w:adjustRightInd w:val="0"/>
              <w:snapToGrid w:val="0"/>
              <w:spacing w:line="360" w:lineRule="auto"/>
              <w:ind w:firstLine="420" w:firstLineChars="200"/>
              <w:rPr>
                <w:rFonts w:ascii="宋体" w:hAnsi="宋体" w:cs="宋体"/>
                <w:bCs/>
                <w:color w:val="auto"/>
                <w:spacing w:val="10"/>
                <w:szCs w:val="21"/>
              </w:rPr>
            </w:pPr>
            <w:r>
              <w:rPr>
                <w:rFonts w:hint="eastAsia" w:ascii="宋体" w:hAnsi="宋体" w:cs="宋体"/>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pPr>
              <w:adjustRightInd w:val="0"/>
              <w:snapToGrid w:val="0"/>
              <w:spacing w:line="360" w:lineRule="auto"/>
              <w:jc w:val="center"/>
              <w:rPr>
                <w:rFonts w:ascii="宋体" w:hAnsi="宋体" w:cs="宋体"/>
                <w:bCs/>
                <w:color w:val="auto"/>
                <w:spacing w:val="10"/>
                <w:szCs w:val="21"/>
              </w:rPr>
            </w:pPr>
            <w:r>
              <w:rPr>
                <w:rFonts w:hint="eastAsia" w:ascii="宋体" w:hAnsi="宋体"/>
                <w:bCs/>
                <w:color w:val="auto"/>
                <w:szCs w:val="21"/>
              </w:rPr>
              <w:t>环保投资</w:t>
            </w:r>
          </w:p>
        </w:tc>
        <w:tc>
          <w:tcPr>
            <w:tcW w:w="8457" w:type="dxa"/>
          </w:tcPr>
          <w:p>
            <w:pPr>
              <w:autoSpaceDE w:val="0"/>
              <w:autoSpaceDN w:val="0"/>
              <w:adjustRightInd w:val="0"/>
              <w:spacing w:line="400" w:lineRule="exact"/>
              <w:ind w:firstLine="420" w:firstLineChars="200"/>
              <w:rPr>
                <w:color w:val="auto"/>
                <w:kern w:val="0"/>
              </w:rPr>
            </w:pPr>
            <w:r>
              <w:rPr>
                <w:color w:val="auto"/>
                <w:kern w:val="0"/>
              </w:rPr>
              <w:t>本项目总投资56318.89万元，其中环保投资1509万元，占总投资的2.68%，处理措施和处理效果从总体上看，能有效降低由于工程的建设所带来的环境污染和生态影响，满足环保要求，经济合理、技术可行。工程项目的环保投资估算详见下表。</w:t>
            </w:r>
          </w:p>
          <w:p>
            <w:pPr>
              <w:tabs>
                <w:tab w:val="left" w:pos="0"/>
              </w:tabs>
              <w:autoSpaceDE w:val="0"/>
              <w:autoSpaceDN w:val="0"/>
              <w:adjustRightInd w:val="0"/>
              <w:snapToGrid w:val="0"/>
              <w:jc w:val="center"/>
              <w:rPr>
                <w:b/>
                <w:color w:val="auto"/>
                <w:kern w:val="0"/>
                <w:sz w:val="18"/>
                <w:szCs w:val="18"/>
                <w:lang w:val="zh-CN"/>
              </w:rPr>
            </w:pPr>
            <w:r>
              <w:rPr>
                <w:b/>
                <w:color w:val="auto"/>
                <w:kern w:val="0"/>
                <w:sz w:val="18"/>
                <w:szCs w:val="18"/>
                <w:lang w:val="zh-CN"/>
              </w:rPr>
              <w:t>表5-18 项目环保投资估算一览表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7"/>
              <w:gridCol w:w="503"/>
              <w:gridCol w:w="6557"/>
              <w:gridCol w:w="8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516" w:type="pct"/>
                  <w:gridSpan w:val="2"/>
                  <w:vAlign w:val="center"/>
                </w:tcPr>
                <w:p>
                  <w:pPr>
                    <w:pStyle w:val="6"/>
                    <w:spacing w:after="0"/>
                    <w:ind w:left="-71" w:leftChars="-34" w:right="-71" w:rightChars="-34"/>
                    <w:jc w:val="center"/>
                    <w:rPr>
                      <w:bCs/>
                      <w:color w:val="auto"/>
                      <w:sz w:val="18"/>
                      <w:szCs w:val="18"/>
                    </w:rPr>
                  </w:pPr>
                  <w:r>
                    <w:rPr>
                      <w:bCs/>
                      <w:color w:val="auto"/>
                      <w:sz w:val="18"/>
                      <w:szCs w:val="18"/>
                    </w:rPr>
                    <w:t>类别</w:t>
                  </w:r>
                </w:p>
              </w:tc>
              <w:tc>
                <w:tcPr>
                  <w:tcW w:w="3978" w:type="pct"/>
                  <w:vAlign w:val="center"/>
                </w:tcPr>
                <w:p>
                  <w:pPr>
                    <w:pStyle w:val="6"/>
                    <w:spacing w:after="0"/>
                    <w:ind w:left="-71" w:leftChars="-34" w:right="-71" w:rightChars="-34"/>
                    <w:jc w:val="center"/>
                    <w:rPr>
                      <w:bCs/>
                      <w:color w:val="auto"/>
                      <w:sz w:val="18"/>
                      <w:szCs w:val="18"/>
                    </w:rPr>
                  </w:pPr>
                  <w:r>
                    <w:rPr>
                      <w:bCs/>
                      <w:color w:val="auto"/>
                      <w:sz w:val="18"/>
                      <w:szCs w:val="18"/>
                    </w:rPr>
                    <w:t>污染防治环保设施（措施）</w:t>
                  </w:r>
                </w:p>
              </w:tc>
              <w:tc>
                <w:tcPr>
                  <w:tcW w:w="506" w:type="pct"/>
                  <w:vAlign w:val="center"/>
                </w:tcPr>
                <w:p>
                  <w:pPr>
                    <w:pStyle w:val="6"/>
                    <w:spacing w:after="0"/>
                    <w:ind w:left="-71" w:leftChars="-34" w:right="-71" w:rightChars="-34"/>
                    <w:jc w:val="center"/>
                    <w:rPr>
                      <w:bCs/>
                      <w:color w:val="auto"/>
                      <w:sz w:val="18"/>
                      <w:szCs w:val="18"/>
                    </w:rPr>
                  </w:pPr>
                  <w:r>
                    <w:rPr>
                      <w:bCs/>
                      <w:color w:val="auto"/>
                      <w:sz w:val="18"/>
                      <w:szCs w:val="18"/>
                    </w:rPr>
                    <w:t>投资</w:t>
                  </w:r>
                </w:p>
                <w:p>
                  <w:pPr>
                    <w:pStyle w:val="6"/>
                    <w:spacing w:after="0"/>
                    <w:ind w:left="-71" w:leftChars="-34" w:right="-71" w:rightChars="-34"/>
                    <w:jc w:val="center"/>
                    <w:rPr>
                      <w:bCs/>
                      <w:color w:val="auto"/>
                      <w:sz w:val="18"/>
                      <w:szCs w:val="18"/>
                    </w:rPr>
                  </w:pPr>
                  <w:r>
                    <w:rPr>
                      <w:bCs/>
                      <w:color w:val="auto"/>
                      <w:sz w:val="18"/>
                      <w:szCs w:val="18"/>
                    </w:rPr>
                    <w:t>（万元）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11" w:type="pct"/>
                  <w:vMerge w:val="restart"/>
                  <w:vAlign w:val="center"/>
                </w:tcPr>
                <w:p>
                  <w:pPr>
                    <w:pStyle w:val="6"/>
                    <w:spacing w:after="0"/>
                    <w:ind w:left="-71" w:leftChars="-34" w:right="-71" w:rightChars="-34"/>
                    <w:jc w:val="center"/>
                    <w:rPr>
                      <w:bCs/>
                      <w:color w:val="auto"/>
                      <w:sz w:val="18"/>
                      <w:szCs w:val="18"/>
                    </w:rPr>
                  </w:pPr>
                  <w:r>
                    <w:rPr>
                      <w:bCs/>
                      <w:color w:val="auto"/>
                      <w:sz w:val="18"/>
                      <w:szCs w:val="18"/>
                    </w:rPr>
                    <w:t>施工期</w:t>
                  </w:r>
                </w:p>
              </w:tc>
              <w:tc>
                <w:tcPr>
                  <w:tcW w:w="305" w:type="pct"/>
                  <w:vAlign w:val="center"/>
                </w:tcPr>
                <w:p>
                  <w:pPr>
                    <w:pStyle w:val="6"/>
                    <w:spacing w:after="0"/>
                    <w:ind w:left="-71" w:leftChars="-34" w:right="-71" w:rightChars="-34"/>
                    <w:jc w:val="center"/>
                    <w:rPr>
                      <w:bCs/>
                      <w:color w:val="auto"/>
                      <w:sz w:val="18"/>
                      <w:szCs w:val="18"/>
                    </w:rPr>
                  </w:pPr>
                  <w:r>
                    <w:rPr>
                      <w:bCs/>
                      <w:color w:val="auto"/>
                      <w:sz w:val="18"/>
                      <w:szCs w:val="18"/>
                    </w:rPr>
                    <w:t>废气</w:t>
                  </w:r>
                </w:p>
              </w:tc>
              <w:tc>
                <w:tcPr>
                  <w:tcW w:w="3978" w:type="pct"/>
                  <w:vAlign w:val="center"/>
                </w:tcPr>
                <w:p>
                  <w:pPr>
                    <w:pStyle w:val="6"/>
                    <w:spacing w:after="0"/>
                    <w:ind w:left="-71" w:leftChars="-34" w:right="-71" w:rightChars="-34"/>
                    <w:rPr>
                      <w:bCs/>
                      <w:color w:val="auto"/>
                      <w:sz w:val="18"/>
                      <w:szCs w:val="18"/>
                    </w:rPr>
                  </w:pPr>
                  <w:r>
                    <w:rPr>
                      <w:color w:val="auto"/>
                      <w:sz w:val="18"/>
                      <w:szCs w:val="18"/>
                    </w:rPr>
                    <w:t>施工场地设雾炮机除尘；开挖表土设临时堆场堆存，采取覆盖和临时绿化措施，大风天气洒水降尘等措施；尽快完成施工道路的硬化，设车辆进出口冲洗设施，运输车辆遮盖</w:t>
                  </w:r>
                </w:p>
              </w:tc>
              <w:tc>
                <w:tcPr>
                  <w:tcW w:w="506" w:type="pct"/>
                  <w:vAlign w:val="center"/>
                </w:tcPr>
                <w:p>
                  <w:pPr>
                    <w:pStyle w:val="6"/>
                    <w:spacing w:after="0"/>
                    <w:ind w:left="-71" w:leftChars="-34" w:right="-71" w:rightChars="-34"/>
                    <w:jc w:val="center"/>
                    <w:rPr>
                      <w:bCs/>
                      <w:color w:val="auto"/>
                      <w:sz w:val="18"/>
                      <w:szCs w:val="18"/>
                    </w:rPr>
                  </w:pPr>
                  <w:r>
                    <w:rPr>
                      <w:bCs/>
                      <w:color w:val="auto"/>
                      <w:sz w:val="18"/>
                      <w:szCs w:val="18"/>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11" w:type="pct"/>
                  <w:vMerge w:val="continue"/>
                  <w:vAlign w:val="center"/>
                </w:tcPr>
                <w:p>
                  <w:pPr>
                    <w:pStyle w:val="6"/>
                    <w:spacing w:after="0"/>
                    <w:ind w:left="-71" w:leftChars="-34" w:right="-71" w:rightChars="-34"/>
                    <w:jc w:val="center"/>
                    <w:rPr>
                      <w:bCs/>
                      <w:color w:val="auto"/>
                      <w:sz w:val="18"/>
                      <w:szCs w:val="18"/>
                    </w:rPr>
                  </w:pPr>
                </w:p>
              </w:tc>
              <w:tc>
                <w:tcPr>
                  <w:tcW w:w="305" w:type="pct"/>
                  <w:vMerge w:val="restart"/>
                  <w:vAlign w:val="center"/>
                </w:tcPr>
                <w:p>
                  <w:pPr>
                    <w:pStyle w:val="6"/>
                    <w:spacing w:after="0"/>
                    <w:ind w:left="-71" w:leftChars="-34" w:right="-71" w:rightChars="-34"/>
                    <w:jc w:val="center"/>
                    <w:rPr>
                      <w:bCs/>
                      <w:color w:val="auto"/>
                      <w:sz w:val="18"/>
                      <w:szCs w:val="18"/>
                    </w:rPr>
                  </w:pPr>
                  <w:r>
                    <w:rPr>
                      <w:bCs/>
                      <w:color w:val="auto"/>
                      <w:sz w:val="18"/>
                      <w:szCs w:val="18"/>
                    </w:rPr>
                    <w:t>废水</w:t>
                  </w:r>
                </w:p>
              </w:tc>
              <w:tc>
                <w:tcPr>
                  <w:tcW w:w="3978" w:type="pct"/>
                  <w:vAlign w:val="center"/>
                </w:tcPr>
                <w:p>
                  <w:pPr>
                    <w:pStyle w:val="6"/>
                    <w:spacing w:after="0"/>
                    <w:ind w:left="-71" w:leftChars="-34" w:right="-71" w:rightChars="-34"/>
                    <w:rPr>
                      <w:bCs/>
                      <w:color w:val="auto"/>
                      <w:sz w:val="18"/>
                      <w:szCs w:val="18"/>
                    </w:rPr>
                  </w:pPr>
                  <w:r>
                    <w:rPr>
                      <w:color w:val="auto"/>
                      <w:sz w:val="18"/>
                      <w:szCs w:val="18"/>
                    </w:rPr>
                    <w:t>施工场地设临时废水沉淀池，废水收集处理后回用；车辆冲洗废水设沉淀池收集处理后回用</w:t>
                  </w:r>
                </w:p>
              </w:tc>
              <w:tc>
                <w:tcPr>
                  <w:tcW w:w="506" w:type="pct"/>
                  <w:vAlign w:val="center"/>
                </w:tcPr>
                <w:p>
                  <w:pPr>
                    <w:pStyle w:val="6"/>
                    <w:spacing w:after="0"/>
                    <w:ind w:left="-71" w:leftChars="-34" w:right="-71" w:rightChars="-34"/>
                    <w:jc w:val="center"/>
                    <w:rPr>
                      <w:bCs/>
                      <w:color w:val="auto"/>
                      <w:sz w:val="18"/>
                      <w:szCs w:val="18"/>
                    </w:rPr>
                  </w:pPr>
                  <w:r>
                    <w:rPr>
                      <w:bCs/>
                      <w:color w:val="auto"/>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1" w:type="pct"/>
                  <w:vMerge w:val="continue"/>
                  <w:vAlign w:val="center"/>
                </w:tcPr>
                <w:p>
                  <w:pPr>
                    <w:pStyle w:val="6"/>
                    <w:spacing w:after="0"/>
                    <w:ind w:left="-71" w:leftChars="-34" w:right="-71" w:rightChars="-34"/>
                    <w:jc w:val="center"/>
                    <w:rPr>
                      <w:bCs/>
                      <w:color w:val="auto"/>
                      <w:sz w:val="18"/>
                      <w:szCs w:val="18"/>
                    </w:rPr>
                  </w:pPr>
                </w:p>
              </w:tc>
              <w:tc>
                <w:tcPr>
                  <w:tcW w:w="305" w:type="pct"/>
                  <w:vMerge w:val="continue"/>
                  <w:vAlign w:val="center"/>
                </w:tcPr>
                <w:p>
                  <w:pPr>
                    <w:pStyle w:val="6"/>
                    <w:spacing w:after="0"/>
                    <w:ind w:left="-71" w:leftChars="-34" w:right="-71" w:rightChars="-34"/>
                    <w:jc w:val="center"/>
                    <w:rPr>
                      <w:bCs/>
                      <w:color w:val="auto"/>
                      <w:sz w:val="18"/>
                      <w:szCs w:val="18"/>
                    </w:rPr>
                  </w:pPr>
                </w:p>
              </w:tc>
              <w:tc>
                <w:tcPr>
                  <w:tcW w:w="3978" w:type="pct"/>
                  <w:vAlign w:val="center"/>
                </w:tcPr>
                <w:p>
                  <w:pPr>
                    <w:pStyle w:val="6"/>
                    <w:spacing w:after="0"/>
                    <w:ind w:left="-71" w:leftChars="-34" w:right="-71" w:rightChars="-34"/>
                    <w:rPr>
                      <w:color w:val="auto"/>
                      <w:sz w:val="18"/>
                      <w:szCs w:val="18"/>
                    </w:rPr>
                  </w:pPr>
                  <w:r>
                    <w:rPr>
                      <w:color w:val="auto"/>
                      <w:sz w:val="18"/>
                      <w:szCs w:val="18"/>
                    </w:rPr>
                    <w:t>生活污水设</w:t>
                  </w:r>
                  <w:r>
                    <w:rPr>
                      <w:rFonts w:hint="eastAsia"/>
                      <w:color w:val="auto"/>
                      <w:sz w:val="18"/>
                      <w:szCs w:val="18"/>
                    </w:rPr>
                    <w:t>预处理池</w:t>
                  </w:r>
                  <w:r>
                    <w:rPr>
                      <w:color w:val="auto"/>
                      <w:sz w:val="18"/>
                      <w:szCs w:val="18"/>
                    </w:rPr>
                    <w:t>处理后</w:t>
                  </w:r>
                  <w:r>
                    <w:rPr>
                      <w:rFonts w:hint="eastAsia"/>
                      <w:color w:val="auto"/>
                      <w:sz w:val="18"/>
                      <w:szCs w:val="18"/>
                    </w:rPr>
                    <w:t>作</w:t>
                  </w:r>
                  <w:r>
                    <w:rPr>
                      <w:color w:val="auto"/>
                      <w:sz w:val="18"/>
                      <w:szCs w:val="18"/>
                    </w:rPr>
                    <w:t>农肥使用</w:t>
                  </w:r>
                </w:p>
              </w:tc>
              <w:tc>
                <w:tcPr>
                  <w:tcW w:w="506" w:type="pct"/>
                  <w:vAlign w:val="center"/>
                </w:tcPr>
                <w:p>
                  <w:pPr>
                    <w:pStyle w:val="6"/>
                    <w:spacing w:after="0"/>
                    <w:ind w:left="-71" w:leftChars="-34" w:right="-71" w:rightChars="-34"/>
                    <w:jc w:val="center"/>
                    <w:rPr>
                      <w:bCs/>
                      <w:color w:val="auto"/>
                      <w:sz w:val="18"/>
                      <w:szCs w:val="18"/>
                    </w:rPr>
                  </w:pPr>
                  <w:r>
                    <w:rPr>
                      <w:bCs/>
                      <w:color w:val="auto"/>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11" w:type="pct"/>
                  <w:vMerge w:val="continue"/>
                  <w:vAlign w:val="center"/>
                </w:tcPr>
                <w:p>
                  <w:pPr>
                    <w:pStyle w:val="6"/>
                    <w:spacing w:after="0"/>
                    <w:ind w:left="-71" w:leftChars="-34" w:right="-71" w:rightChars="-34"/>
                    <w:jc w:val="center"/>
                    <w:rPr>
                      <w:bCs/>
                      <w:color w:val="auto"/>
                      <w:sz w:val="18"/>
                      <w:szCs w:val="18"/>
                    </w:rPr>
                  </w:pPr>
                </w:p>
              </w:tc>
              <w:tc>
                <w:tcPr>
                  <w:tcW w:w="305" w:type="pct"/>
                  <w:vAlign w:val="center"/>
                </w:tcPr>
                <w:p>
                  <w:pPr>
                    <w:pStyle w:val="6"/>
                    <w:spacing w:after="0"/>
                    <w:ind w:left="-71" w:leftChars="-34" w:right="-71" w:rightChars="-34"/>
                    <w:jc w:val="center"/>
                    <w:rPr>
                      <w:bCs/>
                      <w:color w:val="auto"/>
                      <w:sz w:val="18"/>
                      <w:szCs w:val="18"/>
                    </w:rPr>
                  </w:pPr>
                  <w:r>
                    <w:rPr>
                      <w:bCs/>
                      <w:color w:val="auto"/>
                      <w:sz w:val="18"/>
                      <w:szCs w:val="18"/>
                    </w:rPr>
                    <w:t>噪声</w:t>
                  </w:r>
                </w:p>
              </w:tc>
              <w:tc>
                <w:tcPr>
                  <w:tcW w:w="3978" w:type="pct"/>
                  <w:vAlign w:val="center"/>
                </w:tcPr>
                <w:p>
                  <w:pPr>
                    <w:pStyle w:val="6"/>
                    <w:spacing w:after="0"/>
                    <w:ind w:left="-71" w:leftChars="-34" w:right="-71" w:rightChars="-34"/>
                    <w:jc w:val="left"/>
                    <w:rPr>
                      <w:bCs/>
                      <w:color w:val="auto"/>
                      <w:sz w:val="18"/>
                      <w:szCs w:val="18"/>
                    </w:rPr>
                  </w:pPr>
                  <w:r>
                    <w:rPr>
                      <w:color w:val="auto"/>
                      <w:sz w:val="18"/>
                      <w:szCs w:val="18"/>
                    </w:rPr>
                    <w:t>选用低噪声施工机械、降低声源；施工机械合理布局、加强维护保养；合理安排工期、禁止夜间进行高噪声作业</w:t>
                  </w:r>
                </w:p>
              </w:tc>
              <w:tc>
                <w:tcPr>
                  <w:tcW w:w="506" w:type="pct"/>
                  <w:vAlign w:val="center"/>
                </w:tcPr>
                <w:p>
                  <w:pPr>
                    <w:pStyle w:val="6"/>
                    <w:spacing w:after="0"/>
                    <w:ind w:left="-71" w:leftChars="-34" w:right="-71" w:rightChars="-34"/>
                    <w:jc w:val="center"/>
                    <w:rPr>
                      <w:bCs/>
                      <w:color w:val="auto"/>
                      <w:sz w:val="18"/>
                      <w:szCs w:val="18"/>
                    </w:rPr>
                  </w:pPr>
                  <w:r>
                    <w:rPr>
                      <w:bCs/>
                      <w:color w:val="auto"/>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11" w:type="pct"/>
                  <w:vMerge w:val="continue"/>
                  <w:vAlign w:val="center"/>
                </w:tcPr>
                <w:p>
                  <w:pPr>
                    <w:pStyle w:val="6"/>
                    <w:spacing w:after="0"/>
                    <w:ind w:left="-71" w:leftChars="-34" w:right="-71" w:rightChars="-34"/>
                    <w:jc w:val="center"/>
                    <w:rPr>
                      <w:bCs/>
                      <w:color w:val="auto"/>
                      <w:sz w:val="18"/>
                      <w:szCs w:val="18"/>
                    </w:rPr>
                  </w:pPr>
                </w:p>
              </w:tc>
              <w:tc>
                <w:tcPr>
                  <w:tcW w:w="305" w:type="pct"/>
                  <w:vAlign w:val="center"/>
                </w:tcPr>
                <w:p>
                  <w:pPr>
                    <w:pStyle w:val="6"/>
                    <w:spacing w:after="0"/>
                    <w:ind w:left="-71" w:leftChars="-34" w:right="-71" w:rightChars="-34"/>
                    <w:jc w:val="center"/>
                    <w:rPr>
                      <w:bCs/>
                      <w:color w:val="auto"/>
                      <w:sz w:val="18"/>
                      <w:szCs w:val="18"/>
                    </w:rPr>
                  </w:pPr>
                  <w:r>
                    <w:rPr>
                      <w:bCs/>
                      <w:color w:val="auto"/>
                      <w:sz w:val="18"/>
                      <w:szCs w:val="18"/>
                    </w:rPr>
                    <w:t>固体废物</w:t>
                  </w:r>
                </w:p>
              </w:tc>
              <w:tc>
                <w:tcPr>
                  <w:tcW w:w="3978" w:type="pct"/>
                  <w:vAlign w:val="center"/>
                </w:tcPr>
                <w:p>
                  <w:pPr>
                    <w:pStyle w:val="6"/>
                    <w:spacing w:after="0"/>
                    <w:ind w:left="-71" w:leftChars="-34" w:right="-71" w:rightChars="-34"/>
                    <w:jc w:val="left"/>
                    <w:rPr>
                      <w:bCs/>
                      <w:color w:val="auto"/>
                      <w:sz w:val="18"/>
                      <w:szCs w:val="18"/>
                    </w:rPr>
                  </w:pPr>
                  <w:r>
                    <w:rPr>
                      <w:color w:val="auto"/>
                      <w:sz w:val="18"/>
                      <w:szCs w:val="18"/>
                    </w:rPr>
                    <w:t>植被</w:t>
                  </w:r>
                  <w:r>
                    <w:rPr>
                      <w:rFonts w:hint="eastAsia"/>
                      <w:color w:val="auto"/>
                      <w:sz w:val="18"/>
                      <w:szCs w:val="18"/>
                    </w:rPr>
                    <w:t>枝丫</w:t>
                  </w:r>
                  <w:r>
                    <w:rPr>
                      <w:color w:val="auto"/>
                      <w:sz w:val="18"/>
                      <w:szCs w:val="18"/>
                    </w:rPr>
                    <w:t>、表土废石等设置临时堆场，后期用于采空区回填或覆土绿化；建筑垃圾采取回填或运至管理部门指定的弃土场；生活垃圾收集后送场镇垃圾收集点</w:t>
                  </w:r>
                </w:p>
              </w:tc>
              <w:tc>
                <w:tcPr>
                  <w:tcW w:w="506" w:type="pct"/>
                  <w:vAlign w:val="center"/>
                </w:tcPr>
                <w:p>
                  <w:pPr>
                    <w:pStyle w:val="6"/>
                    <w:spacing w:after="0"/>
                    <w:ind w:left="-71" w:leftChars="-34" w:right="-71" w:rightChars="-34"/>
                    <w:jc w:val="center"/>
                    <w:rPr>
                      <w:bCs/>
                      <w:color w:val="auto"/>
                      <w:sz w:val="18"/>
                      <w:szCs w:val="18"/>
                    </w:rPr>
                  </w:pPr>
                  <w:r>
                    <w:rPr>
                      <w:bCs/>
                      <w:color w:val="auto"/>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1" w:type="pct"/>
                  <w:vMerge w:val="continue"/>
                  <w:vAlign w:val="center"/>
                </w:tcPr>
                <w:p>
                  <w:pPr>
                    <w:pStyle w:val="6"/>
                    <w:spacing w:after="0"/>
                    <w:ind w:left="-71" w:leftChars="-34" w:right="-71" w:rightChars="-34"/>
                    <w:jc w:val="center"/>
                    <w:rPr>
                      <w:bCs/>
                      <w:color w:val="auto"/>
                      <w:sz w:val="18"/>
                      <w:szCs w:val="18"/>
                    </w:rPr>
                  </w:pPr>
                </w:p>
              </w:tc>
              <w:tc>
                <w:tcPr>
                  <w:tcW w:w="305" w:type="pct"/>
                  <w:vAlign w:val="center"/>
                </w:tcPr>
                <w:p>
                  <w:pPr>
                    <w:pStyle w:val="6"/>
                    <w:spacing w:after="0"/>
                    <w:ind w:left="-71" w:leftChars="-34" w:right="-71" w:rightChars="-34"/>
                    <w:jc w:val="center"/>
                    <w:rPr>
                      <w:bCs/>
                      <w:color w:val="auto"/>
                      <w:sz w:val="18"/>
                      <w:szCs w:val="18"/>
                    </w:rPr>
                  </w:pPr>
                  <w:r>
                    <w:rPr>
                      <w:bCs/>
                      <w:color w:val="auto"/>
                      <w:sz w:val="18"/>
                      <w:szCs w:val="18"/>
                    </w:rPr>
                    <w:t>生态环境</w:t>
                  </w:r>
                </w:p>
              </w:tc>
              <w:tc>
                <w:tcPr>
                  <w:tcW w:w="3978" w:type="pct"/>
                  <w:vAlign w:val="center"/>
                </w:tcPr>
                <w:p>
                  <w:pPr>
                    <w:pStyle w:val="6"/>
                    <w:spacing w:after="0"/>
                    <w:ind w:left="-71" w:leftChars="-34" w:right="-71" w:rightChars="-34"/>
                    <w:jc w:val="left"/>
                    <w:rPr>
                      <w:bCs/>
                      <w:color w:val="auto"/>
                      <w:sz w:val="18"/>
                      <w:szCs w:val="18"/>
                    </w:rPr>
                  </w:pPr>
                  <w:r>
                    <w:rPr>
                      <w:color w:val="auto"/>
                      <w:sz w:val="18"/>
                      <w:szCs w:val="18"/>
                    </w:rPr>
                    <w:t>优化施工方案，作业区周围建截排水沟和沉砂池，落实水土流失防治措施；进行边坡防护；控制施工作业范围，减少植被破坏；运输道路进行硬化，施工完成后及时拆除临时设施，立即进行临时施工占地的植被恢复，再塑施工迹地</w:t>
                  </w:r>
                </w:p>
              </w:tc>
              <w:tc>
                <w:tcPr>
                  <w:tcW w:w="506" w:type="pct"/>
                  <w:vAlign w:val="center"/>
                </w:tcPr>
                <w:p>
                  <w:pPr>
                    <w:pStyle w:val="6"/>
                    <w:spacing w:after="0"/>
                    <w:ind w:left="-71" w:leftChars="-34" w:right="-71" w:rightChars="-34"/>
                    <w:jc w:val="center"/>
                    <w:rPr>
                      <w:bCs/>
                      <w:color w:val="auto"/>
                      <w:sz w:val="18"/>
                      <w:szCs w:val="18"/>
                    </w:rPr>
                  </w:pPr>
                  <w:r>
                    <w:rPr>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11" w:type="pct"/>
                  <w:vMerge w:val="restart"/>
                  <w:vAlign w:val="center"/>
                </w:tcPr>
                <w:p>
                  <w:pPr>
                    <w:ind w:left="-71" w:leftChars="-34" w:right="-71" w:rightChars="-34"/>
                    <w:jc w:val="center"/>
                    <w:rPr>
                      <w:color w:val="auto"/>
                      <w:sz w:val="18"/>
                      <w:szCs w:val="18"/>
                    </w:rPr>
                  </w:pPr>
                  <w:r>
                    <w:rPr>
                      <w:color w:val="auto"/>
                      <w:sz w:val="18"/>
                      <w:szCs w:val="18"/>
                    </w:rPr>
                    <w:t>营运期</w:t>
                  </w:r>
                </w:p>
              </w:tc>
              <w:tc>
                <w:tcPr>
                  <w:tcW w:w="305" w:type="pct"/>
                  <w:vMerge w:val="restart"/>
                  <w:vAlign w:val="center"/>
                </w:tcPr>
                <w:p>
                  <w:pPr>
                    <w:ind w:left="-71" w:leftChars="-34" w:right="-71" w:rightChars="-34"/>
                    <w:jc w:val="center"/>
                    <w:rPr>
                      <w:color w:val="auto"/>
                      <w:sz w:val="18"/>
                      <w:szCs w:val="18"/>
                    </w:rPr>
                  </w:pPr>
                  <w:r>
                    <w:rPr>
                      <w:color w:val="auto"/>
                      <w:sz w:val="18"/>
                      <w:szCs w:val="18"/>
                    </w:rPr>
                    <w:t>废气</w:t>
                  </w:r>
                </w:p>
              </w:tc>
              <w:tc>
                <w:tcPr>
                  <w:tcW w:w="3978" w:type="pct"/>
                  <w:vAlign w:val="center"/>
                </w:tcPr>
                <w:p>
                  <w:pPr>
                    <w:ind w:left="-71" w:leftChars="-34" w:right="-71" w:rightChars="-34"/>
                    <w:rPr>
                      <w:color w:val="auto"/>
                      <w:sz w:val="18"/>
                      <w:szCs w:val="18"/>
                    </w:rPr>
                  </w:pPr>
                  <w:r>
                    <w:rPr>
                      <w:color w:val="auto"/>
                      <w:sz w:val="18"/>
                      <w:szCs w:val="18"/>
                    </w:rPr>
                    <w:t>矿山配备雾炮机，采取湿法凿岩，选用自带收尘装置的钻孔机，爆破后及时采用雾炮机降尘，矿石采装前喷雾保湿；表土临时堆场设防尘网遮盖、大风天气洒水降尘，堆场表面播撒植被种子、临时绿化防护</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1" w:type="pct"/>
                  <w:vMerge w:val="continue"/>
                  <w:vAlign w:val="center"/>
                </w:tcPr>
                <w:p>
                  <w:pPr>
                    <w:ind w:left="-71" w:leftChars="-34" w:right="-71" w:rightChars="-34"/>
                    <w:jc w:val="center"/>
                    <w:rPr>
                      <w:color w:val="auto"/>
                      <w:sz w:val="18"/>
                      <w:szCs w:val="18"/>
                    </w:rPr>
                  </w:pPr>
                </w:p>
              </w:tc>
              <w:tc>
                <w:tcPr>
                  <w:tcW w:w="305" w:type="pct"/>
                  <w:vMerge w:val="continue"/>
                  <w:vAlign w:val="center"/>
                </w:tcPr>
                <w:p>
                  <w:pPr>
                    <w:ind w:left="-71" w:leftChars="-34" w:right="-71" w:rightChars="-34"/>
                    <w:jc w:val="center"/>
                    <w:rPr>
                      <w:color w:val="auto"/>
                      <w:sz w:val="18"/>
                      <w:szCs w:val="18"/>
                    </w:rPr>
                  </w:pPr>
                </w:p>
              </w:tc>
              <w:tc>
                <w:tcPr>
                  <w:tcW w:w="3978" w:type="pct"/>
                  <w:vAlign w:val="center"/>
                </w:tcPr>
                <w:p>
                  <w:pPr>
                    <w:ind w:left="-71" w:leftChars="-34" w:right="-71" w:rightChars="-34"/>
                    <w:rPr>
                      <w:color w:val="auto"/>
                      <w:sz w:val="18"/>
                      <w:szCs w:val="18"/>
                    </w:rPr>
                  </w:pPr>
                  <w:r>
                    <w:rPr>
                      <w:color w:val="auto"/>
                      <w:sz w:val="18"/>
                      <w:szCs w:val="18"/>
                    </w:rPr>
                    <w:t>生产区给料、破碎、筛分、整形等设备分别采用彩钢板封闭，形成密闭的生产车间；各环节矿石进、出料口上方均安装喷雾装置；在破碎机</w:t>
                  </w:r>
                  <w:r>
                    <w:rPr>
                      <w:rFonts w:hint="eastAsia"/>
                      <w:color w:val="auto"/>
                      <w:sz w:val="18"/>
                      <w:szCs w:val="18"/>
                    </w:rPr>
                    <w:t>设备所在区域设置封闭车间，</w:t>
                  </w:r>
                  <w:r>
                    <w:rPr>
                      <w:color w:val="auto"/>
                      <w:sz w:val="18"/>
                      <w:szCs w:val="18"/>
                    </w:rPr>
                    <w:t>进出料口</w:t>
                  </w:r>
                  <w:r>
                    <w:rPr>
                      <w:rFonts w:hint="eastAsia"/>
                      <w:color w:val="auto"/>
                      <w:sz w:val="18"/>
                      <w:szCs w:val="18"/>
                    </w:rPr>
                    <w:t>设置喷雾除尘</w:t>
                  </w:r>
                  <w:r>
                    <w:rPr>
                      <w:color w:val="auto"/>
                      <w:sz w:val="18"/>
                      <w:szCs w:val="18"/>
                    </w:rPr>
                    <w:t>；各设备落料口与皮带接口处安装柔性装置，皮带机采用平稳输送，输送皮带采用彩钢板全封闭</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11" w:type="pct"/>
                  <w:vMerge w:val="continue"/>
                  <w:vAlign w:val="center"/>
                </w:tcPr>
                <w:p>
                  <w:pPr>
                    <w:ind w:left="-71" w:leftChars="-34" w:right="-71" w:rightChars="-34"/>
                    <w:jc w:val="center"/>
                    <w:rPr>
                      <w:color w:val="auto"/>
                      <w:sz w:val="18"/>
                      <w:szCs w:val="18"/>
                    </w:rPr>
                  </w:pPr>
                </w:p>
              </w:tc>
              <w:tc>
                <w:tcPr>
                  <w:tcW w:w="305" w:type="pct"/>
                  <w:vMerge w:val="continue"/>
                  <w:vAlign w:val="center"/>
                </w:tcPr>
                <w:p>
                  <w:pPr>
                    <w:ind w:left="-71" w:leftChars="-34" w:right="-71" w:rightChars="-34"/>
                    <w:jc w:val="center"/>
                    <w:rPr>
                      <w:color w:val="auto"/>
                      <w:sz w:val="18"/>
                      <w:szCs w:val="18"/>
                    </w:rPr>
                  </w:pPr>
                </w:p>
              </w:tc>
              <w:tc>
                <w:tcPr>
                  <w:tcW w:w="3978" w:type="pct"/>
                  <w:vAlign w:val="center"/>
                </w:tcPr>
                <w:p>
                  <w:pPr>
                    <w:ind w:left="-71" w:leftChars="-34" w:right="-71" w:rightChars="-34"/>
                    <w:rPr>
                      <w:color w:val="auto"/>
                      <w:sz w:val="18"/>
                      <w:szCs w:val="18"/>
                    </w:rPr>
                  </w:pPr>
                  <w:r>
                    <w:rPr>
                      <w:color w:val="auto"/>
                      <w:sz w:val="18"/>
                      <w:szCs w:val="18"/>
                    </w:rPr>
                    <w:t>原</w:t>
                  </w:r>
                  <w:r>
                    <w:rPr>
                      <w:rFonts w:hint="eastAsia"/>
                      <w:color w:val="auto"/>
                      <w:sz w:val="18"/>
                      <w:szCs w:val="18"/>
                    </w:rPr>
                    <w:t>矿临时</w:t>
                  </w:r>
                  <w:r>
                    <w:rPr>
                      <w:color w:val="auto"/>
                      <w:sz w:val="18"/>
                      <w:szCs w:val="18"/>
                    </w:rPr>
                    <w:t>堆场全封闭，周围安装喷雾降尘装置；产品堆场四周建1.5m高围挡，内设置分隔围挡，周围安装喷雾降尘，堆放期间采用防尘网覆盖</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11" w:type="pct"/>
                  <w:vMerge w:val="continue"/>
                  <w:vAlign w:val="center"/>
                </w:tcPr>
                <w:p>
                  <w:pPr>
                    <w:ind w:left="-71" w:leftChars="-34" w:right="-71" w:rightChars="-34"/>
                    <w:jc w:val="center"/>
                    <w:rPr>
                      <w:color w:val="auto"/>
                      <w:sz w:val="18"/>
                      <w:szCs w:val="18"/>
                    </w:rPr>
                  </w:pPr>
                </w:p>
              </w:tc>
              <w:tc>
                <w:tcPr>
                  <w:tcW w:w="305" w:type="pct"/>
                  <w:vMerge w:val="continue"/>
                  <w:vAlign w:val="center"/>
                </w:tcPr>
                <w:p>
                  <w:pPr>
                    <w:ind w:left="-71" w:leftChars="-34" w:right="-71" w:rightChars="-34"/>
                    <w:jc w:val="center"/>
                    <w:rPr>
                      <w:color w:val="auto"/>
                      <w:sz w:val="18"/>
                      <w:szCs w:val="18"/>
                    </w:rPr>
                  </w:pPr>
                </w:p>
              </w:tc>
              <w:tc>
                <w:tcPr>
                  <w:tcW w:w="3978" w:type="pct"/>
                  <w:vAlign w:val="center"/>
                </w:tcPr>
                <w:p>
                  <w:pPr>
                    <w:ind w:left="-71" w:leftChars="-34" w:right="-71" w:rightChars="-34"/>
                    <w:rPr>
                      <w:color w:val="auto"/>
                      <w:sz w:val="18"/>
                      <w:szCs w:val="18"/>
                    </w:rPr>
                  </w:pPr>
                  <w:r>
                    <w:rPr>
                      <w:color w:val="auto"/>
                      <w:sz w:val="18"/>
                      <w:szCs w:val="18"/>
                    </w:rPr>
                    <w:t>矿山、生产区的运输道路硬化处理，道路一侧安装喷雾装置，对运输道路洒水降尘；场地进出口设车辆冲洗设施，安排专人对进出车辆进行冲洗；加强运输管理，车辆密闭运输，限制车速</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11" w:type="pct"/>
                  <w:vMerge w:val="continue"/>
                  <w:vAlign w:val="center"/>
                </w:tcPr>
                <w:p>
                  <w:pPr>
                    <w:ind w:left="-71" w:leftChars="-34" w:right="-71" w:rightChars="-34"/>
                    <w:jc w:val="center"/>
                    <w:rPr>
                      <w:color w:val="auto"/>
                      <w:sz w:val="18"/>
                      <w:szCs w:val="18"/>
                    </w:rPr>
                  </w:pPr>
                </w:p>
              </w:tc>
              <w:tc>
                <w:tcPr>
                  <w:tcW w:w="305" w:type="pct"/>
                  <w:vMerge w:val="continue"/>
                  <w:vAlign w:val="center"/>
                </w:tcPr>
                <w:p>
                  <w:pPr>
                    <w:ind w:left="-71" w:leftChars="-34" w:right="-71" w:rightChars="-34"/>
                    <w:jc w:val="center"/>
                    <w:rPr>
                      <w:color w:val="auto"/>
                      <w:sz w:val="18"/>
                      <w:szCs w:val="18"/>
                    </w:rPr>
                  </w:pPr>
                </w:p>
              </w:tc>
              <w:tc>
                <w:tcPr>
                  <w:tcW w:w="3978" w:type="pct"/>
                  <w:vAlign w:val="center"/>
                </w:tcPr>
                <w:p>
                  <w:pPr>
                    <w:ind w:left="-71" w:leftChars="-34" w:right="-71" w:rightChars="-34"/>
                    <w:rPr>
                      <w:color w:val="auto"/>
                      <w:sz w:val="18"/>
                      <w:szCs w:val="18"/>
                    </w:rPr>
                  </w:pPr>
                  <w:r>
                    <w:rPr>
                      <w:color w:val="auto"/>
                      <w:sz w:val="18"/>
                      <w:szCs w:val="18"/>
                    </w:rPr>
                    <w:t>安排专人负责喷洒设施的检修，避免喷头堵塞等，保证喷洒设施能够正常运行；督促</w:t>
                  </w:r>
                  <w:r>
                    <w:rPr>
                      <w:color w:val="auto"/>
                      <w:spacing w:val="-2"/>
                      <w:sz w:val="18"/>
                      <w:szCs w:val="18"/>
                    </w:rPr>
                    <w:t>现场工作人员</w:t>
                  </w:r>
                  <w:r>
                    <w:rPr>
                      <w:rFonts w:hint="eastAsia"/>
                      <w:color w:val="auto"/>
                      <w:spacing w:val="-2"/>
                      <w:sz w:val="18"/>
                      <w:szCs w:val="18"/>
                    </w:rPr>
                    <w:t>佩戴</w:t>
                  </w:r>
                  <w:r>
                    <w:rPr>
                      <w:color w:val="auto"/>
                      <w:spacing w:val="-2"/>
                      <w:sz w:val="18"/>
                      <w:szCs w:val="18"/>
                    </w:rPr>
                    <w:t>卫生防护用品，避免粉尘对职工健康造成影响</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1" w:type="pct"/>
                  <w:vMerge w:val="continue"/>
                  <w:vAlign w:val="center"/>
                </w:tcPr>
                <w:p>
                  <w:pPr>
                    <w:ind w:left="-71" w:leftChars="-34" w:right="-71" w:rightChars="-34"/>
                    <w:jc w:val="center"/>
                    <w:rPr>
                      <w:color w:val="auto"/>
                      <w:sz w:val="18"/>
                      <w:szCs w:val="18"/>
                    </w:rPr>
                  </w:pPr>
                </w:p>
              </w:tc>
              <w:tc>
                <w:tcPr>
                  <w:tcW w:w="305" w:type="pct"/>
                  <w:vMerge w:val="continue"/>
                  <w:vAlign w:val="center"/>
                </w:tcPr>
                <w:p>
                  <w:pPr>
                    <w:ind w:left="-71" w:leftChars="-34" w:right="-71" w:rightChars="-34"/>
                    <w:jc w:val="center"/>
                    <w:rPr>
                      <w:color w:val="auto"/>
                      <w:sz w:val="18"/>
                      <w:szCs w:val="18"/>
                    </w:rPr>
                  </w:pPr>
                </w:p>
              </w:tc>
              <w:tc>
                <w:tcPr>
                  <w:tcW w:w="3978" w:type="pct"/>
                  <w:vAlign w:val="center"/>
                </w:tcPr>
                <w:p>
                  <w:pPr>
                    <w:ind w:left="-71" w:leftChars="-34" w:right="-71" w:rightChars="-34"/>
                    <w:rPr>
                      <w:color w:val="auto"/>
                      <w:spacing w:val="-4"/>
                      <w:sz w:val="18"/>
                      <w:szCs w:val="18"/>
                    </w:rPr>
                  </w:pPr>
                  <w:r>
                    <w:rPr>
                      <w:color w:val="auto"/>
                      <w:spacing w:val="-4"/>
                      <w:sz w:val="18"/>
                      <w:szCs w:val="18"/>
                    </w:rPr>
                    <w:t>食堂安装</w:t>
                  </w:r>
                  <w:r>
                    <w:rPr>
                      <w:rFonts w:hint="eastAsia"/>
                      <w:color w:val="auto"/>
                      <w:spacing w:val="-4"/>
                      <w:sz w:val="18"/>
                      <w:szCs w:val="18"/>
                    </w:rPr>
                    <w:t>油烟净化器</w:t>
                  </w:r>
                  <w:r>
                    <w:rPr>
                      <w:color w:val="auto"/>
                      <w:spacing w:val="-4"/>
                      <w:sz w:val="18"/>
                      <w:szCs w:val="18"/>
                    </w:rPr>
                    <w:t>，净化处理后引至屋顶排放</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11" w:type="pct"/>
                  <w:vMerge w:val="continue"/>
                  <w:vAlign w:val="center"/>
                </w:tcPr>
                <w:p>
                  <w:pPr>
                    <w:pStyle w:val="6"/>
                    <w:spacing w:after="0"/>
                    <w:ind w:left="-71" w:leftChars="-34" w:right="-71" w:rightChars="-34"/>
                    <w:jc w:val="center"/>
                    <w:rPr>
                      <w:color w:val="auto"/>
                      <w:sz w:val="18"/>
                      <w:szCs w:val="18"/>
                    </w:rPr>
                  </w:pPr>
                </w:p>
              </w:tc>
              <w:tc>
                <w:tcPr>
                  <w:tcW w:w="305" w:type="pct"/>
                  <w:vMerge w:val="restart"/>
                  <w:vAlign w:val="center"/>
                </w:tcPr>
                <w:p>
                  <w:pPr>
                    <w:pStyle w:val="6"/>
                    <w:spacing w:after="0"/>
                    <w:ind w:left="-71" w:leftChars="-34" w:right="-71" w:rightChars="-34"/>
                    <w:jc w:val="center"/>
                    <w:rPr>
                      <w:color w:val="auto"/>
                      <w:sz w:val="18"/>
                      <w:szCs w:val="18"/>
                    </w:rPr>
                  </w:pPr>
                  <w:r>
                    <w:rPr>
                      <w:color w:val="auto"/>
                      <w:sz w:val="18"/>
                      <w:szCs w:val="18"/>
                    </w:rPr>
                    <w:t>废水</w:t>
                  </w:r>
                </w:p>
              </w:tc>
              <w:tc>
                <w:tcPr>
                  <w:tcW w:w="3978" w:type="pct"/>
                  <w:vAlign w:val="center"/>
                </w:tcPr>
                <w:p>
                  <w:pPr>
                    <w:ind w:left="-71" w:leftChars="-34" w:right="-71" w:rightChars="-34"/>
                    <w:rPr>
                      <w:color w:val="auto"/>
                      <w:sz w:val="18"/>
                      <w:szCs w:val="18"/>
                    </w:rPr>
                  </w:pPr>
                  <w:r>
                    <w:rPr>
                      <w:color w:val="auto"/>
                      <w:sz w:val="18"/>
                      <w:szCs w:val="18"/>
                    </w:rPr>
                    <w:t>在矿区北侧低洼处建初期雨水收集池，池体为半地下式钢筋混凝土结构，总容积约628m</w:t>
                  </w:r>
                  <w:r>
                    <w:rPr>
                      <w:color w:val="auto"/>
                      <w:sz w:val="18"/>
                      <w:szCs w:val="18"/>
                      <w:vertAlign w:val="superscript"/>
                    </w:rPr>
                    <w:t>3</w:t>
                  </w:r>
                  <w:r>
                    <w:rPr>
                      <w:color w:val="auto"/>
                      <w:sz w:val="18"/>
                      <w:szCs w:val="18"/>
                    </w:rPr>
                    <w:t>，在开采作业区周围建截排水沟</w:t>
                  </w:r>
                  <w:r>
                    <w:rPr>
                      <w:rFonts w:hint="eastAsia"/>
                      <w:color w:val="auto"/>
                      <w:sz w:val="18"/>
                      <w:szCs w:val="18"/>
                    </w:rPr>
                    <w:t>，</w:t>
                  </w:r>
                  <w:r>
                    <w:rPr>
                      <w:color w:val="auto"/>
                      <w:sz w:val="18"/>
                      <w:szCs w:val="18"/>
                    </w:rPr>
                    <w:t>收集矿区雨水沉淀后做生产防尘补充水</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11" w:type="pct"/>
                  <w:vMerge w:val="continue"/>
                  <w:vAlign w:val="center"/>
                </w:tcPr>
                <w:p>
                  <w:pPr>
                    <w:pStyle w:val="6"/>
                    <w:spacing w:after="0"/>
                    <w:ind w:left="-71" w:leftChars="-34" w:right="-71" w:rightChars="-34"/>
                    <w:jc w:val="center"/>
                    <w:rPr>
                      <w:color w:val="auto"/>
                      <w:sz w:val="18"/>
                      <w:szCs w:val="18"/>
                    </w:rPr>
                  </w:pPr>
                </w:p>
              </w:tc>
              <w:tc>
                <w:tcPr>
                  <w:tcW w:w="305" w:type="pct"/>
                  <w:vMerge w:val="continue"/>
                  <w:vAlign w:val="center"/>
                </w:tcPr>
                <w:p>
                  <w:pPr>
                    <w:pStyle w:val="6"/>
                    <w:spacing w:after="0"/>
                    <w:ind w:left="-71" w:leftChars="-34" w:right="-71" w:rightChars="-34"/>
                    <w:jc w:val="center"/>
                    <w:rPr>
                      <w:color w:val="auto"/>
                      <w:sz w:val="18"/>
                      <w:szCs w:val="18"/>
                    </w:rPr>
                  </w:pPr>
                </w:p>
              </w:tc>
              <w:tc>
                <w:tcPr>
                  <w:tcW w:w="3978" w:type="pct"/>
                  <w:vAlign w:val="center"/>
                </w:tcPr>
                <w:p>
                  <w:pPr>
                    <w:ind w:left="-71" w:leftChars="-34" w:right="-71" w:rightChars="-34"/>
                    <w:rPr>
                      <w:color w:val="auto"/>
                      <w:sz w:val="18"/>
                      <w:szCs w:val="18"/>
                    </w:rPr>
                  </w:pPr>
                  <w:r>
                    <w:rPr>
                      <w:color w:val="auto"/>
                      <w:sz w:val="18"/>
                      <w:szCs w:val="18"/>
                    </w:rPr>
                    <w:t>生产区洗砂区配套建设废水收集处理系统1套，采用“收集池+沉淀罐+压滤机+清水罐”的工艺，生产废水处理后全部回用</w:t>
                  </w:r>
                  <w:r>
                    <w:rPr>
                      <w:rFonts w:hint="eastAsia"/>
                      <w:color w:val="auto"/>
                      <w:sz w:val="18"/>
                      <w:szCs w:val="18"/>
                    </w:rPr>
                    <w:t>；生产区周围建雨水截排沟；场内建雨水收集沟</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11" w:type="pct"/>
                  <w:vMerge w:val="continue"/>
                  <w:vAlign w:val="center"/>
                </w:tcPr>
                <w:p>
                  <w:pPr>
                    <w:pStyle w:val="6"/>
                    <w:spacing w:after="0"/>
                    <w:ind w:left="-71" w:leftChars="-34" w:right="-71" w:rightChars="-34"/>
                    <w:jc w:val="center"/>
                    <w:rPr>
                      <w:color w:val="auto"/>
                      <w:sz w:val="18"/>
                      <w:szCs w:val="18"/>
                    </w:rPr>
                  </w:pPr>
                </w:p>
              </w:tc>
              <w:tc>
                <w:tcPr>
                  <w:tcW w:w="305" w:type="pct"/>
                  <w:vMerge w:val="continue"/>
                  <w:vAlign w:val="center"/>
                </w:tcPr>
                <w:p>
                  <w:pPr>
                    <w:pStyle w:val="6"/>
                    <w:spacing w:after="0"/>
                    <w:ind w:left="-71" w:leftChars="-34" w:right="-71" w:rightChars="-34"/>
                    <w:jc w:val="center"/>
                    <w:rPr>
                      <w:color w:val="auto"/>
                      <w:sz w:val="18"/>
                      <w:szCs w:val="18"/>
                    </w:rPr>
                  </w:pPr>
                </w:p>
              </w:tc>
              <w:tc>
                <w:tcPr>
                  <w:tcW w:w="3978" w:type="pct"/>
                  <w:vAlign w:val="center"/>
                </w:tcPr>
                <w:p>
                  <w:pPr>
                    <w:ind w:left="-71" w:leftChars="-34" w:right="-71" w:rightChars="-34"/>
                    <w:rPr>
                      <w:color w:val="auto"/>
                      <w:sz w:val="18"/>
                      <w:szCs w:val="18"/>
                    </w:rPr>
                  </w:pPr>
                  <w:r>
                    <w:rPr>
                      <w:color w:val="auto"/>
                      <w:sz w:val="18"/>
                      <w:szCs w:val="18"/>
                    </w:rPr>
                    <w:t>在矿区和生产区出入口的车辆冲洗平台旁分别设冲洗水沉淀池，处理后循环利用不外排</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11" w:type="pct"/>
                  <w:vMerge w:val="continue"/>
                  <w:vAlign w:val="center"/>
                </w:tcPr>
                <w:p>
                  <w:pPr>
                    <w:pStyle w:val="6"/>
                    <w:spacing w:after="0"/>
                    <w:ind w:left="-71" w:leftChars="-34" w:right="-71" w:rightChars="-34"/>
                    <w:jc w:val="center"/>
                    <w:rPr>
                      <w:color w:val="auto"/>
                      <w:sz w:val="18"/>
                      <w:szCs w:val="18"/>
                    </w:rPr>
                  </w:pPr>
                </w:p>
              </w:tc>
              <w:tc>
                <w:tcPr>
                  <w:tcW w:w="305" w:type="pct"/>
                  <w:vMerge w:val="continue"/>
                  <w:vAlign w:val="center"/>
                </w:tcPr>
                <w:p>
                  <w:pPr>
                    <w:pStyle w:val="6"/>
                    <w:spacing w:after="0"/>
                    <w:ind w:left="-71" w:leftChars="-34" w:right="-71" w:rightChars="-34"/>
                    <w:jc w:val="center"/>
                    <w:rPr>
                      <w:color w:val="auto"/>
                      <w:sz w:val="18"/>
                      <w:szCs w:val="18"/>
                    </w:rPr>
                  </w:pPr>
                </w:p>
              </w:tc>
              <w:tc>
                <w:tcPr>
                  <w:tcW w:w="3978" w:type="pct"/>
                  <w:vAlign w:val="center"/>
                </w:tcPr>
                <w:p>
                  <w:pPr>
                    <w:ind w:left="-71" w:leftChars="-34" w:right="-71" w:rightChars="-34"/>
                    <w:rPr>
                      <w:color w:val="auto"/>
                      <w:sz w:val="18"/>
                      <w:szCs w:val="18"/>
                    </w:rPr>
                  </w:pPr>
                  <w:r>
                    <w:rPr>
                      <w:color w:val="auto"/>
                      <w:sz w:val="18"/>
                      <w:szCs w:val="18"/>
                    </w:rPr>
                    <w:t>矿区生活污水</w:t>
                  </w:r>
                  <w:r>
                    <w:rPr>
                      <w:rFonts w:hint="eastAsia"/>
                      <w:color w:val="auto"/>
                      <w:sz w:val="18"/>
                      <w:szCs w:val="18"/>
                    </w:rPr>
                    <w:t>建设一体化污水处理设施（处理量1</w:t>
                  </w:r>
                  <w:r>
                    <w:rPr>
                      <w:color w:val="auto"/>
                      <w:sz w:val="18"/>
                      <w:szCs w:val="18"/>
                    </w:rPr>
                    <w:t>0</w:t>
                  </w:r>
                  <w:r>
                    <w:rPr>
                      <w:rFonts w:hint="eastAsia"/>
                      <w:color w:val="auto"/>
                      <w:sz w:val="18"/>
                      <w:szCs w:val="18"/>
                    </w:rPr>
                    <w:t>m³</w:t>
                  </w:r>
                  <w:r>
                    <w:rPr>
                      <w:color w:val="auto"/>
                      <w:sz w:val="18"/>
                      <w:szCs w:val="18"/>
                    </w:rPr>
                    <w:t>/</w:t>
                  </w:r>
                  <w:r>
                    <w:rPr>
                      <w:rFonts w:hint="eastAsia"/>
                      <w:color w:val="auto"/>
                      <w:sz w:val="18"/>
                      <w:szCs w:val="18"/>
                    </w:rPr>
                    <w:t>d，处理工艺为初沉+接触氧化+二沉）</w:t>
                  </w:r>
                  <w:r>
                    <w:rPr>
                      <w:color w:val="auto"/>
                      <w:sz w:val="18"/>
                      <w:szCs w:val="18"/>
                    </w:rPr>
                    <w:t>收集</w:t>
                  </w:r>
                  <w:r>
                    <w:rPr>
                      <w:rFonts w:hint="eastAsia"/>
                      <w:color w:val="auto"/>
                      <w:sz w:val="18"/>
                      <w:szCs w:val="18"/>
                    </w:rPr>
                    <w:t>处理后用作农地灌溉</w:t>
                  </w:r>
                  <w:r>
                    <w:rPr>
                      <w:color w:val="auto"/>
                      <w:sz w:val="18"/>
                      <w:szCs w:val="18"/>
                    </w:rPr>
                    <w:t>；生产区生活污水</w:t>
                  </w:r>
                  <w:r>
                    <w:rPr>
                      <w:rFonts w:hint="eastAsia"/>
                      <w:color w:val="auto"/>
                      <w:sz w:val="18"/>
                      <w:szCs w:val="18"/>
                    </w:rPr>
                    <w:t>建设一体化污水处理设施（处理量1</w:t>
                  </w:r>
                  <w:r>
                    <w:rPr>
                      <w:color w:val="auto"/>
                      <w:sz w:val="18"/>
                      <w:szCs w:val="18"/>
                    </w:rPr>
                    <w:t>0</w:t>
                  </w:r>
                  <w:r>
                    <w:rPr>
                      <w:rFonts w:hint="eastAsia"/>
                      <w:color w:val="auto"/>
                      <w:sz w:val="18"/>
                      <w:szCs w:val="18"/>
                    </w:rPr>
                    <w:t>m³</w:t>
                  </w:r>
                  <w:r>
                    <w:rPr>
                      <w:color w:val="auto"/>
                      <w:sz w:val="18"/>
                      <w:szCs w:val="18"/>
                    </w:rPr>
                    <w:t>/</w:t>
                  </w:r>
                  <w:r>
                    <w:rPr>
                      <w:rFonts w:hint="eastAsia"/>
                      <w:color w:val="auto"/>
                      <w:sz w:val="18"/>
                      <w:szCs w:val="18"/>
                    </w:rPr>
                    <w:t>d，处理工艺为初沉+接触氧化+二沉）</w:t>
                  </w:r>
                  <w:r>
                    <w:rPr>
                      <w:color w:val="auto"/>
                      <w:sz w:val="18"/>
                      <w:szCs w:val="18"/>
                    </w:rPr>
                    <w:t>收集</w:t>
                  </w:r>
                  <w:r>
                    <w:rPr>
                      <w:rFonts w:hint="eastAsia"/>
                      <w:color w:val="auto"/>
                      <w:sz w:val="18"/>
                      <w:szCs w:val="18"/>
                    </w:rPr>
                    <w:t>处理后用作农地灌溉</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11" w:type="pct"/>
                  <w:vMerge w:val="continue"/>
                  <w:vAlign w:val="center"/>
                </w:tcPr>
                <w:p>
                  <w:pPr>
                    <w:ind w:left="-71" w:leftChars="-34" w:right="-71" w:rightChars="-34"/>
                    <w:jc w:val="center"/>
                    <w:rPr>
                      <w:color w:val="auto"/>
                      <w:sz w:val="18"/>
                      <w:szCs w:val="18"/>
                    </w:rPr>
                  </w:pPr>
                </w:p>
              </w:tc>
              <w:tc>
                <w:tcPr>
                  <w:tcW w:w="305" w:type="pct"/>
                  <w:vAlign w:val="center"/>
                </w:tcPr>
                <w:p>
                  <w:pPr>
                    <w:ind w:left="-71" w:leftChars="-34" w:right="-71" w:rightChars="-34"/>
                    <w:jc w:val="center"/>
                    <w:rPr>
                      <w:color w:val="auto"/>
                      <w:sz w:val="18"/>
                      <w:szCs w:val="18"/>
                    </w:rPr>
                  </w:pPr>
                  <w:r>
                    <w:rPr>
                      <w:color w:val="auto"/>
                      <w:sz w:val="18"/>
                      <w:szCs w:val="18"/>
                    </w:rPr>
                    <w:t>噪声</w:t>
                  </w:r>
                </w:p>
              </w:tc>
              <w:tc>
                <w:tcPr>
                  <w:tcW w:w="3978" w:type="pct"/>
                  <w:vAlign w:val="center"/>
                </w:tcPr>
                <w:p>
                  <w:pPr>
                    <w:ind w:left="-71" w:leftChars="-34" w:right="-71" w:rightChars="-34"/>
                    <w:rPr>
                      <w:color w:val="auto"/>
                      <w:sz w:val="18"/>
                      <w:szCs w:val="18"/>
                    </w:rPr>
                  </w:pPr>
                  <w:r>
                    <w:rPr>
                      <w:color w:val="auto"/>
                      <w:sz w:val="18"/>
                      <w:szCs w:val="18"/>
                    </w:rPr>
                    <w:t>尽量选择低噪声设备，固定设备设置在封闭的车间，设备安装基础减振，加强机械设备的维护保养，避免高噪声运行；空压机等设置专用的房间；合理安排爆破、生产及运输作业时间</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11" w:type="pct"/>
                  <w:vMerge w:val="continue"/>
                  <w:vAlign w:val="center"/>
                </w:tcPr>
                <w:p>
                  <w:pPr>
                    <w:pStyle w:val="6"/>
                    <w:spacing w:after="0"/>
                    <w:ind w:left="-71" w:leftChars="-34" w:right="-71" w:rightChars="-34"/>
                    <w:jc w:val="center"/>
                    <w:rPr>
                      <w:color w:val="auto"/>
                      <w:sz w:val="18"/>
                      <w:szCs w:val="18"/>
                    </w:rPr>
                  </w:pPr>
                </w:p>
              </w:tc>
              <w:tc>
                <w:tcPr>
                  <w:tcW w:w="305" w:type="pct"/>
                  <w:vMerge w:val="restart"/>
                  <w:vAlign w:val="center"/>
                </w:tcPr>
                <w:p>
                  <w:pPr>
                    <w:pStyle w:val="6"/>
                    <w:spacing w:after="0"/>
                    <w:ind w:left="-71" w:leftChars="-34" w:right="-71" w:rightChars="-34"/>
                    <w:jc w:val="center"/>
                    <w:rPr>
                      <w:color w:val="auto"/>
                      <w:sz w:val="18"/>
                      <w:szCs w:val="18"/>
                    </w:rPr>
                  </w:pPr>
                  <w:r>
                    <w:rPr>
                      <w:color w:val="auto"/>
                      <w:sz w:val="18"/>
                      <w:szCs w:val="18"/>
                    </w:rPr>
                    <w:t>固体废物</w:t>
                  </w:r>
                </w:p>
              </w:tc>
              <w:tc>
                <w:tcPr>
                  <w:tcW w:w="3978" w:type="pct"/>
                  <w:vAlign w:val="center"/>
                </w:tcPr>
                <w:p>
                  <w:pPr>
                    <w:ind w:left="-71" w:leftChars="-34" w:right="-71" w:rightChars="-34"/>
                    <w:rPr>
                      <w:color w:val="auto"/>
                      <w:sz w:val="18"/>
                      <w:szCs w:val="18"/>
                    </w:rPr>
                  </w:pPr>
                  <w:r>
                    <w:rPr>
                      <w:color w:val="auto"/>
                      <w:sz w:val="18"/>
                      <w:szCs w:val="18"/>
                    </w:rPr>
                    <w:t>剥离的表土、植被枝丫：设置临时堆放场，及时用于采空区复垦，在临时堆场周围设置挡土墙，四周设排水沟渠，并对其表面采取临时绿化、覆盖和洒水等临时防尘措施，堆场底部建设防洪和排水设施，临空面修建拦渣坝（墙）；尾矿与原矿一起及时送至生产区作为原料加工利用，矿区不设尾矿库</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1" w:type="pct"/>
                  <w:vMerge w:val="continue"/>
                  <w:vAlign w:val="center"/>
                </w:tcPr>
                <w:p>
                  <w:pPr>
                    <w:pStyle w:val="6"/>
                    <w:spacing w:after="0"/>
                    <w:ind w:left="-71" w:leftChars="-34" w:right="-71" w:rightChars="-34"/>
                    <w:jc w:val="center"/>
                    <w:rPr>
                      <w:color w:val="auto"/>
                      <w:sz w:val="18"/>
                      <w:szCs w:val="18"/>
                    </w:rPr>
                  </w:pPr>
                </w:p>
              </w:tc>
              <w:tc>
                <w:tcPr>
                  <w:tcW w:w="305" w:type="pct"/>
                  <w:vMerge w:val="continue"/>
                  <w:vAlign w:val="center"/>
                </w:tcPr>
                <w:p>
                  <w:pPr>
                    <w:pStyle w:val="6"/>
                    <w:spacing w:after="0"/>
                    <w:ind w:left="-71" w:leftChars="-34" w:right="-71" w:rightChars="-34"/>
                    <w:jc w:val="center"/>
                    <w:rPr>
                      <w:color w:val="auto"/>
                      <w:sz w:val="18"/>
                      <w:szCs w:val="18"/>
                    </w:rPr>
                  </w:pPr>
                </w:p>
              </w:tc>
              <w:tc>
                <w:tcPr>
                  <w:tcW w:w="3978" w:type="pct"/>
                  <w:vAlign w:val="center"/>
                </w:tcPr>
                <w:p>
                  <w:pPr>
                    <w:ind w:left="-71" w:leftChars="-34" w:right="-71" w:rightChars="-34"/>
                    <w:rPr>
                      <w:color w:val="auto"/>
                      <w:sz w:val="18"/>
                      <w:szCs w:val="18"/>
                    </w:rPr>
                  </w:pPr>
                  <w:r>
                    <w:rPr>
                      <w:color w:val="auto"/>
                      <w:sz w:val="18"/>
                      <w:szCs w:val="18"/>
                    </w:rPr>
                    <w:t>沉淀</w:t>
                  </w:r>
                  <w:r>
                    <w:rPr>
                      <w:rFonts w:hint="eastAsia"/>
                      <w:color w:val="auto"/>
                      <w:sz w:val="18"/>
                      <w:szCs w:val="18"/>
                    </w:rPr>
                    <w:t>底泥（泥饼）</w:t>
                  </w:r>
                  <w:r>
                    <w:rPr>
                      <w:color w:val="auto"/>
                      <w:sz w:val="18"/>
                      <w:szCs w:val="18"/>
                    </w:rPr>
                    <w:t>：生产区配套3台压滤机，干化</w:t>
                  </w:r>
                  <w:r>
                    <w:rPr>
                      <w:rFonts w:hint="eastAsia"/>
                      <w:color w:val="auto"/>
                      <w:sz w:val="18"/>
                      <w:szCs w:val="18"/>
                    </w:rPr>
                    <w:t>后的泥饼</w:t>
                  </w:r>
                  <w:r>
                    <w:rPr>
                      <w:color w:val="auto"/>
                      <w:sz w:val="18"/>
                      <w:szCs w:val="18"/>
                    </w:rPr>
                    <w:t>暂存在压滤机下方（20m</w:t>
                  </w:r>
                  <w:r>
                    <w:rPr>
                      <w:color w:val="auto"/>
                      <w:sz w:val="18"/>
                      <w:szCs w:val="18"/>
                      <w:vertAlign w:val="superscript"/>
                    </w:rPr>
                    <w:t>2</w:t>
                  </w:r>
                  <w:r>
                    <w:rPr>
                      <w:color w:val="auto"/>
                      <w:sz w:val="18"/>
                      <w:szCs w:val="18"/>
                    </w:rPr>
                    <w:t>），暂存池四周建不低于0.5m的挡墙，并建设防雨设施；定期运至矿山回填采空区；矿区沉淀池定期清理，暂存在表土临时堆场，后期用于采空区覆土</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11" w:type="pct"/>
                  <w:vMerge w:val="continue"/>
                  <w:vAlign w:val="center"/>
                </w:tcPr>
                <w:p>
                  <w:pPr>
                    <w:pStyle w:val="6"/>
                    <w:spacing w:after="0"/>
                    <w:ind w:left="-71" w:leftChars="-34" w:right="-71" w:rightChars="-34"/>
                    <w:jc w:val="center"/>
                    <w:rPr>
                      <w:color w:val="auto"/>
                      <w:sz w:val="18"/>
                      <w:szCs w:val="18"/>
                    </w:rPr>
                  </w:pPr>
                </w:p>
              </w:tc>
              <w:tc>
                <w:tcPr>
                  <w:tcW w:w="305" w:type="pct"/>
                  <w:vMerge w:val="continue"/>
                  <w:vAlign w:val="center"/>
                </w:tcPr>
                <w:p>
                  <w:pPr>
                    <w:pStyle w:val="6"/>
                    <w:spacing w:after="0"/>
                    <w:ind w:left="-71" w:leftChars="-34" w:right="-71" w:rightChars="-34"/>
                    <w:jc w:val="center"/>
                    <w:rPr>
                      <w:color w:val="auto"/>
                      <w:sz w:val="18"/>
                      <w:szCs w:val="18"/>
                    </w:rPr>
                  </w:pPr>
                </w:p>
              </w:tc>
              <w:tc>
                <w:tcPr>
                  <w:tcW w:w="3978" w:type="pct"/>
                  <w:vAlign w:val="center"/>
                </w:tcPr>
                <w:p>
                  <w:pPr>
                    <w:ind w:left="-71" w:leftChars="-34" w:right="-71" w:rightChars="-34"/>
                    <w:rPr>
                      <w:color w:val="auto"/>
                      <w:sz w:val="18"/>
                      <w:szCs w:val="18"/>
                    </w:rPr>
                  </w:pPr>
                  <w:r>
                    <w:rPr>
                      <w:color w:val="auto"/>
                      <w:sz w:val="18"/>
                      <w:szCs w:val="18"/>
                    </w:rPr>
                    <w:t>废矿物油</w:t>
                  </w:r>
                  <w:r>
                    <w:rPr>
                      <w:rFonts w:hint="eastAsia"/>
                      <w:color w:val="auto"/>
                      <w:sz w:val="18"/>
                      <w:szCs w:val="18"/>
                    </w:rPr>
                    <w:t>、废油桶</w:t>
                  </w:r>
                  <w:r>
                    <w:rPr>
                      <w:color w:val="auto"/>
                      <w:sz w:val="18"/>
                      <w:szCs w:val="18"/>
                    </w:rPr>
                    <w:t>：设</w:t>
                  </w:r>
                  <w:r>
                    <w:rPr>
                      <w:rFonts w:hint="eastAsia"/>
                      <w:color w:val="auto"/>
                      <w:sz w:val="18"/>
                      <w:szCs w:val="18"/>
                    </w:rPr>
                    <w:t>1个</w:t>
                  </w:r>
                  <w:r>
                    <w:rPr>
                      <w:color w:val="auto"/>
                      <w:sz w:val="18"/>
                      <w:szCs w:val="18"/>
                    </w:rPr>
                    <w:t>危废间收集暂存，</w:t>
                  </w:r>
                  <w:r>
                    <w:rPr>
                      <w:rFonts w:hint="eastAsia"/>
                      <w:color w:val="auto"/>
                      <w:sz w:val="18"/>
                      <w:szCs w:val="18"/>
                    </w:rPr>
                    <w:t>采取</w:t>
                  </w:r>
                  <w:r>
                    <w:rPr>
                      <w:color w:val="auto"/>
                      <w:sz w:val="18"/>
                      <w:szCs w:val="18"/>
                    </w:rPr>
                    <w:t>“防风、防雨、防晒、防渗漏”的四防措施，并委托有资质的单位回收处置，执行转移联单制度</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1" w:type="pct"/>
                  <w:vMerge w:val="continue"/>
                  <w:vAlign w:val="center"/>
                </w:tcPr>
                <w:p>
                  <w:pPr>
                    <w:pStyle w:val="6"/>
                    <w:spacing w:after="0"/>
                    <w:ind w:left="-71" w:leftChars="-34" w:right="-71" w:rightChars="-34"/>
                    <w:jc w:val="center"/>
                    <w:rPr>
                      <w:color w:val="auto"/>
                      <w:sz w:val="18"/>
                      <w:szCs w:val="18"/>
                    </w:rPr>
                  </w:pPr>
                </w:p>
              </w:tc>
              <w:tc>
                <w:tcPr>
                  <w:tcW w:w="305" w:type="pct"/>
                  <w:vMerge w:val="continue"/>
                  <w:vAlign w:val="center"/>
                </w:tcPr>
                <w:p>
                  <w:pPr>
                    <w:pStyle w:val="6"/>
                    <w:spacing w:after="0"/>
                    <w:ind w:left="-71" w:leftChars="-34" w:right="-71" w:rightChars="-34"/>
                    <w:jc w:val="center"/>
                    <w:rPr>
                      <w:color w:val="auto"/>
                      <w:sz w:val="18"/>
                      <w:szCs w:val="18"/>
                    </w:rPr>
                  </w:pPr>
                </w:p>
              </w:tc>
              <w:tc>
                <w:tcPr>
                  <w:tcW w:w="3978" w:type="pct"/>
                  <w:vAlign w:val="center"/>
                </w:tcPr>
                <w:p>
                  <w:pPr>
                    <w:ind w:left="-71" w:leftChars="-34" w:right="-71" w:rightChars="-34"/>
                    <w:rPr>
                      <w:color w:val="auto"/>
                      <w:sz w:val="18"/>
                      <w:szCs w:val="18"/>
                    </w:rPr>
                  </w:pPr>
                  <w:r>
                    <w:rPr>
                      <w:color w:val="auto"/>
                      <w:sz w:val="18"/>
                      <w:szCs w:val="18"/>
                    </w:rPr>
                    <w:t>生活垃圾：设垃圾桶收集，及时运至附近场镇生活垃圾收集点</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1" w:type="pct"/>
                  <w:vMerge w:val="continue"/>
                  <w:vAlign w:val="center"/>
                </w:tcPr>
                <w:p>
                  <w:pPr>
                    <w:pStyle w:val="6"/>
                    <w:spacing w:after="0"/>
                    <w:ind w:left="-71" w:leftChars="-34" w:right="-71" w:rightChars="-34"/>
                    <w:jc w:val="center"/>
                    <w:rPr>
                      <w:color w:val="auto"/>
                      <w:sz w:val="18"/>
                      <w:szCs w:val="18"/>
                    </w:rPr>
                  </w:pPr>
                </w:p>
              </w:tc>
              <w:tc>
                <w:tcPr>
                  <w:tcW w:w="305" w:type="pct"/>
                  <w:vMerge w:val="restart"/>
                  <w:vAlign w:val="center"/>
                </w:tcPr>
                <w:p>
                  <w:pPr>
                    <w:pStyle w:val="6"/>
                    <w:spacing w:after="0"/>
                    <w:ind w:left="-71" w:leftChars="-34" w:right="-71" w:rightChars="-34"/>
                    <w:jc w:val="center"/>
                    <w:rPr>
                      <w:color w:val="auto"/>
                      <w:sz w:val="18"/>
                      <w:szCs w:val="18"/>
                    </w:rPr>
                  </w:pPr>
                  <w:r>
                    <w:rPr>
                      <w:color w:val="auto"/>
                      <w:sz w:val="18"/>
                      <w:szCs w:val="18"/>
                    </w:rPr>
                    <w:t>生态环境</w:t>
                  </w:r>
                </w:p>
              </w:tc>
              <w:tc>
                <w:tcPr>
                  <w:tcW w:w="3978" w:type="pct"/>
                  <w:vAlign w:val="center"/>
                </w:tcPr>
                <w:p>
                  <w:pPr>
                    <w:ind w:left="-71" w:leftChars="-34" w:right="-71" w:rightChars="-34"/>
                    <w:rPr>
                      <w:color w:val="auto"/>
                      <w:sz w:val="18"/>
                      <w:szCs w:val="18"/>
                    </w:rPr>
                  </w:pPr>
                  <w:r>
                    <w:rPr>
                      <w:color w:val="auto"/>
                      <w:sz w:val="18"/>
                      <w:szCs w:val="18"/>
                    </w:rPr>
                    <w:t>开采期间：禁止扩大建设和采矿区域，对开采最终形成的台面及暂时不动用的台面，要及时进行覆土绿化。开采作业面及各台阶设置排水沟，并加强管理维护，避免堵塞造成采场积水；在矿区北面低洼处设雨水沉淀池，采场径流水沉淀处理后回</w:t>
                  </w:r>
                  <w:r>
                    <w:rPr>
                      <w:rFonts w:hint="eastAsia"/>
                      <w:color w:val="auto"/>
                      <w:sz w:val="18"/>
                      <w:szCs w:val="18"/>
                    </w:rPr>
                    <w:t>用作生产</w:t>
                  </w:r>
                  <w:r>
                    <w:rPr>
                      <w:color w:val="auto"/>
                      <w:sz w:val="18"/>
                      <w:szCs w:val="18"/>
                    </w:rPr>
                    <w:t>用水</w:t>
                  </w:r>
                  <w:r>
                    <w:rPr>
                      <w:rFonts w:hint="eastAsia"/>
                      <w:color w:val="auto"/>
                      <w:sz w:val="18"/>
                      <w:szCs w:val="18"/>
                    </w:rPr>
                    <w:t>；一个台阶开采结束后，立即进行生态恢复，再开始下一台阶的开采</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11" w:type="pct"/>
                  <w:vMerge w:val="continue"/>
                  <w:vAlign w:val="center"/>
                </w:tcPr>
                <w:p>
                  <w:pPr>
                    <w:pStyle w:val="6"/>
                    <w:spacing w:after="0"/>
                    <w:ind w:left="-71" w:leftChars="-34" w:right="-71" w:rightChars="-34"/>
                    <w:jc w:val="center"/>
                    <w:rPr>
                      <w:color w:val="auto"/>
                      <w:sz w:val="18"/>
                      <w:szCs w:val="18"/>
                    </w:rPr>
                  </w:pPr>
                </w:p>
              </w:tc>
              <w:tc>
                <w:tcPr>
                  <w:tcW w:w="305" w:type="pct"/>
                  <w:vMerge w:val="continue"/>
                  <w:vAlign w:val="center"/>
                </w:tcPr>
                <w:p>
                  <w:pPr>
                    <w:pStyle w:val="6"/>
                    <w:spacing w:after="0"/>
                    <w:ind w:left="-71" w:leftChars="-34" w:right="-71" w:rightChars="-34"/>
                    <w:jc w:val="center"/>
                    <w:rPr>
                      <w:color w:val="auto"/>
                      <w:sz w:val="18"/>
                      <w:szCs w:val="18"/>
                    </w:rPr>
                  </w:pPr>
                </w:p>
              </w:tc>
              <w:tc>
                <w:tcPr>
                  <w:tcW w:w="3978" w:type="pct"/>
                  <w:vAlign w:val="center"/>
                </w:tcPr>
                <w:p>
                  <w:pPr>
                    <w:ind w:left="-71" w:leftChars="-34" w:right="-71" w:rightChars="-34"/>
                    <w:rPr>
                      <w:color w:val="auto"/>
                      <w:sz w:val="18"/>
                      <w:szCs w:val="18"/>
                    </w:rPr>
                  </w:pPr>
                  <w:r>
                    <w:rPr>
                      <w:color w:val="auto"/>
                      <w:sz w:val="18"/>
                      <w:szCs w:val="18"/>
                    </w:rPr>
                    <w:t>开采后期及</w:t>
                  </w:r>
                  <w:r>
                    <w:rPr>
                      <w:color w:val="auto"/>
                      <w:spacing w:val="-2"/>
                      <w:sz w:val="18"/>
                      <w:szCs w:val="18"/>
                    </w:rPr>
                    <w:t>闭矿期：</w:t>
                  </w:r>
                  <w:r>
                    <w:rPr>
                      <w:color w:val="auto"/>
                      <w:sz w:val="18"/>
                      <w:szCs w:val="18"/>
                    </w:rPr>
                    <w:t>对采空区及时进行回填，</w:t>
                  </w:r>
                  <w:r>
                    <w:rPr>
                      <w:color w:val="auto"/>
                      <w:spacing w:val="-2"/>
                      <w:sz w:val="18"/>
                      <w:szCs w:val="18"/>
                    </w:rPr>
                    <w:t>利用剥离的表土进行植被恢复；加强边坡防护防止发生崩塌，地面生产区、生活区等占地区域进行迹地恢复；采取场地平整、植被恢复等生态恢复工作等</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1000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11" w:type="pct"/>
                  <w:vMerge w:val="continue"/>
                  <w:vAlign w:val="center"/>
                </w:tcPr>
                <w:p>
                  <w:pPr>
                    <w:pStyle w:val="6"/>
                    <w:spacing w:after="0"/>
                    <w:ind w:left="-71" w:leftChars="-34" w:right="-71" w:rightChars="-34"/>
                    <w:jc w:val="center"/>
                    <w:rPr>
                      <w:color w:val="auto"/>
                      <w:sz w:val="18"/>
                      <w:szCs w:val="18"/>
                    </w:rPr>
                  </w:pPr>
                </w:p>
              </w:tc>
              <w:tc>
                <w:tcPr>
                  <w:tcW w:w="305" w:type="pct"/>
                  <w:vMerge w:val="continue"/>
                  <w:vAlign w:val="center"/>
                </w:tcPr>
                <w:p>
                  <w:pPr>
                    <w:pStyle w:val="6"/>
                    <w:spacing w:after="0"/>
                    <w:ind w:left="-71" w:leftChars="-34" w:right="-71" w:rightChars="-34"/>
                    <w:jc w:val="center"/>
                    <w:rPr>
                      <w:color w:val="auto"/>
                      <w:sz w:val="18"/>
                      <w:szCs w:val="18"/>
                    </w:rPr>
                  </w:pPr>
                </w:p>
              </w:tc>
              <w:tc>
                <w:tcPr>
                  <w:tcW w:w="3978" w:type="pct"/>
                  <w:vAlign w:val="center"/>
                </w:tcPr>
                <w:p>
                  <w:pPr>
                    <w:pStyle w:val="6"/>
                    <w:spacing w:after="0"/>
                    <w:ind w:left="-71" w:leftChars="-34" w:right="-71" w:rightChars="-34"/>
                    <w:jc w:val="center"/>
                    <w:rPr>
                      <w:color w:val="auto"/>
                      <w:sz w:val="18"/>
                      <w:szCs w:val="18"/>
                    </w:rPr>
                  </w:pPr>
                  <w:r>
                    <w:rPr>
                      <w:color w:val="auto"/>
                      <w:sz w:val="18"/>
                      <w:szCs w:val="18"/>
                    </w:rPr>
                    <w:t>制作环境、生态保护宣传牌</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211" w:type="pct"/>
                  <w:vMerge w:val="continue"/>
                  <w:vAlign w:val="center"/>
                </w:tcPr>
                <w:p>
                  <w:pPr>
                    <w:pStyle w:val="6"/>
                    <w:spacing w:after="0"/>
                    <w:ind w:left="-71" w:leftChars="-34" w:right="-71" w:rightChars="-34"/>
                    <w:jc w:val="center"/>
                    <w:rPr>
                      <w:color w:val="auto"/>
                      <w:sz w:val="18"/>
                      <w:szCs w:val="18"/>
                    </w:rPr>
                  </w:pPr>
                </w:p>
              </w:tc>
              <w:tc>
                <w:tcPr>
                  <w:tcW w:w="305" w:type="pct"/>
                  <w:vAlign w:val="center"/>
                </w:tcPr>
                <w:p>
                  <w:pPr>
                    <w:ind w:left="-71" w:leftChars="-34" w:right="-71" w:rightChars="-34"/>
                    <w:rPr>
                      <w:color w:val="auto"/>
                      <w:spacing w:val="-2"/>
                      <w:sz w:val="18"/>
                      <w:szCs w:val="18"/>
                    </w:rPr>
                  </w:pPr>
                  <w:r>
                    <w:rPr>
                      <w:color w:val="auto"/>
                      <w:spacing w:val="-2"/>
                      <w:sz w:val="18"/>
                      <w:szCs w:val="18"/>
                    </w:rPr>
                    <w:t>环境风险</w:t>
                  </w:r>
                </w:p>
              </w:tc>
              <w:tc>
                <w:tcPr>
                  <w:tcW w:w="3978" w:type="pct"/>
                  <w:vAlign w:val="center"/>
                </w:tcPr>
                <w:p>
                  <w:pPr>
                    <w:ind w:left="-71" w:leftChars="-34" w:right="-71" w:rightChars="-34"/>
                    <w:rPr>
                      <w:color w:val="auto"/>
                      <w:spacing w:val="-2"/>
                      <w:sz w:val="18"/>
                      <w:szCs w:val="18"/>
                    </w:rPr>
                  </w:pPr>
                  <w:r>
                    <w:rPr>
                      <w:color w:val="auto"/>
                      <w:sz w:val="18"/>
                      <w:szCs w:val="18"/>
                    </w:rPr>
                    <w:t>规范表土临时堆场的建设，堆场底部建设防洪和排水设施，临空面修建拦渣坝（墙），加强隐患排查，避免溃坝事故发生；</w:t>
                  </w:r>
                  <w:r>
                    <w:rPr>
                      <w:rFonts w:hint="eastAsia"/>
                      <w:color w:val="auto"/>
                      <w:sz w:val="18"/>
                      <w:szCs w:val="18"/>
                    </w:rPr>
                    <w:t>及时对采取边坡进行防护、复绿，确保其稳定；</w:t>
                  </w:r>
                  <w:r>
                    <w:rPr>
                      <w:color w:val="auto"/>
                      <w:sz w:val="18"/>
                      <w:szCs w:val="18"/>
                    </w:rPr>
                    <w:t>规范危废暂存间的建设，采取四防措施，设防渗围堰，配备一定数量的消防器材，设置明显的标识、标牌，严禁烟火等；加强废水处理设施的维护管理工作，避免发生废水事故外排；厂区采取防渗分区，危废暂存间按重点防渗要求建设</w:t>
                  </w:r>
                </w:p>
              </w:tc>
              <w:tc>
                <w:tcPr>
                  <w:tcW w:w="506" w:type="pct"/>
                  <w:vAlign w:val="center"/>
                </w:tcPr>
                <w:p>
                  <w:pPr>
                    <w:ind w:left="-71" w:leftChars="-34" w:right="-71" w:rightChars="-34"/>
                    <w:jc w:val="center"/>
                    <w:rPr>
                      <w:color w:val="auto"/>
                      <w:spacing w:val="-2"/>
                      <w:sz w:val="18"/>
                      <w:szCs w:val="18"/>
                    </w:rPr>
                  </w:pPr>
                  <w:r>
                    <w:rPr>
                      <w:color w:val="auto"/>
                      <w:spacing w:val="-2"/>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494" w:type="pct"/>
                  <w:gridSpan w:val="3"/>
                  <w:vAlign w:val="center"/>
                </w:tcPr>
                <w:p>
                  <w:pPr>
                    <w:pStyle w:val="6"/>
                    <w:spacing w:after="0"/>
                    <w:ind w:left="-71" w:leftChars="-34" w:right="-71" w:rightChars="-34"/>
                    <w:jc w:val="center"/>
                    <w:rPr>
                      <w:color w:val="auto"/>
                      <w:sz w:val="18"/>
                      <w:szCs w:val="18"/>
                    </w:rPr>
                  </w:pPr>
                  <w:r>
                    <w:rPr>
                      <w:color w:val="auto"/>
                      <w:sz w:val="18"/>
                      <w:szCs w:val="18"/>
                    </w:rPr>
                    <w:t>合计</w:t>
                  </w:r>
                </w:p>
              </w:tc>
              <w:tc>
                <w:tcPr>
                  <w:tcW w:w="506" w:type="pct"/>
                  <w:vAlign w:val="center"/>
                </w:tcPr>
                <w:p>
                  <w:pPr>
                    <w:pStyle w:val="6"/>
                    <w:spacing w:after="0"/>
                    <w:ind w:left="-71" w:leftChars="-34" w:right="-71" w:rightChars="-34"/>
                    <w:jc w:val="center"/>
                    <w:rPr>
                      <w:color w:val="auto"/>
                      <w:sz w:val="18"/>
                      <w:szCs w:val="18"/>
                    </w:rPr>
                  </w:pPr>
                  <w:r>
                    <w:rPr>
                      <w:color w:val="auto"/>
                      <w:sz w:val="18"/>
                      <w:szCs w:val="18"/>
                    </w:rPr>
                    <w:t>1509</w:t>
                  </w:r>
                </w:p>
              </w:tc>
            </w:tr>
          </w:tbl>
          <w:p>
            <w:pPr>
              <w:adjustRightInd w:val="0"/>
              <w:snapToGrid w:val="0"/>
              <w:spacing w:line="360" w:lineRule="auto"/>
              <w:ind w:firstLine="420" w:firstLineChars="200"/>
              <w:rPr>
                <w:color w:val="auto"/>
                <w:szCs w:val="22"/>
              </w:rPr>
            </w:pPr>
          </w:p>
          <w:p>
            <w:pPr>
              <w:rPr>
                <w:color w:val="auto"/>
              </w:rPr>
            </w:pPr>
          </w:p>
          <w:p>
            <w:pPr>
              <w:rPr>
                <w:color w:val="auto"/>
              </w:rPr>
            </w:pPr>
          </w:p>
        </w:tc>
      </w:tr>
    </w:tbl>
    <w:p>
      <w:pPr>
        <w:rPr>
          <w:color w:val="auto"/>
        </w:rPr>
        <w:sectPr>
          <w:pgSz w:w="11907" w:h="16840"/>
          <w:pgMar w:top="1440" w:right="1797" w:bottom="1440" w:left="1797" w:header="851" w:footer="1077" w:gutter="0"/>
          <w:cols w:space="720" w:num="1"/>
          <w:docGrid w:linePitch="312" w:charSpace="0"/>
        </w:sectPr>
      </w:pPr>
    </w:p>
    <w:p>
      <w:pPr>
        <w:pStyle w:val="1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六、生态环境保护措施监督检查清单</w:t>
      </w:r>
    </w:p>
    <w:tbl>
      <w:tblPr>
        <w:tblStyle w:val="14"/>
        <w:tblW w:w="548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2347"/>
        <w:gridCol w:w="1896"/>
        <w:gridCol w:w="2999"/>
        <w:gridCol w:w="13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Merge w:val="restart"/>
            <w:tcBorders>
              <w:tl2br w:val="single" w:color="auto" w:sz="4" w:space="0"/>
            </w:tcBorders>
          </w:tcPr>
          <w:p>
            <w:pPr>
              <w:pStyle w:val="12"/>
              <w:adjustRightInd w:val="0"/>
              <w:snapToGrid w:val="0"/>
              <w:spacing w:before="72" w:beforeLines="30" w:beforeAutospacing="0" w:after="0" w:afterAutospacing="0"/>
              <w:jc w:val="center"/>
              <w:outlineLvl w:val="0"/>
              <w:rPr>
                <w:rFonts w:ascii="黑体" w:hAnsi="黑体" w:eastAsia="黑体" w:cs="宋体"/>
                <w:color w:val="auto"/>
                <w:kern w:val="2"/>
                <w:sz w:val="135"/>
                <w:szCs w:val="21"/>
              </w:rPr>
            </w:pPr>
            <w:r>
              <w:rPr>
                <w:rFonts w:hint="eastAsia" w:ascii="黑体" w:hAnsi="黑体" w:eastAsia="黑体" w:cs="宋体"/>
                <w:color w:val="auto"/>
                <w:kern w:val="2"/>
                <w:sz w:val="21"/>
                <w:szCs w:val="21"/>
              </w:rPr>
              <w:t xml:space="preserve">               </w:t>
            </w:r>
            <w:r>
              <w:rPr>
                <w:rFonts w:ascii="黑体" w:hAnsi="黑体" w:eastAsia="黑体" w:cs="宋体"/>
                <w:color w:val="auto"/>
                <w:kern w:val="2"/>
                <w:sz w:val="21"/>
                <w:szCs w:val="21"/>
              </w:rPr>
              <w:t xml:space="preserve">                    </w:t>
            </w:r>
            <w:r>
              <w:rPr>
                <w:rFonts w:hint="eastAsia" w:ascii="黑体" w:hAnsi="黑体" w:eastAsia="黑体" w:cs="宋体"/>
                <w:color w:val="auto"/>
                <w:kern w:val="2"/>
                <w:sz w:val="21"/>
                <w:szCs w:val="21"/>
              </w:rPr>
              <w:t xml:space="preserve">内容 </w:t>
            </w:r>
            <w:r>
              <w:rPr>
                <w:rFonts w:hint="eastAsia" w:ascii="黑体" w:hAnsi="黑体" w:eastAsia="黑体" w:cs="宋体"/>
                <w:color w:val="auto"/>
                <w:kern w:val="2"/>
                <w:sz w:val="135"/>
                <w:szCs w:val="21"/>
              </w:rPr>
              <w:t xml:space="preserve"> </w:t>
            </w:r>
          </w:p>
          <w:p>
            <w:pPr>
              <w:pStyle w:val="12"/>
              <w:adjustRightInd w:val="0"/>
              <w:snapToGrid w:val="0"/>
              <w:spacing w:before="0" w:beforeAutospacing="0" w:after="0" w:afterAutospacing="0"/>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要素</w:t>
            </w:r>
          </w:p>
        </w:tc>
        <w:tc>
          <w:tcPr>
            <w:tcW w:w="2269" w:type="pct"/>
            <w:gridSpan w:val="2"/>
            <w:vAlign w:val="center"/>
          </w:tcPr>
          <w:p>
            <w:pPr>
              <w:pStyle w:val="12"/>
              <w:adjustRightInd w:val="0"/>
              <w:snapToGrid w:val="0"/>
              <w:spacing w:before="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施工期</w:t>
            </w:r>
          </w:p>
        </w:tc>
        <w:tc>
          <w:tcPr>
            <w:tcW w:w="2307" w:type="pct"/>
            <w:gridSpan w:val="2"/>
            <w:vAlign w:val="center"/>
          </w:tcPr>
          <w:p>
            <w:pPr>
              <w:pStyle w:val="12"/>
              <w:adjustRightInd w:val="0"/>
              <w:snapToGrid w:val="0"/>
              <w:spacing w:before="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Merge w:val="continue"/>
          </w:tcPr>
          <w:p>
            <w:pPr>
              <w:pStyle w:val="12"/>
              <w:adjustRightInd w:val="0"/>
              <w:snapToGrid w:val="0"/>
              <w:spacing w:before="0" w:beforeAutospacing="0" w:after="0" w:afterAutospacing="0"/>
              <w:ind w:firstLine="840"/>
              <w:jc w:val="center"/>
              <w:outlineLvl w:val="0"/>
              <w:rPr>
                <w:rFonts w:ascii="黑体" w:hAnsi="黑体" w:eastAsia="黑体" w:cs="宋体"/>
                <w:color w:val="auto"/>
                <w:kern w:val="2"/>
                <w:sz w:val="21"/>
                <w:szCs w:val="21"/>
              </w:rPr>
            </w:pPr>
          </w:p>
        </w:tc>
        <w:tc>
          <w:tcPr>
            <w:tcW w:w="1255" w:type="pct"/>
            <w:vAlign w:val="center"/>
          </w:tcPr>
          <w:p>
            <w:pPr>
              <w:pStyle w:val="12"/>
              <w:adjustRightInd w:val="0"/>
              <w:snapToGrid w:val="0"/>
              <w:spacing w:before="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环境保护措施</w:t>
            </w:r>
          </w:p>
        </w:tc>
        <w:tc>
          <w:tcPr>
            <w:tcW w:w="1014" w:type="pct"/>
            <w:vAlign w:val="center"/>
          </w:tcPr>
          <w:p>
            <w:pPr>
              <w:pStyle w:val="12"/>
              <w:adjustRightInd w:val="0"/>
              <w:snapToGrid w:val="0"/>
              <w:spacing w:before="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验收要求</w:t>
            </w:r>
          </w:p>
        </w:tc>
        <w:tc>
          <w:tcPr>
            <w:tcW w:w="1604" w:type="pct"/>
            <w:vAlign w:val="center"/>
          </w:tcPr>
          <w:p>
            <w:pPr>
              <w:pStyle w:val="12"/>
              <w:adjustRightInd w:val="0"/>
              <w:snapToGrid w:val="0"/>
              <w:spacing w:before="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环境保护措施</w:t>
            </w:r>
          </w:p>
        </w:tc>
        <w:tc>
          <w:tcPr>
            <w:tcW w:w="703" w:type="pct"/>
            <w:vAlign w:val="center"/>
          </w:tcPr>
          <w:p>
            <w:pPr>
              <w:pStyle w:val="12"/>
              <w:adjustRightInd w:val="0"/>
              <w:snapToGrid w:val="0"/>
              <w:spacing w:before="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陆生生态</w:t>
            </w:r>
          </w:p>
        </w:tc>
        <w:tc>
          <w:tcPr>
            <w:tcW w:w="1255" w:type="pct"/>
            <w:vAlign w:val="center"/>
          </w:tcPr>
          <w:p>
            <w:pPr>
              <w:adjustRightInd w:val="0"/>
              <w:snapToGrid w:val="0"/>
              <w:rPr>
                <w:rFonts w:ascii="宋体" w:hAnsi="宋体" w:cs="宋体"/>
                <w:color w:val="auto"/>
                <w:szCs w:val="21"/>
              </w:rPr>
            </w:pPr>
            <w:r>
              <w:rPr>
                <w:rFonts w:hint="eastAsia"/>
                <w:color w:val="auto"/>
              </w:rPr>
              <w:t>（1）优化施工方案、设排水沟和沉砂池，落实水土流失防治措施；（2）对形成的边坡进行防护；（3）运输道路及时采取水泥硬化，施工完成后立即进行临时占地的植被恢复；（4）及时拆除临时设施，再塑施工迹地</w:t>
            </w:r>
          </w:p>
        </w:tc>
        <w:tc>
          <w:tcPr>
            <w:tcW w:w="1014"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604" w:type="pct"/>
            <w:vAlign w:val="center"/>
          </w:tcPr>
          <w:p>
            <w:pPr>
              <w:adjustRightInd w:val="0"/>
              <w:snapToGrid w:val="0"/>
              <w:rPr>
                <w:rFonts w:ascii="宋体" w:hAnsi="宋体" w:cs="宋体"/>
                <w:color w:val="auto"/>
                <w:szCs w:val="21"/>
              </w:rPr>
            </w:pPr>
            <w:r>
              <w:rPr>
                <w:rFonts w:hint="eastAsia"/>
                <w:color w:val="auto"/>
              </w:rPr>
              <w:t>（1）严格控制开采作业面，禁止扩大采矿区域；（2）对开采最终形成的台面及暂时不动用的台面，及时进行覆土绿化；（3）矿区周围设截排水沟，避免外围雨水汇入采场内；（4）采场北侧低洼处设雨水沉淀池，采场初期雨水沉淀处理后回用作生产用水；（5）加强采场排水设施的管理维护，避免堵塞造成采场积水（6）及时对采空区进行回填、对开采形成的边坡及裸露平台进行防护；（7）开展闭矿期生态恢复工作，对采场、生产区地面设施设备及时拆除，开展生态恢复</w:t>
            </w:r>
          </w:p>
        </w:tc>
        <w:tc>
          <w:tcPr>
            <w:tcW w:w="703" w:type="pct"/>
            <w:vAlign w:val="center"/>
          </w:tcPr>
          <w:p>
            <w:pPr>
              <w:adjustRightInd w:val="0"/>
              <w:snapToGrid w:val="0"/>
              <w:rPr>
                <w:rFonts w:ascii="宋体" w:hAnsi="宋体" w:cs="宋体"/>
                <w:color w:val="auto"/>
                <w:szCs w:val="21"/>
              </w:rPr>
            </w:pPr>
            <w:r>
              <w:rPr>
                <w:rFonts w:hint="eastAsia" w:ascii="宋体" w:hAnsi="宋体" w:cs="宋体"/>
                <w:color w:val="auto"/>
                <w:szCs w:val="21"/>
              </w:rPr>
              <w:t>按生态和水土保持措施实施方案进行验收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水生生态</w:t>
            </w:r>
          </w:p>
        </w:tc>
        <w:tc>
          <w:tcPr>
            <w:tcW w:w="1255"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014"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604" w:type="pct"/>
            <w:vAlign w:val="center"/>
          </w:tcPr>
          <w:p>
            <w:pPr>
              <w:adjustRightInd w:val="0"/>
              <w:snapToGrid w:val="0"/>
              <w:rPr>
                <w:rFonts w:ascii="宋体" w:hAnsi="宋体" w:cs="宋体"/>
                <w:color w:val="auto"/>
                <w:szCs w:val="21"/>
              </w:rPr>
            </w:pPr>
            <w:r>
              <w:rPr>
                <w:rFonts w:hint="eastAsia"/>
                <w:color w:val="auto"/>
              </w:rPr>
              <w:t>/</w:t>
            </w:r>
          </w:p>
        </w:tc>
        <w:tc>
          <w:tcPr>
            <w:tcW w:w="703"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地表水环境</w:t>
            </w:r>
          </w:p>
        </w:tc>
        <w:tc>
          <w:tcPr>
            <w:tcW w:w="1255" w:type="pct"/>
            <w:vAlign w:val="center"/>
          </w:tcPr>
          <w:p>
            <w:pPr>
              <w:adjustRightInd w:val="0"/>
              <w:snapToGrid w:val="0"/>
              <w:rPr>
                <w:rFonts w:ascii="宋体" w:hAnsi="宋体" w:cs="宋体"/>
                <w:color w:val="auto"/>
                <w:szCs w:val="21"/>
              </w:rPr>
            </w:pPr>
            <w:r>
              <w:rPr>
                <w:rFonts w:hint="eastAsia" w:ascii="宋体" w:hAnsi="宋体" w:cs="宋体"/>
                <w:color w:val="auto"/>
                <w:szCs w:val="21"/>
              </w:rPr>
              <w:t>（1）施工场地设排水沟和沉砂池，废水应回用；（2）生活污水经预处理池处理后作农肥使用</w:t>
            </w:r>
          </w:p>
        </w:tc>
        <w:tc>
          <w:tcPr>
            <w:tcW w:w="1014" w:type="pct"/>
            <w:vAlign w:val="center"/>
          </w:tcPr>
          <w:p>
            <w:pPr>
              <w:adjustRightInd w:val="0"/>
              <w:snapToGrid w:val="0"/>
              <w:rPr>
                <w:rFonts w:ascii="宋体" w:hAnsi="宋体" w:cs="宋体"/>
                <w:color w:val="auto"/>
                <w:szCs w:val="21"/>
              </w:rPr>
            </w:pPr>
            <w:r>
              <w:rPr>
                <w:rFonts w:hint="eastAsia" w:ascii="宋体" w:hAnsi="宋体" w:cs="宋体"/>
                <w:color w:val="auto"/>
                <w:szCs w:val="21"/>
              </w:rPr>
              <w:t>未发生废水乱排污染地表水情况</w:t>
            </w:r>
          </w:p>
        </w:tc>
        <w:tc>
          <w:tcPr>
            <w:tcW w:w="1604" w:type="pct"/>
            <w:vAlign w:val="center"/>
          </w:tcPr>
          <w:p>
            <w:pPr>
              <w:adjustRightInd w:val="0"/>
              <w:snapToGrid w:val="0"/>
              <w:rPr>
                <w:rFonts w:ascii="宋体" w:hAnsi="宋体" w:cs="宋体"/>
                <w:color w:val="auto"/>
                <w:szCs w:val="21"/>
              </w:rPr>
            </w:pPr>
            <w:r>
              <w:rPr>
                <w:rFonts w:hint="eastAsia" w:ascii="宋体" w:hAnsi="宋体" w:cs="宋体"/>
                <w:color w:val="auto"/>
                <w:kern w:val="0"/>
                <w:szCs w:val="21"/>
              </w:rPr>
              <w:t>（1）在矿区东北侧低洼处设雨水沉淀池，容积约</w:t>
            </w:r>
            <w:r>
              <w:rPr>
                <w:rFonts w:ascii="宋体" w:hAnsi="宋体" w:cs="宋体"/>
                <w:color w:val="auto"/>
                <w:kern w:val="0"/>
                <w:szCs w:val="21"/>
              </w:rPr>
              <w:t>30</w:t>
            </w:r>
            <w:r>
              <w:rPr>
                <w:rFonts w:hint="eastAsia" w:ascii="宋体" w:hAnsi="宋体" w:cs="宋体"/>
                <w:color w:val="auto"/>
                <w:kern w:val="0"/>
                <w:szCs w:val="21"/>
              </w:rPr>
              <w:t>0m³，沉淀处理后做生产防尘补充水；（2）加工区配套建设生产废水处理设施，采用“收集池+沉淀罐+压滤机+清水罐”的工艺，生产废水处理后全部回用；（3）矿区、生产区车辆冲洗平台旁分别设沉淀池，处理后回用不外排；（4）矿区生活污水建设一体化污水处理设施（处理量10m³/d，处理工艺为初沉+接触氧化+二沉）收集处理后用作农地灌溉；生产区生活污水建设一体化污水处理设施（处理量10m³/d，处理工艺为初沉+接触氧化+二沉）收集处理后用作农地灌溉</w:t>
            </w:r>
          </w:p>
        </w:tc>
        <w:tc>
          <w:tcPr>
            <w:tcW w:w="703" w:type="pct"/>
            <w:vAlign w:val="center"/>
          </w:tcPr>
          <w:p>
            <w:pPr>
              <w:adjustRightInd w:val="0"/>
              <w:snapToGrid w:val="0"/>
              <w:jc w:val="left"/>
              <w:rPr>
                <w:rFonts w:ascii="宋体" w:hAnsi="宋体" w:cs="宋体"/>
                <w:color w:val="auto"/>
                <w:szCs w:val="21"/>
              </w:rPr>
            </w:pPr>
            <w:r>
              <w:rPr>
                <w:rFonts w:hint="eastAsia" w:ascii="宋体" w:hAnsi="宋体" w:cs="宋体"/>
                <w:color w:val="auto"/>
                <w:szCs w:val="21"/>
              </w:rPr>
              <w:t>综合利用，不外排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地下水及土壤环境</w:t>
            </w:r>
          </w:p>
        </w:tc>
        <w:tc>
          <w:tcPr>
            <w:tcW w:w="1255"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014"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604"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703"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声环境</w:t>
            </w:r>
          </w:p>
        </w:tc>
        <w:tc>
          <w:tcPr>
            <w:tcW w:w="1255" w:type="pct"/>
            <w:vAlign w:val="center"/>
          </w:tcPr>
          <w:p>
            <w:pPr>
              <w:adjustRightInd w:val="0"/>
              <w:snapToGrid w:val="0"/>
              <w:rPr>
                <w:rFonts w:ascii="宋体" w:hAnsi="宋体" w:cs="宋体"/>
                <w:color w:val="auto"/>
                <w:szCs w:val="21"/>
              </w:rPr>
            </w:pPr>
            <w:r>
              <w:rPr>
                <w:rFonts w:hint="eastAsia" w:ascii="宋体" w:hAnsi="宋体" w:cs="宋体"/>
                <w:bCs/>
                <w:color w:val="auto"/>
                <w:spacing w:val="10"/>
                <w:szCs w:val="21"/>
              </w:rPr>
              <w:t>（1）选用低噪声施工机械、降低声源；（2）施工机械合理布局、加强维护保养；（3）合理安排工期、禁止夜间进行高噪声作业</w:t>
            </w:r>
          </w:p>
        </w:tc>
        <w:tc>
          <w:tcPr>
            <w:tcW w:w="1014" w:type="pct"/>
            <w:vAlign w:val="center"/>
          </w:tcPr>
          <w:p>
            <w:pPr>
              <w:adjustRightInd w:val="0"/>
              <w:snapToGrid w:val="0"/>
              <w:jc w:val="left"/>
              <w:rPr>
                <w:rFonts w:ascii="宋体" w:hAnsi="宋体" w:cs="宋体"/>
                <w:color w:val="auto"/>
                <w:szCs w:val="21"/>
              </w:rPr>
            </w:pPr>
            <w:r>
              <w:rPr>
                <w:rFonts w:hint="eastAsia" w:ascii="宋体" w:hAnsi="宋体" w:cs="宋体"/>
                <w:color w:val="auto"/>
                <w:szCs w:val="21"/>
              </w:rPr>
              <w:t>满足《建筑施工场界环境噪声排放标准》（GB12523-2011）标准限值要求</w:t>
            </w:r>
          </w:p>
        </w:tc>
        <w:tc>
          <w:tcPr>
            <w:tcW w:w="1604" w:type="pct"/>
            <w:vAlign w:val="center"/>
          </w:tcPr>
          <w:p>
            <w:pPr>
              <w:adjustRightInd w:val="0"/>
              <w:snapToGrid w:val="0"/>
              <w:rPr>
                <w:rFonts w:ascii="宋体" w:hAnsi="宋体" w:cs="宋体"/>
                <w:color w:val="auto"/>
                <w:szCs w:val="21"/>
              </w:rPr>
            </w:pPr>
            <w:r>
              <w:rPr>
                <w:rFonts w:hint="eastAsia" w:ascii="宋体" w:hAnsi="宋体" w:cs="宋体"/>
                <w:color w:val="auto"/>
                <w:szCs w:val="21"/>
              </w:rPr>
              <w:t>（1）尽量选择低噪声设备，固定设备设置在封闭的车间，设备安装基础减振，（2）加强机械设备的维护保养，避免高噪声运行；（3）空压机等设置专用的房间；（4）合理安排爆破、生产及运输作业时间</w:t>
            </w:r>
          </w:p>
        </w:tc>
        <w:tc>
          <w:tcPr>
            <w:tcW w:w="703" w:type="pct"/>
            <w:vAlign w:val="center"/>
          </w:tcPr>
          <w:p>
            <w:pPr>
              <w:adjustRightInd w:val="0"/>
              <w:snapToGrid w:val="0"/>
              <w:jc w:val="left"/>
              <w:rPr>
                <w:rFonts w:ascii="宋体" w:hAnsi="宋体" w:cs="宋体"/>
                <w:color w:val="auto"/>
                <w:szCs w:val="21"/>
              </w:rPr>
            </w:pPr>
            <w:r>
              <w:rPr>
                <w:rFonts w:hint="eastAsia" w:ascii="宋体" w:hAnsi="宋体" w:cs="宋体"/>
                <w:color w:val="auto"/>
                <w:szCs w:val="21"/>
              </w:rPr>
              <w:t>达标排放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振动</w:t>
            </w:r>
          </w:p>
        </w:tc>
        <w:tc>
          <w:tcPr>
            <w:tcW w:w="1255"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014"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604"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703"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大气环境</w:t>
            </w:r>
          </w:p>
        </w:tc>
        <w:tc>
          <w:tcPr>
            <w:tcW w:w="1255" w:type="pct"/>
            <w:vAlign w:val="center"/>
          </w:tcPr>
          <w:p>
            <w:pPr>
              <w:adjustRightInd w:val="0"/>
              <w:snapToGrid w:val="0"/>
              <w:rPr>
                <w:rFonts w:ascii="宋体" w:hAnsi="宋体" w:cs="宋体"/>
                <w:color w:val="auto"/>
                <w:szCs w:val="21"/>
              </w:rPr>
            </w:pPr>
            <w:r>
              <w:rPr>
                <w:rFonts w:hint="eastAsia" w:ascii="宋体" w:hAnsi="宋体" w:cs="宋体"/>
                <w:bCs/>
                <w:color w:val="auto"/>
                <w:spacing w:val="10"/>
                <w:szCs w:val="21"/>
              </w:rPr>
              <w:t>（1）施工场地设雾炮机除尘；（2）开挖表土设置临时堆场妥善堆存，采取覆盖、洒水等防尘措施；（3）尽快完成施工道路的硬化；（4）车辆进出口设冲洗设施，运输车辆遮盖</w:t>
            </w:r>
          </w:p>
        </w:tc>
        <w:tc>
          <w:tcPr>
            <w:tcW w:w="1014" w:type="pct"/>
            <w:vAlign w:val="center"/>
          </w:tcPr>
          <w:p>
            <w:pPr>
              <w:adjustRightInd w:val="0"/>
              <w:snapToGrid w:val="0"/>
              <w:jc w:val="left"/>
              <w:rPr>
                <w:rFonts w:ascii="宋体" w:hAnsi="宋体" w:cs="宋体"/>
                <w:color w:val="auto"/>
                <w:szCs w:val="21"/>
              </w:rPr>
            </w:pPr>
            <w:r>
              <w:rPr>
                <w:rFonts w:hint="eastAsia" w:ascii="宋体" w:hAnsi="宋体" w:cs="宋体"/>
                <w:color w:val="auto"/>
                <w:szCs w:val="21"/>
              </w:rPr>
              <w:t>满足四川省施工场地扬尘排放标准》（DB51/2682 -2020）表1中达州市限值要求</w:t>
            </w:r>
          </w:p>
        </w:tc>
        <w:tc>
          <w:tcPr>
            <w:tcW w:w="1604" w:type="pct"/>
            <w:vAlign w:val="center"/>
          </w:tcPr>
          <w:p>
            <w:pPr>
              <w:adjustRightInd w:val="0"/>
              <w:snapToGrid w:val="0"/>
              <w:rPr>
                <w:rFonts w:ascii="宋体" w:hAnsi="宋体" w:cs="宋体"/>
                <w:color w:val="auto"/>
                <w:szCs w:val="21"/>
              </w:rPr>
            </w:pPr>
            <w:r>
              <w:rPr>
                <w:rFonts w:hint="eastAsia" w:ascii="宋体" w:hAnsi="宋体" w:cs="宋体"/>
                <w:color w:val="auto"/>
                <w:szCs w:val="21"/>
              </w:rPr>
              <w:t>（1）矿山配备雾炮机，采取湿法凿岩，选用自带收尘装置的钻孔机，爆破后及时采用雾炮机降尘，矿石采装前喷雾保湿；表土临时堆场设防尘网遮盖、大风天气洒水降尘，或在堆场表面播撒植被种子、临时绿化防护；（2）生产区各设备分别采用彩钢板封闭，形成密闭的生产车间；给料机进料口上方、整形机等进出口上方安装喷雾装置；在破碎机设备所在区域设置封闭车间，进出料口设置喷雾降尘设施；在筛分机处设置冲水设施；各设备落料口与皮带接口处安装柔性装置，皮带机采用平稳输送，输送皮带采用彩钢板全封闭；（3）原矿堆场采用彩钢板封闭，堆场四周安装喷雾装置；产品堆场周围建1.5m高围挡，四周安装喷雾装置，减少堆放量，堆放期间采用防尘网覆盖；（4）矿山、生产区的运输道路硬化处理，道路一侧安装喷雾装置，对运输道路洒水降尘；场地进出口设车辆冲洗设施，安排专人对进出车辆进行冲洗；加强运输管理，车辆密闭运输，限制车速；（5）食堂安装油烟净化器，净化处理后引至屋顶排放</w:t>
            </w:r>
          </w:p>
        </w:tc>
        <w:tc>
          <w:tcPr>
            <w:tcW w:w="703" w:type="pct"/>
            <w:vAlign w:val="center"/>
          </w:tcPr>
          <w:p>
            <w:pPr>
              <w:adjustRightInd w:val="0"/>
              <w:snapToGrid w:val="0"/>
              <w:rPr>
                <w:rFonts w:ascii="宋体" w:hAnsi="宋体" w:cs="宋体"/>
                <w:color w:val="auto"/>
                <w:szCs w:val="21"/>
              </w:rPr>
            </w:pPr>
            <w:r>
              <w:rPr>
                <w:rFonts w:hint="eastAsia" w:ascii="宋体" w:hAnsi="宋体" w:cs="宋体"/>
                <w:color w:val="auto"/>
                <w:szCs w:val="21"/>
              </w:rPr>
              <w:t>减少对环境影响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Merge w:val="restar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固体废物</w:t>
            </w:r>
          </w:p>
        </w:tc>
        <w:tc>
          <w:tcPr>
            <w:tcW w:w="1255" w:type="pct"/>
            <w:vMerge w:val="restart"/>
            <w:vAlign w:val="center"/>
          </w:tcPr>
          <w:p>
            <w:pPr>
              <w:adjustRightInd w:val="0"/>
              <w:snapToGrid w:val="0"/>
              <w:rPr>
                <w:rFonts w:ascii="宋体" w:hAnsi="宋体" w:cs="宋体"/>
                <w:color w:val="auto"/>
                <w:szCs w:val="21"/>
              </w:rPr>
            </w:pPr>
            <w:r>
              <w:rPr>
                <w:rFonts w:hint="eastAsia" w:ascii="宋体" w:hAnsi="宋体" w:cs="宋体"/>
                <w:color w:val="auto"/>
                <w:szCs w:val="21"/>
              </w:rPr>
              <w:t>表土临时堆场底部建设防洪和排水设施，临空面修建拦渣坝（墙）；植被枝丫送至</w:t>
            </w:r>
            <w:r>
              <w:rPr>
                <w:rFonts w:hint="eastAsia" w:ascii="宋体" w:hAnsi="宋体" w:cs="宋体"/>
                <w:color w:val="auto"/>
                <w:kern w:val="0"/>
                <w:szCs w:val="21"/>
              </w:rPr>
              <w:t>废料弃土场地</w:t>
            </w:r>
            <w:r>
              <w:rPr>
                <w:rFonts w:hint="eastAsia" w:ascii="宋体" w:hAnsi="宋体" w:cs="宋体"/>
                <w:color w:val="auto"/>
                <w:szCs w:val="21"/>
              </w:rPr>
              <w:t>堆存。废石等在施工现场回填；建筑垃圾采取回填或运至管理部门指定的弃土场；生活垃圾收集后送场镇垃圾收集点</w:t>
            </w:r>
          </w:p>
        </w:tc>
        <w:tc>
          <w:tcPr>
            <w:tcW w:w="1014" w:type="pct"/>
            <w:vMerge w:val="restart"/>
            <w:vAlign w:val="center"/>
          </w:tcPr>
          <w:p>
            <w:pPr>
              <w:adjustRightInd w:val="0"/>
              <w:snapToGrid w:val="0"/>
              <w:rPr>
                <w:rFonts w:ascii="宋体" w:hAnsi="宋体" w:cs="宋体"/>
                <w:color w:val="auto"/>
                <w:szCs w:val="21"/>
              </w:rPr>
            </w:pPr>
            <w:r>
              <w:rPr>
                <w:rFonts w:hint="eastAsia" w:ascii="宋体" w:hAnsi="宋体" w:cs="宋体"/>
                <w:color w:val="auto"/>
                <w:szCs w:val="21"/>
              </w:rPr>
              <w:t>合理处置</w:t>
            </w:r>
          </w:p>
        </w:tc>
        <w:tc>
          <w:tcPr>
            <w:tcW w:w="1604" w:type="pct"/>
            <w:vAlign w:val="center"/>
          </w:tcPr>
          <w:p>
            <w:pPr>
              <w:adjustRightInd w:val="0"/>
              <w:snapToGrid w:val="0"/>
              <w:rPr>
                <w:rFonts w:ascii="宋体" w:hAnsi="宋体" w:cs="宋体"/>
                <w:color w:val="auto"/>
                <w:szCs w:val="21"/>
              </w:rPr>
            </w:pPr>
            <w:r>
              <w:rPr>
                <w:rFonts w:hint="eastAsia" w:ascii="宋体" w:hAnsi="宋体" w:cs="宋体"/>
                <w:color w:val="auto"/>
                <w:szCs w:val="21"/>
              </w:rPr>
              <w:t>废矿物油、废油桶：设危废间收集暂存，采取“防风、防雨、防晒、防渗漏”的“四防”措施，委托有资质的单位回收处置，执行转移联单制度</w:t>
            </w:r>
          </w:p>
        </w:tc>
        <w:tc>
          <w:tcPr>
            <w:tcW w:w="703" w:type="pct"/>
            <w:vAlign w:val="center"/>
          </w:tcPr>
          <w:p>
            <w:pPr>
              <w:adjustRightInd w:val="0"/>
              <w:snapToGrid w:val="0"/>
              <w:rPr>
                <w:rFonts w:ascii="宋体" w:hAnsi="宋体" w:cs="宋体"/>
                <w:color w:val="auto"/>
                <w:szCs w:val="21"/>
              </w:rPr>
            </w:pPr>
            <w:r>
              <w:rPr>
                <w:rFonts w:hint="eastAsia" w:ascii="宋体" w:hAnsi="宋体" w:cs="宋体"/>
                <w:color w:val="auto"/>
                <w:szCs w:val="21"/>
              </w:rPr>
              <w:t>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Merge w:val="continue"/>
            <w:vAlign w:val="center"/>
          </w:tcPr>
          <w:p>
            <w:pPr>
              <w:adjustRightInd w:val="0"/>
              <w:snapToGrid w:val="0"/>
              <w:jc w:val="center"/>
              <w:rPr>
                <w:rFonts w:ascii="宋体" w:hAnsi="宋体" w:cs="宋体"/>
                <w:color w:val="auto"/>
                <w:szCs w:val="21"/>
              </w:rPr>
            </w:pPr>
          </w:p>
        </w:tc>
        <w:tc>
          <w:tcPr>
            <w:tcW w:w="1255" w:type="pct"/>
            <w:vMerge w:val="continue"/>
            <w:vAlign w:val="center"/>
          </w:tcPr>
          <w:p>
            <w:pPr>
              <w:adjustRightInd w:val="0"/>
              <w:snapToGrid w:val="0"/>
              <w:rPr>
                <w:rFonts w:ascii="宋体" w:hAnsi="宋体" w:cs="宋体"/>
                <w:color w:val="auto"/>
                <w:szCs w:val="21"/>
              </w:rPr>
            </w:pPr>
          </w:p>
        </w:tc>
        <w:tc>
          <w:tcPr>
            <w:tcW w:w="1014" w:type="pct"/>
            <w:vMerge w:val="continue"/>
            <w:vAlign w:val="center"/>
          </w:tcPr>
          <w:p>
            <w:pPr>
              <w:adjustRightInd w:val="0"/>
              <w:snapToGrid w:val="0"/>
              <w:rPr>
                <w:rFonts w:ascii="宋体" w:hAnsi="宋体" w:cs="宋体"/>
                <w:color w:val="auto"/>
                <w:szCs w:val="21"/>
              </w:rPr>
            </w:pPr>
          </w:p>
        </w:tc>
        <w:tc>
          <w:tcPr>
            <w:tcW w:w="1604" w:type="pct"/>
            <w:vAlign w:val="center"/>
          </w:tcPr>
          <w:p>
            <w:pPr>
              <w:adjustRightInd w:val="0"/>
              <w:snapToGrid w:val="0"/>
              <w:rPr>
                <w:rFonts w:ascii="宋体" w:hAnsi="宋体" w:cs="宋体"/>
                <w:color w:val="auto"/>
                <w:szCs w:val="21"/>
              </w:rPr>
            </w:pPr>
            <w:r>
              <w:rPr>
                <w:rFonts w:hint="eastAsia" w:ascii="宋体" w:hAnsi="宋体" w:cs="宋体"/>
                <w:color w:val="auto"/>
                <w:szCs w:val="21"/>
              </w:rPr>
              <w:t>（1）设置临时堆放场，暂存剥离的表土、植被枝丫、干化后的泥饼等，及时用于采空区复垦，在临时堆场周围设置挡土墙，四周设排水沟渠，并对其表面采取临时绿化、覆盖和洒水等临时防尘措施，堆场底部建设防洪和排水设施，临空面修建拦渣坝（墙）；（2）矿山尾矿与原矿一起及时送至生产区作为原料加工利用，矿区不设尾矿库；（3）生产区配套3台压滤机，泥饼暂存在压滤机下方，暂存池四周建不低于0.5m的挡墙，并建设防雨设施；洗车废水沉淀池定期清理，暂存在表土临时堆场，后期用于采空区覆土；（</w:t>
            </w:r>
            <w:r>
              <w:rPr>
                <w:rFonts w:ascii="宋体" w:hAnsi="宋体" w:cs="宋体"/>
                <w:color w:val="auto"/>
                <w:szCs w:val="21"/>
              </w:rPr>
              <w:t>4</w:t>
            </w:r>
            <w:r>
              <w:rPr>
                <w:rFonts w:hint="eastAsia" w:ascii="宋体" w:hAnsi="宋体" w:cs="宋体"/>
                <w:color w:val="auto"/>
                <w:szCs w:val="21"/>
              </w:rPr>
              <w:t xml:space="preserve">）矿区、生产区分别设置生活垃圾收集桶，及时运至附近场镇生活垃圾收集点； </w:t>
            </w:r>
          </w:p>
        </w:tc>
        <w:tc>
          <w:tcPr>
            <w:tcW w:w="703" w:type="pct"/>
            <w:vAlign w:val="center"/>
          </w:tcPr>
          <w:p>
            <w:pPr>
              <w:adjustRightInd w:val="0"/>
              <w:snapToGrid w:val="0"/>
              <w:rPr>
                <w:rFonts w:ascii="宋体" w:hAnsi="宋体" w:cs="宋体"/>
                <w:color w:val="auto"/>
                <w:szCs w:val="21"/>
              </w:rPr>
            </w:pPr>
            <w:r>
              <w:rPr>
                <w:rFonts w:hint="eastAsia" w:ascii="宋体" w:hAnsi="宋体" w:cs="宋体"/>
                <w:color w:val="auto"/>
                <w:szCs w:val="21"/>
              </w:rPr>
              <w:t>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电磁环境</w:t>
            </w:r>
          </w:p>
        </w:tc>
        <w:tc>
          <w:tcPr>
            <w:tcW w:w="1255"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014"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604"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703"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环境风险</w:t>
            </w:r>
          </w:p>
        </w:tc>
        <w:tc>
          <w:tcPr>
            <w:tcW w:w="1255"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014"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604" w:type="pct"/>
            <w:vAlign w:val="center"/>
          </w:tcPr>
          <w:p>
            <w:pPr>
              <w:adjustRightInd w:val="0"/>
              <w:snapToGrid w:val="0"/>
              <w:rPr>
                <w:rFonts w:ascii="宋体" w:hAnsi="宋体" w:cs="宋体"/>
                <w:color w:val="auto"/>
                <w:szCs w:val="21"/>
              </w:rPr>
            </w:pPr>
            <w:r>
              <w:rPr>
                <w:rFonts w:hint="eastAsia" w:ascii="宋体" w:hAnsi="宋体" w:cs="宋体"/>
                <w:color w:val="auto"/>
                <w:szCs w:val="21"/>
              </w:rPr>
              <w:t>（1）规范表土临时堆场的建设，堆场底部建设防洪和排水设施，临空面修建拦渣坝（墙），加强隐患排查，避免溃坝事故发生；开采边坡加强防护，及时复绿，周围修建截排水沟，定期巡查确保稳定；（2）规范危废暂存间的建设，采取四防措施，设防渗围堰，配备一定数量的消防器材，设置明显的标识、标牌，严禁烟火等；（</w:t>
            </w:r>
            <w:r>
              <w:rPr>
                <w:rFonts w:ascii="宋体" w:hAnsi="宋体" w:cs="宋体"/>
                <w:color w:val="auto"/>
                <w:szCs w:val="21"/>
              </w:rPr>
              <w:t>3</w:t>
            </w:r>
            <w:r>
              <w:rPr>
                <w:rFonts w:hint="eastAsia" w:ascii="宋体" w:hAnsi="宋体" w:cs="宋体"/>
                <w:color w:val="auto"/>
                <w:szCs w:val="21"/>
              </w:rPr>
              <w:t>）加强废水处理设施的维护管理工作，避免发生废水事故外排；（</w:t>
            </w:r>
            <w:r>
              <w:rPr>
                <w:rFonts w:ascii="宋体" w:hAnsi="宋体" w:cs="宋体"/>
                <w:color w:val="auto"/>
                <w:szCs w:val="21"/>
              </w:rPr>
              <w:t>4</w:t>
            </w:r>
            <w:r>
              <w:rPr>
                <w:rFonts w:hint="eastAsia" w:ascii="宋体" w:hAnsi="宋体" w:cs="宋体"/>
                <w:color w:val="auto"/>
                <w:szCs w:val="21"/>
              </w:rPr>
              <w:t>）厂区采取防渗分区，危废暂存间按重点防渗要求建设</w:t>
            </w:r>
          </w:p>
        </w:tc>
        <w:tc>
          <w:tcPr>
            <w:tcW w:w="703" w:type="pct"/>
            <w:vAlign w:val="center"/>
          </w:tcPr>
          <w:p>
            <w:pPr>
              <w:adjustRightInd w:val="0"/>
              <w:snapToGrid w:val="0"/>
              <w:rPr>
                <w:rFonts w:ascii="宋体" w:hAnsi="宋体" w:cs="宋体"/>
                <w:color w:val="auto"/>
                <w:szCs w:val="21"/>
              </w:rPr>
            </w:pPr>
            <w:r>
              <w:rPr>
                <w:rFonts w:hint="eastAsia" w:ascii="宋体" w:hAnsi="宋体" w:cs="宋体"/>
                <w:color w:val="auto"/>
                <w:szCs w:val="21"/>
              </w:rPr>
              <w:t>满足环保要求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环境监测</w:t>
            </w:r>
          </w:p>
        </w:tc>
        <w:tc>
          <w:tcPr>
            <w:tcW w:w="1255"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014"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604" w:type="pct"/>
            <w:vAlign w:val="center"/>
          </w:tcPr>
          <w:p>
            <w:pPr>
              <w:adjustRightInd w:val="0"/>
              <w:snapToGrid w:val="0"/>
              <w:rPr>
                <w:rFonts w:ascii="宋体" w:hAnsi="宋体" w:cs="宋体"/>
                <w:color w:val="auto"/>
                <w:szCs w:val="21"/>
              </w:rPr>
            </w:pPr>
            <w:r>
              <w:rPr>
                <w:rFonts w:hint="eastAsia" w:ascii="宋体" w:hAnsi="宋体" w:cs="宋体"/>
                <w:color w:val="auto"/>
                <w:szCs w:val="21"/>
              </w:rPr>
              <w:t>噪声：矿区四周、生产区四周；</w:t>
            </w:r>
          </w:p>
          <w:p>
            <w:pPr>
              <w:adjustRightInd w:val="0"/>
              <w:snapToGrid w:val="0"/>
              <w:rPr>
                <w:rFonts w:ascii="宋体" w:hAnsi="宋体" w:cs="宋体"/>
                <w:color w:val="auto"/>
                <w:szCs w:val="21"/>
              </w:rPr>
            </w:pPr>
            <w:r>
              <w:rPr>
                <w:rFonts w:hint="eastAsia" w:ascii="宋体" w:hAnsi="宋体" w:cs="宋体"/>
                <w:color w:val="auto"/>
                <w:szCs w:val="21"/>
              </w:rPr>
              <w:t>废气：颗粒物，矿山采场上风向设参照点，下风向设监控点；生产区上风向设参照点，下风向设监控点</w:t>
            </w:r>
          </w:p>
        </w:tc>
        <w:tc>
          <w:tcPr>
            <w:tcW w:w="703" w:type="pct"/>
            <w:vAlign w:val="center"/>
          </w:tcPr>
          <w:p>
            <w:pPr>
              <w:adjustRightInd w:val="0"/>
              <w:snapToGrid w:val="0"/>
              <w:rPr>
                <w:rFonts w:ascii="宋体" w:hAnsi="宋体" w:cs="宋体"/>
                <w:color w:val="auto"/>
                <w:szCs w:val="21"/>
              </w:rPr>
            </w:pPr>
            <w:r>
              <w:rPr>
                <w:rFonts w:hint="eastAsia" w:ascii="宋体" w:hAnsi="宋体" w:cs="宋体"/>
                <w:color w:val="auto"/>
                <w:szCs w:val="21"/>
              </w:rPr>
              <w:t>噪声每季度一次，废气每年一次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4"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其他</w:t>
            </w:r>
          </w:p>
        </w:tc>
        <w:tc>
          <w:tcPr>
            <w:tcW w:w="1255"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014"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1604"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c>
          <w:tcPr>
            <w:tcW w:w="703" w:type="pct"/>
            <w:vAlign w:val="center"/>
          </w:tcPr>
          <w:p>
            <w:pPr>
              <w:adjustRightInd w:val="0"/>
              <w:snapToGrid w:val="0"/>
              <w:rPr>
                <w:rFonts w:ascii="宋体" w:hAnsi="宋体" w:cs="宋体"/>
                <w:color w:val="auto"/>
                <w:szCs w:val="21"/>
              </w:rPr>
            </w:pPr>
            <w:r>
              <w:rPr>
                <w:rFonts w:hint="eastAsia" w:ascii="宋体" w:hAnsi="宋体" w:cs="宋体"/>
                <w:color w:val="auto"/>
                <w:szCs w:val="21"/>
              </w:rPr>
              <w:t>/</w:t>
            </w:r>
          </w:p>
        </w:tc>
      </w:tr>
    </w:tbl>
    <w:p>
      <w:pPr>
        <w:rPr>
          <w:snapToGrid w:val="0"/>
          <w:color w:val="auto"/>
        </w:rPr>
      </w:pPr>
    </w:p>
    <w:p>
      <w:pPr>
        <w:pStyle w:val="12"/>
        <w:spacing w:before="0" w:beforeAutospacing="0" w:line="14" w:lineRule="auto"/>
        <w:jc w:val="center"/>
        <w:outlineLvl w:val="0"/>
        <w:rPr>
          <w:rFonts w:ascii="黑体" w:hAnsi="黑体" w:eastAsia="黑体"/>
          <w:snapToGrid w:val="0"/>
          <w:color w:val="auto"/>
          <w:sz w:val="30"/>
          <w:szCs w:val="30"/>
        </w:rPr>
      </w:pPr>
      <w:r>
        <w:rPr>
          <w:rFonts w:ascii="黑体" w:hAnsi="黑体" w:eastAsia="黑体"/>
          <w:snapToGrid w:val="0"/>
          <w:color w:val="auto"/>
          <w:sz w:val="30"/>
          <w:szCs w:val="30"/>
        </w:rPr>
        <w:br w:type="page"/>
      </w:r>
    </w:p>
    <w:p>
      <w:pPr>
        <w:pStyle w:val="12"/>
        <w:spacing w:before="192" w:beforeLines="80" w:beforeAutospacing="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七、结论</w:t>
      </w:r>
    </w:p>
    <w:tbl>
      <w:tblPr>
        <w:tblStyle w:val="14"/>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宣汉发展投资集团有限公司“宣汉县漆树土家族乡乘龙村鲁家洞建筑石料用灰岩开发项目”，符合国家现行产业政策，选址及总平面布置合理，周围无明显的环境制约因素。评价表明，项目建设与运营过程中，只要严格落实本环境影响报告表提出的各项环保措施，严格落实环保“三同时”制度，对存在的环境问题进行整改，能够最大限度地减轻项目建设对周围生态环境造成的影响，不会导致区域环境质量降低和改变区域的环境功能类别，项目的环境影响为可接受程度，环境风险可控，污染物排放符合总量控制要求。</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因此，从环境保护角度分析，项目在所选地址建设可行。</w:t>
            </w:r>
          </w:p>
        </w:tc>
      </w:tr>
    </w:tbl>
    <w:p>
      <w:pPr>
        <w:adjustRightInd w:val="0"/>
        <w:snapToGrid w:val="0"/>
        <w:spacing w:line="360" w:lineRule="auto"/>
        <w:rPr>
          <w:rFonts w:ascii="宋体" w:hAnsi="宋体" w:cs="宋体"/>
          <w:color w:val="auto"/>
          <w:szCs w:val="21"/>
        </w:rPr>
      </w:pPr>
    </w:p>
    <w:sectPr>
      <w:pgSz w:w="11906" w:h="16838"/>
      <w:pgMar w:top="1440" w:right="1800" w:bottom="1440" w:left="1800"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方正小标宋_GBK">
    <w:altName w:val="微软雅黑"/>
    <w:panose1 w:val="00000000000000000000"/>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TimesNewRomanPSMT">
    <w:altName w:val="Times New Roman"/>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17"/>
      </w:rPr>
    </w:pPr>
    <w:r>
      <w:fldChar w:fldCharType="begin"/>
    </w:r>
    <w:r>
      <w:rPr>
        <w:rStyle w:val="17"/>
      </w:rPr>
      <w:instrText xml:space="preserve">PAGE  </w:instrText>
    </w:r>
    <w:r>
      <w:fldChar w:fldCharType="end"/>
    </w:r>
  </w:p>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rPr>
        <w:lang w:val="zh-CN"/>
      </w:rPr>
      <w:t>42</w:t>
    </w:r>
    <w:r>
      <w:fldChar w:fldCharType="end"/>
    </w:r>
  </w:p>
  <w:p>
    <w:pPr>
      <w:pStyle w:val="10"/>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QyMjhkYTYyOTE5MzZkNTk3MjI4ZjVjYWI2MzM3NjkifQ=="/>
  </w:docVars>
  <w:rsids>
    <w:rsidRoot w:val="00A14947"/>
    <w:rsid w:val="000014E7"/>
    <w:rsid w:val="00001CED"/>
    <w:rsid w:val="00001E67"/>
    <w:rsid w:val="00003CD8"/>
    <w:rsid w:val="00014823"/>
    <w:rsid w:val="00014965"/>
    <w:rsid w:val="0001523A"/>
    <w:rsid w:val="00016ECB"/>
    <w:rsid w:val="00022568"/>
    <w:rsid w:val="000269F6"/>
    <w:rsid w:val="00030328"/>
    <w:rsid w:val="00030C66"/>
    <w:rsid w:val="00031939"/>
    <w:rsid w:val="00032D25"/>
    <w:rsid w:val="00036FE2"/>
    <w:rsid w:val="00045E0F"/>
    <w:rsid w:val="00047A39"/>
    <w:rsid w:val="000503B4"/>
    <w:rsid w:val="0005219D"/>
    <w:rsid w:val="00054F96"/>
    <w:rsid w:val="0005568F"/>
    <w:rsid w:val="000605A2"/>
    <w:rsid w:val="0006153D"/>
    <w:rsid w:val="00061B1F"/>
    <w:rsid w:val="000627BF"/>
    <w:rsid w:val="00062DE2"/>
    <w:rsid w:val="000664DB"/>
    <w:rsid w:val="00067E1D"/>
    <w:rsid w:val="00070139"/>
    <w:rsid w:val="0007127D"/>
    <w:rsid w:val="00071AE5"/>
    <w:rsid w:val="000734CF"/>
    <w:rsid w:val="00074783"/>
    <w:rsid w:val="0007557C"/>
    <w:rsid w:val="000801E0"/>
    <w:rsid w:val="00082555"/>
    <w:rsid w:val="00082A29"/>
    <w:rsid w:val="00082F79"/>
    <w:rsid w:val="0008331D"/>
    <w:rsid w:val="00083C18"/>
    <w:rsid w:val="00084A32"/>
    <w:rsid w:val="00092899"/>
    <w:rsid w:val="000957FB"/>
    <w:rsid w:val="000A178E"/>
    <w:rsid w:val="000A1A6E"/>
    <w:rsid w:val="000A1B82"/>
    <w:rsid w:val="000A33B2"/>
    <w:rsid w:val="000A4AEF"/>
    <w:rsid w:val="000A557E"/>
    <w:rsid w:val="000B058F"/>
    <w:rsid w:val="000B07BE"/>
    <w:rsid w:val="000B1256"/>
    <w:rsid w:val="000B38F9"/>
    <w:rsid w:val="000B693F"/>
    <w:rsid w:val="000C09AC"/>
    <w:rsid w:val="000C0A63"/>
    <w:rsid w:val="000C437E"/>
    <w:rsid w:val="000C570E"/>
    <w:rsid w:val="000D2BCF"/>
    <w:rsid w:val="000E5F16"/>
    <w:rsid w:val="000F34C4"/>
    <w:rsid w:val="000F4452"/>
    <w:rsid w:val="000F5FF1"/>
    <w:rsid w:val="000F6DA1"/>
    <w:rsid w:val="000F701B"/>
    <w:rsid w:val="00100F85"/>
    <w:rsid w:val="001028B7"/>
    <w:rsid w:val="0010501A"/>
    <w:rsid w:val="001056A0"/>
    <w:rsid w:val="00105D4C"/>
    <w:rsid w:val="00106AEA"/>
    <w:rsid w:val="00110600"/>
    <w:rsid w:val="00112053"/>
    <w:rsid w:val="00115279"/>
    <w:rsid w:val="00116111"/>
    <w:rsid w:val="00117459"/>
    <w:rsid w:val="0011749A"/>
    <w:rsid w:val="00122724"/>
    <w:rsid w:val="00123A4C"/>
    <w:rsid w:val="00127A68"/>
    <w:rsid w:val="001309C3"/>
    <w:rsid w:val="00140B13"/>
    <w:rsid w:val="00141B68"/>
    <w:rsid w:val="00144D82"/>
    <w:rsid w:val="0014591D"/>
    <w:rsid w:val="001466DA"/>
    <w:rsid w:val="00151F69"/>
    <w:rsid w:val="00154DE1"/>
    <w:rsid w:val="00155B40"/>
    <w:rsid w:val="00157435"/>
    <w:rsid w:val="00163EEA"/>
    <w:rsid w:val="001643B6"/>
    <w:rsid w:val="00167A07"/>
    <w:rsid w:val="0017046A"/>
    <w:rsid w:val="001704A3"/>
    <w:rsid w:val="0017170A"/>
    <w:rsid w:val="00174E97"/>
    <w:rsid w:val="0017504D"/>
    <w:rsid w:val="00175D2B"/>
    <w:rsid w:val="00175D3A"/>
    <w:rsid w:val="0017659A"/>
    <w:rsid w:val="00177422"/>
    <w:rsid w:val="00181FE0"/>
    <w:rsid w:val="0018284B"/>
    <w:rsid w:val="00184833"/>
    <w:rsid w:val="00184F10"/>
    <w:rsid w:val="00185546"/>
    <w:rsid w:val="0019146B"/>
    <w:rsid w:val="00193385"/>
    <w:rsid w:val="00194398"/>
    <w:rsid w:val="001A2FEC"/>
    <w:rsid w:val="001A3391"/>
    <w:rsid w:val="001A3F3D"/>
    <w:rsid w:val="001A7D2A"/>
    <w:rsid w:val="001B1B1F"/>
    <w:rsid w:val="001B2580"/>
    <w:rsid w:val="001B574C"/>
    <w:rsid w:val="001B5C69"/>
    <w:rsid w:val="001B5D9A"/>
    <w:rsid w:val="001C0AF9"/>
    <w:rsid w:val="001C155A"/>
    <w:rsid w:val="001C15E4"/>
    <w:rsid w:val="001C2FCF"/>
    <w:rsid w:val="001C48C0"/>
    <w:rsid w:val="001C543D"/>
    <w:rsid w:val="001C66F8"/>
    <w:rsid w:val="001C72C0"/>
    <w:rsid w:val="001C7FDE"/>
    <w:rsid w:val="001D0182"/>
    <w:rsid w:val="001D152F"/>
    <w:rsid w:val="001D6726"/>
    <w:rsid w:val="001E251E"/>
    <w:rsid w:val="001F0A79"/>
    <w:rsid w:val="001F2E58"/>
    <w:rsid w:val="001F30B6"/>
    <w:rsid w:val="001F3315"/>
    <w:rsid w:val="001F3347"/>
    <w:rsid w:val="001F4440"/>
    <w:rsid w:val="001F4F04"/>
    <w:rsid w:val="001F69E4"/>
    <w:rsid w:val="0020496B"/>
    <w:rsid w:val="00205DE5"/>
    <w:rsid w:val="00206A65"/>
    <w:rsid w:val="00212D31"/>
    <w:rsid w:val="002130C7"/>
    <w:rsid w:val="002218A8"/>
    <w:rsid w:val="00222ECF"/>
    <w:rsid w:val="0022306D"/>
    <w:rsid w:val="00226574"/>
    <w:rsid w:val="002278EC"/>
    <w:rsid w:val="00230758"/>
    <w:rsid w:val="002313CE"/>
    <w:rsid w:val="00232910"/>
    <w:rsid w:val="00233421"/>
    <w:rsid w:val="0023367B"/>
    <w:rsid w:val="002357C7"/>
    <w:rsid w:val="002367C4"/>
    <w:rsid w:val="002378FD"/>
    <w:rsid w:val="0024079D"/>
    <w:rsid w:val="00240AEE"/>
    <w:rsid w:val="002434F4"/>
    <w:rsid w:val="00246E9D"/>
    <w:rsid w:val="00256650"/>
    <w:rsid w:val="0025679E"/>
    <w:rsid w:val="002568DF"/>
    <w:rsid w:val="00257753"/>
    <w:rsid w:val="002606FD"/>
    <w:rsid w:val="00260C68"/>
    <w:rsid w:val="002625CC"/>
    <w:rsid w:val="00262974"/>
    <w:rsid w:val="002648B0"/>
    <w:rsid w:val="0027198E"/>
    <w:rsid w:val="00273DCE"/>
    <w:rsid w:val="002751F8"/>
    <w:rsid w:val="00275271"/>
    <w:rsid w:val="0027535E"/>
    <w:rsid w:val="00275AA6"/>
    <w:rsid w:val="00276708"/>
    <w:rsid w:val="002807D5"/>
    <w:rsid w:val="00282CCD"/>
    <w:rsid w:val="00293D66"/>
    <w:rsid w:val="002A13CD"/>
    <w:rsid w:val="002A168C"/>
    <w:rsid w:val="002A274B"/>
    <w:rsid w:val="002A29A9"/>
    <w:rsid w:val="002A2C48"/>
    <w:rsid w:val="002A31CE"/>
    <w:rsid w:val="002A3EED"/>
    <w:rsid w:val="002A4A39"/>
    <w:rsid w:val="002A5A17"/>
    <w:rsid w:val="002A5F8F"/>
    <w:rsid w:val="002A6425"/>
    <w:rsid w:val="002A7110"/>
    <w:rsid w:val="002B3679"/>
    <w:rsid w:val="002B49E2"/>
    <w:rsid w:val="002B4FF8"/>
    <w:rsid w:val="002B69C5"/>
    <w:rsid w:val="002B78A9"/>
    <w:rsid w:val="002B7B00"/>
    <w:rsid w:val="002B7C44"/>
    <w:rsid w:val="002C1388"/>
    <w:rsid w:val="002C2B1A"/>
    <w:rsid w:val="002C3C6A"/>
    <w:rsid w:val="002D09F7"/>
    <w:rsid w:val="002D42DB"/>
    <w:rsid w:val="002D6A93"/>
    <w:rsid w:val="002E0377"/>
    <w:rsid w:val="002E1EE5"/>
    <w:rsid w:val="002E1F3A"/>
    <w:rsid w:val="002E298A"/>
    <w:rsid w:val="002F02A4"/>
    <w:rsid w:val="002F05F9"/>
    <w:rsid w:val="002F1DE3"/>
    <w:rsid w:val="002F272B"/>
    <w:rsid w:val="002F3AA8"/>
    <w:rsid w:val="002F520C"/>
    <w:rsid w:val="002F7C6D"/>
    <w:rsid w:val="003027E4"/>
    <w:rsid w:val="0030332C"/>
    <w:rsid w:val="00312296"/>
    <w:rsid w:val="0031340E"/>
    <w:rsid w:val="00313638"/>
    <w:rsid w:val="00316464"/>
    <w:rsid w:val="0032073A"/>
    <w:rsid w:val="00321D8E"/>
    <w:rsid w:val="0032737A"/>
    <w:rsid w:val="00327553"/>
    <w:rsid w:val="00334996"/>
    <w:rsid w:val="003356B0"/>
    <w:rsid w:val="003364A8"/>
    <w:rsid w:val="00336969"/>
    <w:rsid w:val="00336C52"/>
    <w:rsid w:val="003418DF"/>
    <w:rsid w:val="00341B3E"/>
    <w:rsid w:val="00341B42"/>
    <w:rsid w:val="00342599"/>
    <w:rsid w:val="0034268E"/>
    <w:rsid w:val="00345154"/>
    <w:rsid w:val="0034560E"/>
    <w:rsid w:val="003456B0"/>
    <w:rsid w:val="00350523"/>
    <w:rsid w:val="00352975"/>
    <w:rsid w:val="00354B74"/>
    <w:rsid w:val="00356868"/>
    <w:rsid w:val="00356CBC"/>
    <w:rsid w:val="00360F53"/>
    <w:rsid w:val="0036485B"/>
    <w:rsid w:val="00364CDE"/>
    <w:rsid w:val="00366C7F"/>
    <w:rsid w:val="00367DD8"/>
    <w:rsid w:val="00373042"/>
    <w:rsid w:val="00373B0D"/>
    <w:rsid w:val="00373D7C"/>
    <w:rsid w:val="003768AB"/>
    <w:rsid w:val="00376988"/>
    <w:rsid w:val="00381278"/>
    <w:rsid w:val="00381A72"/>
    <w:rsid w:val="003821F3"/>
    <w:rsid w:val="00383659"/>
    <w:rsid w:val="003873EB"/>
    <w:rsid w:val="00387DF5"/>
    <w:rsid w:val="00391568"/>
    <w:rsid w:val="00392820"/>
    <w:rsid w:val="0039331E"/>
    <w:rsid w:val="003A1948"/>
    <w:rsid w:val="003A74D1"/>
    <w:rsid w:val="003A7B01"/>
    <w:rsid w:val="003B152A"/>
    <w:rsid w:val="003B545B"/>
    <w:rsid w:val="003B7169"/>
    <w:rsid w:val="003C0180"/>
    <w:rsid w:val="003C4124"/>
    <w:rsid w:val="003C4BE0"/>
    <w:rsid w:val="003D3EE9"/>
    <w:rsid w:val="003D53F1"/>
    <w:rsid w:val="003E1530"/>
    <w:rsid w:val="003E3B04"/>
    <w:rsid w:val="003E4C90"/>
    <w:rsid w:val="003E7681"/>
    <w:rsid w:val="003E7F2B"/>
    <w:rsid w:val="003F0809"/>
    <w:rsid w:val="003F24AC"/>
    <w:rsid w:val="003F29DC"/>
    <w:rsid w:val="003F3176"/>
    <w:rsid w:val="003F3B2F"/>
    <w:rsid w:val="003F3E08"/>
    <w:rsid w:val="003F5A19"/>
    <w:rsid w:val="003F611C"/>
    <w:rsid w:val="003F755C"/>
    <w:rsid w:val="00400E9D"/>
    <w:rsid w:val="004064B1"/>
    <w:rsid w:val="00406F01"/>
    <w:rsid w:val="00411A68"/>
    <w:rsid w:val="00411B36"/>
    <w:rsid w:val="004121D7"/>
    <w:rsid w:val="00414697"/>
    <w:rsid w:val="004168CE"/>
    <w:rsid w:val="00416D50"/>
    <w:rsid w:val="00417772"/>
    <w:rsid w:val="004206E0"/>
    <w:rsid w:val="00420E6A"/>
    <w:rsid w:val="00421CE5"/>
    <w:rsid w:val="00421D34"/>
    <w:rsid w:val="0042528E"/>
    <w:rsid w:val="0042572F"/>
    <w:rsid w:val="00433CA9"/>
    <w:rsid w:val="00434200"/>
    <w:rsid w:val="00434888"/>
    <w:rsid w:val="0043521D"/>
    <w:rsid w:val="00441A4F"/>
    <w:rsid w:val="00442024"/>
    <w:rsid w:val="0044254C"/>
    <w:rsid w:val="00443F6A"/>
    <w:rsid w:val="00444380"/>
    <w:rsid w:val="00450A17"/>
    <w:rsid w:val="00454A10"/>
    <w:rsid w:val="0045544B"/>
    <w:rsid w:val="00457317"/>
    <w:rsid w:val="0046148A"/>
    <w:rsid w:val="004644B9"/>
    <w:rsid w:val="00464FB0"/>
    <w:rsid w:val="00466321"/>
    <w:rsid w:val="004672AF"/>
    <w:rsid w:val="004727B0"/>
    <w:rsid w:val="00473F0A"/>
    <w:rsid w:val="004777AA"/>
    <w:rsid w:val="00480247"/>
    <w:rsid w:val="0048081D"/>
    <w:rsid w:val="0048117E"/>
    <w:rsid w:val="004855F6"/>
    <w:rsid w:val="00486F0C"/>
    <w:rsid w:val="00493C8C"/>
    <w:rsid w:val="0049438E"/>
    <w:rsid w:val="00494670"/>
    <w:rsid w:val="00497DDB"/>
    <w:rsid w:val="004A0EB4"/>
    <w:rsid w:val="004A3823"/>
    <w:rsid w:val="004A59BB"/>
    <w:rsid w:val="004B298D"/>
    <w:rsid w:val="004B3E50"/>
    <w:rsid w:val="004B43A3"/>
    <w:rsid w:val="004B4C49"/>
    <w:rsid w:val="004B58A5"/>
    <w:rsid w:val="004B63D9"/>
    <w:rsid w:val="004C0882"/>
    <w:rsid w:val="004C55BE"/>
    <w:rsid w:val="004C5AE6"/>
    <w:rsid w:val="004D4B5E"/>
    <w:rsid w:val="004D65FC"/>
    <w:rsid w:val="004D75CD"/>
    <w:rsid w:val="004D7F05"/>
    <w:rsid w:val="004E16E8"/>
    <w:rsid w:val="004E567A"/>
    <w:rsid w:val="004E5B30"/>
    <w:rsid w:val="004F0779"/>
    <w:rsid w:val="004F1230"/>
    <w:rsid w:val="004F173F"/>
    <w:rsid w:val="004F177C"/>
    <w:rsid w:val="004F2DCE"/>
    <w:rsid w:val="004F4D9E"/>
    <w:rsid w:val="004F658D"/>
    <w:rsid w:val="00500C23"/>
    <w:rsid w:val="00501E35"/>
    <w:rsid w:val="0050380B"/>
    <w:rsid w:val="005039CB"/>
    <w:rsid w:val="0050558F"/>
    <w:rsid w:val="005057E0"/>
    <w:rsid w:val="00506286"/>
    <w:rsid w:val="005066B8"/>
    <w:rsid w:val="00510813"/>
    <w:rsid w:val="005110D1"/>
    <w:rsid w:val="00511975"/>
    <w:rsid w:val="00511DE0"/>
    <w:rsid w:val="00517F02"/>
    <w:rsid w:val="00520322"/>
    <w:rsid w:val="00523DBC"/>
    <w:rsid w:val="00524547"/>
    <w:rsid w:val="005258A2"/>
    <w:rsid w:val="00530F7C"/>
    <w:rsid w:val="00533E97"/>
    <w:rsid w:val="00534567"/>
    <w:rsid w:val="00534F43"/>
    <w:rsid w:val="00535A84"/>
    <w:rsid w:val="00536889"/>
    <w:rsid w:val="00542E07"/>
    <w:rsid w:val="005522C1"/>
    <w:rsid w:val="00552C06"/>
    <w:rsid w:val="00553590"/>
    <w:rsid w:val="00554A7B"/>
    <w:rsid w:val="0055572C"/>
    <w:rsid w:val="00557C9E"/>
    <w:rsid w:val="0056064F"/>
    <w:rsid w:val="00561B84"/>
    <w:rsid w:val="005626C4"/>
    <w:rsid w:val="0056396B"/>
    <w:rsid w:val="005641FA"/>
    <w:rsid w:val="00565E12"/>
    <w:rsid w:val="00566590"/>
    <w:rsid w:val="00567E27"/>
    <w:rsid w:val="005701A4"/>
    <w:rsid w:val="00571D98"/>
    <w:rsid w:val="005720AE"/>
    <w:rsid w:val="00572B32"/>
    <w:rsid w:val="0057613A"/>
    <w:rsid w:val="00577239"/>
    <w:rsid w:val="0058030D"/>
    <w:rsid w:val="005809C8"/>
    <w:rsid w:val="00581D28"/>
    <w:rsid w:val="00582045"/>
    <w:rsid w:val="00582C1E"/>
    <w:rsid w:val="005873D1"/>
    <w:rsid w:val="00590AE3"/>
    <w:rsid w:val="005918F1"/>
    <w:rsid w:val="00593137"/>
    <w:rsid w:val="005A06B7"/>
    <w:rsid w:val="005A1759"/>
    <w:rsid w:val="005A3104"/>
    <w:rsid w:val="005B2353"/>
    <w:rsid w:val="005D0369"/>
    <w:rsid w:val="005D53FE"/>
    <w:rsid w:val="005D7A0F"/>
    <w:rsid w:val="005E034D"/>
    <w:rsid w:val="005E0438"/>
    <w:rsid w:val="005E11BC"/>
    <w:rsid w:val="005E1791"/>
    <w:rsid w:val="005E2CE6"/>
    <w:rsid w:val="005E3D48"/>
    <w:rsid w:val="005E626A"/>
    <w:rsid w:val="005E6324"/>
    <w:rsid w:val="005F13D8"/>
    <w:rsid w:val="005F228B"/>
    <w:rsid w:val="005F29CD"/>
    <w:rsid w:val="005F4DFB"/>
    <w:rsid w:val="005F6CC0"/>
    <w:rsid w:val="005F74EF"/>
    <w:rsid w:val="00602B2D"/>
    <w:rsid w:val="00602F0E"/>
    <w:rsid w:val="00603E5B"/>
    <w:rsid w:val="00603F63"/>
    <w:rsid w:val="00604BC8"/>
    <w:rsid w:val="00615B4C"/>
    <w:rsid w:val="00615B5D"/>
    <w:rsid w:val="00616953"/>
    <w:rsid w:val="00616F54"/>
    <w:rsid w:val="006205FF"/>
    <w:rsid w:val="0062146F"/>
    <w:rsid w:val="00621BDD"/>
    <w:rsid w:val="0062768F"/>
    <w:rsid w:val="00627E42"/>
    <w:rsid w:val="0063034A"/>
    <w:rsid w:val="0063424B"/>
    <w:rsid w:val="006343AF"/>
    <w:rsid w:val="00634453"/>
    <w:rsid w:val="006355CB"/>
    <w:rsid w:val="006358E5"/>
    <w:rsid w:val="0063634A"/>
    <w:rsid w:val="0063644F"/>
    <w:rsid w:val="0063660F"/>
    <w:rsid w:val="006419FD"/>
    <w:rsid w:val="0064250D"/>
    <w:rsid w:val="006535EB"/>
    <w:rsid w:val="00654E0E"/>
    <w:rsid w:val="00663016"/>
    <w:rsid w:val="00666245"/>
    <w:rsid w:val="00671561"/>
    <w:rsid w:val="0067219D"/>
    <w:rsid w:val="00673FA1"/>
    <w:rsid w:val="00674605"/>
    <w:rsid w:val="006748B8"/>
    <w:rsid w:val="00676688"/>
    <w:rsid w:val="00676B85"/>
    <w:rsid w:val="006805D0"/>
    <w:rsid w:val="0068083F"/>
    <w:rsid w:val="00681CC3"/>
    <w:rsid w:val="0068535B"/>
    <w:rsid w:val="00686F7E"/>
    <w:rsid w:val="006870B5"/>
    <w:rsid w:val="0068736E"/>
    <w:rsid w:val="006917C1"/>
    <w:rsid w:val="0069290A"/>
    <w:rsid w:val="00697032"/>
    <w:rsid w:val="006975AC"/>
    <w:rsid w:val="006A15FB"/>
    <w:rsid w:val="006A3F51"/>
    <w:rsid w:val="006A7115"/>
    <w:rsid w:val="006A72BF"/>
    <w:rsid w:val="006B0FE8"/>
    <w:rsid w:val="006B15F8"/>
    <w:rsid w:val="006B1A94"/>
    <w:rsid w:val="006B332A"/>
    <w:rsid w:val="006B33BD"/>
    <w:rsid w:val="006B3FC5"/>
    <w:rsid w:val="006B61B0"/>
    <w:rsid w:val="006B6A34"/>
    <w:rsid w:val="006B6F6D"/>
    <w:rsid w:val="006C3F75"/>
    <w:rsid w:val="006C4B01"/>
    <w:rsid w:val="006D170E"/>
    <w:rsid w:val="006E06AF"/>
    <w:rsid w:val="006F052F"/>
    <w:rsid w:val="006F1789"/>
    <w:rsid w:val="00701BB7"/>
    <w:rsid w:val="00706C5D"/>
    <w:rsid w:val="00706DD8"/>
    <w:rsid w:val="00707D99"/>
    <w:rsid w:val="00710D59"/>
    <w:rsid w:val="007118E6"/>
    <w:rsid w:val="00712631"/>
    <w:rsid w:val="00714BAC"/>
    <w:rsid w:val="00716E55"/>
    <w:rsid w:val="007202E3"/>
    <w:rsid w:val="00720944"/>
    <w:rsid w:val="007225C9"/>
    <w:rsid w:val="00722E95"/>
    <w:rsid w:val="00723BCA"/>
    <w:rsid w:val="00723C65"/>
    <w:rsid w:val="00724221"/>
    <w:rsid w:val="007256A4"/>
    <w:rsid w:val="007260B5"/>
    <w:rsid w:val="00731DF6"/>
    <w:rsid w:val="00735CD7"/>
    <w:rsid w:val="0074237C"/>
    <w:rsid w:val="00754034"/>
    <w:rsid w:val="0075482C"/>
    <w:rsid w:val="00754BF1"/>
    <w:rsid w:val="00755A30"/>
    <w:rsid w:val="00755E1C"/>
    <w:rsid w:val="00756556"/>
    <w:rsid w:val="00760C24"/>
    <w:rsid w:val="0076132B"/>
    <w:rsid w:val="007623AE"/>
    <w:rsid w:val="00763903"/>
    <w:rsid w:val="00770B19"/>
    <w:rsid w:val="00770D38"/>
    <w:rsid w:val="00771185"/>
    <w:rsid w:val="00771720"/>
    <w:rsid w:val="00774FA0"/>
    <w:rsid w:val="00776620"/>
    <w:rsid w:val="00777B6D"/>
    <w:rsid w:val="00780D44"/>
    <w:rsid w:val="00782D19"/>
    <w:rsid w:val="00784855"/>
    <w:rsid w:val="00784F39"/>
    <w:rsid w:val="0078545C"/>
    <w:rsid w:val="007906C4"/>
    <w:rsid w:val="007940EA"/>
    <w:rsid w:val="00794DBE"/>
    <w:rsid w:val="007967E8"/>
    <w:rsid w:val="007A3DC0"/>
    <w:rsid w:val="007A45F8"/>
    <w:rsid w:val="007A4F4A"/>
    <w:rsid w:val="007A63F2"/>
    <w:rsid w:val="007B2CB4"/>
    <w:rsid w:val="007B3960"/>
    <w:rsid w:val="007B68DE"/>
    <w:rsid w:val="007B71A2"/>
    <w:rsid w:val="007C1857"/>
    <w:rsid w:val="007C2662"/>
    <w:rsid w:val="007C514F"/>
    <w:rsid w:val="007D0074"/>
    <w:rsid w:val="007D0F95"/>
    <w:rsid w:val="007D3F80"/>
    <w:rsid w:val="007D7ECB"/>
    <w:rsid w:val="007E15DF"/>
    <w:rsid w:val="007E25A1"/>
    <w:rsid w:val="007E4BD2"/>
    <w:rsid w:val="007E7145"/>
    <w:rsid w:val="007F2FEE"/>
    <w:rsid w:val="007F3916"/>
    <w:rsid w:val="007F48A6"/>
    <w:rsid w:val="007F6F68"/>
    <w:rsid w:val="007F7C37"/>
    <w:rsid w:val="0080113E"/>
    <w:rsid w:val="00801179"/>
    <w:rsid w:val="00802355"/>
    <w:rsid w:val="00802479"/>
    <w:rsid w:val="00805372"/>
    <w:rsid w:val="00805B7B"/>
    <w:rsid w:val="008077BB"/>
    <w:rsid w:val="0081293E"/>
    <w:rsid w:val="00814FFB"/>
    <w:rsid w:val="00817869"/>
    <w:rsid w:val="00817D75"/>
    <w:rsid w:val="00820568"/>
    <w:rsid w:val="00821501"/>
    <w:rsid w:val="008222A0"/>
    <w:rsid w:val="00823A27"/>
    <w:rsid w:val="00825474"/>
    <w:rsid w:val="00830A38"/>
    <w:rsid w:val="00831A80"/>
    <w:rsid w:val="00831B49"/>
    <w:rsid w:val="008332C8"/>
    <w:rsid w:val="00833743"/>
    <w:rsid w:val="008340A4"/>
    <w:rsid w:val="00836799"/>
    <w:rsid w:val="00837028"/>
    <w:rsid w:val="00837131"/>
    <w:rsid w:val="00845F57"/>
    <w:rsid w:val="008465A6"/>
    <w:rsid w:val="008473BB"/>
    <w:rsid w:val="00851E7B"/>
    <w:rsid w:val="008521E0"/>
    <w:rsid w:val="008525B0"/>
    <w:rsid w:val="00854B16"/>
    <w:rsid w:val="00856CB6"/>
    <w:rsid w:val="00861087"/>
    <w:rsid w:val="00862F3C"/>
    <w:rsid w:val="008642C3"/>
    <w:rsid w:val="00867CBC"/>
    <w:rsid w:val="008739A1"/>
    <w:rsid w:val="0087572C"/>
    <w:rsid w:val="00876C30"/>
    <w:rsid w:val="00877017"/>
    <w:rsid w:val="008773C0"/>
    <w:rsid w:val="00880364"/>
    <w:rsid w:val="00885553"/>
    <w:rsid w:val="00885F8E"/>
    <w:rsid w:val="00886C4C"/>
    <w:rsid w:val="0088711C"/>
    <w:rsid w:val="00887321"/>
    <w:rsid w:val="0089091F"/>
    <w:rsid w:val="00891352"/>
    <w:rsid w:val="00892ECF"/>
    <w:rsid w:val="00892F06"/>
    <w:rsid w:val="00894285"/>
    <w:rsid w:val="00896CD7"/>
    <w:rsid w:val="008A17D7"/>
    <w:rsid w:val="008A40AE"/>
    <w:rsid w:val="008A41DA"/>
    <w:rsid w:val="008A4E19"/>
    <w:rsid w:val="008A67C5"/>
    <w:rsid w:val="008A782E"/>
    <w:rsid w:val="008A7939"/>
    <w:rsid w:val="008B22E1"/>
    <w:rsid w:val="008B3AAD"/>
    <w:rsid w:val="008B3B93"/>
    <w:rsid w:val="008B3C78"/>
    <w:rsid w:val="008B4AE9"/>
    <w:rsid w:val="008C120A"/>
    <w:rsid w:val="008C30AD"/>
    <w:rsid w:val="008C4457"/>
    <w:rsid w:val="008D068E"/>
    <w:rsid w:val="008D0F7A"/>
    <w:rsid w:val="008D1CD5"/>
    <w:rsid w:val="008D281E"/>
    <w:rsid w:val="008D3A9F"/>
    <w:rsid w:val="008D3ED6"/>
    <w:rsid w:val="008D63BE"/>
    <w:rsid w:val="008D76C9"/>
    <w:rsid w:val="008E0933"/>
    <w:rsid w:val="008E0CFF"/>
    <w:rsid w:val="008E1E44"/>
    <w:rsid w:val="008E398F"/>
    <w:rsid w:val="008E5D6B"/>
    <w:rsid w:val="008E689B"/>
    <w:rsid w:val="008E76F0"/>
    <w:rsid w:val="008F15FE"/>
    <w:rsid w:val="008F2630"/>
    <w:rsid w:val="008F2A94"/>
    <w:rsid w:val="008F5187"/>
    <w:rsid w:val="008F57A6"/>
    <w:rsid w:val="008F709C"/>
    <w:rsid w:val="008F7E33"/>
    <w:rsid w:val="0090071D"/>
    <w:rsid w:val="0090300D"/>
    <w:rsid w:val="0090312B"/>
    <w:rsid w:val="009042AE"/>
    <w:rsid w:val="00904961"/>
    <w:rsid w:val="00905840"/>
    <w:rsid w:val="00910FBB"/>
    <w:rsid w:val="009131B7"/>
    <w:rsid w:val="009132D2"/>
    <w:rsid w:val="0091736D"/>
    <w:rsid w:val="009274D6"/>
    <w:rsid w:val="009278D3"/>
    <w:rsid w:val="0093096E"/>
    <w:rsid w:val="00931001"/>
    <w:rsid w:val="00931863"/>
    <w:rsid w:val="00933524"/>
    <w:rsid w:val="009341FE"/>
    <w:rsid w:val="00934CEA"/>
    <w:rsid w:val="00934DF6"/>
    <w:rsid w:val="00936636"/>
    <w:rsid w:val="009379AC"/>
    <w:rsid w:val="0094278D"/>
    <w:rsid w:val="0095308A"/>
    <w:rsid w:val="00955504"/>
    <w:rsid w:val="00955AEE"/>
    <w:rsid w:val="00955E1F"/>
    <w:rsid w:val="00956F14"/>
    <w:rsid w:val="009620FD"/>
    <w:rsid w:val="0096247A"/>
    <w:rsid w:val="00964A91"/>
    <w:rsid w:val="0096587D"/>
    <w:rsid w:val="00965F4B"/>
    <w:rsid w:val="009665F0"/>
    <w:rsid w:val="00966E17"/>
    <w:rsid w:val="00970F8A"/>
    <w:rsid w:val="00971FB5"/>
    <w:rsid w:val="00972D2A"/>
    <w:rsid w:val="009740B3"/>
    <w:rsid w:val="00975CC5"/>
    <w:rsid w:val="00976328"/>
    <w:rsid w:val="009764C0"/>
    <w:rsid w:val="00976B4E"/>
    <w:rsid w:val="00977512"/>
    <w:rsid w:val="00982FF7"/>
    <w:rsid w:val="00984458"/>
    <w:rsid w:val="00985283"/>
    <w:rsid w:val="00987322"/>
    <w:rsid w:val="00992A68"/>
    <w:rsid w:val="00992A98"/>
    <w:rsid w:val="009A0F3B"/>
    <w:rsid w:val="009A30D1"/>
    <w:rsid w:val="009A3A61"/>
    <w:rsid w:val="009A6005"/>
    <w:rsid w:val="009A72C7"/>
    <w:rsid w:val="009B0897"/>
    <w:rsid w:val="009B0FB0"/>
    <w:rsid w:val="009C3BE0"/>
    <w:rsid w:val="009C485A"/>
    <w:rsid w:val="009C7D17"/>
    <w:rsid w:val="009D003A"/>
    <w:rsid w:val="009D0852"/>
    <w:rsid w:val="009D1246"/>
    <w:rsid w:val="009D1FBF"/>
    <w:rsid w:val="009E32BE"/>
    <w:rsid w:val="009E399C"/>
    <w:rsid w:val="009E43C1"/>
    <w:rsid w:val="009E7E95"/>
    <w:rsid w:val="009F08A2"/>
    <w:rsid w:val="009F116F"/>
    <w:rsid w:val="009F264D"/>
    <w:rsid w:val="009F329E"/>
    <w:rsid w:val="009F72D0"/>
    <w:rsid w:val="009F7ED3"/>
    <w:rsid w:val="00A003EE"/>
    <w:rsid w:val="00A03607"/>
    <w:rsid w:val="00A047FF"/>
    <w:rsid w:val="00A04FEF"/>
    <w:rsid w:val="00A122CD"/>
    <w:rsid w:val="00A12A32"/>
    <w:rsid w:val="00A14248"/>
    <w:rsid w:val="00A1483F"/>
    <w:rsid w:val="00A14947"/>
    <w:rsid w:val="00A20E45"/>
    <w:rsid w:val="00A210D6"/>
    <w:rsid w:val="00A23DC5"/>
    <w:rsid w:val="00A2541D"/>
    <w:rsid w:val="00A30DFC"/>
    <w:rsid w:val="00A34028"/>
    <w:rsid w:val="00A35568"/>
    <w:rsid w:val="00A364E8"/>
    <w:rsid w:val="00A37056"/>
    <w:rsid w:val="00A4358F"/>
    <w:rsid w:val="00A44AD1"/>
    <w:rsid w:val="00A46F67"/>
    <w:rsid w:val="00A54AA1"/>
    <w:rsid w:val="00A568FF"/>
    <w:rsid w:val="00A61496"/>
    <w:rsid w:val="00A61833"/>
    <w:rsid w:val="00A624C6"/>
    <w:rsid w:val="00A63CEC"/>
    <w:rsid w:val="00A6791B"/>
    <w:rsid w:val="00A7031E"/>
    <w:rsid w:val="00A70B14"/>
    <w:rsid w:val="00A7193D"/>
    <w:rsid w:val="00A728B1"/>
    <w:rsid w:val="00A72A68"/>
    <w:rsid w:val="00A763DE"/>
    <w:rsid w:val="00A77D1A"/>
    <w:rsid w:val="00A803D6"/>
    <w:rsid w:val="00A81282"/>
    <w:rsid w:val="00A83A5B"/>
    <w:rsid w:val="00A8588A"/>
    <w:rsid w:val="00A8713F"/>
    <w:rsid w:val="00A91167"/>
    <w:rsid w:val="00A9171C"/>
    <w:rsid w:val="00A92FFD"/>
    <w:rsid w:val="00A95975"/>
    <w:rsid w:val="00A9708D"/>
    <w:rsid w:val="00AA1C72"/>
    <w:rsid w:val="00AA2C17"/>
    <w:rsid w:val="00AA2E11"/>
    <w:rsid w:val="00AA4172"/>
    <w:rsid w:val="00AA7E23"/>
    <w:rsid w:val="00AB1914"/>
    <w:rsid w:val="00AB2B16"/>
    <w:rsid w:val="00AB5330"/>
    <w:rsid w:val="00AB7747"/>
    <w:rsid w:val="00AC0785"/>
    <w:rsid w:val="00AC0D11"/>
    <w:rsid w:val="00AC0E64"/>
    <w:rsid w:val="00AC2532"/>
    <w:rsid w:val="00AD1507"/>
    <w:rsid w:val="00AD299A"/>
    <w:rsid w:val="00AD3655"/>
    <w:rsid w:val="00AD39BD"/>
    <w:rsid w:val="00AD4666"/>
    <w:rsid w:val="00AD57CA"/>
    <w:rsid w:val="00AD5A70"/>
    <w:rsid w:val="00AD5D0A"/>
    <w:rsid w:val="00AD64B8"/>
    <w:rsid w:val="00AD689F"/>
    <w:rsid w:val="00AD738B"/>
    <w:rsid w:val="00AE045B"/>
    <w:rsid w:val="00AE0C41"/>
    <w:rsid w:val="00AE1BF4"/>
    <w:rsid w:val="00AE4548"/>
    <w:rsid w:val="00AE5D97"/>
    <w:rsid w:val="00AE6794"/>
    <w:rsid w:val="00AF4078"/>
    <w:rsid w:val="00B01110"/>
    <w:rsid w:val="00B02262"/>
    <w:rsid w:val="00B02ACE"/>
    <w:rsid w:val="00B03CEC"/>
    <w:rsid w:val="00B11108"/>
    <w:rsid w:val="00B1209F"/>
    <w:rsid w:val="00B128CF"/>
    <w:rsid w:val="00B12AD0"/>
    <w:rsid w:val="00B215ED"/>
    <w:rsid w:val="00B21972"/>
    <w:rsid w:val="00B24F30"/>
    <w:rsid w:val="00B254B8"/>
    <w:rsid w:val="00B31ABF"/>
    <w:rsid w:val="00B32887"/>
    <w:rsid w:val="00B335AE"/>
    <w:rsid w:val="00B37CE1"/>
    <w:rsid w:val="00B37E52"/>
    <w:rsid w:val="00B40ACF"/>
    <w:rsid w:val="00B4511B"/>
    <w:rsid w:val="00B454E2"/>
    <w:rsid w:val="00B4602D"/>
    <w:rsid w:val="00B46BAA"/>
    <w:rsid w:val="00B50B5F"/>
    <w:rsid w:val="00B51332"/>
    <w:rsid w:val="00B52594"/>
    <w:rsid w:val="00B54128"/>
    <w:rsid w:val="00B55826"/>
    <w:rsid w:val="00B5670B"/>
    <w:rsid w:val="00B60426"/>
    <w:rsid w:val="00B622DD"/>
    <w:rsid w:val="00B623A7"/>
    <w:rsid w:val="00B63522"/>
    <w:rsid w:val="00B6595A"/>
    <w:rsid w:val="00B740C1"/>
    <w:rsid w:val="00B76F1D"/>
    <w:rsid w:val="00B77BC5"/>
    <w:rsid w:val="00B81A45"/>
    <w:rsid w:val="00B81C07"/>
    <w:rsid w:val="00B82475"/>
    <w:rsid w:val="00B90330"/>
    <w:rsid w:val="00B92A19"/>
    <w:rsid w:val="00B93B3E"/>
    <w:rsid w:val="00B94C77"/>
    <w:rsid w:val="00B9544C"/>
    <w:rsid w:val="00B974D8"/>
    <w:rsid w:val="00BA29E9"/>
    <w:rsid w:val="00BA367E"/>
    <w:rsid w:val="00BA647D"/>
    <w:rsid w:val="00BB3618"/>
    <w:rsid w:val="00BB51BD"/>
    <w:rsid w:val="00BB79A7"/>
    <w:rsid w:val="00BC0269"/>
    <w:rsid w:val="00BC0C9E"/>
    <w:rsid w:val="00BC32DC"/>
    <w:rsid w:val="00BD1B51"/>
    <w:rsid w:val="00BD1D62"/>
    <w:rsid w:val="00BD47F6"/>
    <w:rsid w:val="00BE312D"/>
    <w:rsid w:val="00BE3FCA"/>
    <w:rsid w:val="00BF0545"/>
    <w:rsid w:val="00BF0C7D"/>
    <w:rsid w:val="00BF1031"/>
    <w:rsid w:val="00BF22DF"/>
    <w:rsid w:val="00BF78EB"/>
    <w:rsid w:val="00BF7F4F"/>
    <w:rsid w:val="00C00FF7"/>
    <w:rsid w:val="00C020B7"/>
    <w:rsid w:val="00C05719"/>
    <w:rsid w:val="00C10578"/>
    <w:rsid w:val="00C14BB5"/>
    <w:rsid w:val="00C150D7"/>
    <w:rsid w:val="00C17D62"/>
    <w:rsid w:val="00C21FDC"/>
    <w:rsid w:val="00C22BB5"/>
    <w:rsid w:val="00C23D58"/>
    <w:rsid w:val="00C246C0"/>
    <w:rsid w:val="00C24EE7"/>
    <w:rsid w:val="00C2596A"/>
    <w:rsid w:val="00C26E1A"/>
    <w:rsid w:val="00C271BE"/>
    <w:rsid w:val="00C27425"/>
    <w:rsid w:val="00C328FE"/>
    <w:rsid w:val="00C33A05"/>
    <w:rsid w:val="00C34172"/>
    <w:rsid w:val="00C35F49"/>
    <w:rsid w:val="00C36BF7"/>
    <w:rsid w:val="00C377D4"/>
    <w:rsid w:val="00C42500"/>
    <w:rsid w:val="00C4409D"/>
    <w:rsid w:val="00C4485B"/>
    <w:rsid w:val="00C455BE"/>
    <w:rsid w:val="00C51B6D"/>
    <w:rsid w:val="00C51BED"/>
    <w:rsid w:val="00C51E5F"/>
    <w:rsid w:val="00C52BC7"/>
    <w:rsid w:val="00C54B69"/>
    <w:rsid w:val="00C61E4B"/>
    <w:rsid w:val="00C62E3A"/>
    <w:rsid w:val="00C631AE"/>
    <w:rsid w:val="00C63F5E"/>
    <w:rsid w:val="00C64503"/>
    <w:rsid w:val="00C64A1F"/>
    <w:rsid w:val="00C64BFF"/>
    <w:rsid w:val="00C70A4C"/>
    <w:rsid w:val="00C71FBA"/>
    <w:rsid w:val="00C763C9"/>
    <w:rsid w:val="00C80057"/>
    <w:rsid w:val="00C80DB9"/>
    <w:rsid w:val="00C81777"/>
    <w:rsid w:val="00C82642"/>
    <w:rsid w:val="00C82C79"/>
    <w:rsid w:val="00C83893"/>
    <w:rsid w:val="00C8393D"/>
    <w:rsid w:val="00C83B58"/>
    <w:rsid w:val="00C84753"/>
    <w:rsid w:val="00C91611"/>
    <w:rsid w:val="00C9479C"/>
    <w:rsid w:val="00C97F0F"/>
    <w:rsid w:val="00CA050A"/>
    <w:rsid w:val="00CA3574"/>
    <w:rsid w:val="00CA3585"/>
    <w:rsid w:val="00CA362A"/>
    <w:rsid w:val="00CA3D5A"/>
    <w:rsid w:val="00CA4C7C"/>
    <w:rsid w:val="00CA6485"/>
    <w:rsid w:val="00CB0183"/>
    <w:rsid w:val="00CB1EA3"/>
    <w:rsid w:val="00CB3DCB"/>
    <w:rsid w:val="00CB5345"/>
    <w:rsid w:val="00CB552C"/>
    <w:rsid w:val="00CB6A9E"/>
    <w:rsid w:val="00CC6181"/>
    <w:rsid w:val="00CD09CD"/>
    <w:rsid w:val="00CD117A"/>
    <w:rsid w:val="00CD1F34"/>
    <w:rsid w:val="00CD2972"/>
    <w:rsid w:val="00CD2BCD"/>
    <w:rsid w:val="00CD36AA"/>
    <w:rsid w:val="00CD3791"/>
    <w:rsid w:val="00CD61AA"/>
    <w:rsid w:val="00CD65B0"/>
    <w:rsid w:val="00CD744F"/>
    <w:rsid w:val="00CE02CD"/>
    <w:rsid w:val="00CE10E9"/>
    <w:rsid w:val="00CE5D74"/>
    <w:rsid w:val="00CE7CF2"/>
    <w:rsid w:val="00CF1610"/>
    <w:rsid w:val="00CF3E2B"/>
    <w:rsid w:val="00CF7F8B"/>
    <w:rsid w:val="00D0072E"/>
    <w:rsid w:val="00D029E1"/>
    <w:rsid w:val="00D03ED2"/>
    <w:rsid w:val="00D10E77"/>
    <w:rsid w:val="00D148FA"/>
    <w:rsid w:val="00D15727"/>
    <w:rsid w:val="00D16332"/>
    <w:rsid w:val="00D16C4F"/>
    <w:rsid w:val="00D20DB0"/>
    <w:rsid w:val="00D24972"/>
    <w:rsid w:val="00D2515E"/>
    <w:rsid w:val="00D27E74"/>
    <w:rsid w:val="00D308ED"/>
    <w:rsid w:val="00D320A7"/>
    <w:rsid w:val="00D53DFC"/>
    <w:rsid w:val="00D56178"/>
    <w:rsid w:val="00D56CF0"/>
    <w:rsid w:val="00D56F5C"/>
    <w:rsid w:val="00D57370"/>
    <w:rsid w:val="00D63684"/>
    <w:rsid w:val="00D658E0"/>
    <w:rsid w:val="00D65954"/>
    <w:rsid w:val="00D66485"/>
    <w:rsid w:val="00D66834"/>
    <w:rsid w:val="00D704B1"/>
    <w:rsid w:val="00D70B63"/>
    <w:rsid w:val="00D70CCD"/>
    <w:rsid w:val="00D70E7B"/>
    <w:rsid w:val="00D7189A"/>
    <w:rsid w:val="00D71D9C"/>
    <w:rsid w:val="00D72B92"/>
    <w:rsid w:val="00D72ED4"/>
    <w:rsid w:val="00D73F61"/>
    <w:rsid w:val="00D754C0"/>
    <w:rsid w:val="00D776A2"/>
    <w:rsid w:val="00D801C4"/>
    <w:rsid w:val="00D803D1"/>
    <w:rsid w:val="00D90836"/>
    <w:rsid w:val="00D9212C"/>
    <w:rsid w:val="00D9255F"/>
    <w:rsid w:val="00D944FC"/>
    <w:rsid w:val="00D95896"/>
    <w:rsid w:val="00D95BC5"/>
    <w:rsid w:val="00D95CC6"/>
    <w:rsid w:val="00DA2DA3"/>
    <w:rsid w:val="00DA3A60"/>
    <w:rsid w:val="00DA6615"/>
    <w:rsid w:val="00DA76AE"/>
    <w:rsid w:val="00DB0311"/>
    <w:rsid w:val="00DB181E"/>
    <w:rsid w:val="00DB1C7A"/>
    <w:rsid w:val="00DB2983"/>
    <w:rsid w:val="00DB343D"/>
    <w:rsid w:val="00DB5579"/>
    <w:rsid w:val="00DB5CFE"/>
    <w:rsid w:val="00DC0488"/>
    <w:rsid w:val="00DC06C3"/>
    <w:rsid w:val="00DC1164"/>
    <w:rsid w:val="00DC2AE6"/>
    <w:rsid w:val="00DC49F0"/>
    <w:rsid w:val="00DC72A6"/>
    <w:rsid w:val="00DD2113"/>
    <w:rsid w:val="00DD265E"/>
    <w:rsid w:val="00DE21E3"/>
    <w:rsid w:val="00DE4EEF"/>
    <w:rsid w:val="00DE6294"/>
    <w:rsid w:val="00DF102B"/>
    <w:rsid w:val="00DF1930"/>
    <w:rsid w:val="00DF370E"/>
    <w:rsid w:val="00DF514A"/>
    <w:rsid w:val="00DF636D"/>
    <w:rsid w:val="00DF7F63"/>
    <w:rsid w:val="00E02DA5"/>
    <w:rsid w:val="00E0358D"/>
    <w:rsid w:val="00E06327"/>
    <w:rsid w:val="00E0770E"/>
    <w:rsid w:val="00E07A22"/>
    <w:rsid w:val="00E12B75"/>
    <w:rsid w:val="00E17804"/>
    <w:rsid w:val="00E20285"/>
    <w:rsid w:val="00E2047F"/>
    <w:rsid w:val="00E2064B"/>
    <w:rsid w:val="00E2482A"/>
    <w:rsid w:val="00E25239"/>
    <w:rsid w:val="00E265B1"/>
    <w:rsid w:val="00E275B0"/>
    <w:rsid w:val="00E31358"/>
    <w:rsid w:val="00E31506"/>
    <w:rsid w:val="00E33474"/>
    <w:rsid w:val="00E364F2"/>
    <w:rsid w:val="00E40FCF"/>
    <w:rsid w:val="00E412D0"/>
    <w:rsid w:val="00E412DB"/>
    <w:rsid w:val="00E43459"/>
    <w:rsid w:val="00E43583"/>
    <w:rsid w:val="00E46595"/>
    <w:rsid w:val="00E47CDB"/>
    <w:rsid w:val="00E5088B"/>
    <w:rsid w:val="00E5231F"/>
    <w:rsid w:val="00E563AC"/>
    <w:rsid w:val="00E566BC"/>
    <w:rsid w:val="00E57B97"/>
    <w:rsid w:val="00E60982"/>
    <w:rsid w:val="00E60C8D"/>
    <w:rsid w:val="00E6162F"/>
    <w:rsid w:val="00E6311B"/>
    <w:rsid w:val="00E65D97"/>
    <w:rsid w:val="00E678B2"/>
    <w:rsid w:val="00E67EFD"/>
    <w:rsid w:val="00E702DC"/>
    <w:rsid w:val="00E71FFB"/>
    <w:rsid w:val="00E76D1D"/>
    <w:rsid w:val="00E775E8"/>
    <w:rsid w:val="00E806F8"/>
    <w:rsid w:val="00E847F9"/>
    <w:rsid w:val="00E87613"/>
    <w:rsid w:val="00E87752"/>
    <w:rsid w:val="00E8793B"/>
    <w:rsid w:val="00E90F81"/>
    <w:rsid w:val="00E91A6D"/>
    <w:rsid w:val="00E9242D"/>
    <w:rsid w:val="00E961C2"/>
    <w:rsid w:val="00EA1D28"/>
    <w:rsid w:val="00EA604F"/>
    <w:rsid w:val="00EA6AC8"/>
    <w:rsid w:val="00EB041C"/>
    <w:rsid w:val="00EB6776"/>
    <w:rsid w:val="00EC2A57"/>
    <w:rsid w:val="00EC5058"/>
    <w:rsid w:val="00EC5874"/>
    <w:rsid w:val="00ED192D"/>
    <w:rsid w:val="00ED30B4"/>
    <w:rsid w:val="00ED31F5"/>
    <w:rsid w:val="00ED58A6"/>
    <w:rsid w:val="00ED5A2C"/>
    <w:rsid w:val="00ED7725"/>
    <w:rsid w:val="00ED79F8"/>
    <w:rsid w:val="00EE2019"/>
    <w:rsid w:val="00EE4F9E"/>
    <w:rsid w:val="00EE788A"/>
    <w:rsid w:val="00EF2759"/>
    <w:rsid w:val="00EF3AB9"/>
    <w:rsid w:val="00EF45EB"/>
    <w:rsid w:val="00EF5099"/>
    <w:rsid w:val="00EF5E33"/>
    <w:rsid w:val="00F00075"/>
    <w:rsid w:val="00F0294A"/>
    <w:rsid w:val="00F02E4B"/>
    <w:rsid w:val="00F074D8"/>
    <w:rsid w:val="00F07822"/>
    <w:rsid w:val="00F07887"/>
    <w:rsid w:val="00F12324"/>
    <w:rsid w:val="00F1436D"/>
    <w:rsid w:val="00F15C95"/>
    <w:rsid w:val="00F22985"/>
    <w:rsid w:val="00F241AB"/>
    <w:rsid w:val="00F25677"/>
    <w:rsid w:val="00F26EFF"/>
    <w:rsid w:val="00F31382"/>
    <w:rsid w:val="00F35829"/>
    <w:rsid w:val="00F42868"/>
    <w:rsid w:val="00F43358"/>
    <w:rsid w:val="00F43FED"/>
    <w:rsid w:val="00F465A7"/>
    <w:rsid w:val="00F50B7C"/>
    <w:rsid w:val="00F513BD"/>
    <w:rsid w:val="00F5202D"/>
    <w:rsid w:val="00F52CF6"/>
    <w:rsid w:val="00F533D7"/>
    <w:rsid w:val="00F54496"/>
    <w:rsid w:val="00F54791"/>
    <w:rsid w:val="00F54A4A"/>
    <w:rsid w:val="00F6016E"/>
    <w:rsid w:val="00F61097"/>
    <w:rsid w:val="00F63422"/>
    <w:rsid w:val="00F74345"/>
    <w:rsid w:val="00F74441"/>
    <w:rsid w:val="00F75811"/>
    <w:rsid w:val="00F77F30"/>
    <w:rsid w:val="00F81B53"/>
    <w:rsid w:val="00F82589"/>
    <w:rsid w:val="00F82B19"/>
    <w:rsid w:val="00F87113"/>
    <w:rsid w:val="00F90AA7"/>
    <w:rsid w:val="00F9212D"/>
    <w:rsid w:val="00F95536"/>
    <w:rsid w:val="00F97EC4"/>
    <w:rsid w:val="00FA301A"/>
    <w:rsid w:val="00FA406A"/>
    <w:rsid w:val="00FA5CB6"/>
    <w:rsid w:val="00FB331A"/>
    <w:rsid w:val="00FB3BDC"/>
    <w:rsid w:val="00FB4615"/>
    <w:rsid w:val="00FB65A7"/>
    <w:rsid w:val="00FB7EC4"/>
    <w:rsid w:val="00FC66AC"/>
    <w:rsid w:val="00FD05F1"/>
    <w:rsid w:val="00FD18F4"/>
    <w:rsid w:val="00FD5069"/>
    <w:rsid w:val="00FD74B4"/>
    <w:rsid w:val="00FE12C3"/>
    <w:rsid w:val="00FE3370"/>
    <w:rsid w:val="00FF051F"/>
    <w:rsid w:val="00FF0B05"/>
    <w:rsid w:val="00FF6FCE"/>
    <w:rsid w:val="00FF7518"/>
    <w:rsid w:val="00FF7FD8"/>
    <w:rsid w:val="05742AC8"/>
    <w:rsid w:val="06352F05"/>
    <w:rsid w:val="063E7D85"/>
    <w:rsid w:val="070875E0"/>
    <w:rsid w:val="07293586"/>
    <w:rsid w:val="07295285"/>
    <w:rsid w:val="07770C56"/>
    <w:rsid w:val="092217DD"/>
    <w:rsid w:val="093A7294"/>
    <w:rsid w:val="0BD27BF6"/>
    <w:rsid w:val="0D533015"/>
    <w:rsid w:val="0E110D06"/>
    <w:rsid w:val="0F13775A"/>
    <w:rsid w:val="0F9A112B"/>
    <w:rsid w:val="106D2F64"/>
    <w:rsid w:val="10B63710"/>
    <w:rsid w:val="111C2F7A"/>
    <w:rsid w:val="113013DE"/>
    <w:rsid w:val="122B06C2"/>
    <w:rsid w:val="13951726"/>
    <w:rsid w:val="1436259B"/>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2576990"/>
    <w:rsid w:val="229C4EAB"/>
    <w:rsid w:val="240C1010"/>
    <w:rsid w:val="252D53FE"/>
    <w:rsid w:val="25EC2D81"/>
    <w:rsid w:val="264528BD"/>
    <w:rsid w:val="27D15DD1"/>
    <w:rsid w:val="28A76295"/>
    <w:rsid w:val="29206EB8"/>
    <w:rsid w:val="29E325E0"/>
    <w:rsid w:val="2A452503"/>
    <w:rsid w:val="2BA936A8"/>
    <w:rsid w:val="2C315A5A"/>
    <w:rsid w:val="2D9E56F5"/>
    <w:rsid w:val="2E667F96"/>
    <w:rsid w:val="2E8226AB"/>
    <w:rsid w:val="2F832C79"/>
    <w:rsid w:val="2FEF2D58"/>
    <w:rsid w:val="30580BC9"/>
    <w:rsid w:val="306B04F2"/>
    <w:rsid w:val="311E2ED7"/>
    <w:rsid w:val="315C449C"/>
    <w:rsid w:val="31B82709"/>
    <w:rsid w:val="323A4620"/>
    <w:rsid w:val="32400B34"/>
    <w:rsid w:val="329E6876"/>
    <w:rsid w:val="33BA045B"/>
    <w:rsid w:val="33D934D4"/>
    <w:rsid w:val="33FE2F6A"/>
    <w:rsid w:val="34C333E6"/>
    <w:rsid w:val="36074A7F"/>
    <w:rsid w:val="36923549"/>
    <w:rsid w:val="36B75FBF"/>
    <w:rsid w:val="36FB4891"/>
    <w:rsid w:val="38F12CD3"/>
    <w:rsid w:val="38F94775"/>
    <w:rsid w:val="392971ED"/>
    <w:rsid w:val="3B3763D1"/>
    <w:rsid w:val="3BD57167"/>
    <w:rsid w:val="3CDA245A"/>
    <w:rsid w:val="3CEE0A37"/>
    <w:rsid w:val="3F660E74"/>
    <w:rsid w:val="407A6407"/>
    <w:rsid w:val="40976EEF"/>
    <w:rsid w:val="423A3BCC"/>
    <w:rsid w:val="433A6FE6"/>
    <w:rsid w:val="4350713C"/>
    <w:rsid w:val="436653E0"/>
    <w:rsid w:val="44CD14E0"/>
    <w:rsid w:val="458946E9"/>
    <w:rsid w:val="46D955A7"/>
    <w:rsid w:val="47133957"/>
    <w:rsid w:val="4779329E"/>
    <w:rsid w:val="47A07E0C"/>
    <w:rsid w:val="4870272E"/>
    <w:rsid w:val="4895781F"/>
    <w:rsid w:val="49DC7715"/>
    <w:rsid w:val="4A023139"/>
    <w:rsid w:val="4A7B576F"/>
    <w:rsid w:val="4C4A0649"/>
    <w:rsid w:val="4CE470D3"/>
    <w:rsid w:val="4DEC4FB0"/>
    <w:rsid w:val="4E075D8A"/>
    <w:rsid w:val="4FC62A8C"/>
    <w:rsid w:val="4FE20F0D"/>
    <w:rsid w:val="50504C4B"/>
    <w:rsid w:val="509C6E7C"/>
    <w:rsid w:val="5162104E"/>
    <w:rsid w:val="5306282B"/>
    <w:rsid w:val="53A039CC"/>
    <w:rsid w:val="53A1505A"/>
    <w:rsid w:val="53E84633"/>
    <w:rsid w:val="54063E08"/>
    <w:rsid w:val="543437E8"/>
    <w:rsid w:val="559B174B"/>
    <w:rsid w:val="55CE0CF4"/>
    <w:rsid w:val="56B22A9C"/>
    <w:rsid w:val="57B72A76"/>
    <w:rsid w:val="5A3C747D"/>
    <w:rsid w:val="5ABE2233"/>
    <w:rsid w:val="5B276D18"/>
    <w:rsid w:val="5BDF5D95"/>
    <w:rsid w:val="5DF87A0F"/>
    <w:rsid w:val="5F1A2B43"/>
    <w:rsid w:val="5FB837BB"/>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0ED3883"/>
    <w:rsid w:val="71141580"/>
    <w:rsid w:val="715B5300"/>
    <w:rsid w:val="715F4BD7"/>
    <w:rsid w:val="71987EBF"/>
    <w:rsid w:val="71D27F8A"/>
    <w:rsid w:val="71F744C6"/>
    <w:rsid w:val="71F960CF"/>
    <w:rsid w:val="731F5D5E"/>
    <w:rsid w:val="741E793C"/>
    <w:rsid w:val="7445758F"/>
    <w:rsid w:val="758D75E2"/>
    <w:rsid w:val="76DC7890"/>
    <w:rsid w:val="77762421"/>
    <w:rsid w:val="780F09F4"/>
    <w:rsid w:val="789C4F47"/>
    <w:rsid w:val="78A90480"/>
    <w:rsid w:val="79811327"/>
    <w:rsid w:val="7A364017"/>
    <w:rsid w:val="7A8265E1"/>
    <w:rsid w:val="7B686D42"/>
    <w:rsid w:val="7B841746"/>
    <w:rsid w:val="7BD227A0"/>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link w:val="20"/>
    <w:qFormat/>
    <w:locked/>
    <w:uiPriority w:val="0"/>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1"/>
    <w:semiHidden/>
    <w:uiPriority w:val="0"/>
    <w:pPr>
      <w:jc w:val="left"/>
    </w:pPr>
    <w:rPr>
      <w:kern w:val="0"/>
      <w:sz w:val="20"/>
    </w:rPr>
  </w:style>
  <w:style w:type="paragraph" w:styleId="5">
    <w:name w:val="Body Text"/>
    <w:basedOn w:val="1"/>
    <w:link w:val="22"/>
    <w:qFormat/>
    <w:uiPriority w:val="0"/>
    <w:pPr>
      <w:widowControl/>
      <w:snapToGrid w:val="0"/>
      <w:spacing w:before="60" w:after="160" w:line="259" w:lineRule="auto"/>
      <w:ind w:right="113"/>
    </w:pPr>
    <w:rPr>
      <w:kern w:val="0"/>
      <w:sz w:val="18"/>
      <w:szCs w:val="18"/>
    </w:rPr>
  </w:style>
  <w:style w:type="paragraph" w:styleId="6">
    <w:name w:val="Body Text Indent"/>
    <w:basedOn w:val="1"/>
    <w:link w:val="23"/>
    <w:semiHidden/>
    <w:qFormat/>
    <w:uiPriority w:val="0"/>
    <w:pPr>
      <w:spacing w:after="120"/>
      <w:ind w:left="420" w:leftChars="200"/>
    </w:pPr>
  </w:style>
  <w:style w:type="paragraph" w:styleId="7">
    <w:name w:val="Date"/>
    <w:basedOn w:val="1"/>
    <w:next w:val="1"/>
    <w:link w:val="24"/>
    <w:qFormat/>
    <w:uiPriority w:val="0"/>
    <w:pPr>
      <w:ind w:left="100" w:leftChars="2500"/>
    </w:pPr>
    <w:rPr>
      <w:kern w:val="0"/>
      <w:sz w:val="20"/>
    </w:rPr>
  </w:style>
  <w:style w:type="paragraph" w:styleId="8">
    <w:name w:val="Body Text Indent 2"/>
    <w:basedOn w:val="1"/>
    <w:next w:val="1"/>
    <w:link w:val="25"/>
    <w:unhideWhenUsed/>
    <w:qFormat/>
    <w:uiPriority w:val="0"/>
    <w:pPr>
      <w:spacing w:after="120" w:line="480" w:lineRule="auto"/>
      <w:ind w:left="420" w:leftChars="200"/>
    </w:pPr>
  </w:style>
  <w:style w:type="paragraph" w:styleId="9">
    <w:name w:val="Balloon Text"/>
    <w:basedOn w:val="1"/>
    <w:link w:val="26"/>
    <w:semiHidden/>
    <w:qFormat/>
    <w:uiPriority w:val="0"/>
    <w:rPr>
      <w:sz w:val="18"/>
      <w:szCs w:val="18"/>
    </w:rPr>
  </w:style>
  <w:style w:type="paragraph" w:styleId="10">
    <w:name w:val="footer"/>
    <w:basedOn w:val="1"/>
    <w:link w:val="27"/>
    <w:qFormat/>
    <w:uiPriority w:val="99"/>
    <w:pPr>
      <w:tabs>
        <w:tab w:val="center" w:pos="4153"/>
        <w:tab w:val="right" w:pos="8306"/>
      </w:tabs>
      <w:snapToGrid w:val="0"/>
      <w:jc w:val="left"/>
    </w:pPr>
    <w:rPr>
      <w:sz w:val="18"/>
      <w:szCs w:val="18"/>
    </w:rPr>
  </w:style>
  <w:style w:type="paragraph" w:styleId="11">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link w:val="29"/>
    <w:qFormat/>
    <w:uiPriority w:val="99"/>
    <w:pPr>
      <w:widowControl/>
      <w:spacing w:before="100" w:beforeAutospacing="1" w:after="100" w:afterAutospacing="1"/>
      <w:jc w:val="left"/>
    </w:pPr>
    <w:rPr>
      <w:rFonts w:ascii="宋体" w:hAnsi="宋体"/>
      <w:kern w:val="0"/>
      <w:sz w:val="24"/>
    </w:rPr>
  </w:style>
  <w:style w:type="paragraph" w:styleId="13">
    <w:name w:val="annotation subject"/>
    <w:basedOn w:val="4"/>
    <w:next w:val="4"/>
    <w:link w:val="30"/>
    <w:semiHidden/>
    <w:qFormat/>
    <w:uiPriority w:val="0"/>
    <w:rPr>
      <w:b/>
      <w:bCs/>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qFormat/>
    <w:uiPriority w:val="0"/>
    <w:rPr>
      <w:color w:val="0563C1"/>
      <w:u w:val="single"/>
    </w:rPr>
  </w:style>
  <w:style w:type="character" w:styleId="19">
    <w:name w:val="annotation reference"/>
    <w:semiHidden/>
    <w:qFormat/>
    <w:uiPriority w:val="0"/>
    <w:rPr>
      <w:sz w:val="21"/>
    </w:rPr>
  </w:style>
  <w:style w:type="character" w:customStyle="1" w:styleId="20">
    <w:name w:val="标题 3 字符"/>
    <w:link w:val="3"/>
    <w:semiHidden/>
    <w:qFormat/>
    <w:uiPriority w:val="0"/>
    <w:rPr>
      <w:b/>
      <w:bCs/>
      <w:kern w:val="2"/>
      <w:sz w:val="32"/>
      <w:szCs w:val="32"/>
    </w:rPr>
  </w:style>
  <w:style w:type="character" w:customStyle="1" w:styleId="21">
    <w:name w:val="批注文字 字符"/>
    <w:link w:val="4"/>
    <w:qFormat/>
    <w:locked/>
    <w:uiPriority w:val="0"/>
    <w:rPr>
      <w:rFonts w:ascii="Times New Roman" w:hAnsi="Times New Roman" w:eastAsia="宋体"/>
      <w:sz w:val="24"/>
    </w:rPr>
  </w:style>
  <w:style w:type="character" w:customStyle="1" w:styleId="22">
    <w:name w:val="正文文本 字符"/>
    <w:link w:val="5"/>
    <w:qFormat/>
    <w:locked/>
    <w:uiPriority w:val="0"/>
    <w:rPr>
      <w:sz w:val="18"/>
    </w:rPr>
  </w:style>
  <w:style w:type="character" w:customStyle="1" w:styleId="23">
    <w:name w:val="正文文本缩进 字符"/>
    <w:link w:val="6"/>
    <w:semiHidden/>
    <w:qFormat/>
    <w:locked/>
    <w:uiPriority w:val="0"/>
    <w:rPr>
      <w:rFonts w:ascii="Times New Roman" w:hAnsi="Times New Roman" w:eastAsia="宋体" w:cs="Times New Roman"/>
      <w:sz w:val="24"/>
      <w:szCs w:val="24"/>
    </w:rPr>
  </w:style>
  <w:style w:type="character" w:customStyle="1" w:styleId="24">
    <w:name w:val="日期 字符1"/>
    <w:link w:val="7"/>
    <w:qFormat/>
    <w:locked/>
    <w:uiPriority w:val="0"/>
    <w:rPr>
      <w:rFonts w:ascii="Times New Roman" w:hAnsi="Times New Roman" w:eastAsia="宋体"/>
      <w:sz w:val="24"/>
    </w:rPr>
  </w:style>
  <w:style w:type="character" w:customStyle="1" w:styleId="25">
    <w:name w:val="正文文本缩进 2 字符"/>
    <w:link w:val="8"/>
    <w:qFormat/>
    <w:uiPriority w:val="0"/>
    <w:rPr>
      <w:kern w:val="2"/>
      <w:sz w:val="21"/>
      <w:szCs w:val="24"/>
    </w:rPr>
  </w:style>
  <w:style w:type="character" w:customStyle="1" w:styleId="26">
    <w:name w:val="批注框文本 字符"/>
    <w:link w:val="9"/>
    <w:semiHidden/>
    <w:qFormat/>
    <w:locked/>
    <w:uiPriority w:val="0"/>
    <w:rPr>
      <w:rFonts w:ascii="Times New Roman" w:hAnsi="Times New Roman" w:eastAsia="宋体" w:cs="Times New Roman"/>
      <w:sz w:val="18"/>
      <w:szCs w:val="18"/>
    </w:rPr>
  </w:style>
  <w:style w:type="character" w:customStyle="1" w:styleId="27">
    <w:name w:val="页脚 字符"/>
    <w:link w:val="10"/>
    <w:qFormat/>
    <w:locked/>
    <w:uiPriority w:val="99"/>
    <w:rPr>
      <w:rFonts w:cs="Times New Roman"/>
      <w:sz w:val="18"/>
      <w:szCs w:val="18"/>
    </w:rPr>
  </w:style>
  <w:style w:type="character" w:customStyle="1" w:styleId="28">
    <w:name w:val="页眉 字符"/>
    <w:link w:val="11"/>
    <w:qFormat/>
    <w:locked/>
    <w:uiPriority w:val="0"/>
    <w:rPr>
      <w:rFonts w:cs="Times New Roman"/>
      <w:sz w:val="18"/>
      <w:szCs w:val="18"/>
    </w:rPr>
  </w:style>
  <w:style w:type="character" w:customStyle="1" w:styleId="29">
    <w:name w:val="普通(网站) 字符"/>
    <w:link w:val="12"/>
    <w:qFormat/>
    <w:locked/>
    <w:uiPriority w:val="0"/>
    <w:rPr>
      <w:rFonts w:ascii="宋体" w:hAnsi="宋体" w:eastAsia="宋体"/>
      <w:sz w:val="24"/>
    </w:rPr>
  </w:style>
  <w:style w:type="character" w:customStyle="1" w:styleId="30">
    <w:name w:val="批注主题 字符"/>
    <w:link w:val="13"/>
    <w:semiHidden/>
    <w:qFormat/>
    <w:locked/>
    <w:uiPriority w:val="0"/>
    <w:rPr>
      <w:rFonts w:ascii="Times New Roman" w:hAnsi="Times New Roman" w:eastAsia="宋体" w:cs="Times New Roman"/>
      <w:b/>
      <w:bCs/>
      <w:kern w:val="2"/>
      <w:sz w:val="24"/>
      <w:szCs w:val="24"/>
    </w:rPr>
  </w:style>
  <w:style w:type="character" w:customStyle="1" w:styleId="31">
    <w:name w:val="普通(网站) Char"/>
    <w:qFormat/>
    <w:locked/>
    <w:uiPriority w:val="0"/>
    <w:rPr>
      <w:rFonts w:ascii="宋体" w:hAnsi="宋体" w:eastAsia="宋体"/>
      <w:sz w:val="24"/>
    </w:rPr>
  </w:style>
  <w:style w:type="character" w:customStyle="1" w:styleId="32">
    <w:name w:val="正文文本 字符1"/>
    <w:semiHidden/>
    <w:qFormat/>
    <w:uiPriority w:val="0"/>
    <w:rPr>
      <w:rFonts w:ascii="Times New Roman" w:hAnsi="Times New Roman" w:eastAsia="宋体" w:cs="Times New Roman"/>
      <w:sz w:val="24"/>
      <w:szCs w:val="24"/>
    </w:rPr>
  </w:style>
  <w:style w:type="character" w:customStyle="1" w:styleId="33">
    <w:name w:val="批注文字 字符1"/>
    <w:semiHidden/>
    <w:qFormat/>
    <w:uiPriority w:val="0"/>
    <w:rPr>
      <w:rFonts w:ascii="Times New Roman" w:hAnsi="Times New Roman" w:eastAsia="宋体" w:cs="Times New Roman"/>
      <w:sz w:val="24"/>
      <w:szCs w:val="24"/>
    </w:rPr>
  </w:style>
  <w:style w:type="character" w:customStyle="1" w:styleId="34">
    <w:name w:val="日期 字符"/>
    <w:semiHidden/>
    <w:qFormat/>
    <w:uiPriority w:val="0"/>
    <w:rPr>
      <w:rFonts w:ascii="Times New Roman" w:hAnsi="Times New Roman" w:eastAsia="宋体" w:cs="Times New Roman"/>
      <w:sz w:val="24"/>
      <w:szCs w:val="24"/>
    </w:rPr>
  </w:style>
  <w:style w:type="character" w:customStyle="1" w:styleId="35">
    <w:name w:val="表格 Char"/>
    <w:link w:val="36"/>
    <w:qFormat/>
    <w:locked/>
    <w:uiPriority w:val="0"/>
    <w:rPr>
      <w:rFonts w:ascii="宋体"/>
      <w:sz w:val="21"/>
    </w:rPr>
  </w:style>
  <w:style w:type="paragraph" w:customStyle="1" w:styleId="36">
    <w:name w:val="表格"/>
    <w:basedOn w:val="1"/>
    <w:next w:val="1"/>
    <w:link w:val="35"/>
    <w:qFormat/>
    <w:uiPriority w:val="0"/>
    <w:pPr>
      <w:adjustRightInd w:val="0"/>
      <w:snapToGrid w:val="0"/>
      <w:spacing w:beforeLines="10" w:afterLines="10" w:line="259" w:lineRule="auto"/>
      <w:jc w:val="center"/>
    </w:pPr>
    <w:rPr>
      <w:rFonts w:ascii="宋体"/>
      <w:kern w:val="0"/>
      <w:sz w:val="20"/>
      <w:szCs w:val="21"/>
    </w:rPr>
  </w:style>
  <w:style w:type="paragraph" w:customStyle="1" w:styleId="37">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38">
    <w:name w:val="未处理的提及1"/>
    <w:unhideWhenUsed/>
    <w:qFormat/>
    <w:uiPriority w:val="99"/>
    <w:rPr>
      <w:color w:val="605E5C"/>
      <w:shd w:val="clear" w:color="auto" w:fill="E1DFDD"/>
    </w:rPr>
  </w:style>
  <w:style w:type="paragraph" w:customStyle="1" w:styleId="39">
    <w:name w:val="表格内容"/>
    <w:basedOn w:val="1"/>
    <w:qFormat/>
    <w:uiPriority w:val="0"/>
    <w:pPr>
      <w:spacing w:line="320" w:lineRule="exact"/>
      <w:jc w:val="center"/>
    </w:pPr>
    <w:rPr>
      <w:szCs w:val="22"/>
    </w:rPr>
  </w:style>
  <w:style w:type="character" w:customStyle="1" w:styleId="40">
    <w:name w:val="表格（新） Char Char"/>
    <w:link w:val="41"/>
    <w:qFormat/>
    <w:uiPriority w:val="0"/>
    <w:rPr>
      <w:rFonts w:hAnsi="宋体"/>
      <w:b/>
      <w:szCs w:val="21"/>
    </w:rPr>
  </w:style>
  <w:style w:type="paragraph" w:customStyle="1" w:styleId="41">
    <w:name w:val="表格（新）"/>
    <w:basedOn w:val="1"/>
    <w:link w:val="40"/>
    <w:qFormat/>
    <w:uiPriority w:val="0"/>
    <w:pPr>
      <w:widowControl/>
      <w:adjustRightInd w:val="0"/>
      <w:snapToGrid w:val="0"/>
      <w:spacing w:line="160" w:lineRule="atLeast"/>
      <w:jc w:val="center"/>
    </w:pPr>
    <w:rPr>
      <w:rFonts w:hAnsi="宋体"/>
      <w:b/>
      <w:kern w:val="0"/>
      <w:sz w:val="20"/>
      <w:szCs w:val="21"/>
    </w:rPr>
  </w:style>
  <w:style w:type="character" w:customStyle="1" w:styleId="42">
    <w:name w:val="表头何昌泽 Char Char"/>
    <w:link w:val="43"/>
    <w:qFormat/>
    <w:locked/>
    <w:uiPriority w:val="0"/>
    <w:rPr>
      <w:rFonts w:eastAsia="Times New Roman"/>
      <w:b/>
      <w:szCs w:val="21"/>
    </w:rPr>
  </w:style>
  <w:style w:type="paragraph" w:customStyle="1" w:styleId="43">
    <w:name w:val="表头何昌泽"/>
    <w:basedOn w:val="1"/>
    <w:link w:val="42"/>
    <w:qFormat/>
    <w:uiPriority w:val="0"/>
    <w:pPr>
      <w:widowControl/>
      <w:adjustRightInd w:val="0"/>
      <w:snapToGrid w:val="0"/>
      <w:spacing w:line="160" w:lineRule="atLeast"/>
      <w:jc w:val="center"/>
    </w:pPr>
    <w:rPr>
      <w:rFonts w:eastAsia="Times New Roman"/>
      <w:b/>
      <w:kern w:val="0"/>
      <w:sz w:val="20"/>
      <w:szCs w:val="21"/>
    </w:rPr>
  </w:style>
  <w:style w:type="paragraph" w:customStyle="1" w:styleId="44">
    <w:name w:val="表格文字"/>
    <w:basedOn w:val="1"/>
    <w:link w:val="45"/>
    <w:qFormat/>
    <w:uiPriority w:val="0"/>
    <w:pPr>
      <w:spacing w:line="288" w:lineRule="auto"/>
      <w:jc w:val="center"/>
    </w:pPr>
    <w:rPr>
      <w:rFonts w:ascii="Calibri" w:hAnsi="Calibri"/>
      <w:szCs w:val="22"/>
    </w:rPr>
  </w:style>
  <w:style w:type="character" w:customStyle="1" w:styleId="45">
    <w:name w:val="表格文字 字符"/>
    <w:link w:val="44"/>
    <w:qFormat/>
    <w:uiPriority w:val="0"/>
    <w:rPr>
      <w:rFonts w:ascii="Calibri" w:hAnsi="Calibri"/>
      <w:kern w:val="2"/>
      <w:sz w:val="21"/>
      <w:szCs w:val="22"/>
    </w:rPr>
  </w:style>
  <w:style w:type="paragraph" w:customStyle="1" w:styleId="46">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47">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48">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49">
    <w:name w:val="正文1"/>
    <w:qFormat/>
    <w:uiPriority w:val="0"/>
    <w:pPr>
      <w:jc w:val="both"/>
    </w:pPr>
    <w:rPr>
      <w:rFonts w:ascii="Calibri" w:hAnsi="Calibri" w:eastAsia="宋体" w:cs="Calibri"/>
      <w:kern w:val="2"/>
      <w:sz w:val="21"/>
      <w:szCs w:val="21"/>
      <w:lang w:val="en-US" w:eastAsia="zh-CN" w:bidi="ar-SA"/>
    </w:rPr>
  </w:style>
  <w:style w:type="paragraph" w:customStyle="1" w:styleId="50">
    <w:name w:val="列出段落1"/>
    <w:basedOn w:val="1"/>
    <w:qFormat/>
    <w:uiPriority w:val="0"/>
    <w:pPr>
      <w:ind w:firstLine="420" w:firstLineChars="200"/>
    </w:pPr>
  </w:style>
  <w:style w:type="paragraph" w:customStyle="1" w:styleId="51">
    <w:name w:val="表标题名"/>
    <w:basedOn w:val="1"/>
    <w:qFormat/>
    <w:uiPriority w:val="0"/>
    <w:pPr>
      <w:tabs>
        <w:tab w:val="left" w:pos="1350"/>
      </w:tabs>
      <w:autoSpaceDE w:val="0"/>
      <w:autoSpaceDN w:val="0"/>
      <w:adjustRightInd w:val="0"/>
      <w:snapToGrid w:val="0"/>
      <w:jc w:val="center"/>
    </w:pPr>
    <w:rPr>
      <w:shd w:val="clear" w:color="auto" w:fill="FFFFFF"/>
    </w:rPr>
  </w:style>
  <w:style w:type="paragraph" w:customStyle="1" w:styleId="52">
    <w:name w:val="Char Char3 Char Char"/>
    <w:basedOn w:val="1"/>
    <w:qFormat/>
    <w:uiPriority w:val="0"/>
    <w:pPr>
      <w:widowControl/>
      <w:spacing w:after="160" w:line="240" w:lineRule="exact"/>
      <w:jc w:val="left"/>
    </w:pPr>
    <w:rPr>
      <w:sz w:val="24"/>
      <w:szCs w:val="28"/>
    </w:rPr>
  </w:style>
  <w:style w:type="paragraph" w:styleId="53">
    <w:name w:val="List Paragraph"/>
    <w:basedOn w:val="1"/>
    <w:qFormat/>
    <w:uiPriority w:val="99"/>
    <w:pPr>
      <w:ind w:firstLine="420" w:firstLineChars="200"/>
    </w:pPr>
  </w:style>
  <w:style w:type="character" w:customStyle="1" w:styleId="54">
    <w:name w:val="01 大庆环评 正文 字符"/>
    <w:link w:val="55"/>
    <w:qFormat/>
    <w:uiPriority w:val="0"/>
    <w:rPr>
      <w:kern w:val="2"/>
      <w:sz w:val="21"/>
      <w:szCs w:val="28"/>
    </w:rPr>
  </w:style>
  <w:style w:type="paragraph" w:customStyle="1" w:styleId="55">
    <w:name w:val="01 大庆环评 正文"/>
    <w:basedOn w:val="1"/>
    <w:link w:val="54"/>
    <w:qFormat/>
    <w:uiPriority w:val="0"/>
    <w:pPr>
      <w:spacing w:line="360" w:lineRule="auto"/>
      <w:ind w:firstLine="200" w:firstLineChars="200"/>
    </w:pPr>
    <w:rPr>
      <w:szCs w:val="28"/>
    </w:rPr>
  </w:style>
  <w:style w:type="character" w:customStyle="1" w:styleId="56">
    <w:name w:val="表格文字 Char"/>
    <w:qFormat/>
    <w:uiPriority w:val="0"/>
    <w:rPr>
      <w:rFonts w:ascii="仿宋_GB2312" w:hAnsi="Arial Black" w:eastAsia="仿宋_GB2312"/>
      <w:kern w:val="44"/>
      <w:sz w:val="24"/>
    </w:rPr>
  </w:style>
  <w:style w:type="paragraph" w:customStyle="1" w:styleId="57">
    <w:name w:val="edri-正文"/>
    <w:basedOn w:val="1"/>
    <w:qFormat/>
    <w:uiPriority w:val="0"/>
    <w:pPr>
      <w:spacing w:beforeLines="50" w:line="300" w:lineRule="auto"/>
      <w:ind w:left="899" w:leftChars="428"/>
    </w:pPr>
    <w:rPr>
      <w:snapToGrid w:val="0"/>
      <w:sz w:val="24"/>
    </w:rPr>
  </w:style>
  <w:style w:type="paragraph" w:customStyle="1" w:styleId="58">
    <w:name w:val="样式9"/>
    <w:basedOn w:val="1"/>
    <w:qFormat/>
    <w:uiPriority w:val="0"/>
    <w:pPr>
      <w:adjustRightInd w:val="0"/>
      <w:snapToGrid w:val="0"/>
      <w:spacing w:line="360" w:lineRule="exact"/>
      <w:jc w:val="center"/>
    </w:pPr>
    <w:rPr>
      <w:rFonts w:hAnsi="宋体"/>
      <w:kern w:val="0"/>
      <w:szCs w:val="21"/>
    </w:rPr>
  </w:style>
  <w:style w:type="paragraph" w:customStyle="1" w:styleId="59">
    <w:name w:val="0 GBJ正文"/>
    <w:basedOn w:val="1"/>
    <w:qFormat/>
    <w:uiPriority w:val="0"/>
    <w:pPr>
      <w:adjustRightInd w:val="0"/>
      <w:snapToGrid w:val="0"/>
      <w:spacing w:line="460" w:lineRule="exact"/>
      <w:ind w:firstLine="480" w:firstLineChars="200"/>
    </w:pPr>
    <w:rPr>
      <w:kern w:val="0"/>
      <w:sz w:val="24"/>
      <w:szCs w:val="20"/>
    </w:rPr>
  </w:style>
  <w:style w:type="paragraph" w:customStyle="1" w:styleId="60">
    <w:name w:val="报告表格"/>
    <w:basedOn w:val="1"/>
    <w:qFormat/>
    <w:uiPriority w:val="0"/>
    <w:pPr>
      <w:autoSpaceDE w:val="0"/>
      <w:autoSpaceDN w:val="0"/>
      <w:adjustRightInd w:val="0"/>
      <w:spacing w:before="40" w:after="40"/>
      <w:jc w:val="center"/>
    </w:pPr>
    <w:rPr>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wmf"/><Relationship Id="rId22" Type="http://schemas.openxmlformats.org/officeDocument/2006/relationships/oleObject" Target="embeddings/oleObject1.bin"/><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40"/>
    <customShpInfo spid="_x0000_s107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DF45A7-FA88-41B8-958D-FB1C7AD422AA}">
  <ds:schemaRefs/>
</ds:datastoreItem>
</file>

<file path=docProps/app.xml><?xml version="1.0" encoding="utf-8"?>
<Properties xmlns="http://schemas.openxmlformats.org/officeDocument/2006/extended-properties" xmlns:vt="http://schemas.openxmlformats.org/officeDocument/2006/docPropsVTypes">
  <Template>Normal</Template>
  <Pages>104</Pages>
  <Words>13911</Words>
  <Characters>79295</Characters>
  <Lines>660</Lines>
  <Paragraphs>186</Paragraphs>
  <TotalTime>10</TotalTime>
  <ScaleCrop>false</ScaleCrop>
  <LinksUpToDate>false</LinksUpToDate>
  <CharactersWithSpaces>93020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2024-03-21T07:56:00Z</dcterms:created>
  <dc:creator>尚云环境</dc:creator>
  <cp:lastModifiedBy>Administrator</cp:lastModifiedBy>
  <cp:lastPrinted>2020-12-24T01:50:00Z</cp:lastPrinted>
  <dcterms:modified xsi:type="dcterms:W3CDTF">2024-05-20T06:55:36Z</dcterms:modified>
  <dc:title>建设项目环境影响报告表（生态影响类）</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575C0ECEAF4F4249AFE823CB5AC12388_13</vt:lpwstr>
  </property>
</Properties>
</file>