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80"/>
        <w:rPr>
          <w:rFonts w:hint="eastAsia" w:cs="Times New Roman"/>
          <w:color w:val="000000" w:themeColor="text1"/>
          <w14:textFill>
            <w14:solidFill>
              <w14:schemeClr w14:val="tx1"/>
            </w14:solidFill>
          </w14:textFill>
        </w:rPr>
      </w:pPr>
      <w:bookmarkStart w:id="0" w:name="_Hlk143245390"/>
      <w:bookmarkEnd w:id="0"/>
    </w:p>
    <w:p>
      <w:pPr>
        <w:ind w:firstLine="400"/>
        <w:rPr>
          <w:rFonts w:cs="Times New Roman"/>
          <w:color w:val="000000" w:themeColor="text1"/>
          <w:sz w:val="20"/>
          <w:szCs w:val="20"/>
          <w14:textFill>
            <w14:solidFill>
              <w14:schemeClr w14:val="tx1"/>
            </w14:solidFill>
          </w14:textFill>
        </w:rPr>
      </w:pPr>
    </w:p>
    <w:p>
      <w:pPr>
        <w:ind w:firstLine="400"/>
        <w:rPr>
          <w:rFonts w:cs="Times New Roman"/>
          <w:color w:val="000000" w:themeColor="text1"/>
          <w:sz w:val="20"/>
          <w:szCs w:val="20"/>
          <w14:textFill>
            <w14:solidFill>
              <w14:schemeClr w14:val="tx1"/>
            </w14:solidFill>
          </w14:textFill>
        </w:rPr>
      </w:pPr>
    </w:p>
    <w:p>
      <w:pPr>
        <w:ind w:firstLine="480"/>
        <w:rPr>
          <w:rFonts w:eastAsia="Times New Roman" w:cs="Times New Roman"/>
          <w:color w:val="000000" w:themeColor="text1"/>
          <w:szCs w:val="24"/>
          <w14:textFill>
            <w14:solidFill>
              <w14:schemeClr w14:val="tx1"/>
            </w14:solidFill>
          </w14:textFill>
        </w:rPr>
      </w:pPr>
    </w:p>
    <w:p>
      <w:pPr>
        <w:ind w:firstLine="0" w:firstLineChars="0"/>
        <w:jc w:val="center"/>
        <w:rPr>
          <w:rFonts w:eastAsia="黑体" w:cs="Times New Roman"/>
          <w:color w:val="000000" w:themeColor="text1"/>
          <w:sz w:val="52"/>
          <w:szCs w:val="52"/>
          <w14:textFill>
            <w14:solidFill>
              <w14:schemeClr w14:val="tx1"/>
            </w14:solidFill>
          </w14:textFill>
        </w:rPr>
      </w:pPr>
      <w:r>
        <w:rPr>
          <w:rFonts w:eastAsia="黑体" w:cs="Times New Roman"/>
          <w:color w:val="000000" w:themeColor="text1"/>
          <w:sz w:val="52"/>
          <w:szCs w:val="52"/>
          <w14:textFill>
            <w14:solidFill>
              <w14:schemeClr w14:val="tx1"/>
            </w14:solidFill>
          </w14:textFill>
        </w:rPr>
        <w:t>普光3011-6井钻井及试采工程</w:t>
      </w:r>
    </w:p>
    <w:p>
      <w:pPr>
        <w:ind w:firstLine="0" w:firstLineChars="0"/>
        <w:jc w:val="center"/>
        <w:rPr>
          <w:rFonts w:eastAsia="黑体" w:cs="Times New Roman"/>
          <w:color w:val="000000" w:themeColor="text1"/>
          <w:sz w:val="52"/>
          <w:szCs w:val="52"/>
          <w14:textFill>
            <w14:solidFill>
              <w14:schemeClr w14:val="tx1"/>
            </w14:solidFill>
          </w14:textFill>
        </w:rPr>
      </w:pPr>
      <w:r>
        <w:rPr>
          <w:rFonts w:eastAsia="黑体" w:cs="Times New Roman"/>
          <w:color w:val="000000" w:themeColor="text1"/>
          <w:sz w:val="52"/>
          <w:szCs w:val="52"/>
          <w14:textFill>
            <w14:solidFill>
              <w14:schemeClr w14:val="tx1"/>
            </w14:solidFill>
          </w14:textFill>
        </w:rPr>
        <w:t>环境影响报告书</w:t>
      </w:r>
    </w:p>
    <w:p>
      <w:pPr>
        <w:ind w:firstLine="0" w:firstLineChars="0"/>
        <w:jc w:val="center"/>
        <w:rPr>
          <w:rFonts w:eastAsia="楷体" w:cs="Times New Roman"/>
          <w:color w:val="000000" w:themeColor="text1"/>
          <w:sz w:val="44"/>
          <w:szCs w:val="44"/>
          <w14:textFill>
            <w14:solidFill>
              <w14:schemeClr w14:val="tx1"/>
            </w14:solidFill>
          </w14:textFill>
        </w:rPr>
      </w:pPr>
      <w:r>
        <w:rPr>
          <w:rFonts w:eastAsia="楷体" w:cs="Times New Roman"/>
          <w:color w:val="000000" w:themeColor="text1"/>
          <w:sz w:val="44"/>
          <w:szCs w:val="44"/>
          <w14:textFill>
            <w14:solidFill>
              <w14:schemeClr w14:val="tx1"/>
            </w14:solidFill>
          </w14:textFill>
        </w:rPr>
        <w:t>（</w:t>
      </w:r>
      <w:r>
        <w:rPr>
          <w:rFonts w:hint="eastAsia" w:eastAsia="楷体" w:cs="Times New Roman"/>
          <w:color w:val="000000" w:themeColor="text1"/>
          <w:sz w:val="44"/>
          <w:szCs w:val="44"/>
          <w14:textFill>
            <w14:solidFill>
              <w14:schemeClr w14:val="tx1"/>
            </w14:solidFill>
          </w14:textFill>
        </w:rPr>
        <w:t>送审</w:t>
      </w:r>
      <w:r>
        <w:rPr>
          <w:rFonts w:eastAsia="楷体" w:cs="Times New Roman"/>
          <w:color w:val="000000" w:themeColor="text1"/>
          <w:sz w:val="44"/>
          <w:szCs w:val="44"/>
          <w14:textFill>
            <w14:solidFill>
              <w14:schemeClr w14:val="tx1"/>
            </w14:solidFill>
          </w14:textFill>
        </w:rPr>
        <w:t>稿）</w:t>
      </w:r>
    </w:p>
    <w:p>
      <w:pPr>
        <w:ind w:firstLine="400"/>
        <w:rPr>
          <w:rFonts w:eastAsia="隶书" w:cs="Times New Roman"/>
          <w:color w:val="000000" w:themeColor="text1"/>
          <w:sz w:val="20"/>
          <w:szCs w:val="20"/>
          <w14:textFill>
            <w14:solidFill>
              <w14:schemeClr w14:val="tx1"/>
            </w14:solidFill>
          </w14:textFill>
        </w:rPr>
      </w:pPr>
    </w:p>
    <w:p>
      <w:pPr>
        <w:ind w:firstLine="400"/>
        <w:rPr>
          <w:rFonts w:eastAsia="隶书" w:cs="Times New Roman"/>
          <w:color w:val="000000" w:themeColor="text1"/>
          <w:sz w:val="20"/>
          <w:szCs w:val="20"/>
          <w14:textFill>
            <w14:solidFill>
              <w14:schemeClr w14:val="tx1"/>
            </w14:solidFill>
          </w14:textFill>
        </w:rPr>
      </w:pPr>
    </w:p>
    <w:p>
      <w:pPr>
        <w:ind w:firstLine="400"/>
        <w:rPr>
          <w:rFonts w:eastAsia="隶书" w:cs="Times New Roman"/>
          <w:color w:val="000000" w:themeColor="text1"/>
          <w:sz w:val="20"/>
          <w:szCs w:val="20"/>
          <w14:textFill>
            <w14:solidFill>
              <w14:schemeClr w14:val="tx1"/>
            </w14:solidFill>
          </w14:textFill>
        </w:rPr>
      </w:pPr>
    </w:p>
    <w:p>
      <w:pPr>
        <w:ind w:firstLine="400"/>
        <w:rPr>
          <w:rFonts w:eastAsia="隶书" w:cs="Times New Roman"/>
          <w:color w:val="000000" w:themeColor="text1"/>
          <w:sz w:val="20"/>
          <w:szCs w:val="20"/>
          <w14:textFill>
            <w14:solidFill>
              <w14:schemeClr w14:val="tx1"/>
            </w14:solidFill>
          </w14:textFill>
        </w:rPr>
      </w:pPr>
    </w:p>
    <w:p>
      <w:pPr>
        <w:ind w:firstLine="400"/>
        <w:rPr>
          <w:rFonts w:eastAsia="隶书" w:cs="Times New Roman"/>
          <w:color w:val="000000" w:themeColor="text1"/>
          <w:sz w:val="20"/>
          <w:szCs w:val="20"/>
          <w14:textFill>
            <w14:solidFill>
              <w14:schemeClr w14:val="tx1"/>
            </w14:solidFill>
          </w14:textFill>
        </w:rPr>
      </w:pPr>
    </w:p>
    <w:p>
      <w:pPr>
        <w:ind w:firstLine="400"/>
        <w:rPr>
          <w:rFonts w:eastAsia="隶书" w:cs="Times New Roman"/>
          <w:color w:val="000000" w:themeColor="text1"/>
          <w:sz w:val="20"/>
          <w:szCs w:val="20"/>
          <w14:textFill>
            <w14:solidFill>
              <w14:schemeClr w14:val="tx1"/>
            </w14:solidFill>
          </w14:textFill>
        </w:rPr>
      </w:pPr>
    </w:p>
    <w:p>
      <w:pPr>
        <w:ind w:firstLine="400"/>
        <w:rPr>
          <w:rFonts w:eastAsia="隶书" w:cs="Times New Roman"/>
          <w:color w:val="000000" w:themeColor="text1"/>
          <w:sz w:val="20"/>
          <w:szCs w:val="20"/>
          <w14:textFill>
            <w14:solidFill>
              <w14:schemeClr w14:val="tx1"/>
            </w14:solidFill>
          </w14:textFill>
        </w:rPr>
      </w:pPr>
    </w:p>
    <w:p>
      <w:pPr>
        <w:ind w:firstLine="400"/>
        <w:rPr>
          <w:rFonts w:eastAsia="隶书" w:cs="Times New Roman"/>
          <w:color w:val="000000" w:themeColor="text1"/>
          <w:sz w:val="20"/>
          <w:szCs w:val="20"/>
          <w14:textFill>
            <w14:solidFill>
              <w14:schemeClr w14:val="tx1"/>
            </w14:solidFill>
          </w14:textFill>
        </w:rPr>
      </w:pPr>
    </w:p>
    <w:p>
      <w:pPr>
        <w:ind w:firstLine="400"/>
        <w:rPr>
          <w:rFonts w:eastAsia="隶书" w:cs="Times New Roman"/>
          <w:color w:val="000000" w:themeColor="text1"/>
          <w:sz w:val="20"/>
          <w:szCs w:val="20"/>
          <w14:textFill>
            <w14:solidFill>
              <w14:schemeClr w14:val="tx1"/>
            </w14:solidFill>
          </w14:textFill>
        </w:rPr>
      </w:pPr>
    </w:p>
    <w:p>
      <w:pPr>
        <w:ind w:firstLine="400"/>
        <w:rPr>
          <w:rFonts w:eastAsia="隶书" w:cs="Times New Roman"/>
          <w:color w:val="000000" w:themeColor="text1"/>
          <w:sz w:val="20"/>
          <w:szCs w:val="20"/>
          <w14:textFill>
            <w14:solidFill>
              <w14:schemeClr w14:val="tx1"/>
            </w14:solidFill>
          </w14:textFill>
        </w:rPr>
      </w:pPr>
    </w:p>
    <w:p>
      <w:pPr>
        <w:ind w:firstLine="400"/>
        <w:rPr>
          <w:rFonts w:eastAsia="隶书" w:cs="Times New Roman"/>
          <w:color w:val="000000" w:themeColor="text1"/>
          <w:sz w:val="20"/>
          <w:szCs w:val="20"/>
          <w14:textFill>
            <w14:solidFill>
              <w14:schemeClr w14:val="tx1"/>
            </w14:solidFill>
          </w14:textFill>
        </w:rPr>
      </w:pPr>
    </w:p>
    <w:p>
      <w:pPr>
        <w:ind w:firstLine="400"/>
        <w:rPr>
          <w:rFonts w:eastAsia="隶书" w:cs="Times New Roman"/>
          <w:color w:val="000000" w:themeColor="text1"/>
          <w:sz w:val="20"/>
          <w:szCs w:val="20"/>
          <w14:textFill>
            <w14:solidFill>
              <w14:schemeClr w14:val="tx1"/>
            </w14:solidFill>
          </w14:textFill>
        </w:rPr>
      </w:pPr>
    </w:p>
    <w:p>
      <w:pPr>
        <w:ind w:firstLine="400"/>
        <w:rPr>
          <w:rFonts w:eastAsia="隶书" w:cs="Times New Roman"/>
          <w:color w:val="000000" w:themeColor="text1"/>
          <w:sz w:val="20"/>
          <w:szCs w:val="20"/>
          <w14:textFill>
            <w14:solidFill>
              <w14:schemeClr w14:val="tx1"/>
            </w14:solidFill>
          </w14:textFill>
        </w:rPr>
      </w:pPr>
    </w:p>
    <w:p>
      <w:pPr>
        <w:ind w:firstLine="400"/>
        <w:rPr>
          <w:rFonts w:eastAsia="隶书" w:cs="Times New Roman"/>
          <w:color w:val="000000" w:themeColor="text1"/>
          <w:sz w:val="20"/>
          <w:szCs w:val="20"/>
          <w14:textFill>
            <w14:solidFill>
              <w14:schemeClr w14:val="tx1"/>
            </w14:solidFill>
          </w14:textFill>
        </w:rPr>
      </w:pPr>
    </w:p>
    <w:p>
      <w:pPr>
        <w:ind w:firstLine="400"/>
        <w:rPr>
          <w:rFonts w:eastAsia="隶书" w:cs="Times New Roman"/>
          <w:color w:val="000000" w:themeColor="text1"/>
          <w:sz w:val="20"/>
          <w:szCs w:val="20"/>
          <w14:textFill>
            <w14:solidFill>
              <w14:schemeClr w14:val="tx1"/>
            </w14:solidFill>
          </w14:textFill>
        </w:rPr>
      </w:pPr>
    </w:p>
    <w:p>
      <w:pPr>
        <w:ind w:firstLine="321"/>
        <w:rPr>
          <w:rFonts w:eastAsia="隶书" w:cs="Times New Roman"/>
          <w:b/>
          <w:bCs/>
          <w:color w:val="000000" w:themeColor="text1"/>
          <w:sz w:val="16"/>
          <w:szCs w:val="16"/>
          <w14:textFill>
            <w14:solidFill>
              <w14:schemeClr w14:val="tx1"/>
            </w14:solidFill>
          </w14:textFill>
        </w:rPr>
      </w:pPr>
    </w:p>
    <w:p>
      <w:pPr>
        <w:ind w:firstLine="321"/>
        <w:rPr>
          <w:rFonts w:eastAsia="隶书" w:cs="Times New Roman"/>
          <w:b/>
          <w:bCs/>
          <w:color w:val="000000" w:themeColor="text1"/>
          <w:sz w:val="16"/>
          <w:szCs w:val="16"/>
          <w14:textFill>
            <w14:solidFill>
              <w14:schemeClr w14:val="tx1"/>
            </w14:solidFill>
          </w14:textFill>
        </w:rPr>
      </w:pPr>
    </w:p>
    <w:p>
      <w:pPr>
        <w:ind w:firstLine="321"/>
        <w:rPr>
          <w:rFonts w:eastAsia="隶书" w:cs="Times New Roman"/>
          <w:b/>
          <w:bCs/>
          <w:color w:val="000000" w:themeColor="text1"/>
          <w:sz w:val="16"/>
          <w:szCs w:val="16"/>
          <w14:textFill>
            <w14:solidFill>
              <w14:schemeClr w14:val="tx1"/>
            </w14:solidFill>
          </w14:textFill>
        </w:rPr>
      </w:pPr>
    </w:p>
    <w:p>
      <w:pPr>
        <w:ind w:firstLine="321"/>
        <w:rPr>
          <w:rFonts w:eastAsia="隶书" w:cs="Times New Roman"/>
          <w:b/>
          <w:bCs/>
          <w:color w:val="000000" w:themeColor="text1"/>
          <w:sz w:val="16"/>
          <w:szCs w:val="16"/>
          <w14:textFill>
            <w14:solidFill>
              <w14:schemeClr w14:val="tx1"/>
            </w14:solidFill>
          </w14:textFill>
        </w:rPr>
      </w:pPr>
    </w:p>
    <w:p>
      <w:pPr>
        <w:ind w:firstLine="321"/>
        <w:rPr>
          <w:rFonts w:eastAsia="隶书" w:cs="Times New Roman"/>
          <w:b/>
          <w:bCs/>
          <w:color w:val="000000" w:themeColor="text1"/>
          <w:sz w:val="16"/>
          <w:szCs w:val="16"/>
          <w14:textFill>
            <w14:solidFill>
              <w14:schemeClr w14:val="tx1"/>
            </w14:solidFill>
          </w14:textFill>
        </w:rPr>
      </w:pPr>
    </w:p>
    <w:p>
      <w:pPr>
        <w:ind w:firstLine="321"/>
        <w:rPr>
          <w:rFonts w:eastAsia="隶书" w:cs="Times New Roman"/>
          <w:b/>
          <w:bCs/>
          <w:color w:val="000000" w:themeColor="text1"/>
          <w:sz w:val="16"/>
          <w:szCs w:val="16"/>
          <w14:textFill>
            <w14:solidFill>
              <w14:schemeClr w14:val="tx1"/>
            </w14:solidFill>
          </w14:textFill>
        </w:rPr>
      </w:pPr>
    </w:p>
    <w:p>
      <w:pPr>
        <w:ind w:firstLine="321"/>
        <w:rPr>
          <w:rFonts w:eastAsia="隶书" w:cs="Times New Roman"/>
          <w:b/>
          <w:bCs/>
          <w:color w:val="000000" w:themeColor="text1"/>
          <w:sz w:val="16"/>
          <w:szCs w:val="16"/>
          <w14:textFill>
            <w14:solidFill>
              <w14:schemeClr w14:val="tx1"/>
            </w14:solidFill>
          </w14:textFill>
        </w:rPr>
      </w:pPr>
    </w:p>
    <w:p>
      <w:pPr>
        <w:tabs>
          <w:tab w:val="left" w:pos="567"/>
        </w:tabs>
        <w:ind w:firstLine="0" w:firstLineChars="0"/>
        <w:jc w:val="center"/>
        <w:rPr>
          <w:rFonts w:eastAsia="黑体" w:cs="Times New Roman"/>
          <w:bCs/>
          <w:color w:val="000000" w:themeColor="text1"/>
          <w:sz w:val="32"/>
          <w:szCs w:val="32"/>
          <w14:textFill>
            <w14:solidFill>
              <w14:schemeClr w14:val="tx1"/>
            </w14:solidFill>
          </w14:textFill>
        </w:rPr>
      </w:pPr>
      <w:r>
        <w:rPr>
          <w:rFonts w:eastAsia="黑体" w:cs="Times New Roman"/>
          <w:bCs/>
          <w:color w:val="000000" w:themeColor="text1"/>
          <w:sz w:val="32"/>
          <w:szCs w:val="32"/>
          <w14:textFill>
            <w14:solidFill>
              <w14:schemeClr w14:val="tx1"/>
            </w14:solidFill>
          </w14:textFill>
        </w:rPr>
        <w:t>建设单位：中国石油化工股份有限公司中原油田</w:t>
      </w:r>
      <w:bookmarkStart w:id="1" w:name="_Hlk107154433"/>
      <w:r>
        <w:rPr>
          <w:rFonts w:eastAsia="黑体" w:cs="Times New Roman"/>
          <w:bCs/>
          <w:color w:val="000000" w:themeColor="text1"/>
          <w:sz w:val="32"/>
          <w:szCs w:val="32"/>
          <w14:textFill>
            <w14:solidFill>
              <w14:schemeClr w14:val="tx1"/>
            </w14:solidFill>
          </w14:textFill>
        </w:rPr>
        <w:t>普光分公司</w:t>
      </w:r>
      <w:bookmarkEnd w:id="1"/>
    </w:p>
    <w:p>
      <w:pPr>
        <w:ind w:firstLine="0" w:firstLineChars="0"/>
        <w:jc w:val="center"/>
        <w:rPr>
          <w:rFonts w:eastAsia="黑体" w:cs="Times New Roman"/>
          <w:bCs/>
          <w:color w:val="000000" w:themeColor="text1"/>
          <w:sz w:val="32"/>
          <w:szCs w:val="32"/>
          <w14:textFill>
            <w14:solidFill>
              <w14:schemeClr w14:val="tx1"/>
            </w14:solidFill>
          </w14:textFill>
        </w:rPr>
      </w:pPr>
      <w:r>
        <w:rPr>
          <w:rFonts w:eastAsia="黑体" w:cs="Times New Roman"/>
          <w:bCs/>
          <w:color w:val="000000" w:themeColor="text1"/>
          <w:sz w:val="32"/>
          <w:szCs w:val="32"/>
          <w14:textFill>
            <w14:solidFill>
              <w14:schemeClr w14:val="tx1"/>
            </w14:solidFill>
          </w14:textFill>
        </w:rPr>
        <w:t>环评单位：重庆众致环保有限公司</w:t>
      </w:r>
    </w:p>
    <w:p>
      <w:pPr>
        <w:ind w:firstLine="640"/>
        <w:jc w:val="center"/>
        <w:rPr>
          <w:rFonts w:eastAsia="黑体" w:cs="Times New Roman"/>
          <w:bCs/>
          <w:color w:val="000000" w:themeColor="text1"/>
          <w:sz w:val="32"/>
          <w:szCs w:val="32"/>
          <w14:textFill>
            <w14:solidFill>
              <w14:schemeClr w14:val="tx1"/>
            </w14:solidFill>
          </w14:textFill>
        </w:rPr>
      </w:pPr>
      <w:r>
        <w:rPr>
          <w:rFonts w:eastAsia="黑体" w:cs="Times New Roman"/>
          <w:bCs/>
          <w:color w:val="000000" w:themeColor="text1"/>
          <w:sz w:val="32"/>
          <w:szCs w:val="32"/>
          <w14:textFill>
            <w14:solidFill>
              <w14:schemeClr w14:val="tx1"/>
            </w14:solidFill>
          </w14:textFill>
        </w:rPr>
        <w:t>二〇二四年</w:t>
      </w:r>
      <w:r>
        <w:rPr>
          <w:rFonts w:hint="eastAsia" w:eastAsia="黑体" w:cs="Times New Roman"/>
          <w:bCs/>
          <w:color w:val="000000" w:themeColor="text1"/>
          <w:sz w:val="32"/>
          <w:szCs w:val="32"/>
          <w14:textFill>
            <w14:solidFill>
              <w14:schemeClr w14:val="tx1"/>
            </w14:solidFill>
          </w14:textFill>
        </w:rPr>
        <w:t>四</w:t>
      </w:r>
      <w:r>
        <w:rPr>
          <w:rFonts w:eastAsia="黑体" w:cs="Times New Roman"/>
          <w:bCs/>
          <w:color w:val="000000" w:themeColor="text1"/>
          <w:sz w:val="32"/>
          <w:szCs w:val="32"/>
          <w14:textFill>
            <w14:solidFill>
              <w14:schemeClr w14:val="tx1"/>
            </w14:solidFill>
          </w14:textFill>
        </w:rPr>
        <w:t>月</w:t>
      </w:r>
    </w:p>
    <w:p>
      <w:pPr>
        <w:ind w:firstLine="480"/>
        <w:rPr>
          <w:rFonts w:cs="Times New Roman"/>
          <w:color w:val="000000" w:themeColor="text1"/>
          <w14:textFill>
            <w14:solidFill>
              <w14:schemeClr w14:val="tx1"/>
            </w14:solidFill>
          </w14:textFill>
        </w:rPr>
      </w:pPr>
    </w:p>
    <w:p>
      <w:pPr>
        <w:ind w:firstLine="480"/>
        <w:rPr>
          <w:rFonts w:cs="Times New Roman"/>
          <w:color w:val="000000" w:themeColor="text1"/>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type w:val="nextColumn"/>
          <w:pgSz w:w="11910" w:h="16840"/>
          <w:pgMar w:top="1440" w:right="1644" w:bottom="1440" w:left="1644" w:header="1020" w:footer="964" w:gutter="0"/>
          <w:pgNumType w:fmt="upperRoman"/>
          <w:cols w:space="720" w:num="1"/>
          <w:docGrid w:linePitch="326" w:charSpace="0"/>
        </w:sectPr>
      </w:pP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5"/>
        <w:gridCol w:w="69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50" w:type="dxa"/>
            <w:gridSpan w:val="2"/>
          </w:tcPr>
          <w:p>
            <w:pPr>
              <w:tabs>
                <w:tab w:val="left" w:pos="583"/>
              </w:tabs>
              <w:spacing w:line="240" w:lineRule="auto"/>
              <w:ind w:firstLine="0" w:firstLineChars="0"/>
              <w:jc w:val="center"/>
              <w:rPr>
                <w:rFonts w:cs="Times New Roman"/>
                <w:b/>
                <w:bCs/>
                <w:color w:val="000000" w:themeColor="text1"/>
                <w:w w:val="95"/>
                <w:sz w:val="32"/>
                <w:szCs w:val="32"/>
                <w14:textFill>
                  <w14:solidFill>
                    <w14:schemeClr w14:val="tx1"/>
                  </w14:solidFill>
                </w14:textFill>
              </w:rPr>
            </w:pPr>
            <w:r>
              <w:rPr>
                <w:rFonts w:hint="eastAsia" w:cs="Times New Roman"/>
                <w:b/>
                <w:bCs/>
                <w:color w:val="000000" w:themeColor="text1"/>
                <w:w w:val="95"/>
                <w:szCs w:val="32"/>
                <w14:textFill>
                  <w14:solidFill>
                    <w14:schemeClr w14:val="tx1"/>
                  </w14:solidFill>
                </w14:textFill>
              </w:rPr>
              <w:t>项目区域及</w:t>
            </w:r>
            <w:r>
              <w:rPr>
                <w:rFonts w:cs="Times New Roman"/>
                <w:b/>
                <w:bCs/>
                <w:color w:val="000000" w:themeColor="text1"/>
                <w:w w:val="95"/>
                <w:szCs w:val="32"/>
                <w14:textFill>
                  <w14:solidFill>
                    <w14:schemeClr w14:val="tx1"/>
                  </w14:solidFill>
                </w14:textFill>
              </w:rPr>
              <w:t>周边</w:t>
            </w:r>
            <w:r>
              <w:rPr>
                <w:rFonts w:hint="eastAsia" w:cs="Times New Roman"/>
                <w:b/>
                <w:bCs/>
                <w:color w:val="000000" w:themeColor="text1"/>
                <w:w w:val="95"/>
                <w:szCs w:val="32"/>
                <w14:textFill>
                  <w14:solidFill>
                    <w14:schemeClr w14:val="tx1"/>
                  </w14:solidFill>
                </w14:textFill>
              </w:rPr>
              <w:t>现状</w:t>
            </w:r>
            <w:r>
              <w:rPr>
                <w:rFonts w:cs="Times New Roman"/>
                <w:b/>
                <w:bCs/>
                <w:color w:val="000000" w:themeColor="text1"/>
                <w:w w:val="95"/>
                <w:szCs w:val="32"/>
                <w14:textFill>
                  <w14:solidFill>
                    <w14:schemeClr w14:val="tx1"/>
                  </w14:solidFill>
                </w14:textFill>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5" w:type="dxa"/>
          </w:tcPr>
          <w:p>
            <w:pPr>
              <w:tabs>
                <w:tab w:val="left" w:pos="583"/>
              </w:tabs>
              <w:spacing w:line="240" w:lineRule="auto"/>
              <w:ind w:firstLine="0" w:firstLineChars="0"/>
              <w:jc w:val="center"/>
              <w:rPr>
                <w:rFonts w:cs="Times New Roman"/>
                <w:bCs/>
                <w:color w:val="000000" w:themeColor="text1"/>
                <w:w w:val="95"/>
                <w:sz w:val="21"/>
                <w:szCs w:val="21"/>
                <w14:textFill>
                  <w14:solidFill>
                    <w14:schemeClr w14:val="tx1"/>
                  </w14:solidFill>
                </w14:textFill>
              </w:rPr>
            </w:pPr>
            <w:r>
              <w:rPr>
                <w:rFonts w:cs="Times New Roman"/>
                <w:bCs/>
                <w:color w:val="000000" w:themeColor="text1"/>
                <w:w w:val="95"/>
                <w:sz w:val="21"/>
                <w:szCs w:val="21"/>
                <w14:textFill>
                  <w14:solidFill>
                    <w14:schemeClr w14:val="tx1"/>
                  </w14:solidFill>
                </w14:textFill>
              </w:rPr>
              <w:drawing>
                <wp:anchor distT="0" distB="0" distL="114300" distR="114300" simplePos="0" relativeHeight="251701248" behindDoc="0" locked="0" layoutInCell="1" allowOverlap="1">
                  <wp:simplePos x="0" y="0"/>
                  <wp:positionH relativeFrom="column">
                    <wp:posOffset>3525520</wp:posOffset>
                  </wp:positionH>
                  <wp:positionV relativeFrom="paragraph">
                    <wp:posOffset>174625</wp:posOffset>
                  </wp:positionV>
                  <wp:extent cx="464185" cy="546735"/>
                  <wp:effectExtent l="0" t="0" r="0" b="6350"/>
                  <wp:wrapNone/>
                  <wp:docPr id="34" name="图片 34" descr="E:\郑桥\2024\2普光\图件\风玫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E:\郑桥\2024\2普光\图件\风玫瑰.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rot="10800000">
                            <a:off x="0" y="0"/>
                            <a:ext cx="464024" cy="546545"/>
                          </a:xfrm>
                          <a:prstGeom prst="rect">
                            <a:avLst/>
                          </a:prstGeom>
                          <a:noFill/>
                          <a:ln>
                            <a:noFill/>
                          </a:ln>
                        </pic:spPr>
                      </pic:pic>
                    </a:graphicData>
                  </a:graphic>
                </wp:anchor>
              </w:drawing>
            </w:r>
            <w:r>
              <w:drawing>
                <wp:inline distT="0" distB="0" distL="0" distR="0">
                  <wp:extent cx="4118610" cy="3286125"/>
                  <wp:effectExtent l="0" t="0" r="0" b="952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0"/>
                          <a:stretch>
                            <a:fillRect/>
                          </a:stretch>
                        </pic:blipFill>
                        <pic:spPr>
                          <a:xfrm>
                            <a:off x="0" y="0"/>
                            <a:ext cx="4146327" cy="3308418"/>
                          </a:xfrm>
                          <a:prstGeom prst="rect">
                            <a:avLst/>
                          </a:prstGeom>
                        </pic:spPr>
                      </pic:pic>
                    </a:graphicData>
                  </a:graphic>
                </wp:inline>
              </w:drawing>
            </w:r>
          </w:p>
        </w:tc>
        <w:tc>
          <w:tcPr>
            <w:tcW w:w="6975" w:type="dxa"/>
          </w:tcPr>
          <w:p>
            <w:pPr>
              <w:tabs>
                <w:tab w:val="left" w:pos="583"/>
              </w:tabs>
              <w:spacing w:line="240" w:lineRule="auto"/>
              <w:ind w:firstLine="0" w:firstLineChars="0"/>
              <w:jc w:val="center"/>
              <w:rPr>
                <w:rFonts w:cs="Times New Roman"/>
                <w:bCs/>
                <w:color w:val="000000" w:themeColor="text1"/>
                <w:w w:val="95"/>
                <w:sz w:val="21"/>
                <w:szCs w:val="21"/>
                <w14:textFill>
                  <w14:solidFill>
                    <w14:schemeClr w14:val="tx1"/>
                  </w14:solidFill>
                </w14:textFill>
              </w:rPr>
            </w:pPr>
            <w:r>
              <w:rPr>
                <w:rFonts w:cs="Times New Roman"/>
                <w:bCs/>
                <w:color w:val="000000" w:themeColor="text1"/>
                <w:w w:val="95"/>
                <w:sz w:val="21"/>
                <w:szCs w:val="21"/>
                <w14:textFill>
                  <w14:solidFill>
                    <w14:schemeClr w14:val="tx1"/>
                  </w14:solidFill>
                </w14:textFill>
              </w:rPr>
              <w:drawing>
                <wp:anchor distT="0" distB="0" distL="114300" distR="114300" simplePos="0" relativeHeight="251702272" behindDoc="0" locked="0" layoutInCell="1" allowOverlap="1">
                  <wp:simplePos x="0" y="0"/>
                  <wp:positionH relativeFrom="column">
                    <wp:posOffset>3702685</wp:posOffset>
                  </wp:positionH>
                  <wp:positionV relativeFrom="paragraph">
                    <wp:posOffset>95250</wp:posOffset>
                  </wp:positionV>
                  <wp:extent cx="464185" cy="546735"/>
                  <wp:effectExtent l="34925" t="22225" r="28575" b="28575"/>
                  <wp:wrapNone/>
                  <wp:docPr id="43" name="图片 43" descr="E:\郑桥\2024\2普光\图件\风玫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E:\郑桥\2024\2普光\图件\风玫瑰.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rot="5114759">
                            <a:off x="0" y="0"/>
                            <a:ext cx="464024" cy="546545"/>
                          </a:xfrm>
                          <a:prstGeom prst="rect">
                            <a:avLst/>
                          </a:prstGeom>
                          <a:noFill/>
                          <a:ln>
                            <a:noFill/>
                          </a:ln>
                        </pic:spPr>
                      </pic:pic>
                    </a:graphicData>
                  </a:graphic>
                </wp:anchor>
              </w:drawing>
            </w:r>
            <w:r>
              <w:drawing>
                <wp:inline distT="0" distB="0" distL="0" distR="0">
                  <wp:extent cx="4291965" cy="3267710"/>
                  <wp:effectExtent l="0" t="0" r="0" b="889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1"/>
                          <a:stretch>
                            <a:fillRect/>
                          </a:stretch>
                        </pic:blipFill>
                        <pic:spPr>
                          <a:xfrm>
                            <a:off x="0" y="0"/>
                            <a:ext cx="4296221" cy="3271226"/>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5" w:type="dxa"/>
          </w:tcPr>
          <w:p>
            <w:pPr>
              <w:tabs>
                <w:tab w:val="left" w:pos="583"/>
              </w:tabs>
              <w:spacing w:line="240" w:lineRule="auto"/>
              <w:ind w:firstLine="0" w:firstLineChars="0"/>
              <w:jc w:val="center"/>
              <w:rPr>
                <w:rFonts w:cs="Times New Roman"/>
                <w:bCs/>
                <w:color w:val="000000" w:themeColor="text1"/>
                <w:w w:val="95"/>
                <w:sz w:val="21"/>
                <w:szCs w:val="21"/>
                <w14:textFill>
                  <w14:solidFill>
                    <w14:schemeClr w14:val="tx1"/>
                  </w14:solidFill>
                </w14:textFill>
              </w:rPr>
            </w:pPr>
            <w:r>
              <w:rPr>
                <w:rFonts w:hint="eastAsia" w:cs="Times New Roman"/>
                <w:bCs/>
                <w:color w:val="000000" w:themeColor="text1"/>
                <w:w w:val="95"/>
                <w:sz w:val="21"/>
                <w:szCs w:val="21"/>
                <w14:textFill>
                  <w14:solidFill>
                    <w14:schemeClr w14:val="tx1"/>
                  </w14:solidFill>
                </w14:textFill>
              </w:rPr>
              <w:t>P301</w:t>
            </w:r>
            <w:r>
              <w:rPr>
                <w:rFonts w:cs="Times New Roman"/>
                <w:bCs/>
                <w:color w:val="000000" w:themeColor="text1"/>
                <w:w w:val="95"/>
                <w:sz w:val="21"/>
                <w:szCs w:val="21"/>
                <w14:textFill>
                  <w14:solidFill>
                    <w14:schemeClr w14:val="tx1"/>
                  </w14:solidFill>
                </w14:textFill>
              </w:rPr>
              <w:t>集气站</w:t>
            </w:r>
          </w:p>
        </w:tc>
        <w:tc>
          <w:tcPr>
            <w:tcW w:w="6975" w:type="dxa"/>
          </w:tcPr>
          <w:p>
            <w:pPr>
              <w:tabs>
                <w:tab w:val="left" w:pos="583"/>
              </w:tabs>
              <w:spacing w:line="240" w:lineRule="auto"/>
              <w:ind w:firstLine="0" w:firstLineChars="0"/>
              <w:jc w:val="center"/>
              <w:rPr>
                <w:rFonts w:cs="Times New Roman"/>
                <w:bCs/>
                <w:color w:val="000000" w:themeColor="text1"/>
                <w:w w:val="95"/>
                <w:sz w:val="21"/>
                <w:szCs w:val="21"/>
                <w14:textFill>
                  <w14:solidFill>
                    <w14:schemeClr w14:val="tx1"/>
                  </w14:solidFill>
                </w14:textFill>
              </w:rPr>
            </w:pPr>
            <w:r>
              <w:rPr>
                <w:rFonts w:hint="eastAsia" w:cs="Times New Roman"/>
                <w:bCs/>
                <w:color w:val="000000" w:themeColor="text1"/>
                <w:w w:val="95"/>
                <w:sz w:val="21"/>
                <w:szCs w:val="21"/>
                <w14:textFill>
                  <w14:solidFill>
                    <w14:schemeClr w14:val="tx1"/>
                  </w14:solidFill>
                </w14:textFill>
              </w:rPr>
              <w:t>P3011采气站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5" w:type="dxa"/>
          </w:tcPr>
          <w:p>
            <w:pPr>
              <w:tabs>
                <w:tab w:val="left" w:pos="583"/>
              </w:tabs>
              <w:spacing w:line="240" w:lineRule="auto"/>
              <w:ind w:firstLine="0" w:firstLineChars="0"/>
              <w:jc w:val="center"/>
              <w:rPr>
                <w:rFonts w:cs="Times New Roman"/>
                <w:bCs/>
                <w:color w:val="000000" w:themeColor="text1"/>
                <w:w w:val="95"/>
                <w:sz w:val="21"/>
                <w:szCs w:val="21"/>
                <w14:textFill>
                  <w14:solidFill>
                    <w14:schemeClr w14:val="tx1"/>
                  </w14:solidFill>
                </w14:textFill>
              </w:rPr>
            </w:pPr>
            <w:r>
              <w:rPr>
                <w:rFonts w:cs="Times New Roman"/>
                <w:bCs/>
                <w:color w:val="000000" w:themeColor="text1"/>
                <w:w w:val="95"/>
                <w:sz w:val="21"/>
                <w:szCs w:val="21"/>
                <w14:textFill>
                  <w14:solidFill>
                    <w14:schemeClr w14:val="tx1"/>
                  </w14:solidFill>
                </w14:textFill>
              </w:rPr>
              <w:drawing>
                <wp:anchor distT="0" distB="0" distL="114300" distR="114300" simplePos="0" relativeHeight="251703296" behindDoc="0" locked="0" layoutInCell="1" allowOverlap="1">
                  <wp:simplePos x="0" y="0"/>
                  <wp:positionH relativeFrom="column">
                    <wp:posOffset>3695065</wp:posOffset>
                  </wp:positionH>
                  <wp:positionV relativeFrom="paragraph">
                    <wp:posOffset>123190</wp:posOffset>
                  </wp:positionV>
                  <wp:extent cx="464185" cy="546735"/>
                  <wp:effectExtent l="0" t="3175" r="0" b="0"/>
                  <wp:wrapNone/>
                  <wp:docPr id="59" name="图片 59" descr="E:\郑桥\2024\2普光\图件\风玫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E:\郑桥\2024\2普光\图件\风玫瑰.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rot="5400000">
                            <a:off x="0" y="0"/>
                            <a:ext cx="464024" cy="546545"/>
                          </a:xfrm>
                          <a:prstGeom prst="rect">
                            <a:avLst/>
                          </a:prstGeom>
                          <a:noFill/>
                          <a:ln>
                            <a:noFill/>
                          </a:ln>
                        </pic:spPr>
                      </pic:pic>
                    </a:graphicData>
                  </a:graphic>
                </wp:anchor>
              </w:drawing>
            </w:r>
            <w:r>
              <w:drawing>
                <wp:inline distT="0" distB="0" distL="0" distR="0">
                  <wp:extent cx="4291965" cy="289750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22"/>
                          <a:stretch>
                            <a:fillRect/>
                          </a:stretch>
                        </pic:blipFill>
                        <pic:spPr>
                          <a:xfrm>
                            <a:off x="0" y="0"/>
                            <a:ext cx="4291965" cy="2897505"/>
                          </a:xfrm>
                          <a:prstGeom prst="rect">
                            <a:avLst/>
                          </a:prstGeom>
                        </pic:spPr>
                      </pic:pic>
                    </a:graphicData>
                  </a:graphic>
                </wp:inline>
              </w:drawing>
            </w:r>
          </w:p>
        </w:tc>
        <w:tc>
          <w:tcPr>
            <w:tcW w:w="6975" w:type="dxa"/>
          </w:tcPr>
          <w:p>
            <w:pPr>
              <w:tabs>
                <w:tab w:val="left" w:pos="583"/>
              </w:tabs>
              <w:spacing w:line="240" w:lineRule="auto"/>
              <w:ind w:firstLine="0" w:firstLineChars="0"/>
              <w:jc w:val="center"/>
              <w:rPr>
                <w:rFonts w:cs="Times New Roman"/>
                <w:bCs/>
                <w:color w:val="000000" w:themeColor="text1"/>
                <w:w w:val="95"/>
                <w:sz w:val="21"/>
                <w:szCs w:val="21"/>
                <w14:textFill>
                  <w14:solidFill>
                    <w14:schemeClr w14:val="tx1"/>
                  </w14:solidFill>
                </w14:textFill>
              </w:rPr>
            </w:pPr>
            <w:r>
              <w:rPr>
                <w:rFonts w:cs="Times New Roman"/>
                <w:bCs/>
                <w:color w:val="000000" w:themeColor="text1"/>
                <w:w w:val="95"/>
                <w:sz w:val="21"/>
                <w:szCs w:val="21"/>
                <w14:textFill>
                  <w14:solidFill>
                    <w14:schemeClr w14:val="tx1"/>
                  </w14:solidFill>
                </w14:textFill>
              </w:rPr>
              <w:drawing>
                <wp:anchor distT="0" distB="0" distL="114300" distR="114300" simplePos="0" relativeHeight="251704320" behindDoc="0" locked="0" layoutInCell="1" allowOverlap="1">
                  <wp:simplePos x="0" y="0"/>
                  <wp:positionH relativeFrom="column">
                    <wp:posOffset>3623310</wp:posOffset>
                  </wp:positionH>
                  <wp:positionV relativeFrom="paragraph">
                    <wp:posOffset>125730</wp:posOffset>
                  </wp:positionV>
                  <wp:extent cx="464185" cy="546735"/>
                  <wp:effectExtent l="73025" t="98425" r="66675" b="104775"/>
                  <wp:wrapNone/>
                  <wp:docPr id="61" name="图片 61" descr="E:\郑桥\2024\2普光\图件\风玫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E:\郑桥\2024\2普光\图件\风玫瑰.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rot="3977899">
                            <a:off x="0" y="0"/>
                            <a:ext cx="464024" cy="546545"/>
                          </a:xfrm>
                          <a:prstGeom prst="rect">
                            <a:avLst/>
                          </a:prstGeom>
                          <a:noFill/>
                          <a:ln>
                            <a:noFill/>
                          </a:ln>
                        </pic:spPr>
                      </pic:pic>
                    </a:graphicData>
                  </a:graphic>
                </wp:anchor>
              </w:drawing>
            </w:r>
            <w:r>
              <mc:AlternateContent>
                <mc:Choice Requires="wps">
                  <w:drawing>
                    <wp:anchor distT="0" distB="0" distL="114300" distR="114300" simplePos="0" relativeHeight="251696128" behindDoc="0" locked="0" layoutInCell="1" allowOverlap="1">
                      <wp:simplePos x="0" y="0"/>
                      <wp:positionH relativeFrom="column">
                        <wp:posOffset>1387475</wp:posOffset>
                      </wp:positionH>
                      <wp:positionV relativeFrom="paragraph">
                        <wp:posOffset>1353820</wp:posOffset>
                      </wp:positionV>
                      <wp:extent cx="1565275" cy="481965"/>
                      <wp:effectExtent l="19050" t="304800" r="54610" b="299720"/>
                      <wp:wrapNone/>
                      <wp:docPr id="50" name="矩形 50"/>
                      <wp:cNvGraphicFramePr/>
                      <a:graphic xmlns:a="http://schemas.openxmlformats.org/drawingml/2006/main">
                        <a:graphicData uri="http://schemas.microsoft.com/office/word/2010/wordprocessingShape">
                          <wps:wsp>
                            <wps:cNvSpPr/>
                            <wps:spPr>
                              <a:xfrm rot="1343139">
                                <a:off x="0" y="0"/>
                                <a:ext cx="1565083" cy="48175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9.25pt;margin-top:106.6pt;height:37.95pt;width:123.25pt;rotation:1467066f;z-index:251696128;v-text-anchor:middle;mso-width-relative:page;mso-height-relative:page;" filled="f" stroked="t" coordsize="21600,21600" o:gfxdata="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n7y/U2gAAAAsBAAAPAAAAAAAAAAEAIAAAACIAAABk&#10;cnMvZG93bnJldi54bWxQSwECFAAUAAAACACHTuJAkLnh3nYCAADbBAAADgAAAAAAAAABACAAAAAp&#10;AQAAZHJzL2Uyb0RvYy54bWxQSwUGAAAAAAYABgBZAQAAEQYAAAAA&#10;">
                      <v:fill on="f" focussize="0,0"/>
                      <v:stroke weight="1pt" color="#FF0000 [3204]" miterlimit="8" joinstyle="miter"/>
                      <v:imagedata o:title=""/>
                      <o:lock v:ext="edit" aspectratio="f"/>
                    </v:rect>
                  </w:pict>
                </mc:Fallback>
              </mc:AlternateContent>
            </w:r>
            <w:r>
              <w:drawing>
                <wp:inline distT="0" distB="0" distL="0" distR="0">
                  <wp:extent cx="4291965" cy="288544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23"/>
                          <a:stretch>
                            <a:fillRect/>
                          </a:stretch>
                        </pic:blipFill>
                        <pic:spPr>
                          <a:xfrm>
                            <a:off x="0" y="0"/>
                            <a:ext cx="4291965" cy="28854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5" w:type="dxa"/>
          </w:tcPr>
          <w:p>
            <w:pPr>
              <w:tabs>
                <w:tab w:val="left" w:pos="583"/>
              </w:tabs>
              <w:spacing w:line="240" w:lineRule="auto"/>
              <w:ind w:firstLine="0" w:firstLineChars="0"/>
              <w:jc w:val="center"/>
              <w:rPr>
                <w:rFonts w:cs="Times New Roman"/>
                <w:bCs/>
                <w:color w:val="000000" w:themeColor="text1"/>
                <w:w w:val="95"/>
                <w:sz w:val="21"/>
                <w:szCs w:val="21"/>
                <w14:textFill>
                  <w14:solidFill>
                    <w14:schemeClr w14:val="tx1"/>
                  </w14:solidFill>
                </w14:textFill>
              </w:rPr>
            </w:pPr>
            <w:r>
              <w:rPr>
                <w:rFonts w:hint="eastAsia" w:cs="Times New Roman"/>
                <w:bCs/>
                <w:color w:val="000000" w:themeColor="text1"/>
                <w:w w:val="95"/>
                <w:sz w:val="21"/>
                <w:szCs w:val="21"/>
                <w14:textFill>
                  <w14:solidFill>
                    <w14:schemeClr w14:val="tx1"/>
                  </w14:solidFill>
                </w14:textFill>
              </w:rPr>
              <w:t>P3011</w:t>
            </w:r>
            <w:r>
              <w:rPr>
                <w:rFonts w:cs="Times New Roman"/>
                <w:bCs/>
                <w:color w:val="000000" w:themeColor="text1"/>
                <w:w w:val="95"/>
                <w:sz w:val="21"/>
                <w:szCs w:val="21"/>
                <w14:textFill>
                  <w14:solidFill>
                    <w14:schemeClr w14:val="tx1"/>
                  </w14:solidFill>
                </w14:textFill>
              </w:rPr>
              <w:t>现有的水套加热炉</w:t>
            </w:r>
          </w:p>
        </w:tc>
        <w:tc>
          <w:tcPr>
            <w:tcW w:w="6975" w:type="dxa"/>
          </w:tcPr>
          <w:p>
            <w:pPr>
              <w:tabs>
                <w:tab w:val="left" w:pos="583"/>
              </w:tabs>
              <w:spacing w:line="240" w:lineRule="auto"/>
              <w:ind w:firstLine="0" w:firstLineChars="0"/>
              <w:jc w:val="center"/>
              <w:rPr>
                <w:rFonts w:cs="Times New Roman"/>
                <w:bCs/>
                <w:color w:val="000000" w:themeColor="text1"/>
                <w:w w:val="95"/>
                <w:sz w:val="21"/>
                <w:szCs w:val="21"/>
                <w14:textFill>
                  <w14:solidFill>
                    <w14:schemeClr w14:val="tx1"/>
                  </w14:solidFill>
                </w14:textFill>
              </w:rPr>
            </w:pPr>
            <w:r>
              <w:rPr>
                <w:rFonts w:hint="eastAsia" w:cs="Times New Roman"/>
                <w:bCs/>
                <w:color w:val="000000" w:themeColor="text1"/>
                <w:w w:val="95"/>
                <w:sz w:val="21"/>
                <w:szCs w:val="21"/>
                <w14:textFill>
                  <w14:solidFill>
                    <w14:schemeClr w14:val="tx1"/>
                  </w14:solidFill>
                </w14:textFill>
              </w:rPr>
              <w:t>本项目拟建井场</w:t>
            </w:r>
            <w:r>
              <w:rPr>
                <w:rFonts w:cs="Times New Roman"/>
                <w:bCs/>
                <w:color w:val="000000" w:themeColor="text1"/>
                <w:w w:val="95"/>
                <w:sz w:val="21"/>
                <w:szCs w:val="21"/>
                <w14:textFill>
                  <w14:solidFill>
                    <w14:schemeClr w14:val="tx1"/>
                  </w14:solidFill>
                </w14:textFill>
              </w:rPr>
              <w:t>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5" w:type="dxa"/>
          </w:tcPr>
          <w:p>
            <w:pPr>
              <w:tabs>
                <w:tab w:val="left" w:pos="583"/>
              </w:tabs>
              <w:spacing w:line="240" w:lineRule="auto"/>
              <w:ind w:firstLine="0" w:firstLineChars="0"/>
              <w:jc w:val="center"/>
              <w:rPr>
                <w:rFonts w:cs="Times New Roman"/>
                <w:bCs/>
                <w:color w:val="000000" w:themeColor="text1"/>
                <w:w w:val="95"/>
                <w:sz w:val="21"/>
                <w:szCs w:val="21"/>
                <w14:textFill>
                  <w14:solidFill>
                    <w14:schemeClr w14:val="tx1"/>
                  </w14:solidFill>
                </w14:textFill>
              </w:rPr>
            </w:pPr>
            <w:r>
              <w:rPr>
                <w:rFonts w:cs="Times New Roman"/>
                <w:bCs/>
                <w:color w:val="000000" w:themeColor="text1"/>
                <w:w w:val="95"/>
                <w:sz w:val="21"/>
                <w:szCs w:val="21"/>
                <w14:textFill>
                  <w14:solidFill>
                    <w14:schemeClr w14:val="tx1"/>
                  </w14:solidFill>
                </w14:textFill>
              </w:rPr>
              <w:drawing>
                <wp:anchor distT="0" distB="0" distL="114300" distR="114300" simplePos="0" relativeHeight="251705344" behindDoc="0" locked="0" layoutInCell="1" allowOverlap="1">
                  <wp:simplePos x="0" y="0"/>
                  <wp:positionH relativeFrom="column">
                    <wp:posOffset>3591560</wp:posOffset>
                  </wp:positionH>
                  <wp:positionV relativeFrom="paragraph">
                    <wp:posOffset>76200</wp:posOffset>
                  </wp:positionV>
                  <wp:extent cx="464185" cy="546735"/>
                  <wp:effectExtent l="92075" t="98425" r="85725" b="104775"/>
                  <wp:wrapNone/>
                  <wp:docPr id="62" name="图片 62" descr="E:\郑桥\2024\2普光\图件\风玫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E:\郑桥\2024\2普光\图件\风玫瑰.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rot="6982324">
                            <a:off x="0" y="0"/>
                            <a:ext cx="464024" cy="546545"/>
                          </a:xfrm>
                          <a:prstGeom prst="rect">
                            <a:avLst/>
                          </a:prstGeom>
                          <a:noFill/>
                          <a:ln>
                            <a:noFill/>
                          </a:ln>
                        </pic:spPr>
                      </pic:pic>
                    </a:graphicData>
                  </a:graphic>
                </wp:anchor>
              </w:drawing>
            </w:r>
            <w:r>
              <w:drawing>
                <wp:inline distT="0" distB="0" distL="0" distR="0">
                  <wp:extent cx="4207510" cy="2930525"/>
                  <wp:effectExtent l="0" t="0" r="2540"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4"/>
                          <a:stretch>
                            <a:fillRect/>
                          </a:stretch>
                        </pic:blipFill>
                        <pic:spPr>
                          <a:xfrm>
                            <a:off x="0" y="0"/>
                            <a:ext cx="4223713" cy="2941414"/>
                          </a:xfrm>
                          <a:prstGeom prst="rect">
                            <a:avLst/>
                          </a:prstGeom>
                        </pic:spPr>
                      </pic:pic>
                    </a:graphicData>
                  </a:graphic>
                </wp:inline>
              </w:drawing>
            </w:r>
          </w:p>
        </w:tc>
        <w:tc>
          <w:tcPr>
            <w:tcW w:w="6975" w:type="dxa"/>
          </w:tcPr>
          <w:p>
            <w:pPr>
              <w:tabs>
                <w:tab w:val="left" w:pos="583"/>
              </w:tabs>
              <w:spacing w:line="240" w:lineRule="auto"/>
              <w:ind w:firstLine="0" w:firstLineChars="0"/>
              <w:jc w:val="center"/>
              <w:rPr>
                <w:rFonts w:cs="Times New Roman"/>
                <w:bCs/>
                <w:color w:val="000000" w:themeColor="text1"/>
                <w:w w:val="95"/>
                <w:sz w:val="21"/>
                <w:szCs w:val="21"/>
                <w14:textFill>
                  <w14:solidFill>
                    <w14:schemeClr w14:val="tx1"/>
                  </w14:solidFill>
                </w14:textFill>
              </w:rPr>
            </w:pPr>
            <w:r>
              <mc:AlternateContent>
                <mc:Choice Requires="wps">
                  <w:drawing>
                    <wp:anchor distT="0" distB="0" distL="114300" distR="114300" simplePos="0" relativeHeight="251712512" behindDoc="0" locked="0" layoutInCell="1" allowOverlap="1">
                      <wp:simplePos x="0" y="0"/>
                      <wp:positionH relativeFrom="column">
                        <wp:posOffset>3126105</wp:posOffset>
                      </wp:positionH>
                      <wp:positionV relativeFrom="paragraph">
                        <wp:posOffset>1781175</wp:posOffset>
                      </wp:positionV>
                      <wp:extent cx="800100" cy="263525"/>
                      <wp:effectExtent l="134937" t="36513" r="153988" b="39687"/>
                      <wp:wrapNone/>
                      <wp:docPr id="65" name="矩形 65"/>
                      <wp:cNvGraphicFramePr/>
                      <a:graphic xmlns:a="http://schemas.openxmlformats.org/drawingml/2006/main">
                        <a:graphicData uri="http://schemas.microsoft.com/office/word/2010/wordprocessingShape">
                          <wps:wsp>
                            <wps:cNvSpPr/>
                            <wps:spPr>
                              <a:xfrm rot="6576921">
                                <a:off x="0" y="0"/>
                                <a:ext cx="800185" cy="26369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6.15pt;margin-top:140.25pt;height:20.75pt;width:63pt;rotation:7183752f;z-index:251712512;v-text-anchor:middle;mso-width-relative:page;mso-height-relative:page;" filled="f" stroked="t" coordsize="21600,21600" o:gfxdata="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D61ts2QAAAAsBAAAPAAAAAAAAAAEAIAAAACIAAABkcnMv&#10;ZG93bnJldi54bWxQSwECFAAUAAAACACHTuJAMwPG0XQCAADaBAAADgAAAAAAAAABACAAAAAoAQAA&#10;ZHJzL2Uyb0RvYy54bWxQSwUGAAAAAAYABgBZAQAADgYAAAAA&#10;">
                      <v:fill on="f" focussize="0,0"/>
                      <v:stroke weight="1pt" color="#FF0000 [3204]" miterlimit="8" joinstyle="miter"/>
                      <v:imagedata o:title=""/>
                      <o:lock v:ext="edit" aspectratio="f"/>
                    </v:rect>
                  </w:pict>
                </mc:Fallback>
              </mc:AlternateContent>
            </w:r>
            <w:r>
              <w:rPr>
                <w:rFonts w:cs="Times New Roman"/>
                <w:bCs/>
                <w:color w:val="000000" w:themeColor="text1"/>
                <w:w w:val="95"/>
                <w:sz w:val="21"/>
                <w:szCs w:val="21"/>
                <w14:textFill>
                  <w14:solidFill>
                    <w14:schemeClr w14:val="tx1"/>
                  </w14:solidFill>
                </w14:textFill>
              </w:rPr>
              <mc:AlternateContent>
                <mc:Choice Requires="wps">
                  <w:drawing>
                    <wp:anchor distT="45720" distB="45720" distL="114300" distR="114300" simplePos="0" relativeHeight="251697152" behindDoc="0" locked="0" layoutInCell="1" allowOverlap="1">
                      <wp:simplePos x="0" y="0"/>
                      <wp:positionH relativeFrom="column">
                        <wp:posOffset>2907030</wp:posOffset>
                      </wp:positionH>
                      <wp:positionV relativeFrom="paragraph">
                        <wp:posOffset>466090</wp:posOffset>
                      </wp:positionV>
                      <wp:extent cx="728980" cy="1404620"/>
                      <wp:effectExtent l="0" t="0" r="0" b="0"/>
                      <wp:wrapNone/>
                      <wp:docPr id="5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28980" cy="1404620"/>
                              </a:xfrm>
                              <a:prstGeom prst="rect">
                                <a:avLst/>
                              </a:prstGeom>
                              <a:noFill/>
                              <a:ln w="9525">
                                <a:noFill/>
                                <a:miter lim="800000"/>
                              </a:ln>
                            </wps:spPr>
                            <wps:txbx>
                              <w:txbxContent>
                                <w:p>
                                  <w:pPr>
                                    <w:spacing w:line="240" w:lineRule="auto"/>
                                    <w:ind w:firstLine="0" w:firstLineChars="0"/>
                                    <w:rPr>
                                      <w:color w:val="FF0000"/>
                                      <w:sz w:val="21"/>
                                    </w:rPr>
                                  </w:pPr>
                                  <w:r>
                                    <w:rPr>
                                      <w:rFonts w:hint="eastAsia"/>
                                      <w:color w:val="FF0000"/>
                                      <w:sz w:val="21"/>
                                    </w:rPr>
                                    <w:t>放喷池1</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28.9pt;margin-top:36.7pt;height:110.6pt;width:57.4pt;z-index:251697152;mso-width-relative:page;mso-height-relative:margin;mso-height-percent:200;" filled="f" stroked="f" coordsize="21600,21600" o:gfxdata="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Lf5dy2QAAAAoBAAAPAAAAAAAAAAEAIAAAACIAAABkcnMvZG93bnJldi54bWxQSwECFAAUAAAA&#10;CACHTuJAHxxpDCYCAAAqBAAADgAAAAAAAAABACAAAAAoAQAAZHJzL2Uyb0RvYy54bWxQSwUGAAAA&#10;AAYABgBZAQAAwAUAAAAA&#10;">
                      <v:fill on="f" focussize="0,0"/>
                      <v:stroke on="f" miterlimit="8" joinstyle="miter"/>
                      <v:imagedata o:title=""/>
                      <o:lock v:ext="edit" aspectratio="f"/>
                      <v:textbox style="mso-fit-shape-to-text:t;">
                        <w:txbxContent>
                          <w:p>
                            <w:pPr>
                              <w:spacing w:line="240" w:lineRule="auto"/>
                              <w:ind w:firstLine="0" w:firstLineChars="0"/>
                              <w:rPr>
                                <w:color w:val="FF0000"/>
                                <w:sz w:val="21"/>
                              </w:rPr>
                            </w:pPr>
                            <w:r>
                              <w:rPr>
                                <w:rFonts w:hint="eastAsia"/>
                                <w:color w:val="FF0000"/>
                                <w:sz w:val="21"/>
                              </w:rPr>
                              <w:t>放喷池1</w:t>
                            </w:r>
                          </w:p>
                        </w:txbxContent>
                      </v:textbox>
                    </v:shape>
                  </w:pict>
                </mc:Fallback>
              </mc:AlternateContent>
            </w:r>
            <w:r>
              <w:rPr>
                <w:rFonts w:cs="Times New Roman"/>
                <w:bCs/>
                <w:color w:val="000000" w:themeColor="text1"/>
                <w:w w:val="95"/>
                <w:sz w:val="21"/>
                <w:szCs w:val="21"/>
                <w14:textFill>
                  <w14:solidFill>
                    <w14:schemeClr w14:val="tx1"/>
                  </w14:solidFill>
                </w14:textFill>
              </w:rPr>
              <w:drawing>
                <wp:anchor distT="0" distB="0" distL="114300" distR="114300" simplePos="0" relativeHeight="251706368" behindDoc="0" locked="0" layoutInCell="1" allowOverlap="1">
                  <wp:simplePos x="0" y="0"/>
                  <wp:positionH relativeFrom="column">
                    <wp:posOffset>3826510</wp:posOffset>
                  </wp:positionH>
                  <wp:positionV relativeFrom="paragraph">
                    <wp:posOffset>34925</wp:posOffset>
                  </wp:positionV>
                  <wp:extent cx="464185" cy="546735"/>
                  <wp:effectExtent l="73025" t="98425" r="85725" b="104775"/>
                  <wp:wrapNone/>
                  <wp:docPr id="63" name="图片 63" descr="E:\郑桥\2024\2普光\图件\风玫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E:\郑桥\2024\2普光\图件\风玫瑰.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rot="6730104">
                            <a:off x="0" y="0"/>
                            <a:ext cx="464024" cy="546545"/>
                          </a:xfrm>
                          <a:prstGeom prst="rect">
                            <a:avLst/>
                          </a:prstGeom>
                          <a:noFill/>
                          <a:ln>
                            <a:noFill/>
                          </a:ln>
                        </pic:spPr>
                      </pic:pic>
                    </a:graphicData>
                  </a:graphic>
                </wp:anchor>
              </w:drawing>
            </w:r>
            <w:r>
              <w:rPr>
                <w:rFonts w:cs="Times New Roman"/>
                <w:bCs/>
                <w:color w:val="000000" w:themeColor="text1"/>
                <w:w w:val="95"/>
                <w:sz w:val="21"/>
                <w:szCs w:val="21"/>
                <w14:textFill>
                  <w14:solidFill>
                    <w14:schemeClr w14:val="tx1"/>
                  </w14:solidFill>
                </w14:textFill>
              </w:rPr>
              <mc:AlternateContent>
                <mc:Choice Requires="wps">
                  <w:drawing>
                    <wp:anchor distT="45720" distB="45720" distL="114300" distR="114300" simplePos="0" relativeHeight="251700224" behindDoc="0" locked="0" layoutInCell="1" allowOverlap="1">
                      <wp:simplePos x="0" y="0"/>
                      <wp:positionH relativeFrom="column">
                        <wp:posOffset>366395</wp:posOffset>
                      </wp:positionH>
                      <wp:positionV relativeFrom="paragraph">
                        <wp:posOffset>147955</wp:posOffset>
                      </wp:positionV>
                      <wp:extent cx="728980" cy="1404620"/>
                      <wp:effectExtent l="0" t="0" r="0" b="0"/>
                      <wp:wrapNone/>
                      <wp:docPr id="5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29276" cy="1404620"/>
                              </a:xfrm>
                              <a:prstGeom prst="rect">
                                <a:avLst/>
                              </a:prstGeom>
                              <a:noFill/>
                              <a:ln w="9525">
                                <a:noFill/>
                                <a:miter lim="800000"/>
                              </a:ln>
                            </wps:spPr>
                            <wps:txbx>
                              <w:txbxContent>
                                <w:p>
                                  <w:pPr>
                                    <w:spacing w:line="240" w:lineRule="auto"/>
                                    <w:ind w:firstLine="0" w:firstLineChars="0"/>
                                    <w:rPr>
                                      <w:color w:val="FF0000"/>
                                      <w:sz w:val="21"/>
                                    </w:rPr>
                                  </w:pPr>
                                  <w:r>
                                    <w:rPr>
                                      <w:rFonts w:hint="eastAsia"/>
                                      <w:color w:val="FF0000"/>
                                      <w:sz w:val="21"/>
                                    </w:rPr>
                                    <w:t>火炬</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8.85pt;margin-top:11.65pt;height:110.6pt;width:57.4pt;z-index:251700224;mso-width-relative:page;mso-height-relative:margin;mso-height-percent:200;" filled="f" stroked="f" coordsize="21600,21600" o:gfxdata="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NT9YQrXAAAACQEAAA8AAAAAAAAAAQAgAAAAIgAAAGRycy9kb3ducmV2LnhtbFBLAQIUABQAAAAI&#10;AIdO4kB4JHPFJwIAACoEAAAOAAAAAAAAAAEAIAAAACYBAABkcnMvZTJvRG9jLnhtbFBLBQYAAAAA&#10;BgAGAFkBAAC/BQAAAAA=&#10;">
                      <v:fill on="f" focussize="0,0"/>
                      <v:stroke on="f" miterlimit="8" joinstyle="miter"/>
                      <v:imagedata o:title=""/>
                      <o:lock v:ext="edit" aspectratio="f"/>
                      <v:textbox style="mso-fit-shape-to-text:t;">
                        <w:txbxContent>
                          <w:p>
                            <w:pPr>
                              <w:spacing w:line="240" w:lineRule="auto"/>
                              <w:ind w:firstLine="0" w:firstLineChars="0"/>
                              <w:rPr>
                                <w:color w:val="FF0000"/>
                                <w:sz w:val="21"/>
                              </w:rPr>
                            </w:pPr>
                            <w:r>
                              <w:rPr>
                                <w:rFonts w:hint="eastAsia"/>
                                <w:color w:val="FF0000"/>
                                <w:sz w:val="21"/>
                              </w:rPr>
                              <w:t>火炬</w:t>
                            </w:r>
                          </w:p>
                        </w:txbxContent>
                      </v:textbox>
                    </v:shape>
                  </w:pict>
                </mc:Fallback>
              </mc:AlternateContent>
            </w:r>
            <w:r>
              <w:rPr>
                <w:rFonts w:cs="Times New Roman"/>
                <w:bCs/>
                <w:color w:val="000000" w:themeColor="text1"/>
                <w:w w:val="95"/>
                <w:sz w:val="21"/>
                <w:szCs w:val="21"/>
                <w14:textFill>
                  <w14:solidFill>
                    <w14:schemeClr w14:val="tx1"/>
                  </w14:solidFill>
                </w14:textFill>
              </w:rPr>
              <mc:AlternateContent>
                <mc:Choice Requires="wps">
                  <w:drawing>
                    <wp:anchor distT="45720" distB="45720" distL="114300" distR="114300" simplePos="0" relativeHeight="251699200" behindDoc="0" locked="0" layoutInCell="1" allowOverlap="1">
                      <wp:simplePos x="0" y="0"/>
                      <wp:positionH relativeFrom="column">
                        <wp:posOffset>2716530</wp:posOffset>
                      </wp:positionH>
                      <wp:positionV relativeFrom="paragraph">
                        <wp:posOffset>2661285</wp:posOffset>
                      </wp:positionV>
                      <wp:extent cx="728980" cy="1404620"/>
                      <wp:effectExtent l="0" t="0" r="0" b="0"/>
                      <wp:wrapNone/>
                      <wp:docPr id="5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29276" cy="1404620"/>
                              </a:xfrm>
                              <a:prstGeom prst="rect">
                                <a:avLst/>
                              </a:prstGeom>
                              <a:noFill/>
                              <a:ln w="9525">
                                <a:noFill/>
                                <a:miter lim="800000"/>
                              </a:ln>
                            </wps:spPr>
                            <wps:txbx>
                              <w:txbxContent>
                                <w:p>
                                  <w:pPr>
                                    <w:spacing w:line="240" w:lineRule="auto"/>
                                    <w:ind w:firstLine="0" w:firstLineChars="0"/>
                                    <w:rPr>
                                      <w:color w:val="FF0000"/>
                                      <w:sz w:val="21"/>
                                    </w:rPr>
                                  </w:pPr>
                                  <w:r>
                                    <w:rPr>
                                      <w:rFonts w:hint="eastAsia"/>
                                      <w:color w:val="FF0000"/>
                                      <w:sz w:val="21"/>
                                    </w:rPr>
                                    <w:t>清水池</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13.9pt;margin-top:209.55pt;height:110.6pt;width:57.4pt;z-index:251699200;mso-width-relative:page;mso-height-relative:margin;mso-height-percent:200;" filled="f" stroked="f" coordsize="21600,21600" o:gfxdata="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x5C2R2QAAAAsBAAAPAAAAAAAAAAEAIAAAACIAAABkcnMvZG93bnJldi54bWxQSwECFAAUAAAA&#10;CACHTuJAD6OzACYCAAAqBAAADgAAAAAAAAABACAAAAAoAQAAZHJzL2Uyb0RvYy54bWxQSwUGAAAA&#10;AAYABgBZAQAAwAUAAAAA&#10;">
                      <v:fill on="f" focussize="0,0"/>
                      <v:stroke on="f" miterlimit="8" joinstyle="miter"/>
                      <v:imagedata o:title=""/>
                      <o:lock v:ext="edit" aspectratio="f"/>
                      <v:textbox style="mso-fit-shape-to-text:t;">
                        <w:txbxContent>
                          <w:p>
                            <w:pPr>
                              <w:spacing w:line="240" w:lineRule="auto"/>
                              <w:ind w:firstLine="0" w:firstLineChars="0"/>
                              <w:rPr>
                                <w:color w:val="FF0000"/>
                                <w:sz w:val="21"/>
                              </w:rPr>
                            </w:pPr>
                            <w:r>
                              <w:rPr>
                                <w:rFonts w:hint="eastAsia"/>
                                <w:color w:val="FF0000"/>
                                <w:sz w:val="21"/>
                              </w:rPr>
                              <w:t>清水池</w:t>
                            </w:r>
                          </w:p>
                        </w:txbxContent>
                      </v:textbox>
                    </v:shape>
                  </w:pict>
                </mc:Fallback>
              </mc:AlternateContent>
            </w:r>
            <w:r>
              <w:rPr>
                <w:rFonts w:cs="Times New Roman"/>
                <w:bCs/>
                <w:color w:val="000000" w:themeColor="text1"/>
                <w:w w:val="95"/>
                <w:sz w:val="21"/>
                <w:szCs w:val="21"/>
                <w14:textFill>
                  <w14:solidFill>
                    <w14:schemeClr w14:val="tx1"/>
                  </w14:solidFill>
                </w14:textFill>
              </w:rPr>
              <mc:AlternateContent>
                <mc:Choice Requires="wps">
                  <w:drawing>
                    <wp:anchor distT="45720" distB="45720" distL="114300" distR="114300" simplePos="0" relativeHeight="251698176" behindDoc="0" locked="0" layoutInCell="1" allowOverlap="1">
                      <wp:simplePos x="0" y="0"/>
                      <wp:positionH relativeFrom="column">
                        <wp:posOffset>254000</wp:posOffset>
                      </wp:positionH>
                      <wp:positionV relativeFrom="paragraph">
                        <wp:posOffset>2060575</wp:posOffset>
                      </wp:positionV>
                      <wp:extent cx="728980" cy="1404620"/>
                      <wp:effectExtent l="0" t="0" r="0" b="0"/>
                      <wp:wrapNone/>
                      <wp:docPr id="5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29276" cy="1404620"/>
                              </a:xfrm>
                              <a:prstGeom prst="rect">
                                <a:avLst/>
                              </a:prstGeom>
                              <a:noFill/>
                              <a:ln w="9525">
                                <a:noFill/>
                                <a:miter lim="800000"/>
                              </a:ln>
                            </wps:spPr>
                            <wps:txbx>
                              <w:txbxContent>
                                <w:p>
                                  <w:pPr>
                                    <w:spacing w:line="240" w:lineRule="auto"/>
                                    <w:ind w:firstLine="0" w:firstLineChars="0"/>
                                    <w:rPr>
                                      <w:color w:val="FF0000"/>
                                      <w:sz w:val="21"/>
                                    </w:rPr>
                                  </w:pPr>
                                  <w:r>
                                    <w:rPr>
                                      <w:rFonts w:hint="eastAsia"/>
                                      <w:color w:val="FF0000"/>
                                      <w:sz w:val="21"/>
                                    </w:rPr>
                                    <w:t>放喷池2</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0pt;margin-top:162.25pt;height:110.6pt;width:57.4pt;z-index:251698176;mso-width-relative:page;mso-height-relative:margin;mso-height-percent:200;" filled="f" stroked="f" coordsize="21600,21600" o:gfxdata="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GQvEl2AAAAAoBAAAPAAAAAAAAAAEAIAAAACIAAABkcnMvZG93bnJldi54bWxQSwECFAAUAAAA&#10;CACHTuJA1yyDlScCAAAqBAAADgAAAAAAAAABACAAAAAnAQAAZHJzL2Uyb0RvYy54bWxQSwUGAAAA&#10;AAYABgBZAQAAwAUAAAAA&#10;">
                      <v:fill on="f" focussize="0,0"/>
                      <v:stroke on="f" miterlimit="8" joinstyle="miter"/>
                      <v:imagedata o:title=""/>
                      <o:lock v:ext="edit" aspectratio="f"/>
                      <v:textbox style="mso-fit-shape-to-text:t;">
                        <w:txbxContent>
                          <w:p>
                            <w:pPr>
                              <w:spacing w:line="240" w:lineRule="auto"/>
                              <w:ind w:firstLine="0" w:firstLineChars="0"/>
                              <w:rPr>
                                <w:color w:val="FF0000"/>
                                <w:sz w:val="21"/>
                              </w:rPr>
                            </w:pPr>
                            <w:r>
                              <w:rPr>
                                <w:rFonts w:hint="eastAsia"/>
                                <w:color w:val="FF0000"/>
                                <w:sz w:val="21"/>
                              </w:rPr>
                              <w:t>放喷池2</w:t>
                            </w:r>
                          </w:p>
                        </w:txbxContent>
                      </v:textbox>
                    </v:shape>
                  </w:pict>
                </mc:Fallback>
              </mc:AlternateContent>
            </w:r>
            <w:r>
              <w:drawing>
                <wp:inline distT="0" distB="0" distL="0" distR="0">
                  <wp:extent cx="4396105" cy="2955925"/>
                  <wp:effectExtent l="0" t="0" r="444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25"/>
                          <a:stretch>
                            <a:fillRect/>
                          </a:stretch>
                        </pic:blipFill>
                        <pic:spPr>
                          <a:xfrm>
                            <a:off x="0" y="0"/>
                            <a:ext cx="4400205" cy="2958859"/>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5" w:type="dxa"/>
          </w:tcPr>
          <w:p>
            <w:pPr>
              <w:tabs>
                <w:tab w:val="left" w:pos="583"/>
              </w:tabs>
              <w:spacing w:line="240" w:lineRule="auto"/>
              <w:ind w:firstLine="0" w:firstLineChars="0"/>
              <w:jc w:val="center"/>
              <w:rPr>
                <w:rFonts w:cs="Times New Roman"/>
                <w:bCs/>
                <w:color w:val="000000" w:themeColor="text1"/>
                <w:w w:val="95"/>
                <w:sz w:val="21"/>
                <w:szCs w:val="21"/>
                <w14:textFill>
                  <w14:solidFill>
                    <w14:schemeClr w14:val="tx1"/>
                  </w14:solidFill>
                </w14:textFill>
              </w:rPr>
            </w:pPr>
            <w:r>
              <w:rPr>
                <w:rFonts w:hint="eastAsia" w:cs="Times New Roman"/>
                <w:bCs/>
                <w:color w:val="000000" w:themeColor="text1"/>
                <w:w w:val="95"/>
                <w:sz w:val="21"/>
                <w:szCs w:val="21"/>
                <w14:textFill>
                  <w14:solidFill>
                    <w14:schemeClr w14:val="tx1"/>
                  </w14:solidFill>
                </w14:textFill>
              </w:rPr>
              <w:t>P301集气站（左）和</w:t>
            </w:r>
            <w:r>
              <w:rPr>
                <w:rFonts w:cs="Times New Roman"/>
                <w:bCs/>
                <w:color w:val="000000" w:themeColor="text1"/>
                <w:w w:val="95"/>
                <w:sz w:val="21"/>
                <w:szCs w:val="21"/>
                <w14:textFill>
                  <w14:solidFill>
                    <w14:schemeClr w14:val="tx1"/>
                  </w14:solidFill>
                </w14:textFill>
              </w:rPr>
              <w:t>P3011采气站</w:t>
            </w:r>
            <w:r>
              <w:rPr>
                <w:rFonts w:hint="eastAsia" w:cs="Times New Roman"/>
                <w:bCs/>
                <w:color w:val="000000" w:themeColor="text1"/>
                <w:w w:val="95"/>
                <w:sz w:val="21"/>
                <w:szCs w:val="21"/>
                <w14:textFill>
                  <w14:solidFill>
                    <w14:schemeClr w14:val="tx1"/>
                  </w14:solidFill>
                </w14:textFill>
              </w:rPr>
              <w:t>（右）</w:t>
            </w:r>
            <w:r>
              <w:rPr>
                <w:rFonts w:cs="Times New Roman"/>
                <w:bCs/>
                <w:color w:val="000000" w:themeColor="text1"/>
                <w:w w:val="95"/>
                <w:sz w:val="21"/>
                <w:szCs w:val="21"/>
                <w14:textFill>
                  <w14:solidFill>
                    <w14:schemeClr w14:val="tx1"/>
                  </w14:solidFill>
                </w14:textFill>
              </w:rPr>
              <w:t>鸟瞰图</w:t>
            </w:r>
          </w:p>
        </w:tc>
        <w:tc>
          <w:tcPr>
            <w:tcW w:w="6975" w:type="dxa"/>
          </w:tcPr>
          <w:p>
            <w:pPr>
              <w:tabs>
                <w:tab w:val="left" w:pos="583"/>
              </w:tabs>
              <w:spacing w:line="240" w:lineRule="auto"/>
              <w:ind w:firstLine="0" w:firstLineChars="0"/>
              <w:jc w:val="center"/>
              <w:rPr>
                <w:rFonts w:cs="Times New Roman"/>
                <w:bCs/>
                <w:color w:val="000000" w:themeColor="text1"/>
                <w:w w:val="95"/>
                <w:sz w:val="21"/>
                <w:szCs w:val="21"/>
                <w14:textFill>
                  <w14:solidFill>
                    <w14:schemeClr w14:val="tx1"/>
                  </w14:solidFill>
                </w14:textFill>
              </w:rPr>
            </w:pPr>
            <w:r>
              <w:rPr>
                <w:rFonts w:hint="eastAsia" w:cs="Times New Roman"/>
                <w:bCs/>
                <w:color w:val="000000" w:themeColor="text1"/>
                <w:w w:val="95"/>
                <w:sz w:val="21"/>
                <w:szCs w:val="21"/>
                <w14:textFill>
                  <w14:solidFill>
                    <w14:schemeClr w14:val="tx1"/>
                  </w14:solidFill>
                </w14:textFill>
              </w:rPr>
              <w:t>项目</w:t>
            </w:r>
            <w:r>
              <w:rPr>
                <w:rFonts w:cs="Times New Roman"/>
                <w:bCs/>
                <w:color w:val="000000" w:themeColor="text1"/>
                <w:w w:val="95"/>
                <w:sz w:val="21"/>
                <w:szCs w:val="21"/>
                <w14:textFill>
                  <w14:solidFill>
                    <w14:schemeClr w14:val="tx1"/>
                  </w14:solidFill>
                </w14:textFill>
              </w:rPr>
              <w:t>依托（</w:t>
            </w:r>
            <w:r>
              <w:rPr>
                <w:rFonts w:hint="eastAsia" w:cs="Times New Roman"/>
                <w:bCs/>
                <w:color w:val="000000" w:themeColor="text1"/>
                <w:w w:val="95"/>
                <w:sz w:val="21"/>
                <w:szCs w:val="21"/>
                <w14:textFill>
                  <w14:solidFill>
                    <w14:schemeClr w14:val="tx1"/>
                  </w14:solidFill>
                </w14:textFill>
              </w:rPr>
              <w:t>利旧</w:t>
            </w:r>
            <w:r>
              <w:rPr>
                <w:rFonts w:cs="Times New Roman"/>
                <w:bCs/>
                <w:color w:val="000000" w:themeColor="text1"/>
                <w:w w:val="95"/>
                <w:sz w:val="21"/>
                <w:szCs w:val="21"/>
                <w14:textFill>
                  <w14:solidFill>
                    <w14:schemeClr w14:val="tx1"/>
                  </w14:solidFill>
                </w14:textFill>
              </w:rPr>
              <w:t>）</w:t>
            </w:r>
            <w:r>
              <w:rPr>
                <w:rFonts w:hint="eastAsia" w:cs="Times New Roman"/>
                <w:bCs/>
                <w:color w:val="000000" w:themeColor="text1"/>
                <w:w w:val="95"/>
                <w:sz w:val="21"/>
                <w:szCs w:val="21"/>
                <w14:textFill>
                  <w14:solidFill>
                    <w14:schemeClr w14:val="tx1"/>
                  </w14:solidFill>
                </w14:textFill>
              </w:rPr>
              <w:t>设施</w:t>
            </w:r>
            <w:r>
              <w:rPr>
                <w:rFonts w:cs="Times New Roman"/>
                <w:bCs/>
                <w:color w:val="000000" w:themeColor="text1"/>
                <w:w w:val="95"/>
                <w:sz w:val="21"/>
                <w:szCs w:val="21"/>
                <w14:textFill>
                  <w14:solidFill>
                    <w14:schemeClr w14:val="tx1"/>
                  </w14:solidFill>
                </w14:textFill>
              </w:rPr>
              <w:t>分布图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5" w:type="dxa"/>
          </w:tcPr>
          <w:p>
            <w:pPr>
              <w:tabs>
                <w:tab w:val="left" w:pos="583"/>
              </w:tabs>
              <w:spacing w:line="240" w:lineRule="auto"/>
              <w:ind w:firstLine="0" w:firstLineChars="0"/>
              <w:jc w:val="center"/>
              <w:rPr>
                <w:rFonts w:cs="Times New Roman"/>
                <w:bCs/>
                <w:color w:val="000000" w:themeColor="text1"/>
                <w:w w:val="95"/>
                <w:sz w:val="21"/>
                <w:szCs w:val="21"/>
                <w14:textFill>
                  <w14:solidFill>
                    <w14:schemeClr w14:val="tx1"/>
                  </w14:solidFill>
                </w14:textFill>
              </w:rPr>
            </w:pPr>
            <w:r>
              <w:rPr>
                <w:rFonts w:cs="Times New Roman"/>
                <w:bCs/>
                <w:color w:val="000000" w:themeColor="text1"/>
                <w:w w:val="95"/>
                <w:sz w:val="21"/>
                <w:szCs w:val="21"/>
                <w14:textFill>
                  <w14:solidFill>
                    <w14:schemeClr w14:val="tx1"/>
                  </w14:solidFill>
                </w14:textFill>
              </w:rPr>
              <w:drawing>
                <wp:anchor distT="0" distB="0" distL="114300" distR="114300" simplePos="0" relativeHeight="251707392" behindDoc="0" locked="0" layoutInCell="1" allowOverlap="1">
                  <wp:simplePos x="0" y="0"/>
                  <wp:positionH relativeFrom="column">
                    <wp:posOffset>3789045</wp:posOffset>
                  </wp:positionH>
                  <wp:positionV relativeFrom="paragraph">
                    <wp:posOffset>62230</wp:posOffset>
                  </wp:positionV>
                  <wp:extent cx="464185" cy="546735"/>
                  <wp:effectExtent l="0" t="0" r="0" b="6350"/>
                  <wp:wrapNone/>
                  <wp:docPr id="64" name="图片 64" descr="E:\郑桥\2024\2普光\图件\风玫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E:\郑桥\2024\2普光\图件\风玫瑰.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rot="10800000">
                            <a:off x="0" y="0"/>
                            <a:ext cx="464024" cy="546545"/>
                          </a:xfrm>
                          <a:prstGeom prst="rect">
                            <a:avLst/>
                          </a:prstGeom>
                          <a:noFill/>
                          <a:ln>
                            <a:noFill/>
                          </a:ln>
                        </pic:spPr>
                      </pic:pic>
                    </a:graphicData>
                  </a:graphic>
                </wp:anchor>
              </w:drawing>
            </w:r>
            <w:r>
              <w:drawing>
                <wp:inline distT="0" distB="0" distL="0" distR="0">
                  <wp:extent cx="4564380" cy="2766695"/>
                  <wp:effectExtent l="0" t="0" r="762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26"/>
                          <a:stretch>
                            <a:fillRect/>
                          </a:stretch>
                        </pic:blipFill>
                        <pic:spPr>
                          <a:xfrm>
                            <a:off x="0" y="0"/>
                            <a:ext cx="4570015" cy="2770136"/>
                          </a:xfrm>
                          <a:prstGeom prst="rect">
                            <a:avLst/>
                          </a:prstGeom>
                        </pic:spPr>
                      </pic:pic>
                    </a:graphicData>
                  </a:graphic>
                </wp:inline>
              </w:drawing>
            </w:r>
          </w:p>
        </w:tc>
        <w:tc>
          <w:tcPr>
            <w:tcW w:w="6975" w:type="dxa"/>
          </w:tcPr>
          <w:p>
            <w:pPr>
              <w:tabs>
                <w:tab w:val="left" w:pos="583"/>
              </w:tabs>
              <w:spacing w:line="240" w:lineRule="auto"/>
              <w:ind w:firstLine="0" w:firstLineChars="0"/>
              <w:jc w:val="center"/>
              <w:rPr>
                <w:rFonts w:cs="Times New Roman"/>
                <w:bCs/>
                <w:color w:val="000000" w:themeColor="text1"/>
                <w:w w:val="95"/>
                <w:sz w:val="21"/>
                <w:szCs w:val="21"/>
                <w14:textFill>
                  <w14:solidFill>
                    <w14:schemeClr w14:val="tx1"/>
                  </w14:solidFill>
                </w14:textFill>
              </w:rPr>
            </w:pPr>
            <w:r>
              <w:rPr>
                <w:rFonts w:cs="Times New Roman"/>
                <w:bCs/>
                <w:color w:val="000000" w:themeColor="text1"/>
                <w:w w:val="95"/>
                <w:sz w:val="21"/>
                <w:szCs w:val="21"/>
                <w14:textFill>
                  <w14:solidFill>
                    <w14:schemeClr w14:val="tx1"/>
                  </w14:solidFill>
                </w14:textFill>
              </w:rPr>
              <w:drawing>
                <wp:anchor distT="0" distB="0" distL="114300" distR="114300" simplePos="0" relativeHeight="251708416" behindDoc="0" locked="0" layoutInCell="1" allowOverlap="1">
                  <wp:simplePos x="0" y="0"/>
                  <wp:positionH relativeFrom="column">
                    <wp:posOffset>3643630</wp:posOffset>
                  </wp:positionH>
                  <wp:positionV relativeFrom="paragraph">
                    <wp:posOffset>104775</wp:posOffset>
                  </wp:positionV>
                  <wp:extent cx="464185" cy="546735"/>
                  <wp:effectExtent l="76200" t="57150" r="69850" b="63500"/>
                  <wp:wrapNone/>
                  <wp:docPr id="66" name="图片 66" descr="E:\郑桥\2024\2普光\图件\风玫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E:\郑桥\2024\2普光\图件\风玫瑰.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rot="1042884">
                            <a:off x="0" y="0"/>
                            <a:ext cx="464024" cy="546545"/>
                          </a:xfrm>
                          <a:prstGeom prst="rect">
                            <a:avLst/>
                          </a:prstGeom>
                          <a:noFill/>
                          <a:ln>
                            <a:noFill/>
                          </a:ln>
                        </pic:spPr>
                      </pic:pic>
                    </a:graphicData>
                  </a:graphic>
                </wp:anchor>
              </w:drawing>
            </w:r>
            <w:r>
              <w:drawing>
                <wp:inline distT="0" distB="0" distL="0" distR="0">
                  <wp:extent cx="4076700" cy="276669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7"/>
                          <a:stretch>
                            <a:fillRect/>
                          </a:stretch>
                        </pic:blipFill>
                        <pic:spPr>
                          <a:xfrm>
                            <a:off x="0" y="0"/>
                            <a:ext cx="4083791" cy="277146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5" w:type="dxa"/>
          </w:tcPr>
          <w:p>
            <w:pPr>
              <w:tabs>
                <w:tab w:val="left" w:pos="583"/>
              </w:tabs>
              <w:spacing w:line="240" w:lineRule="auto"/>
              <w:ind w:firstLine="0" w:firstLineChars="0"/>
              <w:jc w:val="center"/>
              <w:rPr>
                <w:rFonts w:cs="Times New Roman"/>
                <w:bCs/>
                <w:color w:val="000000" w:themeColor="text1"/>
                <w:w w:val="95"/>
                <w:sz w:val="21"/>
                <w:szCs w:val="21"/>
                <w14:textFill>
                  <w14:solidFill>
                    <w14:schemeClr w14:val="tx1"/>
                  </w14:solidFill>
                </w14:textFill>
              </w:rPr>
            </w:pPr>
            <w:r>
              <w:rPr>
                <w:rFonts w:hint="eastAsia" w:cs="Times New Roman"/>
                <w:bCs/>
                <w:color w:val="000000" w:themeColor="text1"/>
                <w:w w:val="95"/>
                <w:sz w:val="21"/>
                <w:szCs w:val="21"/>
                <w14:textFill>
                  <w14:solidFill>
                    <w14:schemeClr w14:val="tx1"/>
                  </w14:solidFill>
                </w14:textFill>
              </w:rPr>
              <w:t>项目</w:t>
            </w:r>
            <w:r>
              <w:rPr>
                <w:rFonts w:cs="Times New Roman"/>
                <w:bCs/>
                <w:color w:val="000000" w:themeColor="text1"/>
                <w:w w:val="95"/>
                <w:sz w:val="21"/>
                <w:szCs w:val="21"/>
                <w14:textFill>
                  <w14:solidFill>
                    <w14:schemeClr w14:val="tx1"/>
                  </w14:solidFill>
                </w14:textFill>
              </w:rPr>
              <w:t>南侧敏感目标</w:t>
            </w:r>
          </w:p>
        </w:tc>
        <w:tc>
          <w:tcPr>
            <w:tcW w:w="6975" w:type="dxa"/>
          </w:tcPr>
          <w:p>
            <w:pPr>
              <w:tabs>
                <w:tab w:val="left" w:pos="583"/>
              </w:tabs>
              <w:spacing w:line="240" w:lineRule="auto"/>
              <w:ind w:firstLine="0" w:firstLineChars="0"/>
              <w:jc w:val="center"/>
              <w:rPr>
                <w:rFonts w:cs="Times New Roman"/>
                <w:bCs/>
                <w:color w:val="000000" w:themeColor="text1"/>
                <w:w w:val="95"/>
                <w:sz w:val="21"/>
                <w:szCs w:val="21"/>
                <w14:textFill>
                  <w14:solidFill>
                    <w14:schemeClr w14:val="tx1"/>
                  </w14:solidFill>
                </w14:textFill>
              </w:rPr>
            </w:pPr>
            <w:r>
              <w:rPr>
                <w:rFonts w:hint="eastAsia" w:cs="Times New Roman"/>
                <w:bCs/>
                <w:color w:val="000000" w:themeColor="text1"/>
                <w:w w:val="95"/>
                <w:sz w:val="21"/>
                <w:szCs w:val="21"/>
                <w14:textFill>
                  <w14:solidFill>
                    <w14:schemeClr w14:val="tx1"/>
                  </w14:solidFill>
                </w14:textFill>
              </w:rPr>
              <w:t>项目</w:t>
            </w:r>
            <w:r>
              <w:rPr>
                <w:rFonts w:cs="Times New Roman"/>
                <w:bCs/>
                <w:color w:val="000000" w:themeColor="text1"/>
                <w:w w:val="95"/>
                <w:sz w:val="21"/>
                <w:szCs w:val="21"/>
                <w14:textFill>
                  <w14:solidFill>
                    <w14:schemeClr w14:val="tx1"/>
                  </w14:solidFill>
                </w14:textFill>
              </w:rPr>
              <w:t>北侧敏感目标</w:t>
            </w:r>
          </w:p>
        </w:tc>
      </w:tr>
    </w:tbl>
    <w:p>
      <w:pPr>
        <w:tabs>
          <w:tab w:val="left" w:pos="583"/>
        </w:tabs>
        <w:spacing w:before="240" w:beforeLines="100"/>
        <w:ind w:firstLine="613"/>
        <w:jc w:val="center"/>
        <w:rPr>
          <w:rFonts w:cs="Times New Roman"/>
          <w:b/>
          <w:bCs/>
          <w:color w:val="000000" w:themeColor="text1"/>
          <w:w w:val="95"/>
          <w:sz w:val="32"/>
          <w:szCs w:val="32"/>
          <w14:textFill>
            <w14:solidFill>
              <w14:schemeClr w14:val="tx1"/>
            </w14:solidFill>
          </w14:textFill>
        </w:rPr>
      </w:pPr>
    </w:p>
    <w:p>
      <w:pPr>
        <w:pStyle w:val="41"/>
        <w:ind w:firstLine="378"/>
        <w:rPr>
          <w:w w:val="95"/>
        </w:rPr>
        <w:sectPr>
          <w:headerReference r:id="rId11" w:type="default"/>
          <w:footerReference r:id="rId12" w:type="default"/>
          <w:footerReference r:id="rId13" w:type="even"/>
          <w:pgSz w:w="16840" w:h="11910" w:orient="landscape"/>
          <w:pgMar w:top="1800" w:right="1440" w:bottom="1800" w:left="1440" w:header="964" w:footer="964" w:gutter="0"/>
          <w:pgNumType w:fmt="upperRoman" w:start="1"/>
          <w:cols w:space="720" w:num="1"/>
          <w:docGrid w:linePitch="326" w:charSpace="0"/>
        </w:sectPr>
      </w:pPr>
      <w:r>
        <w:rPr>
          <w:w w:val="95"/>
        </w:rPr>
        <w:br w:type="page"/>
      </w:r>
    </w:p>
    <w:p>
      <w:pPr>
        <w:pStyle w:val="41"/>
        <w:ind w:firstLine="378"/>
        <w:rPr>
          <w:w w:val="95"/>
        </w:rPr>
      </w:pPr>
    </w:p>
    <w:p>
      <w:pPr>
        <w:tabs>
          <w:tab w:val="left" w:pos="583"/>
        </w:tabs>
        <w:spacing w:before="240" w:beforeLines="100"/>
        <w:ind w:firstLine="613"/>
        <w:jc w:val="center"/>
        <w:rPr>
          <w:rFonts w:cs="Times New Roman"/>
          <w:b/>
          <w:bCs/>
          <w:color w:val="000000" w:themeColor="text1"/>
          <w:sz w:val="32"/>
          <w:szCs w:val="32"/>
          <w14:textFill>
            <w14:solidFill>
              <w14:schemeClr w14:val="tx1"/>
            </w14:solidFill>
          </w14:textFill>
        </w:rPr>
      </w:pPr>
      <w:r>
        <w:rPr>
          <w:rFonts w:cs="Times New Roman"/>
          <w:b/>
          <w:bCs/>
          <w:color w:val="000000" w:themeColor="text1"/>
          <w:w w:val="95"/>
          <w:sz w:val="32"/>
          <w:szCs w:val="32"/>
          <w14:textFill>
            <w14:solidFill>
              <w14:schemeClr w14:val="tx1"/>
            </w14:solidFill>
          </w14:textFill>
        </w:rPr>
        <w:t>目</w:t>
      </w:r>
      <w:r>
        <w:rPr>
          <w:rFonts w:cs="Times New Roman"/>
          <w:b/>
          <w:bCs/>
          <w:color w:val="000000" w:themeColor="text1"/>
          <w:sz w:val="32"/>
          <w:szCs w:val="32"/>
          <w14:textFill>
            <w14:solidFill>
              <w14:schemeClr w14:val="tx1"/>
            </w14:solidFill>
          </w14:textFill>
        </w:rPr>
        <w:t>录</w:t>
      </w:r>
    </w:p>
    <w:p>
      <w:pPr>
        <w:pStyle w:val="34"/>
        <w:tabs>
          <w:tab w:val="right" w:leader="dot" w:pos="8300"/>
        </w:tabs>
        <w:ind w:firstLine="480"/>
        <w:rPr>
          <w:rFonts w:asciiTheme="minorHAnsi" w:hAnsiTheme="minorHAnsi" w:eastAsiaTheme="minorEastAsia" w:cstheme="minorBidi"/>
          <w:kern w:val="2"/>
          <w:sz w:val="21"/>
          <w:lang w:eastAsia="zh-CN"/>
        </w:rPr>
      </w:pPr>
      <w:r>
        <w:rPr>
          <w:rFonts w:ascii="Times New Roman" w:hAnsi="Times New Roman"/>
          <w:color w:val="000000" w:themeColor="text1"/>
          <w:sz w:val="24"/>
          <w:szCs w:val="24"/>
          <w14:textFill>
            <w14:solidFill>
              <w14:schemeClr w14:val="tx1"/>
            </w14:solidFill>
          </w14:textFill>
        </w:rPr>
        <w:fldChar w:fldCharType="begin"/>
      </w:r>
      <w:r>
        <w:rPr>
          <w:rFonts w:ascii="Times New Roman" w:hAnsi="Times New Roman"/>
          <w:color w:val="000000" w:themeColor="text1"/>
          <w:sz w:val="24"/>
          <w:szCs w:val="24"/>
          <w14:textFill>
            <w14:solidFill>
              <w14:schemeClr w14:val="tx1"/>
            </w14:solidFill>
          </w14:textFill>
        </w:rPr>
        <w:instrText xml:space="preserve"> TOC \o "1-2" \h \z \u </w:instrText>
      </w:r>
      <w:r>
        <w:rPr>
          <w:rFonts w:ascii="Times New Roman" w:hAnsi="Times New Roman"/>
          <w:color w:val="000000" w:themeColor="text1"/>
          <w:sz w:val="24"/>
          <w:szCs w:val="24"/>
          <w14:textFill>
            <w14:solidFill>
              <w14:schemeClr w14:val="tx1"/>
            </w14:solidFill>
          </w14:textFill>
        </w:rPr>
        <w:fldChar w:fldCharType="separate"/>
      </w:r>
      <w:r>
        <w:fldChar w:fldCharType="begin"/>
      </w:r>
      <w:r>
        <w:instrText xml:space="preserve"> HYPERLINK \l "_Toc164666998" </w:instrText>
      </w:r>
      <w:r>
        <w:fldChar w:fldCharType="separate"/>
      </w:r>
      <w:r>
        <w:rPr>
          <w:rStyle w:val="62"/>
        </w:rPr>
        <w:t>1 概述</w:t>
      </w:r>
      <w:r>
        <w:tab/>
      </w:r>
      <w:r>
        <w:fldChar w:fldCharType="begin"/>
      </w:r>
      <w:r>
        <w:instrText xml:space="preserve"> PAGEREF _Toc164666998 \h </w:instrText>
      </w:r>
      <w:r>
        <w:fldChar w:fldCharType="separate"/>
      </w:r>
      <w:r>
        <w:t>1</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"_Toc164666999" </w:instrText>
      </w:r>
      <w:r>
        <w:fldChar w:fldCharType="separate"/>
      </w:r>
      <w:r>
        <w:rPr>
          <w:rStyle w:val="62"/>
        </w:rPr>
        <w:t>1.1项目背景</w:t>
      </w:r>
      <w:r>
        <w:tab/>
      </w:r>
      <w:r>
        <w:fldChar w:fldCharType="begin"/>
      </w:r>
      <w:r>
        <w:instrText xml:space="preserve"> PAGEREF _Toc164666999 \h </w:instrText>
      </w:r>
      <w:r>
        <w:fldChar w:fldCharType="separate"/>
      </w:r>
      <w:r>
        <w:t>1</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"_Toc164667000" </w:instrText>
      </w:r>
      <w:r>
        <w:fldChar w:fldCharType="separate"/>
      </w:r>
      <w:r>
        <w:rPr>
          <w:rStyle w:val="62"/>
        </w:rPr>
        <w:t>1.2建设项目特点</w:t>
      </w:r>
      <w:r>
        <w:tab/>
      </w:r>
      <w:r>
        <w:fldChar w:fldCharType="begin"/>
      </w:r>
      <w:r>
        <w:instrText xml:space="preserve"> PAGEREF _Toc164667000 \h </w:instrText>
      </w:r>
      <w:r>
        <w:fldChar w:fldCharType="separate"/>
      </w:r>
      <w:r>
        <w:t>3</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"_Toc164667001" </w:instrText>
      </w:r>
      <w:r>
        <w:fldChar w:fldCharType="separate"/>
      </w:r>
      <w:r>
        <w:rPr>
          <w:rStyle w:val="62"/>
        </w:rPr>
        <w:t>1.3环境影响评价的工作过程</w:t>
      </w:r>
      <w:r>
        <w:tab/>
      </w:r>
      <w:r>
        <w:fldChar w:fldCharType="begin"/>
      </w:r>
      <w:r>
        <w:instrText xml:space="preserve"> PAGEREF _Toc164667001 \h </w:instrText>
      </w:r>
      <w:r>
        <w:fldChar w:fldCharType="separate"/>
      </w:r>
      <w:r>
        <w:t>4</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"_Toc164667002" </w:instrText>
      </w:r>
      <w:r>
        <w:fldChar w:fldCharType="separate"/>
      </w:r>
      <w:r>
        <w:rPr>
          <w:rStyle w:val="62"/>
        </w:rPr>
        <w:t>1.4分析判定相关情况</w:t>
      </w:r>
      <w:r>
        <w:tab/>
      </w:r>
      <w:r>
        <w:fldChar w:fldCharType="begin"/>
      </w:r>
      <w:r>
        <w:instrText xml:space="preserve"> PAGEREF _Toc164667002 \h </w:instrText>
      </w:r>
      <w:r>
        <w:fldChar w:fldCharType="separate"/>
      </w:r>
      <w:r>
        <w:t>5</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"_Toc164667003" </w:instrText>
      </w:r>
      <w:r>
        <w:fldChar w:fldCharType="separate"/>
      </w:r>
      <w:r>
        <w:rPr>
          <w:rStyle w:val="62"/>
        </w:rPr>
        <w:t>1.5关注的主要环境问题</w:t>
      </w:r>
      <w:r>
        <w:tab/>
      </w:r>
      <w:r>
        <w:fldChar w:fldCharType="begin"/>
      </w:r>
      <w:r>
        <w:instrText xml:space="preserve"> PAGEREF _Toc164667003 \h </w:instrText>
      </w:r>
      <w:r>
        <w:fldChar w:fldCharType="separate"/>
      </w:r>
      <w:r>
        <w:t>5</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"_Toc164667004" </w:instrText>
      </w:r>
      <w:r>
        <w:fldChar w:fldCharType="separate"/>
      </w:r>
      <w:r>
        <w:rPr>
          <w:rStyle w:val="62"/>
        </w:rPr>
        <w:t>1.6环境影响评价的主要结论</w:t>
      </w:r>
      <w:r>
        <w:tab/>
      </w:r>
      <w:r>
        <w:fldChar w:fldCharType="begin"/>
      </w:r>
      <w:r>
        <w:instrText xml:space="preserve"> PAGEREF _Toc164667004 \h </w:instrText>
      </w:r>
      <w:r>
        <w:fldChar w:fldCharType="separate"/>
      </w:r>
      <w:r>
        <w:t>6</w:t>
      </w:r>
      <w:r>
        <w:fldChar w:fldCharType="end"/>
      </w:r>
      <w:r>
        <w:fldChar w:fldCharType="end"/>
      </w:r>
    </w:p>
    <w:p>
      <w:pPr>
        <w:pStyle w:val="34"/>
        <w:tabs>
          <w:tab w:val="right" w:leader="dot" w:pos="8300"/>
        </w:tabs>
        <w:ind w:firstLine="440"/>
        <w:rPr>
          <w:rFonts w:asciiTheme="minorHAnsi" w:hAnsiTheme="minorHAnsi" w:eastAsiaTheme="minorEastAsia" w:cstheme="minorBidi"/>
          <w:kern w:val="2"/>
          <w:sz w:val="21"/>
          <w:lang w:eastAsia="zh-CN"/>
        </w:rPr>
      </w:pPr>
      <w:r>
        <w:fldChar w:fldCharType="begin"/>
      </w:r>
      <w:r>
        <w:instrText xml:space="preserve"> HYPERLINK \l "_Toc164667005" </w:instrText>
      </w:r>
      <w:r>
        <w:fldChar w:fldCharType="separate"/>
      </w:r>
      <w:r>
        <w:rPr>
          <w:rStyle w:val="62"/>
        </w:rPr>
        <w:t>2 总则</w:t>
      </w:r>
      <w:r>
        <w:tab/>
      </w:r>
      <w:r>
        <w:fldChar w:fldCharType="begin"/>
      </w:r>
      <w:r>
        <w:instrText xml:space="preserve"> PAGEREF _Toc164667005 \h </w:instrText>
      </w:r>
      <w:r>
        <w:fldChar w:fldCharType="separate"/>
      </w:r>
      <w:r>
        <w:t>7</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"_Toc164667006" </w:instrText>
      </w:r>
      <w:r>
        <w:fldChar w:fldCharType="separate"/>
      </w:r>
      <w:r>
        <w:rPr>
          <w:rStyle w:val="62"/>
        </w:rPr>
        <w:t>2.1评价目的</w:t>
      </w:r>
      <w:r>
        <w:tab/>
      </w:r>
      <w:r>
        <w:fldChar w:fldCharType="begin"/>
      </w:r>
      <w:r>
        <w:instrText xml:space="preserve"> PAGEREF _Toc164667006 \h </w:instrText>
      </w:r>
      <w:r>
        <w:fldChar w:fldCharType="separate"/>
      </w:r>
      <w:r>
        <w:t>7</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"_Toc164667007" </w:instrText>
      </w:r>
      <w:r>
        <w:fldChar w:fldCharType="separate"/>
      </w:r>
      <w:r>
        <w:rPr>
          <w:rStyle w:val="62"/>
        </w:rPr>
        <w:t>2.2评价原则</w:t>
      </w:r>
      <w:r>
        <w:tab/>
      </w:r>
      <w:r>
        <w:fldChar w:fldCharType="begin"/>
      </w:r>
      <w:r>
        <w:instrText xml:space="preserve"> PAGEREF _Toc164667007 \h </w:instrText>
      </w:r>
      <w:r>
        <w:fldChar w:fldCharType="separate"/>
      </w:r>
      <w:r>
        <w:t>7</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"_Toc164667008" </w:instrText>
      </w:r>
      <w:r>
        <w:fldChar w:fldCharType="separate"/>
      </w:r>
      <w:r>
        <w:rPr>
          <w:rStyle w:val="62"/>
        </w:rPr>
        <w:t>2.3编制依据</w:t>
      </w:r>
      <w:r>
        <w:tab/>
      </w:r>
      <w:r>
        <w:fldChar w:fldCharType="begin"/>
      </w:r>
      <w:r>
        <w:instrText xml:space="preserve"> PAGEREF _Toc164667008 \h </w:instrText>
      </w:r>
      <w:r>
        <w:fldChar w:fldCharType="separate"/>
      </w:r>
      <w:r>
        <w:t>7</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"_Toc164667009" </w:instrText>
      </w:r>
      <w:r>
        <w:fldChar w:fldCharType="separate"/>
      </w:r>
      <w:r>
        <w:rPr>
          <w:rStyle w:val="62"/>
        </w:rPr>
        <w:t>2.4环境影响识别与评价因子筛选</w:t>
      </w:r>
      <w:r>
        <w:tab/>
      </w:r>
      <w:r>
        <w:fldChar w:fldCharType="begin"/>
      </w:r>
      <w:r>
        <w:instrText xml:space="preserve"> PAGEREF _Toc164667009 \h </w:instrText>
      </w:r>
      <w:r>
        <w:fldChar w:fldCharType="separate"/>
      </w:r>
      <w:r>
        <w:t>14</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"_Toc164667010" </w:instrText>
      </w:r>
      <w:r>
        <w:fldChar w:fldCharType="separate"/>
      </w:r>
      <w:r>
        <w:rPr>
          <w:rStyle w:val="62"/>
        </w:rPr>
        <w:t>2.5环境功能区划与评价标准</w:t>
      </w:r>
      <w:r>
        <w:tab/>
      </w:r>
      <w:r>
        <w:fldChar w:fldCharType="begin"/>
      </w:r>
      <w:r>
        <w:instrText xml:space="preserve"> PAGEREF _Toc164667010 \h </w:instrText>
      </w:r>
      <w:r>
        <w:fldChar w:fldCharType="separate"/>
      </w:r>
      <w:r>
        <w:t>18</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"_Toc164667011" </w:instrText>
      </w:r>
      <w:r>
        <w:fldChar w:fldCharType="separate"/>
      </w:r>
      <w:r>
        <w:rPr>
          <w:rStyle w:val="62"/>
        </w:rPr>
        <w:t>2.6评价工作等级和评价范围</w:t>
      </w:r>
      <w:r>
        <w:tab/>
      </w:r>
      <w:r>
        <w:fldChar w:fldCharType="begin"/>
      </w:r>
      <w:r>
        <w:instrText xml:space="preserve"> PAGEREF _Toc164667011 \h </w:instrText>
      </w:r>
      <w:r>
        <w:fldChar w:fldCharType="separate"/>
      </w:r>
      <w:r>
        <w:t>23</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"_Toc164667012" </w:instrText>
      </w:r>
      <w:r>
        <w:fldChar w:fldCharType="separate"/>
      </w:r>
      <w:r>
        <w:rPr>
          <w:rStyle w:val="62"/>
        </w:rPr>
        <w:t>2.7相关政策、规范符合性分析</w:t>
      </w:r>
      <w:r>
        <w:tab/>
      </w:r>
      <w:r>
        <w:fldChar w:fldCharType="begin"/>
      </w:r>
      <w:r>
        <w:instrText xml:space="preserve"> PAGEREF _Toc164667012 \h </w:instrText>
      </w:r>
      <w:r>
        <w:fldChar w:fldCharType="separate"/>
      </w:r>
      <w:r>
        <w:t>33</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"_Toc164667013" </w:instrText>
      </w:r>
      <w:r>
        <w:fldChar w:fldCharType="separate"/>
      </w:r>
      <w:r>
        <w:rPr>
          <w:rStyle w:val="62"/>
        </w:rPr>
        <w:t>2.8评价内容及时段</w:t>
      </w:r>
      <w:r>
        <w:tab/>
      </w:r>
      <w:r>
        <w:fldChar w:fldCharType="begin"/>
      </w:r>
      <w:r>
        <w:instrText xml:space="preserve"> PAGEREF _Toc164667013 \h </w:instrText>
      </w:r>
      <w:r>
        <w:fldChar w:fldCharType="separate"/>
      </w:r>
      <w:r>
        <w:t>74</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"_Toc164667014" </w:instrText>
      </w:r>
      <w:r>
        <w:fldChar w:fldCharType="separate"/>
      </w:r>
      <w:r>
        <w:rPr>
          <w:rStyle w:val="62"/>
        </w:rPr>
        <w:t>2.9环境保护目标</w:t>
      </w:r>
      <w:r>
        <w:tab/>
      </w:r>
      <w:r>
        <w:fldChar w:fldCharType="begin"/>
      </w:r>
      <w:r>
        <w:instrText xml:space="preserve"> PAGEREF _Toc164667014 \h </w:instrText>
      </w:r>
      <w:r>
        <w:fldChar w:fldCharType="separate"/>
      </w:r>
      <w:r>
        <w:t>75</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"_Toc164667015" </w:instrText>
      </w:r>
      <w:r>
        <w:fldChar w:fldCharType="separate"/>
      </w:r>
      <w:r>
        <w:rPr>
          <w:rStyle w:val="62"/>
        </w:rPr>
        <w:t>2.10工程方案的合理性分析</w:t>
      </w:r>
      <w:r>
        <w:tab/>
      </w:r>
      <w:r>
        <w:fldChar w:fldCharType="begin"/>
      </w:r>
      <w:r>
        <w:instrText xml:space="preserve"> PAGEREF _Toc164667015 \h </w:instrText>
      </w:r>
      <w:r>
        <w:fldChar w:fldCharType="separate"/>
      </w:r>
      <w:r>
        <w:t>81</w:t>
      </w:r>
      <w:r>
        <w:fldChar w:fldCharType="end"/>
      </w:r>
      <w:r>
        <w:fldChar w:fldCharType="end"/>
      </w:r>
    </w:p>
    <w:p>
      <w:pPr>
        <w:pStyle w:val="34"/>
        <w:tabs>
          <w:tab w:val="right" w:leader="dot" w:pos="8300"/>
        </w:tabs>
        <w:ind w:firstLine="440"/>
        <w:rPr>
          <w:rFonts w:asciiTheme="minorHAnsi" w:hAnsiTheme="minorHAnsi" w:eastAsiaTheme="minorEastAsia" w:cstheme="minorBidi"/>
          <w:kern w:val="2"/>
          <w:sz w:val="21"/>
          <w:lang w:eastAsia="zh-CN"/>
        </w:rPr>
      </w:pPr>
      <w:r>
        <w:fldChar w:fldCharType="begin"/>
      </w:r>
      <w:r>
        <w:instrText xml:space="preserve"> HYPERLINK \l "_Toc164667016" </w:instrText>
      </w:r>
      <w:r>
        <w:fldChar w:fldCharType="separate"/>
      </w:r>
      <w:r>
        <w:rPr>
          <w:rStyle w:val="62"/>
        </w:rPr>
        <w:t>3 工程分析</w:t>
      </w:r>
      <w:r>
        <w:tab/>
      </w:r>
      <w:r>
        <w:fldChar w:fldCharType="begin"/>
      </w:r>
      <w:r>
        <w:instrText xml:space="preserve"> PAGEREF _Toc164667016 \h </w:instrText>
      </w:r>
      <w:r>
        <w:fldChar w:fldCharType="separate"/>
      </w:r>
      <w:r>
        <w:t>85</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"_Toc164667017" </w:instrText>
      </w:r>
      <w:r>
        <w:fldChar w:fldCharType="separate"/>
      </w:r>
      <w:r>
        <w:rPr>
          <w:rStyle w:val="62"/>
        </w:rPr>
        <w:t>3.1现有工程建设情况</w:t>
      </w:r>
      <w:r>
        <w:tab/>
      </w:r>
      <w:r>
        <w:fldChar w:fldCharType="begin"/>
      </w:r>
      <w:r>
        <w:instrText xml:space="preserve"> PAGEREF _Toc164667017 \h </w:instrText>
      </w:r>
      <w:r>
        <w:fldChar w:fldCharType="separate"/>
      </w:r>
      <w:r>
        <w:t>85</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"_Toc164667018" </w:instrText>
      </w:r>
      <w:r>
        <w:fldChar w:fldCharType="separate"/>
      </w:r>
      <w:r>
        <w:rPr>
          <w:rStyle w:val="62"/>
        </w:rPr>
        <w:t>3.2项目概况</w:t>
      </w:r>
      <w:r>
        <w:tab/>
      </w:r>
      <w:r>
        <w:fldChar w:fldCharType="begin"/>
      </w:r>
      <w:r>
        <w:instrText xml:space="preserve"> PAGEREF _Toc164667018 \h </w:instrText>
      </w:r>
      <w:r>
        <w:fldChar w:fldCharType="separate"/>
      </w:r>
      <w:r>
        <w:t>90</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"_Toc164667019" </w:instrText>
      </w:r>
      <w:r>
        <w:fldChar w:fldCharType="separate"/>
      </w:r>
      <w:r>
        <w:rPr>
          <w:rStyle w:val="62"/>
        </w:rPr>
        <w:t>3.3建设项目工程分析</w:t>
      </w:r>
      <w:r>
        <w:tab/>
      </w:r>
      <w:r>
        <w:fldChar w:fldCharType="begin"/>
      </w:r>
      <w:r>
        <w:instrText xml:space="preserve"> PAGEREF _Toc164667019 \h </w:instrText>
      </w:r>
      <w:r>
        <w:fldChar w:fldCharType="separate"/>
      </w:r>
      <w:r>
        <w:t>114</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"_Toc164667020" </w:instrText>
      </w:r>
      <w:r>
        <w:fldChar w:fldCharType="separate"/>
      </w:r>
      <w:r>
        <w:rPr>
          <w:rStyle w:val="62"/>
        </w:rPr>
        <w:t>3.4污染源源强核算</w:t>
      </w:r>
      <w:r>
        <w:tab/>
      </w:r>
      <w:r>
        <w:fldChar w:fldCharType="begin"/>
      </w:r>
      <w:r>
        <w:instrText xml:space="preserve"> PAGEREF _Toc164667020 \h </w:instrText>
      </w:r>
      <w:r>
        <w:fldChar w:fldCharType="separate"/>
      </w:r>
      <w:r>
        <w:t>128</w:t>
      </w:r>
      <w:r>
        <w:fldChar w:fldCharType="end"/>
      </w:r>
      <w:r>
        <w:fldChar w:fldCharType="end"/>
      </w:r>
    </w:p>
    <w:p>
      <w:pPr>
        <w:pStyle w:val="34"/>
        <w:tabs>
          <w:tab w:val="right" w:leader="dot" w:pos="8300"/>
        </w:tabs>
        <w:ind w:firstLine="440"/>
        <w:rPr>
          <w:rFonts w:asciiTheme="minorHAnsi" w:hAnsiTheme="minorHAnsi" w:eastAsiaTheme="minorEastAsia" w:cstheme="minorBidi"/>
          <w:kern w:val="2"/>
          <w:sz w:val="21"/>
          <w:lang w:eastAsia="zh-CN"/>
        </w:rPr>
      </w:pPr>
      <w:r>
        <w:fldChar w:fldCharType="begin"/>
      </w:r>
      <w:r>
        <w:instrText xml:space="preserve"> HYPERLINK \l "_Toc164667021" </w:instrText>
      </w:r>
      <w:r>
        <w:fldChar w:fldCharType="separate"/>
      </w:r>
      <w:r>
        <w:rPr>
          <w:rStyle w:val="62"/>
        </w:rPr>
        <w:t>4 环境现状调查与评价</w:t>
      </w:r>
      <w:r>
        <w:tab/>
      </w:r>
      <w:r>
        <w:fldChar w:fldCharType="begin"/>
      </w:r>
      <w:r>
        <w:instrText xml:space="preserve"> PAGEREF _Toc164667021 \h </w:instrText>
      </w:r>
      <w:r>
        <w:fldChar w:fldCharType="separate"/>
      </w:r>
      <w:r>
        <w:t>147</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"_Toc164667022" </w:instrText>
      </w:r>
      <w:r>
        <w:fldChar w:fldCharType="separate"/>
      </w:r>
      <w:r>
        <w:rPr>
          <w:rStyle w:val="62"/>
        </w:rPr>
        <w:t>4.1自然环境现状</w:t>
      </w:r>
      <w:r>
        <w:tab/>
      </w:r>
      <w:r>
        <w:fldChar w:fldCharType="begin"/>
      </w:r>
      <w:r>
        <w:instrText xml:space="preserve"> PAGEREF _Toc164667022 \h </w:instrText>
      </w:r>
      <w:r>
        <w:fldChar w:fldCharType="separate"/>
      </w:r>
      <w:r>
        <w:t>147</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"_Toc164667023" </w:instrText>
      </w:r>
      <w:r>
        <w:fldChar w:fldCharType="separate"/>
      </w:r>
      <w:r>
        <w:rPr>
          <w:rStyle w:val="62"/>
        </w:rPr>
        <w:t>4.2环境质量现状评价</w:t>
      </w:r>
      <w:r>
        <w:tab/>
      </w:r>
      <w:r>
        <w:fldChar w:fldCharType="begin"/>
      </w:r>
      <w:r>
        <w:instrText xml:space="preserve"> PAGEREF _Toc164667023 \h </w:instrText>
      </w:r>
      <w:r>
        <w:fldChar w:fldCharType="separate"/>
      </w:r>
      <w:r>
        <w:t>152</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"_Toc164667024" </w:instrText>
      </w:r>
      <w:r>
        <w:fldChar w:fldCharType="separate"/>
      </w:r>
      <w:r>
        <w:rPr>
          <w:rStyle w:val="62"/>
        </w:rPr>
        <w:t>4.3生态环境调查与评价</w:t>
      </w:r>
      <w:r>
        <w:tab/>
      </w:r>
      <w:r>
        <w:fldChar w:fldCharType="begin"/>
      </w:r>
      <w:r>
        <w:instrText xml:space="preserve"> PAGEREF _Toc164667024 \h </w:instrText>
      </w:r>
      <w:r>
        <w:fldChar w:fldCharType="separate"/>
      </w:r>
      <w:r>
        <w:t>163</w:t>
      </w:r>
      <w:r>
        <w:fldChar w:fldCharType="end"/>
      </w:r>
      <w:r>
        <w:fldChar w:fldCharType="end"/>
      </w:r>
    </w:p>
    <w:p>
      <w:pPr>
        <w:pStyle w:val="34"/>
        <w:tabs>
          <w:tab w:val="right" w:leader="dot" w:pos="8300"/>
        </w:tabs>
        <w:ind w:firstLine="440"/>
        <w:rPr>
          <w:rFonts w:asciiTheme="minorHAnsi" w:hAnsiTheme="minorHAnsi" w:eastAsiaTheme="minorEastAsia" w:cstheme="minorBidi"/>
          <w:kern w:val="2"/>
          <w:sz w:val="21"/>
          <w:lang w:eastAsia="zh-CN"/>
        </w:rPr>
      </w:pPr>
      <w:r>
        <w:fldChar w:fldCharType="begin"/>
      </w:r>
      <w:r>
        <w:instrText xml:space="preserve"> HYPERLINK \l "_Toc164667025" </w:instrText>
      </w:r>
      <w:r>
        <w:fldChar w:fldCharType="separate"/>
      </w:r>
      <w:r>
        <w:rPr>
          <w:rStyle w:val="62"/>
        </w:rPr>
        <w:t>5 环境影响预测与评价</w:t>
      </w:r>
      <w:r>
        <w:tab/>
      </w:r>
      <w:r>
        <w:fldChar w:fldCharType="begin"/>
      </w:r>
      <w:r>
        <w:instrText xml:space="preserve"> PAGEREF _Toc164667025 \h </w:instrText>
      </w:r>
      <w:r>
        <w:fldChar w:fldCharType="separate"/>
      </w:r>
      <w:r>
        <w:t>171</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"_Toc164667026" </w:instrText>
      </w:r>
      <w:r>
        <w:fldChar w:fldCharType="separate"/>
      </w:r>
      <w:r>
        <w:rPr>
          <w:rStyle w:val="62"/>
        </w:rPr>
        <w:t>5.1施工期环境影响分析</w:t>
      </w:r>
      <w:r>
        <w:tab/>
      </w:r>
      <w:r>
        <w:fldChar w:fldCharType="begin"/>
      </w:r>
      <w:r>
        <w:instrText xml:space="preserve"> PAGEREF _Toc164667026 \h </w:instrText>
      </w:r>
      <w:r>
        <w:fldChar w:fldCharType="separate"/>
      </w:r>
      <w:r>
        <w:t>171</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"_Toc164667027" </w:instrText>
      </w:r>
      <w:r>
        <w:fldChar w:fldCharType="separate"/>
      </w:r>
      <w:r>
        <w:rPr>
          <w:rStyle w:val="62"/>
        </w:rPr>
        <w:t>5.2试采期环境影响分析</w:t>
      </w:r>
      <w:r>
        <w:tab/>
      </w:r>
      <w:r>
        <w:fldChar w:fldCharType="begin"/>
      </w:r>
      <w:r>
        <w:instrText xml:space="preserve"> PAGEREF _Toc164667027 \h </w:instrText>
      </w:r>
      <w:r>
        <w:fldChar w:fldCharType="separate"/>
      </w:r>
      <w:r>
        <w:t>193</w:t>
      </w:r>
      <w:r>
        <w:fldChar w:fldCharType="end"/>
      </w:r>
      <w:r>
        <w:fldChar w:fldCharType="end"/>
      </w:r>
    </w:p>
    <w:p>
      <w:pPr>
        <w:pStyle w:val="34"/>
        <w:tabs>
          <w:tab w:val="right" w:leader="dot" w:pos="8300"/>
        </w:tabs>
        <w:ind w:firstLine="440"/>
        <w:rPr>
          <w:rFonts w:asciiTheme="minorHAnsi" w:hAnsiTheme="minorHAnsi" w:eastAsiaTheme="minorEastAsia" w:cstheme="minorBidi"/>
          <w:kern w:val="2"/>
          <w:sz w:val="21"/>
          <w:lang w:eastAsia="zh-CN"/>
        </w:rPr>
      </w:pPr>
      <w:r>
        <w:fldChar w:fldCharType="begin"/>
      </w:r>
      <w:r>
        <w:instrText xml:space="preserve"> HYPERLINK \l "_Toc164667028" </w:instrText>
      </w:r>
      <w:r>
        <w:fldChar w:fldCharType="separate"/>
      </w:r>
      <w:r>
        <w:rPr>
          <w:rStyle w:val="62"/>
        </w:rPr>
        <w:t>6 环境风险分析</w:t>
      </w:r>
      <w:r>
        <w:tab/>
      </w:r>
      <w:r>
        <w:fldChar w:fldCharType="begin"/>
      </w:r>
      <w:r>
        <w:instrText xml:space="preserve"> PAGEREF _Toc164667028 \h </w:instrText>
      </w:r>
      <w:r>
        <w:fldChar w:fldCharType="separate"/>
      </w:r>
      <w:r>
        <w:t>228</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"_Toc164667029" </w:instrText>
      </w:r>
      <w:r>
        <w:fldChar w:fldCharType="separate"/>
      </w:r>
      <w:r>
        <w:rPr>
          <w:rStyle w:val="62"/>
        </w:rPr>
        <w:t>6.1评价依据</w:t>
      </w:r>
      <w:r>
        <w:tab/>
      </w:r>
      <w:r>
        <w:fldChar w:fldCharType="begin"/>
      </w:r>
      <w:r>
        <w:instrText xml:space="preserve"> PAGEREF _Toc164667029 \h </w:instrText>
      </w:r>
      <w:r>
        <w:fldChar w:fldCharType="separate"/>
      </w:r>
      <w:r>
        <w:t>228</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"_Toc164667030" </w:instrText>
      </w:r>
      <w:r>
        <w:fldChar w:fldCharType="separate"/>
      </w:r>
      <w:r>
        <w:rPr>
          <w:rStyle w:val="62"/>
        </w:rPr>
        <w:t>6.2环境敏感目标概况</w:t>
      </w:r>
      <w:r>
        <w:tab/>
      </w:r>
      <w:r>
        <w:fldChar w:fldCharType="begin"/>
      </w:r>
      <w:r>
        <w:instrText xml:space="preserve"> PAGEREF _Toc164667030 \h </w:instrText>
      </w:r>
      <w:r>
        <w:fldChar w:fldCharType="separate"/>
      </w:r>
      <w:r>
        <w:t>229</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"_Toc164667031" </w:instrText>
      </w:r>
      <w:r>
        <w:fldChar w:fldCharType="separate"/>
      </w:r>
      <w:r>
        <w:rPr>
          <w:rStyle w:val="62"/>
        </w:rPr>
        <w:t>6.3环境风险识别</w:t>
      </w:r>
      <w:r>
        <w:tab/>
      </w:r>
      <w:r>
        <w:fldChar w:fldCharType="begin"/>
      </w:r>
      <w:r>
        <w:instrText xml:space="preserve"> PAGEREF _Toc164667031 \h </w:instrText>
      </w:r>
      <w:r>
        <w:fldChar w:fldCharType="separate"/>
      </w:r>
      <w:r>
        <w:t>230</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"_Toc164667032" </w:instrText>
      </w:r>
      <w:r>
        <w:fldChar w:fldCharType="separate"/>
      </w:r>
      <w:r>
        <w:rPr>
          <w:rStyle w:val="62"/>
        </w:rPr>
        <w:t>6.4环境风险分析</w:t>
      </w:r>
      <w:r>
        <w:tab/>
      </w:r>
      <w:r>
        <w:fldChar w:fldCharType="begin"/>
      </w:r>
      <w:r>
        <w:instrText xml:space="preserve"> PAGEREF _Toc164667032 \h </w:instrText>
      </w:r>
      <w:r>
        <w:fldChar w:fldCharType="separate"/>
      </w:r>
      <w:r>
        <w:t>233</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"_Toc164667033" </w:instrText>
      </w:r>
      <w:r>
        <w:fldChar w:fldCharType="separate"/>
      </w:r>
      <w:r>
        <w:rPr>
          <w:rStyle w:val="62"/>
        </w:rPr>
        <w:t>6.5环境风险防范措施</w:t>
      </w:r>
      <w:r>
        <w:tab/>
      </w:r>
      <w:r>
        <w:fldChar w:fldCharType="begin"/>
      </w:r>
      <w:r>
        <w:instrText xml:space="preserve"> PAGEREF _Toc164667033 \h </w:instrText>
      </w:r>
      <w:r>
        <w:fldChar w:fldCharType="separate"/>
      </w:r>
      <w:r>
        <w:t>246</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"_Toc164667034" </w:instrText>
      </w:r>
      <w:r>
        <w:fldChar w:fldCharType="separate"/>
      </w:r>
      <w:r>
        <w:rPr>
          <w:rStyle w:val="62"/>
        </w:rPr>
        <w:t>6.6应急措施</w:t>
      </w:r>
      <w:r>
        <w:tab/>
      </w:r>
      <w:r>
        <w:fldChar w:fldCharType="begin"/>
      </w:r>
      <w:r>
        <w:instrText xml:space="preserve"> PAGEREF _Toc164667034 \h </w:instrText>
      </w:r>
      <w:r>
        <w:fldChar w:fldCharType="separate"/>
      </w:r>
      <w:r>
        <w:t>258</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"_Toc164667035" </w:instrText>
      </w:r>
      <w:r>
        <w:fldChar w:fldCharType="separate"/>
      </w:r>
      <w:r>
        <w:rPr>
          <w:rStyle w:val="62"/>
        </w:rPr>
        <w:t>6.7分析结论</w:t>
      </w:r>
      <w:r>
        <w:tab/>
      </w:r>
      <w:r>
        <w:fldChar w:fldCharType="begin"/>
      </w:r>
      <w:r>
        <w:instrText xml:space="preserve"> PAGEREF _Toc164667035 \h </w:instrText>
      </w:r>
      <w:r>
        <w:fldChar w:fldCharType="separate"/>
      </w:r>
      <w:r>
        <w:t>282</w:t>
      </w:r>
      <w:r>
        <w:fldChar w:fldCharType="end"/>
      </w:r>
      <w:r>
        <w:fldChar w:fldCharType="end"/>
      </w:r>
    </w:p>
    <w:p>
      <w:pPr>
        <w:pStyle w:val="34"/>
        <w:tabs>
          <w:tab w:val="right" w:leader="dot" w:pos="8300"/>
        </w:tabs>
        <w:ind w:firstLine="440"/>
        <w:rPr>
          <w:rFonts w:asciiTheme="minorHAnsi" w:hAnsiTheme="minorHAnsi" w:eastAsiaTheme="minorEastAsia" w:cstheme="minorBidi"/>
          <w:kern w:val="2"/>
          <w:sz w:val="21"/>
          <w:lang w:eastAsia="zh-CN"/>
        </w:rPr>
      </w:pPr>
      <w:r>
        <w:fldChar w:fldCharType="begin"/>
      </w:r>
      <w:r>
        <w:instrText xml:space="preserve"> HYPERLINK \l "_Toc164667036" </w:instrText>
      </w:r>
      <w:r>
        <w:fldChar w:fldCharType="separate"/>
      </w:r>
      <w:r>
        <w:rPr>
          <w:rStyle w:val="62"/>
        </w:rPr>
        <w:t>7 环境保护措施及其可行性论证</w:t>
      </w:r>
      <w:r>
        <w:tab/>
      </w:r>
      <w:r>
        <w:fldChar w:fldCharType="begin"/>
      </w:r>
      <w:r>
        <w:instrText xml:space="preserve"> PAGEREF _Toc164667036 \h </w:instrText>
      </w:r>
      <w:r>
        <w:fldChar w:fldCharType="separate"/>
      </w:r>
      <w:r>
        <w:t>284</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"_Toc164667037" </w:instrText>
      </w:r>
      <w:r>
        <w:fldChar w:fldCharType="separate"/>
      </w:r>
      <w:r>
        <w:rPr>
          <w:rStyle w:val="62"/>
        </w:rPr>
        <w:t>7.1施工期环境保护措施及可行性分析</w:t>
      </w:r>
      <w:r>
        <w:tab/>
      </w:r>
      <w:r>
        <w:fldChar w:fldCharType="begin"/>
      </w:r>
      <w:r>
        <w:instrText xml:space="preserve"> PAGEREF _Toc164667037 \h </w:instrText>
      </w:r>
      <w:r>
        <w:fldChar w:fldCharType="separate"/>
      </w:r>
      <w:r>
        <w:t>284</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"_Toc164667038" </w:instrText>
      </w:r>
      <w:r>
        <w:fldChar w:fldCharType="separate"/>
      </w:r>
      <w:r>
        <w:rPr>
          <w:rStyle w:val="62"/>
        </w:rPr>
        <w:t>7.2试采期环境保护措施及可行性分析</w:t>
      </w:r>
      <w:r>
        <w:tab/>
      </w:r>
      <w:r>
        <w:fldChar w:fldCharType="begin"/>
      </w:r>
      <w:r>
        <w:instrText xml:space="preserve"> PAGEREF _Toc164667038 \h </w:instrText>
      </w:r>
      <w:r>
        <w:fldChar w:fldCharType="separate"/>
      </w:r>
      <w:r>
        <w:t>308</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"_Toc164667039" </w:instrText>
      </w:r>
      <w:r>
        <w:fldChar w:fldCharType="separate"/>
      </w:r>
      <w:r>
        <w:rPr>
          <w:rStyle w:val="62"/>
        </w:rPr>
        <w:t>7.3项目完工及试采结束后环境保护措施及可行性分析</w:t>
      </w:r>
      <w:r>
        <w:tab/>
      </w:r>
      <w:r>
        <w:fldChar w:fldCharType="begin"/>
      </w:r>
      <w:r>
        <w:instrText xml:space="preserve"> PAGEREF _Toc164667039 \h </w:instrText>
      </w:r>
      <w:r>
        <w:fldChar w:fldCharType="separate"/>
      </w:r>
      <w:r>
        <w:t>311</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"_Toc164667040" </w:instrText>
      </w:r>
      <w:r>
        <w:fldChar w:fldCharType="separate"/>
      </w:r>
      <w:r>
        <w:rPr>
          <w:rStyle w:val="62"/>
        </w:rPr>
        <w:t>7.4环保投资估算</w:t>
      </w:r>
      <w:r>
        <w:tab/>
      </w:r>
      <w:r>
        <w:fldChar w:fldCharType="begin"/>
      </w:r>
      <w:r>
        <w:instrText xml:space="preserve"> PAGEREF _Toc164667040 \h </w:instrText>
      </w:r>
      <w:r>
        <w:fldChar w:fldCharType="separate"/>
      </w:r>
      <w:r>
        <w:t>311</w:t>
      </w:r>
      <w:r>
        <w:fldChar w:fldCharType="end"/>
      </w:r>
      <w:r>
        <w:fldChar w:fldCharType="end"/>
      </w:r>
    </w:p>
    <w:p>
      <w:pPr>
        <w:pStyle w:val="34"/>
        <w:tabs>
          <w:tab w:val="right" w:leader="dot" w:pos="8300"/>
        </w:tabs>
        <w:ind w:firstLine="440"/>
        <w:rPr>
          <w:rFonts w:asciiTheme="minorHAnsi" w:hAnsiTheme="minorHAnsi" w:eastAsiaTheme="minorEastAsia" w:cstheme="minorBidi"/>
          <w:kern w:val="2"/>
          <w:sz w:val="21"/>
          <w:lang w:eastAsia="zh-CN"/>
        </w:rPr>
      </w:pPr>
      <w:r>
        <w:fldChar w:fldCharType="begin"/>
      </w:r>
      <w:r>
        <w:instrText xml:space="preserve"> HYPERLINK \l "_Toc164667041" </w:instrText>
      </w:r>
      <w:r>
        <w:fldChar w:fldCharType="separate"/>
      </w:r>
      <w:r>
        <w:rPr>
          <w:rStyle w:val="62"/>
        </w:rPr>
        <w:t>8 环境影响经济损益分析</w:t>
      </w:r>
      <w:r>
        <w:tab/>
      </w:r>
      <w:r>
        <w:fldChar w:fldCharType="begin"/>
      </w:r>
      <w:r>
        <w:instrText xml:space="preserve"> PAGEREF _Toc164667041 \h </w:instrText>
      </w:r>
      <w:r>
        <w:fldChar w:fldCharType="separate"/>
      </w:r>
      <w:r>
        <w:t>313</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"_Toc164667042" </w:instrText>
      </w:r>
      <w:r>
        <w:fldChar w:fldCharType="separate"/>
      </w:r>
      <w:r>
        <w:rPr>
          <w:rStyle w:val="62"/>
        </w:rPr>
        <w:t>8.1经济效益分析</w:t>
      </w:r>
      <w:r>
        <w:tab/>
      </w:r>
      <w:r>
        <w:fldChar w:fldCharType="begin"/>
      </w:r>
      <w:r>
        <w:instrText xml:space="preserve"> PAGEREF _Toc164667042 \h </w:instrText>
      </w:r>
      <w:r>
        <w:fldChar w:fldCharType="separate"/>
      </w:r>
      <w:r>
        <w:t>313</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"_Toc164667043" </w:instrText>
      </w:r>
      <w:r>
        <w:fldChar w:fldCharType="separate"/>
      </w:r>
      <w:r>
        <w:rPr>
          <w:rStyle w:val="62"/>
        </w:rPr>
        <w:t>8.2社会效益分析</w:t>
      </w:r>
      <w:r>
        <w:tab/>
      </w:r>
      <w:r>
        <w:fldChar w:fldCharType="begin"/>
      </w:r>
      <w:r>
        <w:instrText xml:space="preserve"> PAGEREF _Toc164667043 \h </w:instrText>
      </w:r>
      <w:r>
        <w:fldChar w:fldCharType="separate"/>
      </w:r>
      <w:r>
        <w:t>314</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"_Toc164667044" </w:instrText>
      </w:r>
      <w:r>
        <w:fldChar w:fldCharType="separate"/>
      </w:r>
      <w:r>
        <w:rPr>
          <w:rStyle w:val="62"/>
        </w:rPr>
        <w:t>8.3环境效益分析</w:t>
      </w:r>
      <w:r>
        <w:tab/>
      </w:r>
      <w:r>
        <w:fldChar w:fldCharType="begin"/>
      </w:r>
      <w:r>
        <w:instrText xml:space="preserve"> PAGEREF _Toc164667044 \h </w:instrText>
      </w:r>
      <w:r>
        <w:fldChar w:fldCharType="separate"/>
      </w:r>
      <w:r>
        <w:t>314</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"_Toc164667045" </w:instrText>
      </w:r>
      <w:r>
        <w:fldChar w:fldCharType="separate"/>
      </w:r>
      <w:r>
        <w:rPr>
          <w:rStyle w:val="62"/>
        </w:rPr>
        <w:t>8.4环境经济损益分析结论</w:t>
      </w:r>
      <w:r>
        <w:tab/>
      </w:r>
      <w:r>
        <w:fldChar w:fldCharType="begin"/>
      </w:r>
      <w:r>
        <w:instrText xml:space="preserve"> PAGEREF _Toc164667045 \h </w:instrText>
      </w:r>
      <w:r>
        <w:fldChar w:fldCharType="separate"/>
      </w:r>
      <w:r>
        <w:t>315</w:t>
      </w:r>
      <w:r>
        <w:fldChar w:fldCharType="end"/>
      </w:r>
      <w:r>
        <w:fldChar w:fldCharType="end"/>
      </w:r>
    </w:p>
    <w:p>
      <w:pPr>
        <w:pStyle w:val="34"/>
        <w:tabs>
          <w:tab w:val="right" w:leader="dot" w:pos="8300"/>
        </w:tabs>
        <w:ind w:firstLine="440"/>
        <w:rPr>
          <w:rFonts w:asciiTheme="minorHAnsi" w:hAnsiTheme="minorHAnsi" w:eastAsiaTheme="minorEastAsia" w:cstheme="minorBidi"/>
          <w:kern w:val="2"/>
          <w:sz w:val="21"/>
          <w:lang w:eastAsia="zh-CN"/>
        </w:rPr>
      </w:pPr>
      <w:r>
        <w:fldChar w:fldCharType="begin"/>
      </w:r>
      <w:r>
        <w:instrText xml:space="preserve"> HYPERLINK \l "_Toc164667046" </w:instrText>
      </w:r>
      <w:r>
        <w:fldChar w:fldCharType="separate"/>
      </w:r>
      <w:r>
        <w:rPr>
          <w:rStyle w:val="62"/>
        </w:rPr>
        <w:t>9 环境管理与环境监测</w:t>
      </w:r>
      <w:r>
        <w:tab/>
      </w:r>
      <w:r>
        <w:fldChar w:fldCharType="begin"/>
      </w:r>
      <w:r>
        <w:instrText xml:space="preserve"> PAGEREF _Toc164667046 \h </w:instrText>
      </w:r>
      <w:r>
        <w:fldChar w:fldCharType="separate"/>
      </w:r>
      <w:r>
        <w:t>317</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"_Toc164667047" </w:instrText>
      </w:r>
      <w:r>
        <w:fldChar w:fldCharType="separate"/>
      </w:r>
      <w:r>
        <w:rPr>
          <w:rStyle w:val="62"/>
        </w:rPr>
        <w:t>9.1环境管理</w:t>
      </w:r>
      <w:r>
        <w:tab/>
      </w:r>
      <w:r>
        <w:fldChar w:fldCharType="begin"/>
      </w:r>
      <w:r>
        <w:instrText xml:space="preserve"> PAGEREF _Toc164667047 \h </w:instrText>
      </w:r>
      <w:r>
        <w:fldChar w:fldCharType="separate"/>
      </w:r>
      <w:r>
        <w:t>317</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"_Toc164667048" </w:instrText>
      </w:r>
      <w:r>
        <w:fldChar w:fldCharType="separate"/>
      </w:r>
      <w:r>
        <w:rPr>
          <w:rStyle w:val="62"/>
        </w:rPr>
        <w:t>9.2污染物排放清单</w:t>
      </w:r>
      <w:r>
        <w:tab/>
      </w:r>
      <w:r>
        <w:fldChar w:fldCharType="begin"/>
      </w:r>
      <w:r>
        <w:instrText xml:space="preserve"> PAGEREF _Toc164667048 \h </w:instrText>
      </w:r>
      <w:r>
        <w:fldChar w:fldCharType="separate"/>
      </w:r>
      <w:r>
        <w:t>319</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"_Toc164667049" </w:instrText>
      </w:r>
      <w:r>
        <w:fldChar w:fldCharType="separate"/>
      </w:r>
      <w:r>
        <w:rPr>
          <w:rStyle w:val="62"/>
        </w:rPr>
        <w:t>9.3环境监测</w:t>
      </w:r>
      <w:r>
        <w:tab/>
      </w:r>
      <w:r>
        <w:fldChar w:fldCharType="begin"/>
      </w:r>
      <w:r>
        <w:instrText xml:space="preserve"> PAGEREF _Toc164667049 \h </w:instrText>
      </w:r>
      <w:r>
        <w:fldChar w:fldCharType="separate"/>
      </w:r>
      <w:r>
        <w:t>322</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"_Toc164667050" </w:instrText>
      </w:r>
      <w:r>
        <w:fldChar w:fldCharType="separate"/>
      </w:r>
      <w:r>
        <w:rPr>
          <w:rStyle w:val="62"/>
        </w:rPr>
        <w:t>9.4排污许可申请</w:t>
      </w:r>
      <w:r>
        <w:tab/>
      </w:r>
      <w:r>
        <w:fldChar w:fldCharType="begin"/>
      </w:r>
      <w:r>
        <w:instrText xml:space="preserve"> PAGEREF _Toc164667050 \h </w:instrText>
      </w:r>
      <w:r>
        <w:fldChar w:fldCharType="separate"/>
      </w:r>
      <w:r>
        <w:t>325</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"_Toc164667051" </w:instrText>
      </w:r>
      <w:r>
        <w:fldChar w:fldCharType="separate"/>
      </w:r>
      <w:r>
        <w:rPr>
          <w:rStyle w:val="62"/>
        </w:rPr>
        <w:t>9.5竣工环保验收调查</w:t>
      </w:r>
      <w:r>
        <w:tab/>
      </w:r>
      <w:r>
        <w:fldChar w:fldCharType="begin"/>
      </w:r>
      <w:r>
        <w:instrText xml:space="preserve"> PAGEREF _Toc164667051 \h </w:instrText>
      </w:r>
      <w:r>
        <w:fldChar w:fldCharType="separate"/>
      </w:r>
      <w:r>
        <w:t>325</w:t>
      </w:r>
      <w:r>
        <w:fldChar w:fldCharType="end"/>
      </w:r>
      <w:r>
        <w:fldChar w:fldCharType="end"/>
      </w:r>
    </w:p>
    <w:p>
      <w:pPr>
        <w:pStyle w:val="34"/>
        <w:tabs>
          <w:tab w:val="right" w:leader="dot" w:pos="8300"/>
        </w:tabs>
        <w:ind w:firstLine="440"/>
        <w:rPr>
          <w:rFonts w:asciiTheme="minorHAnsi" w:hAnsiTheme="minorHAnsi" w:eastAsiaTheme="minorEastAsia" w:cstheme="minorBidi"/>
          <w:kern w:val="2"/>
          <w:sz w:val="21"/>
          <w:lang w:eastAsia="zh-CN"/>
        </w:rPr>
      </w:pPr>
      <w:r>
        <w:fldChar w:fldCharType="begin"/>
      </w:r>
      <w:r>
        <w:instrText xml:space="preserve"> HYPERLINK \l "_Toc164667052" </w:instrText>
      </w:r>
      <w:r>
        <w:fldChar w:fldCharType="separate"/>
      </w:r>
      <w:r>
        <w:rPr>
          <w:rStyle w:val="62"/>
        </w:rPr>
        <w:t>10结论与建议</w:t>
      </w:r>
      <w:r>
        <w:tab/>
      </w:r>
      <w:r>
        <w:fldChar w:fldCharType="begin"/>
      </w:r>
      <w:r>
        <w:instrText xml:space="preserve"> PAGEREF _Toc164667052 \h </w:instrText>
      </w:r>
      <w:r>
        <w:fldChar w:fldCharType="separate"/>
      </w:r>
      <w:r>
        <w:t>328</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"_Toc164667053" </w:instrText>
      </w:r>
      <w:r>
        <w:fldChar w:fldCharType="separate"/>
      </w:r>
      <w:r>
        <w:rPr>
          <w:rStyle w:val="62"/>
        </w:rPr>
        <w:t>10.1项目概况</w:t>
      </w:r>
      <w:r>
        <w:tab/>
      </w:r>
      <w:r>
        <w:fldChar w:fldCharType="begin"/>
      </w:r>
      <w:r>
        <w:instrText xml:space="preserve"> PAGEREF _Toc164667053 \h </w:instrText>
      </w:r>
      <w:r>
        <w:fldChar w:fldCharType="separate"/>
      </w:r>
      <w:r>
        <w:t>328</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"_Toc164667054" </w:instrText>
      </w:r>
      <w:r>
        <w:fldChar w:fldCharType="separate"/>
      </w:r>
      <w:r>
        <w:rPr>
          <w:rStyle w:val="62"/>
        </w:rPr>
        <w:t>10.2环境质量现状</w:t>
      </w:r>
      <w:r>
        <w:tab/>
      </w:r>
      <w:r>
        <w:fldChar w:fldCharType="begin"/>
      </w:r>
      <w:r>
        <w:instrText xml:space="preserve"> PAGEREF _Toc164667054 \h </w:instrText>
      </w:r>
      <w:r>
        <w:fldChar w:fldCharType="separate"/>
      </w:r>
      <w:r>
        <w:t>328</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"_Toc164667055" </w:instrText>
      </w:r>
      <w:r>
        <w:fldChar w:fldCharType="separate"/>
      </w:r>
      <w:r>
        <w:rPr>
          <w:rStyle w:val="62"/>
        </w:rPr>
        <w:t>10.3项目产业政策符合性分析与选址合理性分析</w:t>
      </w:r>
      <w:r>
        <w:tab/>
      </w:r>
      <w:r>
        <w:fldChar w:fldCharType="begin"/>
      </w:r>
      <w:r>
        <w:instrText xml:space="preserve"> PAGEREF _Toc164667055 \h </w:instrText>
      </w:r>
      <w:r>
        <w:fldChar w:fldCharType="separate"/>
      </w:r>
      <w:r>
        <w:t>328</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"_Toc164667056" </w:instrText>
      </w:r>
      <w:r>
        <w:fldChar w:fldCharType="separate"/>
      </w:r>
      <w:r>
        <w:rPr>
          <w:rStyle w:val="62"/>
        </w:rPr>
        <w:t>10.4环境影响评价结论</w:t>
      </w:r>
      <w:r>
        <w:tab/>
      </w:r>
      <w:r>
        <w:fldChar w:fldCharType="begin"/>
      </w:r>
      <w:r>
        <w:instrText xml:space="preserve"> PAGEREF _Toc164667056 \h </w:instrText>
      </w:r>
      <w:r>
        <w:fldChar w:fldCharType="separate"/>
      </w:r>
      <w:r>
        <w:t>329</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"_Toc164667057" </w:instrText>
      </w:r>
      <w:r>
        <w:fldChar w:fldCharType="separate"/>
      </w:r>
      <w:r>
        <w:rPr>
          <w:rStyle w:val="62"/>
        </w:rPr>
        <w:t>10.5环境风险分析</w:t>
      </w:r>
      <w:r>
        <w:tab/>
      </w:r>
      <w:r>
        <w:fldChar w:fldCharType="begin"/>
      </w:r>
      <w:r>
        <w:instrText xml:space="preserve"> PAGEREF _Toc164667057 \h </w:instrText>
      </w:r>
      <w:r>
        <w:fldChar w:fldCharType="separate"/>
      </w:r>
      <w:r>
        <w:t>330</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"_Toc164667058" </w:instrText>
      </w:r>
      <w:r>
        <w:fldChar w:fldCharType="separate"/>
      </w:r>
      <w:r>
        <w:rPr>
          <w:rStyle w:val="62"/>
        </w:rPr>
        <w:t>10.6总量控制</w:t>
      </w:r>
      <w:r>
        <w:tab/>
      </w:r>
      <w:r>
        <w:fldChar w:fldCharType="begin"/>
      </w:r>
      <w:r>
        <w:instrText xml:space="preserve"> PAGEREF _Toc164667058 \h </w:instrText>
      </w:r>
      <w:r>
        <w:fldChar w:fldCharType="separate"/>
      </w:r>
      <w:r>
        <w:t>330</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"_Toc164667059" </w:instrText>
      </w:r>
      <w:r>
        <w:fldChar w:fldCharType="separate"/>
      </w:r>
      <w:r>
        <w:rPr>
          <w:rStyle w:val="62"/>
        </w:rPr>
        <w:t>10.7环境经济损益分析</w:t>
      </w:r>
      <w:r>
        <w:tab/>
      </w:r>
      <w:r>
        <w:fldChar w:fldCharType="begin"/>
      </w:r>
      <w:r>
        <w:instrText xml:space="preserve"> PAGEREF _Toc164667059 \h </w:instrText>
      </w:r>
      <w:r>
        <w:fldChar w:fldCharType="separate"/>
      </w:r>
      <w:r>
        <w:t>330</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"_Toc164667060" </w:instrText>
      </w:r>
      <w:r>
        <w:fldChar w:fldCharType="separate"/>
      </w:r>
      <w:r>
        <w:rPr>
          <w:rStyle w:val="62"/>
        </w:rPr>
        <w:t>10.8公众参与调查结论</w:t>
      </w:r>
      <w:r>
        <w:tab/>
      </w:r>
      <w:r>
        <w:fldChar w:fldCharType="begin"/>
      </w:r>
      <w:r>
        <w:instrText xml:space="preserve"> PAGEREF _Toc164667060 \h </w:instrText>
      </w:r>
      <w:r>
        <w:fldChar w:fldCharType="separate"/>
      </w:r>
      <w:r>
        <w:t>331</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"_Toc164667061" </w:instrText>
      </w:r>
      <w:r>
        <w:fldChar w:fldCharType="separate"/>
      </w:r>
      <w:r>
        <w:rPr>
          <w:rStyle w:val="62"/>
        </w:rPr>
        <w:t>10.9评价总结论</w:t>
      </w:r>
      <w:r>
        <w:tab/>
      </w:r>
      <w:r>
        <w:fldChar w:fldCharType="begin"/>
      </w:r>
      <w:r>
        <w:instrText xml:space="preserve"> PAGEREF _Toc164667061 \h </w:instrText>
      </w:r>
      <w:r>
        <w:fldChar w:fldCharType="separate"/>
      </w:r>
      <w:r>
        <w:t>331</w:t>
      </w:r>
      <w:r>
        <w:fldChar w:fldCharType="end"/>
      </w:r>
      <w:r>
        <w:fldChar w:fldCharType="end"/>
      </w:r>
    </w:p>
    <w:p>
      <w:pPr>
        <w:pStyle w:val="42"/>
        <w:tabs>
          <w:tab w:val="right" w:leader="dot" w:pos="8300"/>
        </w:tabs>
        <w:ind w:left="480" w:firstLine="440"/>
        <w:rPr>
          <w:rFonts w:asciiTheme="minorHAnsi" w:hAnsiTheme="minorHAnsi" w:eastAsiaTheme="minorEastAsia" w:cstheme="minorBidi"/>
          <w:kern w:val="2"/>
          <w:sz w:val="21"/>
          <w:lang w:eastAsia="zh-CN"/>
        </w:rPr>
      </w:pPr>
      <w:r>
        <w:fldChar w:fldCharType="begin"/>
      </w:r>
      <w:r>
        <w:instrText xml:space="preserve"> HYPERLINK \l "_Toc164667062" </w:instrText>
      </w:r>
      <w:r>
        <w:fldChar w:fldCharType="separate"/>
      </w:r>
      <w:r>
        <w:rPr>
          <w:rStyle w:val="62"/>
        </w:rPr>
        <w:t>10.10建议</w:t>
      </w:r>
      <w:r>
        <w:tab/>
      </w:r>
      <w:r>
        <w:fldChar w:fldCharType="begin"/>
      </w:r>
      <w:r>
        <w:instrText xml:space="preserve"> PAGEREF _Toc164667062 \h </w:instrText>
      </w:r>
      <w:r>
        <w:fldChar w:fldCharType="separate"/>
      </w:r>
      <w:r>
        <w:t>331</w:t>
      </w:r>
      <w:r>
        <w:fldChar w:fldCharType="end"/>
      </w:r>
      <w:r>
        <w:fldChar w:fldCharType="end"/>
      </w:r>
    </w:p>
    <w:p>
      <w:pPr>
        <w:tabs>
          <w:tab w:val="left" w:pos="583"/>
        </w:tabs>
        <w:spacing w:line="240" w:lineRule="auto"/>
        <w:ind w:firstLine="480"/>
        <w:jc w:val="center"/>
        <w:rPr>
          <w:rFonts w:cs="Times New Roman"/>
          <w:color w:val="000000" w:themeColor="text1"/>
          <w:kern w:val="0"/>
          <w:szCs w:val="24"/>
          <w14:textFill>
            <w14:solidFill>
              <w14:schemeClr w14:val="tx1"/>
            </w14:solidFill>
          </w14:textFill>
        </w:rPr>
      </w:pPr>
      <w:r>
        <w:rPr>
          <w:rFonts w:cs="Times New Roman"/>
          <w:color w:val="000000" w:themeColor="text1"/>
          <w:kern w:val="0"/>
          <w:szCs w:val="24"/>
          <w14:textFill>
            <w14:solidFill>
              <w14:schemeClr w14:val="tx1"/>
            </w14:solidFill>
          </w14:textFill>
        </w:rPr>
        <w:fldChar w:fldCharType="end"/>
      </w:r>
      <w:bookmarkStart w:id="2" w:name="_Toc41290497"/>
      <w:bookmarkStart w:id="3" w:name="_Hlk51679438"/>
    </w:p>
    <w:bookmarkEnd w:id="2"/>
    <w:p>
      <w:pPr>
        <w:pStyle w:val="21"/>
        <w:spacing w:before="0"/>
        <w:ind w:left="0" w:firstLine="480"/>
        <w:rPr>
          <w:rFonts w:ascii="Times New Roman" w:hAnsi="Times New Roman"/>
          <w:color w:val="000000" w:themeColor="text1"/>
          <w:lang w:eastAsia="zh-CN"/>
          <w14:textFill>
            <w14:solidFill>
              <w14:schemeClr w14:val="tx1"/>
            </w14:solidFill>
          </w14:textFill>
        </w:rPr>
      </w:pPr>
      <w:bookmarkStart w:id="4" w:name="_Toc41290498"/>
    </w:p>
    <w:bookmarkEnd w:id="3"/>
    <w:bookmarkEnd w:id="4"/>
    <w:p>
      <w:pPr>
        <w:ind w:firstLine="480"/>
        <w:rPr>
          <w:rFonts w:cs="Times New Roman"/>
          <w:color w:val="000000" w:themeColor="text1"/>
          <w14:textFill>
            <w14:solidFill>
              <w14:schemeClr w14:val="tx1"/>
            </w14:solidFill>
          </w14:textFill>
        </w:rPr>
        <w:sectPr>
          <w:pgSz w:w="11910" w:h="16840"/>
          <w:pgMar w:top="1440" w:right="1800" w:bottom="1440" w:left="1800" w:header="964" w:footer="964" w:gutter="0"/>
          <w:pgNumType w:fmt="upperRoman" w:start="1"/>
          <w:cols w:space="720" w:num="1"/>
          <w:docGrid w:linePitch="326" w:charSpace="0"/>
        </w:sectPr>
      </w:pPr>
    </w:p>
    <w:p>
      <w:pPr>
        <w:ind w:firstLine="40"/>
        <w:rPr>
          <w:rFonts w:cs="Times New Roman"/>
          <w:color w:val="000000" w:themeColor="text1"/>
          <w:sz w:val="2"/>
          <w:szCs w:val="2"/>
          <w14:textFill>
            <w14:solidFill>
              <w14:schemeClr w14:val="tx1"/>
            </w14:solidFill>
          </w14:textFill>
        </w:rPr>
      </w:pPr>
    </w:p>
    <w:p>
      <w:pPr>
        <w:ind w:firstLine="40"/>
        <w:rPr>
          <w:rFonts w:cs="Times New Roman"/>
          <w:color w:val="000000" w:themeColor="text1"/>
          <w:sz w:val="2"/>
          <w:szCs w:val="2"/>
          <w14:textFill>
            <w14:solidFill>
              <w14:schemeClr w14:val="tx1"/>
            </w14:solidFill>
          </w14:textFill>
        </w:rPr>
      </w:pPr>
    </w:p>
    <w:p>
      <w:pPr>
        <w:pStyle w:val="2"/>
      </w:pPr>
      <w:bookmarkStart w:id="5" w:name="_Toc164666998"/>
      <w:r>
        <w:t>1 概述</w:t>
      </w:r>
      <w:bookmarkEnd w:id="5"/>
    </w:p>
    <w:p>
      <w:pPr>
        <w:pStyle w:val="3"/>
      </w:pPr>
      <w:bookmarkStart w:id="6" w:name="_Toc164666999"/>
      <w:r>
        <w:rPr>
          <w:rFonts w:hint="eastAsia"/>
        </w:rPr>
        <w:t>1.1</w:t>
      </w:r>
      <w:r>
        <w:t>项目背景</w:t>
      </w:r>
      <w:bookmarkEnd w:id="6"/>
    </w:p>
    <w:p>
      <w:pPr>
        <w:pStyle w:val="122"/>
        <w:rPr>
          <w:color w:val="000000" w:themeColor="text1"/>
          <w14:textFill>
            <w14:solidFill>
              <w14:schemeClr w14:val="tx1"/>
            </w14:solidFill>
          </w14:textFill>
        </w:rPr>
      </w:pPr>
      <w:bookmarkStart w:id="7" w:name="_Hlk80477079"/>
      <w:bookmarkStart w:id="8" w:name="_Hlk89782517"/>
      <w:r>
        <w:rPr>
          <w:color w:val="000000" w:themeColor="text1"/>
          <w14:textFill>
            <w14:solidFill>
              <w14:schemeClr w14:val="tx1"/>
            </w14:solidFill>
          </w14:textFill>
        </w:rPr>
        <w:t>普光主体位于四川省宣汉县境内，构造上介于大巴山推覆带前缘褶断带与川中平缓褶皱带之间，属于川东断褶带东北段双石庙—普光北东向构造带上的一个鼻状构造。地层呈南西高北东低的单斜特征。断裂系统以北东向断层为主，主要包括东岳寨-普光断层、普光7断层、老君庙南断层及普光3等4条断层。飞仙关组累计上报探明天然气地质储量2408.48×10</w:t>
      </w:r>
      <w:r>
        <w:rPr>
          <w:color w:val="000000" w:themeColor="text1"/>
          <w:vertAlign w:val="superscript"/>
          <w14:textFill>
            <w14:solidFill>
              <w14:schemeClr w14:val="tx1"/>
            </w14:solidFill>
          </w14:textFill>
        </w:rPr>
        <w:t>8</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，探明叠合含气面积59.32km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，有效厚度216m。</w:t>
      </w:r>
    </w:p>
    <w:p>
      <w:pPr>
        <w:pStyle w:val="122"/>
        <w:rPr>
          <w:color w:val="000000" w:themeColor="text1"/>
          <w14:textFill>
            <w14:solidFill>
              <w14:schemeClr w14:val="tx1"/>
            </w14:solidFill>
          </w14:textFill>
        </w:rPr>
      </w:pPr>
      <w:r>
        <w:rPr>
          <w:color w:val="000000" w:themeColor="text1"/>
          <w14:textFill>
            <w14:solidFill>
              <w14:schemeClr w14:val="tx1"/>
            </w14:solidFill>
          </w14:textFill>
        </w:rPr>
        <w:t>普光主体区块投产以来，目前开发进入稳产末期，即将进入递减期，</w:t>
      </w:r>
      <w:r>
        <w:rPr>
          <w:rFonts w:hint="eastAsia"/>
        </w:rPr>
        <w:t>为滚动评价普光西夹缝带飞一二段滩体储层发育及含气性，落实普光夹缝带飞一二段储量规模、产能及气水关系，</w:t>
      </w:r>
      <w:r>
        <w:rPr>
          <w:rFonts w:hint="eastAsia"/>
          <w:color w:val="000000" w:themeColor="text1"/>
          <w14:textFill>
            <w14:solidFill>
              <w14:schemeClr w14:val="tx1"/>
            </w14:solidFill>
          </w14:textFill>
        </w:rPr>
        <w:t>提高储量动用率、采收率，提高稳产能力，延长稳产期，</w:t>
      </w:r>
      <w:r>
        <w:rPr>
          <w:color w:val="000000" w:themeColor="text1"/>
          <w14:textFill>
            <w14:solidFill>
              <w14:schemeClr w14:val="tx1"/>
            </w14:solidFill>
          </w14:textFill>
        </w:rPr>
        <w:t>需部署新井</w:t>
      </w:r>
      <w:r>
        <w:rPr>
          <w:rFonts w:hint="eastAsia"/>
          <w:color w:val="000000" w:themeColor="text1"/>
          <w14:textFill>
            <w14:solidFill>
              <w14:schemeClr w14:val="tx1"/>
            </w14:solidFill>
          </w14:textFill>
        </w:rPr>
        <w:t>进一步补充递减产量，保证普光气田稳产，为川气东送提供有效的气源保证，符合中国石化天然气战略发展的需要。</w:t>
      </w:r>
    </w:p>
    <w:p>
      <w:pPr>
        <w:pStyle w:val="122"/>
        <w:rPr>
          <w:color w:val="000000" w:themeColor="text1"/>
          <w14:textFill>
            <w14:solidFill>
              <w14:schemeClr w14:val="tx1"/>
            </w14:solidFill>
          </w14:textFill>
        </w:rPr>
      </w:pPr>
      <w:r>
        <w:rPr>
          <w:color w:val="000000" w:themeColor="text1"/>
          <w14:textFill>
            <w14:solidFill>
              <w14:schemeClr w14:val="tx1"/>
            </w14:solidFill>
          </w14:textFill>
        </w:rPr>
        <w:t>根据开发计划，本工程拟对P3011采气站进行扩建，扩建普光3011-6井</w:t>
      </w:r>
      <w:r>
        <w:rPr>
          <w:rFonts w:hint="eastAsia"/>
          <w:color w:val="000000" w:themeColor="text1"/>
          <w14:textFill>
            <w14:solidFill>
              <w14:schemeClr w14:val="tx1"/>
            </w14:solidFill>
          </w14:textFill>
        </w:rPr>
        <w:t>试采</w:t>
      </w:r>
      <w:r>
        <w:rPr>
          <w:color w:val="000000" w:themeColor="text1"/>
          <w14:textFill>
            <w14:solidFill>
              <w14:schemeClr w14:val="tx1"/>
            </w14:solidFill>
          </w14:textFill>
        </w:rPr>
        <w:t>，配产15万方/天。</w:t>
      </w:r>
    </w:p>
    <w:p>
      <w:pPr>
        <w:pStyle w:val="122"/>
        <w:rPr>
          <w:color w:val="000000" w:themeColor="text1"/>
          <w14:textFill>
            <w14:solidFill>
              <w14:schemeClr w14:val="tx1"/>
            </w14:solidFill>
          </w14:textFill>
        </w:rPr>
      </w:pPr>
      <w:r>
        <w:rPr>
          <w:color w:val="000000" w:themeColor="text1"/>
          <w14:textFill>
            <w14:solidFill>
              <w14:schemeClr w14:val="tx1"/>
            </w14:solidFill>
          </w14:textFill>
        </w:rPr>
        <w:t>P3011采气站毗邻普光主体区块P301集气站，P3011采气站内现有2口气井P3011-1井、P3011-5井，原设计配产P3011-1井85万方/天、P3011-5井85万方/天，目前产量P3011-1井34万方/天、P3011-5井50万方/天。站内从井口至P301集气站工艺流程设施整体完好，包括水套加热炉等，仅拆除了临时分酸分离器、酸液缓冲罐和乙二醇加注撬。</w:t>
      </w:r>
    </w:p>
    <w:p>
      <w:pPr>
        <w:pStyle w:val="122"/>
        <w:rPr>
          <w:color w:val="000000" w:themeColor="text1"/>
          <w14:textFill>
            <w14:solidFill>
              <w14:schemeClr w14:val="tx1"/>
            </w14:solidFill>
          </w14:textFill>
        </w:rPr>
      </w:pPr>
      <w:r>
        <w:rPr>
          <w:rFonts w:hint="eastAsia"/>
          <w:color w:val="000000" w:themeColor="text1"/>
          <w14:textFill>
            <w14:solidFill>
              <w14:schemeClr w14:val="tx1"/>
            </w14:solidFill>
          </w14:textFill>
        </w:rPr>
        <w:t>因普光气田属于高含硫气田，其地质结构较为复杂，</w:t>
      </w:r>
      <w:r>
        <w:rPr>
          <w:color w:val="000000" w:themeColor="text1"/>
          <w14:textFill>
            <w14:solidFill>
              <w14:schemeClr w14:val="tx1"/>
            </w14:solidFill>
          </w14:textFill>
        </w:rPr>
        <w:t>本项目试采期2年，</w:t>
      </w:r>
      <w:r>
        <w:rPr>
          <w:bCs/>
          <w:color w:val="000000" w:themeColor="text1"/>
          <w14:textFill>
            <w14:solidFill>
              <w14:schemeClr w14:val="tx1"/>
            </w14:solidFill>
          </w14:textFill>
        </w:rPr>
        <w:t>试采期结束后，若能够满足后期普光主体区块开发需要，则现有设施设备继续服务于普光主体区块开发，并需按照区块开发相关要求另行办理相关环保手续。</w:t>
      </w:r>
    </w:p>
    <w:bookmarkEnd w:id="7"/>
    <w:p>
      <w:pPr>
        <w:ind w:firstLine="480"/>
        <w:rPr>
          <w:rFonts w:cs="Times New Roman"/>
          <w:color w:val="000000" w:themeColor="text1"/>
          <w:szCs w:val="24"/>
          <w14:textFill>
            <w14:solidFill>
              <w14:schemeClr w14:val="tx1"/>
            </w14:solidFill>
          </w14:textFill>
        </w:rPr>
      </w:pPr>
      <w:bookmarkStart w:id="9" w:name="OLE_LINK313"/>
      <w:bookmarkStart w:id="10" w:name="OLE_LINK232"/>
      <w:bookmarkStart w:id="11" w:name="OLE_LINK300"/>
      <w:bookmarkStart w:id="12" w:name="OLE_LINK248"/>
      <w:r>
        <w:rPr>
          <w:rFonts w:cs="Times New Roman"/>
          <w:color w:val="000000" w:themeColor="text1"/>
          <w14:textFill>
            <w14:solidFill>
              <w14:schemeClr w14:val="tx1"/>
            </w14:solidFill>
          </w14:textFill>
        </w:rPr>
        <w:t>P3011采气站主要扩建内容为新建普光3011-6井</w:t>
      </w:r>
      <w:r>
        <w:rPr>
          <w:rFonts w:cs="Times New Roman"/>
          <w:color w:val="000000" w:themeColor="text1"/>
          <w:szCs w:val="24"/>
          <w14:textFill>
            <w14:solidFill>
              <w14:schemeClr w14:val="tx1"/>
            </w14:solidFill>
          </w14:textFill>
        </w:rPr>
        <w:t>，具体建设内容为：</w:t>
      </w:r>
      <w:bookmarkEnd w:id="9"/>
      <w:bookmarkEnd w:id="10"/>
      <w:bookmarkEnd w:id="11"/>
    </w:p>
    <w:p>
      <w:pPr>
        <w:pStyle w:val="122"/>
      </w:pPr>
      <w:r>
        <w:rPr>
          <w:color w:val="000000" w:themeColor="text1"/>
          <w14:textFill>
            <w14:solidFill>
              <w14:schemeClr w14:val="tx1"/>
            </w14:solidFill>
          </w14:textFill>
        </w:rPr>
        <w:t>（1）钻</w:t>
      </w:r>
      <w:r>
        <w:t>前工程</w:t>
      </w:r>
    </w:p>
    <w:p>
      <w:pPr>
        <w:pStyle w:val="122"/>
      </w:pPr>
      <w:bookmarkStart w:id="13" w:name="OLE_LINK37"/>
      <w:bookmarkStart w:id="14" w:name="OLE_LINK90"/>
      <w:bookmarkStart w:id="15" w:name="OLE_LINK91"/>
      <w:r>
        <w:t>钻井井场利用P3011采气站北侧剩余位置进行扩建井场，新建方井1口、新建井架基础1座；新建材料棚基础、泥浆不落地基础、危废处理房基础、储备罐基础、泥浆泵基础、油罐基础、高压房基础等；利旧修复放喷池2座，利旧修复清水池1座；新建1条80m长进场道路、硬化场地及边坡支护工程。</w:t>
      </w:r>
    </w:p>
    <w:p>
      <w:pPr>
        <w:pStyle w:val="122"/>
      </w:pPr>
      <w:r>
        <w:t>（2）钻井工程</w:t>
      </w:r>
    </w:p>
    <w:p>
      <w:pPr>
        <w:pStyle w:val="122"/>
      </w:pPr>
      <w:r>
        <w:t>新钻井1口，总进尺5707.65米。目的层为飞仙关组一二段，井型为定向井，套管完井。采用三开井身结构：导管下深250米；一开采用Φ406.4mm钻头钻进至井深2263m，Φ339.7mm套管下深2261m，封过下沙溪庙组底部50m，水泥浆返至地面。二开采用Φ311.2mm钻头开钻，下入Φ244.5mm套管，封过飞四段，为下一开次揭示低压目的层和安全钻井创造条件，固井水泥返至地面。盐膏层段及其上下50m采用Φ260.4mm外加厚套管。三开采用Φ215.9mm钻头钻至设计完钻井深，为满足采气工程安置井下安全阀的要求，井口段150m下入177.8mm套管，下部采用139.7mm套管，盐膏层段及其上下50m采用Φ146.1mm外加厚套管。生产套管采用尾管回接的方式下入，回接筒位置位于嘉四五段以上150m，回接Φ139.7mm+Φ177.8套管至井口，水泥浆分别返至尾管悬挂器及地面。产层套管采用防硫材质，依据采气工程要求，自飞四段底部之上80m采用镍基合金套管。合金套管以下井段使用内壁镀钨套管。</w:t>
      </w:r>
    </w:p>
    <w:p>
      <w:pPr>
        <w:pStyle w:val="122"/>
      </w:pPr>
      <w:r>
        <w:rPr>
          <w:kern w:val="0"/>
          <w:szCs w:val="20"/>
        </w:rPr>
        <w:t>本工程优先考虑气体钻井方式否则选用氯化钾聚合物钻井液体系，导管采用</w:t>
      </w:r>
      <w:r>
        <w:t>清水钻井液钻进，</w:t>
      </w:r>
      <w:r>
        <w:rPr>
          <w:kern w:val="0"/>
          <w:szCs w:val="20"/>
        </w:rPr>
        <w:t>一开采用气体钻井/氯化钾聚合物钻井液体系</w:t>
      </w:r>
      <w:r>
        <w:t>，二开采用</w:t>
      </w:r>
      <w:r>
        <w:rPr>
          <w:kern w:val="0"/>
          <w:szCs w:val="20"/>
        </w:rPr>
        <w:t>气体钻井/氯化钾</w:t>
      </w:r>
      <w:r>
        <w:t>聚合物防塌钻井液体系，三开采用可循环水基微泡钻井液体系（若遇特殊地层情况，三开段可能会转为油基钻井）。</w:t>
      </w:r>
    </w:p>
    <w:bookmarkEnd w:id="13"/>
    <w:bookmarkEnd w:id="14"/>
    <w:bookmarkEnd w:id="15"/>
    <w:p>
      <w:pPr>
        <w:ind w:firstLine="480"/>
        <w:rPr>
          <w:rFonts w:cs="Times New Roman"/>
          <w:szCs w:val="24"/>
        </w:rPr>
      </w:pPr>
      <w:r>
        <w:rPr>
          <w:rFonts w:cs="Times New Roman"/>
          <w:szCs w:val="24"/>
        </w:rPr>
        <w:t>（3）储层改造工程</w:t>
      </w:r>
    </w:p>
    <w:p>
      <w:pPr>
        <w:ind w:firstLine="480"/>
        <w:rPr>
          <w:rFonts w:cs="Times New Roman"/>
          <w:szCs w:val="24"/>
        </w:rPr>
      </w:pPr>
      <w:r>
        <w:rPr>
          <w:rFonts w:cs="Times New Roman"/>
        </w:rPr>
        <w:t>普光3011-6井采用“钻采一体化”投产模式，自上而下为井下安全阀+永久封隔器+悬挂封隔器+（投球滑套+分段封隔器）+压差滑套+隔断球座+浮鞋，永久封隔器以上4c类镍基合金材油管；永久封隔器及以下采用110SS油管。采用分三级酸化技术模式，对夹缝带三个断块实施分级酸化改造，设计总液量320m</w:t>
      </w:r>
      <w:r>
        <w:rPr>
          <w:rFonts w:cs="Times New Roman"/>
          <w:vertAlign w:val="superscript"/>
        </w:rPr>
        <w:t>3</w:t>
      </w:r>
      <w:r>
        <w:rPr>
          <w:rFonts w:cs="Times New Roman"/>
        </w:rPr>
        <w:t>，其中前置酸60m</w:t>
      </w:r>
      <w:r>
        <w:rPr>
          <w:rFonts w:cs="Times New Roman"/>
          <w:vertAlign w:val="superscript"/>
        </w:rPr>
        <w:t>3</w:t>
      </w:r>
      <w:r>
        <w:rPr>
          <w:rFonts w:cs="Times New Roman"/>
        </w:rPr>
        <w:t>，清洁酸210m</w:t>
      </w:r>
      <w:r>
        <w:rPr>
          <w:rFonts w:cs="Times New Roman"/>
          <w:vertAlign w:val="superscript"/>
        </w:rPr>
        <w:t>3</w:t>
      </w:r>
      <w:r>
        <w:rPr>
          <w:rFonts w:cs="Times New Roman"/>
        </w:rPr>
        <w:t>，活性水50m</w:t>
      </w:r>
      <w:r>
        <w:rPr>
          <w:rFonts w:cs="Times New Roman"/>
          <w:vertAlign w:val="superscript"/>
        </w:rPr>
        <w:t>3</w:t>
      </w:r>
      <w:r>
        <w:rPr>
          <w:rFonts w:cs="Times New Roman"/>
          <w:szCs w:val="24"/>
        </w:rPr>
        <w:t>。</w:t>
      </w:r>
    </w:p>
    <w:p>
      <w:pPr>
        <w:ind w:firstLine="480"/>
        <w:rPr>
          <w:rFonts w:cs="Times New Roman"/>
          <w:szCs w:val="24"/>
        </w:rPr>
      </w:pPr>
      <w:r>
        <w:rPr>
          <w:rFonts w:cs="Times New Roman"/>
          <w:szCs w:val="24"/>
        </w:rPr>
        <w:t>（4）</w:t>
      </w:r>
      <w:r>
        <w:rPr>
          <w:rFonts w:cs="Times New Roman"/>
        </w:rPr>
        <w:t>油气集输工程</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钻井</w:t>
      </w:r>
      <w:r>
        <w:rPr>
          <w:rFonts w:cs="Times New Roman"/>
          <w:color w:val="000000" w:themeColor="text1"/>
          <w:szCs w:val="24"/>
          <w14:textFill>
            <w14:solidFill>
              <w14:schemeClr w14:val="tx1"/>
            </w14:solidFill>
          </w14:textFill>
        </w:rPr>
        <w:t>完毕后，通过测试并获得天然气产量后，</w:t>
      </w:r>
      <w:r>
        <w:rPr>
          <w:rFonts w:cs="Times New Roman"/>
          <w:color w:val="000000" w:themeColor="text1"/>
          <w14:textFill>
            <w14:solidFill>
              <w14:schemeClr w14:val="tx1"/>
            </w14:solidFill>
          </w14:textFill>
        </w:rPr>
        <w:t>本次</w:t>
      </w:r>
      <w:r>
        <w:rPr>
          <w:rFonts w:hint="eastAsia" w:cs="Times New Roman"/>
          <w:color w:val="000000" w:themeColor="text1"/>
          <w14:textFill>
            <w14:solidFill>
              <w14:schemeClr w14:val="tx1"/>
            </w14:solidFill>
          </w14:textFill>
        </w:rPr>
        <w:t>扩建P</w:t>
      </w:r>
      <w:r>
        <w:rPr>
          <w:rFonts w:cs="Times New Roman"/>
          <w:color w:val="000000" w:themeColor="text1"/>
          <w14:textFill>
            <w14:solidFill>
              <w14:schemeClr w14:val="tx1"/>
            </w14:solidFill>
          </w14:textFill>
        </w:rPr>
        <w:t>3011试采站，</w:t>
      </w:r>
      <w:r>
        <w:rPr>
          <w:rFonts w:hint="eastAsia" w:cs="Times New Roman"/>
          <w:color w:val="000000" w:themeColor="text1"/>
          <w14:textFill>
            <w14:solidFill>
              <w14:schemeClr w14:val="tx1"/>
            </w14:solidFill>
          </w14:textFill>
        </w:rPr>
        <w:t>普光3011-6井</w:t>
      </w:r>
      <w:r>
        <w:rPr>
          <w:rFonts w:cs="Times New Roman"/>
          <w:color w:val="000000" w:themeColor="text1"/>
          <w14:textFill>
            <w14:solidFill>
              <w14:schemeClr w14:val="tx1"/>
            </w14:solidFill>
          </w14:textFill>
        </w:rPr>
        <w:t>采出气经过</w:t>
      </w:r>
      <w:r>
        <w:rPr>
          <w:rFonts w:hint="eastAsia" w:cs="Times New Roman"/>
          <w:color w:val="000000" w:themeColor="text1"/>
          <w14:textFill>
            <w14:solidFill>
              <w14:schemeClr w14:val="tx1"/>
            </w14:solidFill>
          </w14:textFill>
        </w:rPr>
        <w:t>P3011</w:t>
      </w:r>
      <w:r>
        <w:rPr>
          <w:rFonts w:cs="Times New Roman"/>
          <w:color w:val="000000" w:themeColor="text1"/>
          <w14:textFill>
            <w14:solidFill>
              <w14:schemeClr w14:val="tx1"/>
            </w14:solidFill>
          </w14:textFill>
        </w:rPr>
        <w:t>采气站内一、二级节流、加热、三次节流之后输送至下游已建P301集气站，依托P301集气站计量分离后外输至天然气净化厂。</w:t>
      </w:r>
      <w:r>
        <w:rPr>
          <w:rFonts w:cs="Times New Roman"/>
        </w:rPr>
        <w:t>本工程将配套建设新建普光3011-6试采站内的自控、电力、结构、消防等设施；本工程还将利旧新建临时分酸分离器和酸液缓冲罐</w:t>
      </w:r>
      <w:r>
        <w:rPr>
          <w:rFonts w:cs="Times New Roman"/>
          <w:color w:val="000000" w:themeColor="text1"/>
          <w14:textFill>
            <w14:solidFill>
              <w14:schemeClr w14:val="tx1"/>
            </w14:solidFill>
          </w14:textFill>
        </w:rPr>
        <w:t>。</w:t>
      </w:r>
    </w:p>
    <w:bookmarkEnd w:id="12"/>
    <w:p>
      <w:pPr>
        <w:ind w:firstLine="480"/>
        <w:rPr>
          <w:rFonts w:cs="Times New Roman"/>
          <w:color w:val="000000" w:themeColor="text1"/>
          <w:kern w:val="0"/>
          <w:highlight w:val="yellow"/>
          <w14:textFill>
            <w14:solidFill>
              <w14:schemeClr w14:val="tx1"/>
            </w14:solidFill>
          </w14:textFill>
        </w:rPr>
      </w:pPr>
      <w:r>
        <w:rPr>
          <w:rFonts w:cs="Times New Roman"/>
          <w:color w:val="000000" w:themeColor="text1"/>
          <w:kern w:val="0"/>
          <w14:textFill>
            <w14:solidFill>
              <w14:schemeClr w14:val="tx1"/>
            </w14:solidFill>
          </w14:textFill>
        </w:rPr>
        <w:t>本项目总投资11641万元，其中环保投资635万元，占项目总投资的5.45%。</w:t>
      </w:r>
    </w:p>
    <w:p>
      <w:pPr>
        <w:ind w:firstLine="480"/>
        <w:rPr>
          <w:rFonts w:cs="Times New Roman"/>
          <w:color w:val="FF0000"/>
          <w:kern w:val="0"/>
        </w:rPr>
      </w:pPr>
      <w:r>
        <w:rPr>
          <w:rFonts w:cs="Times New Roman"/>
          <w:color w:val="000000" w:themeColor="text1"/>
          <w:kern w:val="0"/>
          <w14:textFill>
            <w14:solidFill>
              <w14:schemeClr w14:val="tx1"/>
            </w14:solidFill>
          </w14:textFill>
        </w:rPr>
        <w:t>本项目位于达州市宣汉县普光镇陡梯村，根据水利部办公厅关于印发《全国水</w:t>
      </w:r>
      <w:r>
        <w:rPr>
          <w:rFonts w:hint="eastAsia" w:cs="Times New Roman"/>
          <w:color w:val="000000" w:themeColor="text1"/>
          <w:kern w:val="0"/>
          <w:lang w:eastAsia="zh-CN"/>
          <w14:textFill>
            <w14:solidFill>
              <w14:schemeClr w14:val="tx1"/>
            </w14:solidFill>
          </w14:textFill>
        </w:rPr>
        <w:t>土</w:t>
      </w:r>
      <w:r>
        <w:rPr>
          <w:rFonts w:cs="Times New Roman"/>
          <w:color w:val="000000" w:themeColor="text1"/>
          <w:kern w:val="0"/>
          <w14:textFill>
            <w14:solidFill>
              <w14:schemeClr w14:val="tx1"/>
            </w14:solidFill>
          </w14:textFill>
        </w:rPr>
        <w:t>保持规划国家级水土流失重点预防区和重点治理区复核划分成果》（办水保〔2013〕188号）的通</w:t>
      </w:r>
      <w:r>
        <w:rPr>
          <w:rFonts w:cs="Times New Roman"/>
          <w:kern w:val="0"/>
        </w:rPr>
        <w:t>知，及达州市水利局《关于水土保持“两区”划分的公告》“以下称《公告》”</w:t>
      </w:r>
      <w:r>
        <w:rPr>
          <w:rFonts w:cs="Times New Roman"/>
        </w:rPr>
        <w:t>，本项目涉及水土流失重点预防区。另，本项目占地涉及部分基本农田占用。</w:t>
      </w:r>
      <w:r>
        <w:rPr>
          <w:rFonts w:cs="Times New Roman"/>
          <w:kern w:val="0"/>
        </w:rPr>
        <w:t>根据《中华人民共和国环境保护法</w:t>
      </w:r>
      <w:r>
        <w:rPr>
          <w:rFonts w:hint="eastAsia" w:cs="Times New Roman"/>
          <w:kern w:val="0"/>
          <w:lang w:eastAsia="zh-CN"/>
        </w:rPr>
        <w:t>》《</w:t>
      </w:r>
      <w:r>
        <w:rPr>
          <w:rFonts w:cs="Times New Roman"/>
          <w:kern w:val="0"/>
        </w:rPr>
        <w:t>中华人民共和国环境影响评价法</w:t>
      </w:r>
      <w:r>
        <w:rPr>
          <w:rFonts w:hint="eastAsia" w:cs="Times New Roman"/>
          <w:kern w:val="0"/>
          <w:lang w:eastAsia="zh-CN"/>
        </w:rPr>
        <w:t>》《</w:t>
      </w:r>
      <w:r>
        <w:rPr>
          <w:rFonts w:cs="Times New Roman"/>
          <w:kern w:val="0"/>
        </w:rPr>
        <w:t>建设项目环境影响评价分类管理名录》（2021年版）等的有关规定，建设过程中或者建成投产后可能对环境产生影响的新建、扩建、改建、迁建项目及区域开发建设项目，必须执行环境影响评价制度。根据国家生态环境部制定的《建设项目环境影响评价分类管理名录》（2021年版）中的相关要求，本项目属于“五、石油和天然气开采业07-8、陆地天然气开采0721-新区块开发；年生产能力1亿立方米及以上的煤层气开采；涉及环境敏感区的（含内部集输管线建设）（本项目涉及水土流失重点治理区及基本农田）”的建设项目，环评类别为编制环境影响报告书。</w:t>
      </w:r>
    </w:p>
    <w:p>
      <w:pPr>
        <w:ind w:firstLine="480"/>
        <w:rPr>
          <w:rFonts w:cs="Times New Roman"/>
          <w:color w:val="000000" w:themeColor="text1"/>
          <w:kern w:val="0"/>
          <w:szCs w:val="20"/>
          <w14:textFill>
            <w14:solidFill>
              <w14:schemeClr w14:val="tx1"/>
            </w14:solidFill>
          </w14:textFill>
        </w:rPr>
      </w:pPr>
      <w:r>
        <w:rPr>
          <w:rFonts w:cs="Times New Roman"/>
          <w:color w:val="000000" w:themeColor="text1"/>
          <w:kern w:val="0"/>
          <w:szCs w:val="20"/>
          <w14:textFill>
            <w14:solidFill>
              <w14:schemeClr w14:val="tx1"/>
            </w14:solidFill>
          </w14:textFill>
        </w:rPr>
        <w:t>中国石油化工股份有限公司中原油田普光分公司委托重庆众致环保有限公司承担本项目环境影响评价工作（见附件）。重庆众致环保有限公司接受委托后，成立项目组，并随即对该项目建设</w:t>
      </w:r>
      <w:r>
        <w:rPr>
          <w:rFonts w:hint="eastAsia" w:cs="Times New Roman"/>
          <w:color w:val="000000" w:themeColor="text1"/>
          <w:kern w:val="0"/>
          <w:szCs w:val="20"/>
          <w14:textFill>
            <w14:solidFill>
              <w14:schemeClr w14:val="tx1"/>
            </w14:solidFill>
          </w14:textFill>
        </w:rPr>
        <w:t>区域</w:t>
      </w:r>
      <w:r>
        <w:rPr>
          <w:rFonts w:cs="Times New Roman"/>
          <w:color w:val="000000" w:themeColor="text1"/>
          <w:kern w:val="0"/>
          <w:szCs w:val="20"/>
          <w14:textFill>
            <w14:solidFill>
              <w14:schemeClr w14:val="tx1"/>
            </w14:solidFill>
          </w14:textFill>
        </w:rPr>
        <w:t>及其周边的自然环境进行踏勘调查，并收集了与项目有关的建设及技术资料，根据建设项目环境影响评价导则、规范及要求，编制《普光3011-6井钻井及试采工程环境影响报告书》。</w:t>
      </w:r>
    </w:p>
    <w:bookmarkEnd w:id="8"/>
    <w:p>
      <w:pPr>
        <w:pStyle w:val="3"/>
      </w:pPr>
      <w:bookmarkStart w:id="16" w:name="_Toc164667000"/>
      <w:r>
        <w:rPr>
          <w:rFonts w:hint="eastAsia"/>
        </w:rPr>
        <w:t>1.2</w:t>
      </w:r>
      <w:r>
        <w:t>建设项目特点</w:t>
      </w:r>
      <w:bookmarkEnd w:id="16"/>
    </w:p>
    <w:p>
      <w:pPr>
        <w:ind w:firstLine="480"/>
        <w:rPr>
          <w:rFonts w:cs="Times New Roman"/>
          <w:color w:val="000000" w:themeColor="text1"/>
          <w:kern w:val="0"/>
          <w:szCs w:val="20"/>
          <w14:textFill>
            <w14:solidFill>
              <w14:schemeClr w14:val="tx1"/>
            </w14:solidFill>
          </w14:textFill>
        </w:rPr>
      </w:pPr>
      <w:r>
        <w:rPr>
          <w:rFonts w:cs="Times New Roman"/>
          <w:color w:val="000000" w:themeColor="text1"/>
          <w:kern w:val="0"/>
          <w:szCs w:val="20"/>
          <w14:textFill>
            <w14:solidFill>
              <w14:schemeClr w14:val="tx1"/>
            </w14:solidFill>
          </w14:textFill>
        </w:rPr>
        <w:t>本项目为天然气勘探井及天然气试采工程，具有如下特点：</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（1）钻前工程主要为施工扬尘、施工噪声、建筑垃圾等的环境影响。</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（2）钻井期间主要为钻井废水、噪声、固废的环境影响分析及井场占地生态影响。</w:t>
      </w:r>
    </w:p>
    <w:p>
      <w:pPr>
        <w:ind w:firstLine="480"/>
        <w:rPr>
          <w:rFonts w:cs="Times New Roman"/>
          <w:color w:val="000000" w:themeColor="text1"/>
          <w:kern w:val="0"/>
          <w:szCs w:val="20"/>
          <w14:textFill>
            <w14:solidFill>
              <w14:schemeClr w14:val="tx1"/>
            </w14:solidFill>
          </w14:textFill>
        </w:rPr>
      </w:pPr>
      <w:r>
        <w:rPr>
          <w:rFonts w:cs="Times New Roman"/>
          <w:bCs/>
          <w:color w:val="000000" w:themeColor="text1"/>
          <w:szCs w:val="24"/>
          <w14:textFill>
            <w14:solidFill>
              <w14:schemeClr w14:val="tx1"/>
            </w14:solidFill>
          </w14:textFill>
        </w:rPr>
        <w:t>（3）天然气试采工程主要为试采站占地生态影响</w:t>
      </w:r>
      <w:r>
        <w:rPr>
          <w:rFonts w:cs="Times New Roman"/>
          <w:color w:val="000000" w:themeColor="text1"/>
          <w:kern w:val="0"/>
          <w:szCs w:val="20"/>
          <w14:textFill>
            <w14:solidFill>
              <w14:schemeClr w14:val="tx1"/>
            </w14:solidFill>
          </w14:textFill>
        </w:rPr>
        <w:t>。</w:t>
      </w:r>
    </w:p>
    <w:p>
      <w:pPr>
        <w:ind w:firstLine="480"/>
        <w:rPr>
          <w:rFonts w:cs="Times New Roman"/>
          <w:color w:val="000000" w:themeColor="text1"/>
          <w:kern w:val="0"/>
          <w:szCs w:val="20"/>
          <w14:textFill>
            <w14:solidFill>
              <w14:schemeClr w14:val="tx1"/>
            </w14:solidFill>
          </w14:textFill>
        </w:rPr>
      </w:pPr>
      <w:r>
        <w:rPr>
          <w:rFonts w:cs="Times New Roman"/>
          <w:color w:val="000000" w:themeColor="text1"/>
          <w:kern w:val="0"/>
          <w:szCs w:val="20"/>
          <w14:textFill>
            <w14:solidFill>
              <w14:schemeClr w14:val="tx1"/>
            </w14:solidFill>
          </w14:textFill>
        </w:rPr>
        <w:t>（4）本项目开采原料及输送介质为含硫天然气，并涉及气田水，需考虑环境风险影响。</w:t>
      </w:r>
    </w:p>
    <w:p>
      <w:pPr>
        <w:pStyle w:val="3"/>
        <w:rPr>
          <w:szCs w:val="24"/>
        </w:rPr>
      </w:pPr>
      <w:bookmarkStart w:id="17" w:name="_Toc164667001"/>
      <w:r>
        <w:rPr>
          <w:rFonts w:hint="eastAsia"/>
        </w:rPr>
        <w:t>1.3</w:t>
      </w:r>
      <w:r>
        <w:t>环境影响评价的工作过程</w:t>
      </w:r>
      <w:bookmarkEnd w:id="17"/>
    </w:p>
    <w:p>
      <w:pPr>
        <w:ind w:firstLine="480"/>
        <w:rPr>
          <w:rFonts w:cs="Times New Roman"/>
          <w:color w:val="000000" w:themeColor="text1"/>
          <w:kern w:val="0"/>
          <w:szCs w:val="20"/>
          <w14:textFill>
            <w14:solidFill>
              <w14:schemeClr w14:val="tx1"/>
            </w14:solidFill>
          </w14:textFill>
        </w:rPr>
      </w:pPr>
      <w:r>
        <w:rPr>
          <w:rFonts w:cs="Times New Roman"/>
          <w:color w:val="000000" w:themeColor="text1"/>
          <w:kern w:val="0"/>
          <w:szCs w:val="20"/>
          <w14:textFill>
            <w14:solidFill>
              <w14:schemeClr w14:val="tx1"/>
            </w14:solidFill>
          </w14:textFill>
        </w:rPr>
        <w:t>主要评价工作过程如下：</w:t>
      </w:r>
    </w:p>
    <w:p>
      <w:pPr>
        <w:ind w:firstLine="480"/>
        <w:rPr>
          <w:rFonts w:cs="Times New Roman"/>
          <w:color w:val="000000" w:themeColor="text1"/>
          <w:kern w:val="0"/>
          <w:szCs w:val="20"/>
          <w14:textFill>
            <w14:solidFill>
              <w14:schemeClr w14:val="tx1"/>
            </w14:solidFill>
          </w14:textFill>
        </w:rPr>
      </w:pPr>
      <w:r>
        <w:rPr>
          <w:rFonts w:cs="Times New Roman"/>
          <w:color w:val="000000" w:themeColor="text1"/>
          <w:kern w:val="0"/>
          <w:szCs w:val="20"/>
          <w14:textFill>
            <w14:solidFill>
              <w14:schemeClr w14:val="tx1"/>
            </w14:solidFill>
          </w14:textFill>
        </w:rPr>
        <w:t>（1）研究国家和地方有关环境保护的法律法规、政策、标准及相关规划等，依据相关规定确定本项目环境影响评价文件类型；</w:t>
      </w:r>
    </w:p>
    <w:p>
      <w:pPr>
        <w:ind w:firstLine="480"/>
        <w:rPr>
          <w:rFonts w:cs="Times New Roman"/>
          <w:color w:val="000000" w:themeColor="text1"/>
          <w:kern w:val="0"/>
          <w:szCs w:val="20"/>
          <w14:textFill>
            <w14:solidFill>
              <w14:schemeClr w14:val="tx1"/>
            </w14:solidFill>
          </w14:textFill>
        </w:rPr>
      </w:pPr>
      <w:r>
        <w:rPr>
          <w:rFonts w:cs="Times New Roman"/>
          <w:color w:val="000000" w:themeColor="text1"/>
          <w:kern w:val="0"/>
          <w:szCs w:val="20"/>
          <w14:textFill>
            <w14:solidFill>
              <w14:schemeClr w14:val="tx1"/>
            </w14:solidFill>
          </w14:textFill>
        </w:rPr>
        <w:t>（2）收集和研究项目相关技术文件和其他相关文件，进行初步工程分析，明确本项目的工程组成，根据工程特点确定产排污环节和主要污染物；</w:t>
      </w:r>
    </w:p>
    <w:p>
      <w:pPr>
        <w:ind w:firstLine="480"/>
        <w:rPr>
          <w:rFonts w:cs="Times New Roman"/>
          <w:color w:val="000000" w:themeColor="text1"/>
          <w:kern w:val="0"/>
          <w:szCs w:val="20"/>
          <w14:textFill>
            <w14:solidFill>
              <w14:schemeClr w14:val="tx1"/>
            </w14:solidFill>
          </w14:textFill>
        </w:rPr>
      </w:pPr>
      <w:r>
        <w:rPr>
          <w:rFonts w:cs="Times New Roman"/>
          <w:color w:val="000000" w:themeColor="text1"/>
          <w:kern w:val="0"/>
          <w:szCs w:val="20"/>
          <w14:textFill>
            <w14:solidFill>
              <w14:schemeClr w14:val="tx1"/>
            </w14:solidFill>
          </w14:textFill>
        </w:rPr>
        <w:t>（3）结合初步工程分析结果和环境现状资料，识别建设项目的环境影响因素，筛选主要的环境影响评价因子，明确评价重点，确定评价工作等级、评价范围及评价标准；</w:t>
      </w:r>
    </w:p>
    <w:p>
      <w:pPr>
        <w:ind w:firstLine="480"/>
        <w:rPr>
          <w:rFonts w:cs="Times New Roman"/>
          <w:color w:val="000000" w:themeColor="text1"/>
          <w:kern w:val="0"/>
          <w:szCs w:val="20"/>
          <w14:textFill>
            <w14:solidFill>
              <w14:schemeClr w14:val="tx1"/>
            </w14:solidFill>
          </w14:textFill>
        </w:rPr>
      </w:pPr>
      <w:r>
        <w:rPr>
          <w:rFonts w:cs="Times New Roman"/>
          <w:color w:val="000000" w:themeColor="text1"/>
          <w:kern w:val="0"/>
          <w:szCs w:val="20"/>
          <w14:textFill>
            <w14:solidFill>
              <w14:schemeClr w14:val="tx1"/>
            </w14:solidFill>
          </w14:textFill>
        </w:rPr>
        <w:t>（4）制定工作方案，在进行充分的环境现状调查、监测的基础上开展环境质量现状评价，并进行进一步的工程分析，根据工程分析确定的污染源强以及结合项目区环境特征，采用模型计算和类比调查的方式预测、分析或评价项目建设对环境的影响范围以及引起的环境质量变化情况，从环境保护角度分析论证建设工程的可行性；</w:t>
      </w:r>
    </w:p>
    <w:p>
      <w:pPr>
        <w:ind w:firstLine="480"/>
        <w:rPr>
          <w:rFonts w:cs="Times New Roman"/>
          <w:color w:val="000000" w:themeColor="text1"/>
          <w:kern w:val="0"/>
          <w:szCs w:val="20"/>
          <w14:textFill>
            <w14:solidFill>
              <w14:schemeClr w14:val="tx1"/>
            </w14:solidFill>
          </w14:textFill>
        </w:rPr>
      </w:pPr>
      <w:r>
        <w:rPr>
          <w:rFonts w:cs="Times New Roman"/>
          <w:color w:val="000000" w:themeColor="text1"/>
          <w:kern w:val="0"/>
          <w:szCs w:val="20"/>
          <w14:textFill>
            <w14:solidFill>
              <w14:schemeClr w14:val="tx1"/>
            </w14:solidFill>
          </w14:textFill>
        </w:rPr>
        <w:t>（5）在对建设项目实施后可能造成的环境影响进行分析、预测的基础上，提出预防或者减轻不良环境影响的对策和措施，从环境保护的角度提出项目建设的可行性结论，完成环境影响报告书编制。</w:t>
      </w:r>
    </w:p>
    <w:p>
      <w:pPr>
        <w:ind w:firstLine="480"/>
        <w:rPr>
          <w:rFonts w:cs="Times New Roman"/>
          <w:color w:val="000000" w:themeColor="text1"/>
          <w:kern w:val="0"/>
          <w:szCs w:val="20"/>
          <w14:textFill>
            <w14:solidFill>
              <w14:schemeClr w14:val="tx1"/>
            </w14:solidFill>
          </w14:textFill>
        </w:rPr>
      </w:pPr>
      <w:r>
        <w:rPr>
          <w:rFonts w:cs="Times New Roman"/>
          <w:color w:val="000000" w:themeColor="text1"/>
          <w:kern w:val="0"/>
          <w:szCs w:val="20"/>
          <w14:textFill>
            <w14:solidFill>
              <w14:schemeClr w14:val="tx1"/>
            </w14:solidFill>
          </w14:textFill>
        </w:rPr>
        <w:t>本项目环境影响评价过程见下图：</w:t>
      </w:r>
    </w:p>
    <w:p>
      <w:pPr>
        <w:pStyle w:val="92"/>
        <w:rPr>
          <w:color w:val="000000" w:themeColor="text1"/>
          <w14:textFill>
            <w14:solidFill>
              <w14:schemeClr w14:val="tx1"/>
            </w14:solidFill>
          </w14:textFill>
        </w:rPr>
      </w:pPr>
      <w:r>
        <w:rPr>
          <w:color w:val="000000" w:themeColor="text1"/>
          <w:lang w:eastAsia="zh-CN"/>
          <w14:textFill>
            <w14:solidFill>
              <w14:schemeClr w14:val="tx1"/>
            </w14:solidFill>
          </w14:textFill>
        </w:rPr>
        <w:drawing>
          <wp:inline distT="0" distB="0" distL="0" distR="0">
            <wp:extent cx="5379720" cy="5130165"/>
            <wp:effectExtent l="0" t="0" r="0" b="0"/>
            <wp:docPr id="5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379720" cy="5130165"/>
                    </a:xfrm>
                    <a:prstGeom prst="rect">
                      <a:avLst/>
                    </a:prstGeom>
                    <a:noFill/>
                    <a:ln>
                      <a:noFill/>
                    </a:ln>
                  </pic:spPr>
                </pic:pic>
              </a:graphicData>
            </a:graphic>
          </wp:inline>
        </w:drawing>
      </w:r>
    </w:p>
    <w:p>
      <w:pPr>
        <w:pStyle w:val="161"/>
        <w:rPr>
          <w:color w:val="000000" w:themeColor="text1"/>
          <w14:textFill>
            <w14:solidFill>
              <w14:schemeClr w14:val="tx1"/>
            </w14:solidFill>
          </w14:textFill>
        </w:rPr>
      </w:pPr>
      <w:r>
        <w:rPr>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图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环境影响评价程序</w:t>
      </w:r>
    </w:p>
    <w:p>
      <w:pPr>
        <w:pStyle w:val="3"/>
      </w:pPr>
      <w:bookmarkStart w:id="18" w:name="_Toc164667002"/>
      <w:r>
        <w:rPr>
          <w:rFonts w:hint="eastAsia"/>
        </w:rPr>
        <w:t>1.4</w:t>
      </w:r>
      <w:r>
        <w:t>分析判定相关情况</w:t>
      </w:r>
      <w:bookmarkEnd w:id="18"/>
    </w:p>
    <w:p>
      <w:pPr>
        <w:ind w:firstLine="480"/>
        <w:rPr>
          <w:rFonts w:cs="Times New Roman"/>
          <w:color w:val="000000" w:themeColor="text1"/>
          <w:kern w:val="0"/>
          <w:szCs w:val="20"/>
          <w14:textFill>
            <w14:solidFill>
              <w14:schemeClr w14:val="tx1"/>
            </w14:solidFill>
          </w14:textFill>
        </w:rPr>
      </w:pPr>
      <w:r>
        <w:rPr>
          <w:rFonts w:cs="Times New Roman"/>
          <w:color w:val="000000" w:themeColor="text1"/>
          <w:kern w:val="0"/>
          <w:szCs w:val="20"/>
          <w14:textFill>
            <w14:solidFill>
              <w14:schemeClr w14:val="tx1"/>
            </w14:solidFill>
          </w14:textFill>
        </w:rPr>
        <w:t>本项目符合《产业结构调整指导目录（2024年本）》及相关环保政策要求。</w:t>
      </w:r>
    </w:p>
    <w:p>
      <w:pPr>
        <w:ind w:firstLine="480"/>
        <w:rPr>
          <w:rFonts w:cs="Times New Roman"/>
          <w:color w:val="000000" w:themeColor="text1"/>
          <w:kern w:val="0"/>
          <w:szCs w:val="20"/>
          <w14:textFill>
            <w14:solidFill>
              <w14:schemeClr w14:val="tx1"/>
            </w14:solidFill>
          </w14:textFill>
        </w:rPr>
      </w:pPr>
      <w:r>
        <w:rPr>
          <w:rFonts w:cs="Times New Roman"/>
          <w:color w:val="000000" w:themeColor="text1"/>
          <w:kern w:val="0"/>
          <w:szCs w:val="20"/>
          <w14:textFill>
            <w14:solidFill>
              <w14:schemeClr w14:val="tx1"/>
            </w14:solidFill>
          </w14:textFill>
        </w:rPr>
        <w:t>本项目不位于四川省达州市划定的生态保护红线区域内，与达州市“三线一单”不冲突；本项目未位于自然保护区、森林公园、风景名胜区等生态敏感区范围内，拟建井场不涉及集中式饮用水源保护区。</w:t>
      </w:r>
    </w:p>
    <w:p>
      <w:pPr>
        <w:pStyle w:val="3"/>
      </w:pPr>
      <w:bookmarkStart w:id="19" w:name="_Toc164667003"/>
      <w:r>
        <w:rPr>
          <w:rFonts w:hint="eastAsia"/>
        </w:rPr>
        <w:t>1.5</w:t>
      </w:r>
      <w:r>
        <w:t>关注的主要环境问题</w:t>
      </w:r>
      <w:bookmarkEnd w:id="19"/>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（1）废气：施工期主要是开挖扬尘、</w:t>
      </w:r>
      <w:r>
        <w:rPr>
          <w:rFonts w:cs="Times New Roman"/>
          <w:color w:val="000000" w:themeColor="text1"/>
          <w14:textFill>
            <w14:solidFill>
              <w14:schemeClr w14:val="tx1"/>
            </w14:solidFill>
          </w14:textFill>
        </w:rPr>
        <w:t>运输车辆及</w:t>
      </w:r>
      <w:r>
        <w:rPr>
          <w:rFonts w:cs="Times New Roman"/>
          <w:bCs/>
          <w:color w:val="000000" w:themeColor="text1"/>
          <w:szCs w:val="24"/>
          <w14:textFill>
            <w14:solidFill>
              <w14:schemeClr w14:val="tx1"/>
            </w14:solidFill>
          </w14:textFill>
        </w:rPr>
        <w:t>部分机械设备运行产生的废气（主要污染物NO</w:t>
      </w:r>
      <w:r>
        <w:rPr>
          <w:rFonts w:cs="Times New Roman"/>
          <w:bCs/>
          <w:color w:val="000000" w:themeColor="text1"/>
          <w:szCs w:val="24"/>
          <w:vertAlign w:val="subscript"/>
          <w14:textFill>
            <w14:solidFill>
              <w14:schemeClr w14:val="tx1"/>
            </w14:solidFill>
          </w14:textFill>
        </w:rPr>
        <w:t>x</w:t>
      </w:r>
      <w:r>
        <w:rPr>
          <w:rFonts w:cs="Times New Roman"/>
          <w:bCs/>
          <w:color w:val="000000" w:themeColor="text1"/>
          <w:szCs w:val="24"/>
          <w14:textFill>
            <w14:solidFill>
              <w14:schemeClr w14:val="tx1"/>
            </w14:solidFill>
          </w14:textFill>
        </w:rPr>
        <w:t>、CO）、空气钻粉尘等；试采期主要为非正常工况下的检修废气和事故放空废气。环评中注重施工期废气的环境影响分析和试采期废气的达标排放及影响分析。</w:t>
      </w:r>
    </w:p>
    <w:p>
      <w:pPr>
        <w:tabs>
          <w:tab w:val="left" w:pos="0"/>
        </w:tabs>
        <w:overflowPunct w:val="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废水：施工期主要是钻井废水、洗井废水、压裂返排液、场地雨水以及施工人员生活污水；试采期主要为分酸分离器产生的气田水。环评中注重施工期废水处理的可行性和可靠性论证，试采期气田水依托处置可行性分析。</w:t>
      </w:r>
    </w:p>
    <w:p>
      <w:pPr>
        <w:tabs>
          <w:tab w:val="left" w:pos="0"/>
        </w:tabs>
        <w:overflowPunct w:val="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噪声：施工期为各类机械设备产生的噪声；试采期主要为试采站节流阀等因节流或流速改变造成部件的机械振动而产生的一定噪声以及放空火炬噪声。环评中注重施工期和试采期噪声控制措施的可行性论证。</w:t>
      </w:r>
    </w:p>
    <w:p>
      <w:pPr>
        <w:tabs>
          <w:tab w:val="left" w:pos="0"/>
        </w:tabs>
        <w:overflowPunct w:val="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（4）固体废物：施工期主要是废弃土石方、生活垃圾、空气钻岩屑、水基钻井固废（油基钻井固废）、废油等；场站值班人员生活垃圾。环评中注重施工期固体废物处理的可行性进行论证。</w:t>
      </w:r>
    </w:p>
    <w:p>
      <w:pPr>
        <w:tabs>
          <w:tab w:val="left" w:pos="0"/>
        </w:tabs>
        <w:overflowPunct w:val="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5）生态环境：施工期生态环境影响主要来自站场施工过程中开挖管沟、施工机械和人员的践踏等活动，以及工程临时占地、施工产生的固体废物等对土壤、生态环境的影响；试采期主要为生态恢复。环评中注意对生态环境保护措施进行论证。</w:t>
      </w:r>
    </w:p>
    <w:p>
      <w:pPr>
        <w:tabs>
          <w:tab w:val="left" w:pos="0"/>
        </w:tabs>
        <w:overflowPunct w:val="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（6）环境风险：主要为输气管道、设备等受影响而产生泄漏风险以及钻井工程井喷事故的环境风险。</w:t>
      </w:r>
    </w:p>
    <w:p>
      <w:pPr>
        <w:pStyle w:val="3"/>
      </w:pPr>
      <w:bookmarkStart w:id="20" w:name="_Toc164667004"/>
      <w:r>
        <w:rPr>
          <w:rFonts w:hint="eastAsia"/>
        </w:rPr>
        <w:t>1.6</w:t>
      </w:r>
      <w:r>
        <w:t>环境影响评价的主要结论</w:t>
      </w:r>
      <w:bookmarkEnd w:id="20"/>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符合国家产业政策，与当地规划相容，符合石油天然气发展规划；所在区域环境空气质量现状较好；建设期间对生态环境、地表水、地下水、大气、土壤、声环境影响小，不改变区域的环境功能；该项目达到清洁生产国内先进水平，采用的环保措施可行，社会、经济效益十分显著；建设项目环境可行，选址合理；该工程采取的环境风险措施可靠，在落实风险防范措施及应急预案后，环境风险达到可接受水平；所采取的废水、固体废物和噪声防治措施以及水土保持措施可行有效，在建设过程认真落实报告提出的各项污染防治措施后，对周围环境不会造成污染影响。从环境角度而言，无明显制约项目建设的环境因素，本项目建设是可行的。</w:t>
      </w:r>
    </w:p>
    <w:p>
      <w:pPr>
        <w:tabs>
          <w:tab w:val="left" w:pos="0"/>
        </w:tabs>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综上，项目建设无明显制约的环境因素，建设过程中认真落实报告提出的各项污染防治、生态保护措施和应急预案后，从环境保护角度而言，本项目建设是可行的。</w:t>
      </w:r>
    </w:p>
    <w:p>
      <w:pPr>
        <w:ind w:firstLine="480"/>
        <w:rPr>
          <w:rFonts w:cs="Times New Roman"/>
          <w:color w:val="000000" w:themeColor="text1"/>
          <w14:textFill>
            <w14:solidFill>
              <w14:schemeClr w14:val="tx1"/>
            </w14:solidFill>
          </w14:textFill>
        </w:rPr>
        <w:sectPr>
          <w:headerReference r:id="rId14" w:type="default"/>
          <w:footerReference r:id="rId15" w:type="default"/>
          <w:footerReference r:id="rId16" w:type="even"/>
          <w:pgSz w:w="11910" w:h="16840"/>
          <w:pgMar w:top="1440" w:right="1800" w:bottom="1440" w:left="1800" w:header="964" w:footer="964" w:gutter="0"/>
          <w:pgNumType w:start="1"/>
          <w:cols w:space="720" w:num="1"/>
          <w:docGrid w:linePitch="326" w:charSpace="0"/>
        </w:sectPr>
      </w:pPr>
    </w:p>
    <w:p>
      <w:pPr>
        <w:pStyle w:val="2"/>
      </w:pPr>
      <w:bookmarkStart w:id="21" w:name="_Toc164667005"/>
      <w:r>
        <w:t>2 总则</w:t>
      </w:r>
      <w:bookmarkEnd w:id="21"/>
    </w:p>
    <w:p>
      <w:pPr>
        <w:pStyle w:val="3"/>
      </w:pPr>
      <w:bookmarkStart w:id="22" w:name="_Toc164667006"/>
      <w:r>
        <w:rPr>
          <w:rFonts w:hint="eastAsia"/>
        </w:rPr>
        <w:t>2.1</w:t>
      </w:r>
      <w:r>
        <w:t>评价目的</w:t>
      </w:r>
      <w:bookmarkEnd w:id="22"/>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通过对区域现状环境质量、自然生态等的调查，在现状调查和工程分析的基础上，对项目及区域的主要环境影响因子进行分析、预测、评价，确定项目对区域生态、水、声等环境影响的程度及范围，分析可能存在的环境风险。同时，从环保角度提出工程拟采取的污染治理措施并论证环保措施的可行性；分析污染物总量控制要求；并就项目建设环境可行性和选址的合理性做出结论，为环境保护部门提供可靠的决策依据，为项目顺利建设和运行提供有效的污染防治措施，为建设单位环境管理提供科学依据，达到保护好区域环境的目的。</w:t>
      </w:r>
    </w:p>
    <w:p>
      <w:pPr>
        <w:pStyle w:val="3"/>
      </w:pPr>
      <w:bookmarkStart w:id="23" w:name="_Toc164667007"/>
      <w:r>
        <w:rPr>
          <w:rFonts w:hint="eastAsia"/>
        </w:rPr>
        <w:t>2.2</w:t>
      </w:r>
      <w:r>
        <w:t>评价原则</w:t>
      </w:r>
      <w:bookmarkEnd w:id="23"/>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突出环境影响评价的源头预防作用，坚持保护和改善环境质量。</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（1）依法评价</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贯彻执行我国环境保护相关法律法规、标准、政策和规划等，优化项目建设，服务环境管理。</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（2）科学评价</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规范环境影响评价方法，科学分析项目建设对环境质量的影响。</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（3）突出重点</w:t>
      </w:r>
    </w:p>
    <w:p>
      <w:pPr>
        <w:tabs>
          <w:tab w:val="left" w:pos="0"/>
        </w:tabs>
        <w:ind w:firstLine="480"/>
        <w:rPr>
          <w:rFonts w:cs="Times New Roman"/>
          <w:b/>
          <w:color w:val="000000" w:themeColor="text1"/>
          <w14:textFill>
            <w14:solidFill>
              <w14:schemeClr w14:val="tx1"/>
            </w14:solidFill>
          </w14:textFill>
        </w:rPr>
      </w:pPr>
      <w:r>
        <w:rPr>
          <w:rFonts w:cs="Times New Roman"/>
          <w:bCs/>
          <w:color w:val="000000" w:themeColor="text1"/>
          <w:szCs w:val="24"/>
          <w14:textFill>
            <w14:solidFill>
              <w14:schemeClr w14:val="tx1"/>
            </w14:solidFill>
          </w14:textFill>
        </w:rPr>
        <w:t>根据建设项目的工程内容及其特点，明确与环境要素间的作用效应关系，充分利用符合时效的数据资料及成果，对建设项目主要环境影响予以重点分析和评价。</w:t>
      </w:r>
    </w:p>
    <w:p>
      <w:pPr>
        <w:pStyle w:val="3"/>
      </w:pPr>
      <w:bookmarkStart w:id="24" w:name="_Toc164667008"/>
      <w:r>
        <w:rPr>
          <w:rFonts w:hint="eastAsia"/>
        </w:rPr>
        <w:t>2.3</w:t>
      </w:r>
      <w:r>
        <w:t>编制依据</w:t>
      </w:r>
      <w:bookmarkEnd w:id="24"/>
    </w:p>
    <w:p>
      <w:pPr>
        <w:pStyle w:val="4"/>
        <w:ind w:firstLine="241"/>
        <w:rPr>
          <w:b w:val="0"/>
        </w:rPr>
      </w:pPr>
      <w:bookmarkStart w:id="25" w:name="_Toc120173054"/>
      <w:r>
        <w:rPr>
          <w:rFonts w:hint="eastAsia"/>
        </w:rPr>
        <w:t>2.3.1</w:t>
      </w:r>
      <w:r>
        <w:t>法律、法规</w:t>
      </w:r>
      <w:bookmarkEnd w:id="25"/>
    </w:p>
    <w:p>
      <w:pPr>
        <w:pStyle w:val="21"/>
        <w:spacing w:before="0"/>
        <w:ind w:left="0" w:firstLine="480"/>
        <w:rPr>
          <w:rFonts w:ascii="Times New Roman" w:hAnsi="Times New Roman"/>
          <w:color w:val="000000" w:themeColor="text1"/>
          <w:spacing w:val="-6"/>
          <w:lang w:eastAsia="zh-CN"/>
          <w14:textFill>
            <w14:solidFill>
              <w14:schemeClr w14:val="tx1"/>
            </w14:solidFill>
          </w14:textFill>
        </w:rPr>
      </w:pPr>
      <w:bookmarkStart w:id="26" w:name="_Toc120173055"/>
      <w:r>
        <w:rPr>
          <w:rFonts w:ascii="Times New Roman" w:hAnsi="Times New Roman"/>
          <w:color w:val="000000" w:themeColor="text1"/>
          <w:lang w:eastAsia="zh-CN"/>
          <w14:textFill>
            <w14:solidFill>
              <w14:schemeClr w14:val="tx1"/>
            </w14:solidFill>
          </w14:textFill>
        </w:rPr>
        <w:t>（1）《中华人民共和国环境保护法</w:t>
      </w:r>
      <w:r>
        <w:rPr>
          <w:rFonts w:ascii="Times New Roman" w:hAnsi="Times New Roman"/>
          <w:color w:val="000000" w:themeColor="text1"/>
          <w:spacing w:val="-27"/>
          <w:lang w:eastAsia="zh-CN"/>
          <w14:textFill>
            <w14:solidFill>
              <w14:schemeClr w14:val="tx1"/>
            </w14:solidFill>
          </w14:textFill>
        </w:rPr>
        <w:t>》（</w:t>
      </w:r>
      <w:r>
        <w:rPr>
          <w:rFonts w:ascii="Times New Roman" w:hAnsi="Times New Roman"/>
          <w:color w:val="000000" w:themeColor="text1"/>
          <w:spacing w:val="-6"/>
          <w:lang w:eastAsia="zh-CN"/>
          <w14:textFill>
            <w14:solidFill>
              <w14:schemeClr w14:val="tx1"/>
            </w14:solidFill>
          </w14:textFill>
        </w:rPr>
        <w:t>2015年1月1日起施行）；</w:t>
      </w:r>
    </w:p>
    <w:p>
      <w:pPr>
        <w:pStyle w:val="21"/>
        <w:spacing w:before="0"/>
        <w:ind w:left="0" w:firstLine="468"/>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spacing w:val="-6"/>
          <w:lang w:eastAsia="zh-CN"/>
          <w14:textFill>
            <w14:solidFill>
              <w14:schemeClr w14:val="tx1"/>
            </w14:solidFill>
          </w14:textFill>
        </w:rPr>
        <w:t>（2）《中华人民共和国环境影响评价法》（2018年12月29日修订</w:t>
      </w:r>
      <w:r>
        <w:rPr>
          <w:rFonts w:ascii="Times New Roman" w:hAnsi="Times New Roman"/>
          <w:color w:val="000000" w:themeColor="text1"/>
          <w:spacing w:val="-27"/>
          <w:lang w:eastAsia="zh-CN"/>
          <w14:textFill>
            <w14:solidFill>
              <w14:schemeClr w14:val="tx1"/>
            </w14:solidFill>
          </w14:textFill>
        </w:rPr>
        <w:t>）</w:t>
      </w:r>
      <w:r>
        <w:rPr>
          <w:rFonts w:ascii="Times New Roman" w:hAnsi="Times New Roman"/>
          <w:color w:val="000000" w:themeColor="text1"/>
          <w:lang w:eastAsia="zh-CN"/>
          <w14:textFill>
            <w14:solidFill>
              <w14:schemeClr w14:val="tx1"/>
            </w14:solidFill>
          </w14:textFill>
        </w:rPr>
        <w:t>；</w:t>
      </w:r>
    </w:p>
    <w:p>
      <w:pPr>
        <w:pStyle w:val="21"/>
        <w:spacing w:before="0"/>
        <w:ind w:left="0" w:firstLine="468"/>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spacing w:val="-6"/>
          <w:lang w:eastAsia="zh-CN"/>
          <w14:textFill>
            <w14:solidFill>
              <w14:schemeClr w14:val="tx1"/>
            </w14:solidFill>
          </w14:textFill>
        </w:rPr>
        <w:t>（3）《中华人民共和国水污染防治法》（2017</w:t>
      </w:r>
      <w:r>
        <w:rPr>
          <w:rFonts w:ascii="Times New Roman" w:hAnsi="Times New Roman"/>
          <w:color w:val="000000" w:themeColor="text1"/>
          <w:lang w:eastAsia="zh-CN"/>
          <w14:textFill>
            <w14:solidFill>
              <w14:schemeClr w14:val="tx1"/>
            </w14:solidFill>
          </w14:textFill>
        </w:rPr>
        <w:t>年6月27日修订</w:t>
      </w:r>
      <w:r>
        <w:rPr>
          <w:rFonts w:ascii="Times New Roman" w:hAnsi="Times New Roman"/>
          <w:color w:val="000000" w:themeColor="text1"/>
          <w:spacing w:val="-6"/>
          <w:lang w:eastAsia="zh-CN"/>
          <w14:textFill>
            <w14:solidFill>
              <w14:schemeClr w14:val="tx1"/>
            </w14:solidFill>
          </w14:textFill>
        </w:rPr>
        <w:t>）</w:t>
      </w:r>
      <w:r>
        <w:rPr>
          <w:rFonts w:ascii="Times New Roman" w:hAnsi="Times New Roman"/>
          <w:color w:val="000000" w:themeColor="text1"/>
          <w:lang w:eastAsia="zh-CN"/>
          <w14:textFill>
            <w14:solidFill>
              <w14:schemeClr w14:val="tx1"/>
            </w14:solidFill>
          </w14:textFill>
        </w:rPr>
        <w:t>；</w:t>
      </w:r>
    </w:p>
    <w:p>
      <w:pPr>
        <w:pStyle w:val="21"/>
        <w:spacing w:before="0"/>
        <w:ind w:left="0" w:firstLine="470"/>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spacing w:val="-5"/>
          <w:lang w:eastAsia="zh-CN"/>
          <w14:textFill>
            <w14:solidFill>
              <w14:schemeClr w14:val="tx1"/>
            </w14:solidFill>
          </w14:textFill>
        </w:rPr>
        <w:t>（4）《中华人民共和国大气污染防治法》（2018</w:t>
      </w:r>
      <w:r>
        <w:rPr>
          <w:rFonts w:ascii="Times New Roman" w:hAnsi="Times New Roman"/>
          <w:color w:val="000000" w:themeColor="text1"/>
          <w:lang w:eastAsia="zh-CN"/>
          <w14:textFill>
            <w14:solidFill>
              <w14:schemeClr w14:val="tx1"/>
            </w14:solidFill>
          </w14:textFill>
        </w:rPr>
        <w:t>年10月26日修订</w:t>
      </w:r>
      <w:r>
        <w:rPr>
          <w:rFonts w:ascii="Times New Roman" w:hAnsi="Times New Roman"/>
          <w:color w:val="000000" w:themeColor="text1"/>
          <w:spacing w:val="-5"/>
          <w:lang w:eastAsia="zh-CN"/>
          <w14:textFill>
            <w14:solidFill>
              <w14:schemeClr w14:val="tx1"/>
            </w14:solidFill>
          </w14:textFill>
        </w:rPr>
        <w:t>）</w:t>
      </w:r>
      <w:r>
        <w:rPr>
          <w:rFonts w:ascii="Times New Roman" w:hAnsi="Times New Roman"/>
          <w:color w:val="000000" w:themeColor="text1"/>
          <w:lang w:eastAsia="zh-CN"/>
          <w14:textFill>
            <w14:solidFill>
              <w14:schemeClr w14:val="tx1"/>
            </w14:solidFill>
          </w14:textFill>
        </w:rPr>
        <w:t>；</w:t>
      </w:r>
    </w:p>
    <w:p>
      <w:pPr>
        <w:pStyle w:val="21"/>
        <w:spacing w:before="0"/>
        <w:ind w:left="0" w:firstLine="480"/>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（5）《中华人民共和国环境噪声污染防治法</w:t>
      </w:r>
      <w:r>
        <w:rPr>
          <w:rFonts w:ascii="Times New Roman" w:hAnsi="Times New Roman"/>
          <w:color w:val="000000" w:themeColor="text1"/>
          <w:spacing w:val="-27"/>
          <w:lang w:eastAsia="zh-CN"/>
          <w14:textFill>
            <w14:solidFill>
              <w14:schemeClr w14:val="tx1"/>
            </w14:solidFill>
          </w14:textFill>
        </w:rPr>
        <w:t>》</w:t>
      </w:r>
      <w:r>
        <w:rPr>
          <w:rFonts w:ascii="Times New Roman" w:hAnsi="Times New Roman"/>
          <w:color w:val="000000" w:themeColor="text1"/>
          <w:spacing w:val="-5"/>
          <w:lang w:eastAsia="zh-CN"/>
          <w14:textFill>
            <w14:solidFill>
              <w14:schemeClr w14:val="tx1"/>
            </w14:solidFill>
          </w14:textFill>
        </w:rPr>
        <w:t>（2022年6月5日施行）</w:t>
      </w:r>
      <w:r>
        <w:rPr>
          <w:rFonts w:ascii="Times New Roman" w:hAnsi="Times New Roman"/>
          <w:color w:val="000000" w:themeColor="text1"/>
          <w:lang w:eastAsia="zh-CN"/>
          <w14:textFill>
            <w14:solidFill>
              <w14:schemeClr w14:val="tx1"/>
            </w14:solidFill>
          </w14:textFill>
        </w:rPr>
        <w:t>；</w:t>
      </w:r>
    </w:p>
    <w:p>
      <w:pPr>
        <w:pStyle w:val="21"/>
        <w:spacing w:before="0"/>
        <w:ind w:left="0" w:firstLine="470"/>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spacing w:val="-5"/>
          <w:lang w:eastAsia="zh-CN"/>
          <w14:textFill>
            <w14:solidFill>
              <w14:schemeClr w14:val="tx1"/>
            </w14:solidFill>
          </w14:textFill>
        </w:rPr>
        <w:t>（6）《中华人民共和国固体废物污染环境防治法》（2020年9月1日修正版）</w:t>
      </w:r>
      <w:r>
        <w:rPr>
          <w:rFonts w:ascii="Times New Roman" w:hAnsi="Times New Roman"/>
          <w:color w:val="000000" w:themeColor="text1"/>
          <w:lang w:eastAsia="zh-CN"/>
          <w14:textFill>
            <w14:solidFill>
              <w14:schemeClr w14:val="tx1"/>
            </w14:solidFill>
          </w14:textFill>
        </w:rPr>
        <w:t>；</w:t>
      </w:r>
    </w:p>
    <w:p>
      <w:pPr>
        <w:pStyle w:val="21"/>
        <w:spacing w:before="0"/>
        <w:ind w:left="0" w:firstLine="480"/>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（7）《中华人民共和国土壤污染防治法》（2019年1月1日起实施）；</w:t>
      </w:r>
    </w:p>
    <w:p>
      <w:pPr>
        <w:pStyle w:val="21"/>
        <w:spacing w:before="0"/>
        <w:ind w:left="0" w:firstLine="468"/>
        <w:rPr>
          <w:rFonts w:ascii="Times New Roman" w:hAnsi="Times New Roman"/>
          <w:color w:val="000000" w:themeColor="text1"/>
          <w:u w:val="single"/>
          <w:lang w:eastAsia="zh-CN"/>
          <w14:textFill>
            <w14:solidFill>
              <w14:schemeClr w14:val="tx1"/>
            </w14:solidFill>
          </w14:textFill>
        </w:rPr>
      </w:pPr>
      <w:r>
        <w:rPr>
          <w:rFonts w:ascii="Times New Roman" w:hAnsi="Times New Roman"/>
          <w:color w:val="000000" w:themeColor="text1"/>
          <w:spacing w:val="-6"/>
          <w:lang w:eastAsia="zh-CN"/>
          <w14:textFill>
            <w14:solidFill>
              <w14:schemeClr w14:val="tx1"/>
            </w14:solidFill>
          </w14:textFill>
        </w:rPr>
        <w:t>（8）</w:t>
      </w:r>
      <w:r>
        <w:rPr>
          <w:rFonts w:ascii="Times New Roman" w:hAnsi="Times New Roman"/>
          <w:color w:val="000000" w:themeColor="text1"/>
          <w:szCs w:val="20"/>
          <w:lang w:eastAsia="zh-CN"/>
          <w14:textFill>
            <w14:solidFill>
              <w14:schemeClr w14:val="tx1"/>
            </w14:solidFill>
          </w14:textFill>
        </w:rPr>
        <w:t>《中华人民共和国土地管理法》（2019年8月26日修正）</w:t>
      </w:r>
      <w:r>
        <w:rPr>
          <w:rFonts w:ascii="Times New Roman" w:hAnsi="Times New Roman"/>
          <w:color w:val="000000" w:themeColor="text1"/>
          <w:lang w:eastAsia="zh-CN"/>
          <w14:textFill>
            <w14:solidFill>
              <w14:schemeClr w14:val="tx1"/>
            </w14:solidFill>
          </w14:textFill>
        </w:rPr>
        <w:t>；</w:t>
      </w:r>
    </w:p>
    <w:p>
      <w:pPr>
        <w:pStyle w:val="21"/>
        <w:spacing w:before="0"/>
        <w:ind w:left="0" w:firstLine="468"/>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spacing w:val="-6"/>
          <w:lang w:eastAsia="zh-CN"/>
          <w14:textFill>
            <w14:solidFill>
              <w14:schemeClr w14:val="tx1"/>
            </w14:solidFill>
          </w14:textFill>
        </w:rPr>
        <w:t>（9）《中华人民共和国城乡规</w:t>
      </w:r>
      <w:r>
        <w:rPr>
          <w:rFonts w:ascii="Times New Roman" w:hAnsi="Times New Roman"/>
          <w:color w:val="000000" w:themeColor="text1"/>
          <w:lang w:eastAsia="zh-CN"/>
          <w14:textFill>
            <w14:solidFill>
              <w14:schemeClr w14:val="tx1"/>
            </w14:solidFill>
          </w14:textFill>
        </w:rPr>
        <w:t>划法》（2019年修订）；</w:t>
      </w:r>
    </w:p>
    <w:p>
      <w:pPr>
        <w:pStyle w:val="21"/>
        <w:spacing w:before="0"/>
        <w:ind w:left="0" w:firstLine="468"/>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spacing w:val="-6"/>
          <w:lang w:eastAsia="zh-CN"/>
          <w14:textFill>
            <w14:solidFill>
              <w14:schemeClr w14:val="tx1"/>
            </w14:solidFill>
          </w14:textFill>
        </w:rPr>
        <w:t>（10）《中华人民共和国水土保持法》（2011</w:t>
      </w:r>
      <w:r>
        <w:rPr>
          <w:rFonts w:ascii="Times New Roman" w:hAnsi="Times New Roman"/>
          <w:color w:val="000000" w:themeColor="text1"/>
          <w:lang w:eastAsia="zh-CN"/>
          <w14:textFill>
            <w14:solidFill>
              <w14:schemeClr w14:val="tx1"/>
            </w14:solidFill>
          </w14:textFill>
        </w:rPr>
        <w:t>年3月1日起施行</w:t>
      </w:r>
      <w:r>
        <w:rPr>
          <w:rFonts w:ascii="Times New Roman" w:hAnsi="Times New Roman"/>
          <w:color w:val="000000" w:themeColor="text1"/>
          <w:spacing w:val="-6"/>
          <w:lang w:eastAsia="zh-CN"/>
          <w14:textFill>
            <w14:solidFill>
              <w14:schemeClr w14:val="tx1"/>
            </w14:solidFill>
          </w14:textFill>
        </w:rPr>
        <w:t>）</w:t>
      </w:r>
      <w:r>
        <w:rPr>
          <w:rFonts w:ascii="Times New Roman" w:hAnsi="Times New Roman"/>
          <w:color w:val="000000" w:themeColor="text1"/>
          <w:lang w:eastAsia="zh-CN"/>
          <w14:textFill>
            <w14:solidFill>
              <w14:schemeClr w14:val="tx1"/>
            </w14:solidFill>
          </w14:textFill>
        </w:rPr>
        <w:t>；</w:t>
      </w:r>
    </w:p>
    <w:p>
      <w:pPr>
        <w:pStyle w:val="21"/>
        <w:spacing w:before="0"/>
        <w:ind w:left="0" w:firstLine="468"/>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spacing w:val="-6"/>
          <w:lang w:eastAsia="zh-CN"/>
          <w14:textFill>
            <w14:solidFill>
              <w14:schemeClr w14:val="tx1"/>
            </w14:solidFill>
          </w14:textFill>
        </w:rPr>
        <w:t>（11）《中华人民共和国水法》（2016</w:t>
      </w:r>
      <w:r>
        <w:rPr>
          <w:rFonts w:ascii="Times New Roman" w:hAnsi="Times New Roman"/>
          <w:color w:val="000000" w:themeColor="text1"/>
          <w:lang w:eastAsia="zh-CN"/>
          <w14:textFill>
            <w14:solidFill>
              <w14:schemeClr w14:val="tx1"/>
            </w14:solidFill>
          </w14:textFill>
        </w:rPr>
        <w:t>年7月2日修订</w:t>
      </w:r>
      <w:r>
        <w:rPr>
          <w:rFonts w:ascii="Times New Roman" w:hAnsi="Times New Roman"/>
          <w:color w:val="000000" w:themeColor="text1"/>
          <w:spacing w:val="-6"/>
          <w:lang w:eastAsia="zh-CN"/>
          <w14:textFill>
            <w14:solidFill>
              <w14:schemeClr w14:val="tx1"/>
            </w14:solidFill>
          </w14:textFill>
        </w:rPr>
        <w:t>）</w:t>
      </w:r>
      <w:r>
        <w:rPr>
          <w:rFonts w:ascii="Times New Roman" w:hAnsi="Times New Roman"/>
          <w:color w:val="000000" w:themeColor="text1"/>
          <w:lang w:eastAsia="zh-CN"/>
          <w14:textFill>
            <w14:solidFill>
              <w14:schemeClr w14:val="tx1"/>
            </w14:solidFill>
          </w14:textFill>
        </w:rPr>
        <w:t>；</w:t>
      </w:r>
    </w:p>
    <w:p>
      <w:pPr>
        <w:pStyle w:val="21"/>
        <w:spacing w:before="0"/>
        <w:ind w:left="0" w:firstLine="468"/>
        <w:rPr>
          <w:rFonts w:ascii="Times New Roman" w:hAnsi="Times New Roman"/>
          <w:color w:val="000000" w:themeColor="text1"/>
          <w:spacing w:val="-6"/>
          <w:lang w:eastAsia="zh-CN"/>
          <w14:textFill>
            <w14:solidFill>
              <w14:schemeClr w14:val="tx1"/>
            </w14:solidFill>
          </w14:textFill>
        </w:rPr>
      </w:pPr>
      <w:r>
        <w:rPr>
          <w:rFonts w:ascii="Times New Roman" w:hAnsi="Times New Roman"/>
          <w:color w:val="000000" w:themeColor="text1"/>
          <w:spacing w:val="-6"/>
          <w:lang w:eastAsia="zh-CN"/>
          <w14:textFill>
            <w14:solidFill>
              <w14:schemeClr w14:val="tx1"/>
            </w14:solidFill>
          </w14:textFill>
        </w:rPr>
        <w:t>（12）《中华人民共和国突发事件应对法》（2007年11月1日起实施）</w:t>
      </w:r>
    </w:p>
    <w:p>
      <w:pPr>
        <w:pStyle w:val="21"/>
        <w:spacing w:before="0"/>
        <w:ind w:left="0" w:firstLine="468"/>
        <w:rPr>
          <w:rFonts w:ascii="Times New Roman" w:hAnsi="Times New Roman"/>
          <w:color w:val="000000" w:themeColor="text1"/>
          <w:spacing w:val="-6"/>
          <w:lang w:eastAsia="zh-CN"/>
          <w14:textFill>
            <w14:solidFill>
              <w14:schemeClr w14:val="tx1"/>
            </w14:solidFill>
          </w14:textFill>
        </w:rPr>
      </w:pPr>
      <w:r>
        <w:rPr>
          <w:rFonts w:ascii="Times New Roman" w:hAnsi="Times New Roman"/>
          <w:color w:val="000000" w:themeColor="text1"/>
          <w:spacing w:val="-6"/>
          <w:lang w:eastAsia="zh-CN"/>
          <w14:textFill>
            <w14:solidFill>
              <w14:schemeClr w14:val="tx1"/>
            </w14:solidFill>
          </w14:textFill>
        </w:rPr>
        <w:t>（13）《中华人民共和国节约能源法》（2018年12月修订）；</w:t>
      </w:r>
    </w:p>
    <w:p>
      <w:pPr>
        <w:pStyle w:val="21"/>
        <w:spacing w:before="0"/>
        <w:ind w:left="0" w:firstLine="468"/>
        <w:rPr>
          <w:rFonts w:ascii="Times New Roman" w:hAnsi="Times New Roman"/>
          <w:color w:val="000000" w:themeColor="text1"/>
          <w:spacing w:val="-6"/>
          <w:lang w:eastAsia="zh-CN"/>
          <w14:textFill>
            <w14:solidFill>
              <w14:schemeClr w14:val="tx1"/>
            </w14:solidFill>
          </w14:textFill>
        </w:rPr>
      </w:pPr>
      <w:r>
        <w:rPr>
          <w:rFonts w:ascii="Times New Roman" w:hAnsi="Times New Roman"/>
          <w:color w:val="000000" w:themeColor="text1"/>
          <w:spacing w:val="-6"/>
          <w:lang w:eastAsia="zh-CN"/>
          <w14:textFill>
            <w14:solidFill>
              <w14:schemeClr w14:val="tx1"/>
            </w14:solidFill>
          </w14:textFill>
        </w:rPr>
        <w:t>（14）《中华人民共和国清洁生产促进法》，（2012年2月29日）；</w:t>
      </w:r>
    </w:p>
    <w:p>
      <w:pPr>
        <w:pStyle w:val="21"/>
        <w:spacing w:before="0"/>
        <w:ind w:left="0" w:firstLine="468"/>
        <w:rPr>
          <w:rFonts w:ascii="Times New Roman" w:hAnsi="Times New Roman"/>
          <w:color w:val="000000" w:themeColor="text1"/>
          <w:spacing w:val="-6"/>
          <w:lang w:eastAsia="zh-CN"/>
          <w14:textFill>
            <w14:solidFill>
              <w14:schemeClr w14:val="tx1"/>
            </w14:solidFill>
          </w14:textFill>
        </w:rPr>
      </w:pPr>
      <w:r>
        <w:rPr>
          <w:rFonts w:ascii="Times New Roman" w:hAnsi="Times New Roman"/>
          <w:color w:val="000000" w:themeColor="text1"/>
          <w:spacing w:val="-6"/>
          <w:lang w:eastAsia="zh-CN"/>
          <w14:textFill>
            <w14:solidFill>
              <w14:schemeClr w14:val="tx1"/>
            </w14:solidFill>
          </w14:textFill>
        </w:rPr>
        <w:t>（15）《中华人民共和国循环经济促进法》（2018年10月26日修订）；</w:t>
      </w:r>
    </w:p>
    <w:p>
      <w:pPr>
        <w:pStyle w:val="21"/>
        <w:spacing w:before="0"/>
        <w:ind w:left="0" w:firstLine="468"/>
        <w:rPr>
          <w:rFonts w:ascii="Times New Roman" w:hAnsi="Times New Roman"/>
          <w:color w:val="000000" w:themeColor="text1"/>
          <w:spacing w:val="-6"/>
          <w:lang w:eastAsia="zh-CN"/>
          <w14:textFill>
            <w14:solidFill>
              <w14:schemeClr w14:val="tx1"/>
            </w14:solidFill>
          </w14:textFill>
        </w:rPr>
      </w:pPr>
      <w:r>
        <w:rPr>
          <w:rFonts w:ascii="Times New Roman" w:hAnsi="Times New Roman"/>
          <w:color w:val="000000" w:themeColor="text1"/>
          <w:spacing w:val="-6"/>
          <w:lang w:eastAsia="zh-CN"/>
          <w14:textFill>
            <w14:solidFill>
              <w14:schemeClr w14:val="tx1"/>
            </w14:solidFill>
          </w14:textFill>
        </w:rPr>
        <w:t>（16）《中华人民共和国石油天然气管道保护法》（2010</w:t>
      </w:r>
      <w:r>
        <w:rPr>
          <w:rFonts w:hint="eastAsia" w:ascii="Times New Roman" w:hAnsi="Times New Roman"/>
          <w:color w:val="000000" w:themeColor="text1"/>
          <w:spacing w:val="-6"/>
          <w:lang w:eastAsia="zh-CN"/>
          <w14:textFill>
            <w14:solidFill>
              <w14:schemeClr w14:val="tx1"/>
            </w14:solidFill>
          </w14:textFill>
        </w:rPr>
        <w:t>年</w:t>
      </w:r>
      <w:r>
        <w:rPr>
          <w:rFonts w:ascii="Times New Roman" w:hAnsi="Times New Roman"/>
          <w:color w:val="000000" w:themeColor="text1"/>
          <w:spacing w:val="-6"/>
          <w:lang w:eastAsia="zh-CN"/>
          <w14:textFill>
            <w14:solidFill>
              <w14:schemeClr w14:val="tx1"/>
            </w14:solidFill>
          </w14:textFill>
        </w:rPr>
        <w:t>10</w:t>
      </w:r>
      <w:r>
        <w:rPr>
          <w:rFonts w:hint="eastAsia" w:ascii="Times New Roman" w:hAnsi="Times New Roman"/>
          <w:color w:val="000000" w:themeColor="text1"/>
          <w:spacing w:val="-6"/>
          <w:lang w:eastAsia="zh-CN"/>
          <w14:textFill>
            <w14:solidFill>
              <w14:schemeClr w14:val="tx1"/>
            </w14:solidFill>
          </w14:textFill>
        </w:rPr>
        <w:t>年</w:t>
      </w:r>
      <w:r>
        <w:rPr>
          <w:rFonts w:ascii="Times New Roman" w:hAnsi="Times New Roman"/>
          <w:color w:val="000000" w:themeColor="text1"/>
          <w:spacing w:val="-6"/>
          <w:lang w:eastAsia="zh-CN"/>
          <w14:textFill>
            <w14:solidFill>
              <w14:schemeClr w14:val="tx1"/>
            </w14:solidFill>
          </w14:textFill>
        </w:rPr>
        <w:t>1</w:t>
      </w:r>
      <w:r>
        <w:rPr>
          <w:rFonts w:hint="eastAsia" w:ascii="Times New Roman" w:hAnsi="Times New Roman"/>
          <w:color w:val="000000" w:themeColor="text1"/>
          <w:spacing w:val="-6"/>
          <w:lang w:eastAsia="zh-CN"/>
          <w14:textFill>
            <w14:solidFill>
              <w14:schemeClr w14:val="tx1"/>
            </w14:solidFill>
          </w14:textFill>
        </w:rPr>
        <w:t>日</w:t>
      </w:r>
      <w:r>
        <w:rPr>
          <w:rFonts w:ascii="Times New Roman" w:hAnsi="Times New Roman"/>
          <w:color w:val="000000" w:themeColor="text1"/>
          <w:spacing w:val="-6"/>
          <w:lang w:eastAsia="zh-CN"/>
          <w14:textFill>
            <w14:solidFill>
              <w14:schemeClr w14:val="tx1"/>
            </w14:solidFill>
          </w14:textFill>
        </w:rPr>
        <w:t>实施）。</w:t>
      </w:r>
    </w:p>
    <w:p>
      <w:pPr>
        <w:pStyle w:val="4"/>
        <w:ind w:firstLine="241"/>
        <w:rPr>
          <w:b w:val="0"/>
        </w:rPr>
      </w:pPr>
      <w:r>
        <w:rPr>
          <w:rFonts w:hint="eastAsia"/>
        </w:rPr>
        <w:t>2.3.2</w:t>
      </w:r>
      <w:r>
        <w:t>行政法规</w:t>
      </w:r>
      <w:bookmarkEnd w:id="26"/>
    </w:p>
    <w:p>
      <w:pPr>
        <w:pStyle w:val="21"/>
        <w:spacing w:before="0"/>
        <w:ind w:left="0" w:firstLine="468"/>
        <w:rPr>
          <w:rFonts w:ascii="Times New Roman" w:hAnsi="Times New Roman"/>
          <w:spacing w:val="-6"/>
          <w:lang w:eastAsia="zh-CN"/>
        </w:rPr>
      </w:pPr>
      <w:bookmarkStart w:id="27" w:name="_Toc120173056"/>
      <w:r>
        <w:rPr>
          <w:rFonts w:ascii="Times New Roman" w:hAnsi="Times New Roman"/>
          <w:spacing w:val="-6"/>
          <w:lang w:eastAsia="zh-CN"/>
        </w:rPr>
        <w:t>（1）《建设项目环境保护管理条例》（国务院令682号，2017</w:t>
      </w:r>
      <w:r>
        <w:rPr>
          <w:rFonts w:hint="eastAsia" w:ascii="Times New Roman" w:hAnsi="Times New Roman"/>
          <w:spacing w:val="-6"/>
          <w:lang w:eastAsia="zh-CN"/>
        </w:rPr>
        <w:t>年</w:t>
      </w:r>
      <w:r>
        <w:rPr>
          <w:rFonts w:ascii="Times New Roman" w:hAnsi="Times New Roman"/>
          <w:spacing w:val="-6"/>
          <w:lang w:eastAsia="zh-CN"/>
        </w:rPr>
        <w:t>7</w:t>
      </w:r>
      <w:r>
        <w:rPr>
          <w:rFonts w:hint="eastAsia" w:ascii="Times New Roman" w:hAnsi="Times New Roman"/>
          <w:spacing w:val="-6"/>
          <w:lang w:eastAsia="zh-CN"/>
        </w:rPr>
        <w:t>月</w:t>
      </w:r>
      <w:r>
        <w:rPr>
          <w:rFonts w:ascii="Times New Roman" w:hAnsi="Times New Roman"/>
          <w:spacing w:val="-6"/>
          <w:lang w:eastAsia="zh-CN"/>
        </w:rPr>
        <w:t>）；</w:t>
      </w:r>
    </w:p>
    <w:p>
      <w:pPr>
        <w:pStyle w:val="21"/>
        <w:spacing w:before="0"/>
        <w:ind w:left="0" w:firstLine="468"/>
        <w:rPr>
          <w:rFonts w:ascii="Times New Roman" w:hAnsi="Times New Roman"/>
          <w:spacing w:val="-6"/>
          <w:lang w:eastAsia="zh-CN"/>
        </w:rPr>
      </w:pPr>
      <w:r>
        <w:rPr>
          <w:rFonts w:ascii="Times New Roman" w:hAnsi="Times New Roman"/>
          <w:spacing w:val="-6"/>
          <w:lang w:eastAsia="zh-CN"/>
        </w:rPr>
        <w:t>（2）《基本农田保护条例》（2011</w:t>
      </w:r>
      <w:r>
        <w:rPr>
          <w:rFonts w:hint="eastAsia" w:ascii="Times New Roman" w:hAnsi="Times New Roman"/>
          <w:spacing w:val="-6"/>
          <w:lang w:eastAsia="zh-CN"/>
        </w:rPr>
        <w:t>年</w:t>
      </w:r>
      <w:r>
        <w:rPr>
          <w:rFonts w:ascii="Times New Roman" w:hAnsi="Times New Roman"/>
          <w:spacing w:val="-6"/>
          <w:lang w:eastAsia="zh-CN"/>
        </w:rPr>
        <w:t>1</w:t>
      </w:r>
      <w:r>
        <w:rPr>
          <w:rFonts w:hint="eastAsia" w:ascii="Times New Roman" w:hAnsi="Times New Roman"/>
          <w:spacing w:val="-6"/>
          <w:lang w:eastAsia="zh-CN"/>
        </w:rPr>
        <w:t>月</w:t>
      </w:r>
      <w:r>
        <w:rPr>
          <w:rFonts w:ascii="Times New Roman" w:hAnsi="Times New Roman"/>
          <w:spacing w:val="-6"/>
          <w:lang w:eastAsia="zh-CN"/>
        </w:rPr>
        <w:t>8</w:t>
      </w:r>
      <w:r>
        <w:rPr>
          <w:rFonts w:hint="eastAsia" w:ascii="Times New Roman" w:hAnsi="Times New Roman"/>
          <w:spacing w:val="-6"/>
          <w:lang w:eastAsia="zh-CN"/>
        </w:rPr>
        <w:t>日</w:t>
      </w:r>
      <w:r>
        <w:rPr>
          <w:rFonts w:ascii="Times New Roman" w:hAnsi="Times New Roman"/>
          <w:spacing w:val="-6"/>
          <w:lang w:eastAsia="zh-CN"/>
        </w:rPr>
        <w:t>修订）；</w:t>
      </w:r>
    </w:p>
    <w:p>
      <w:pPr>
        <w:pStyle w:val="21"/>
        <w:spacing w:before="0"/>
        <w:ind w:left="0" w:firstLine="468"/>
        <w:rPr>
          <w:rFonts w:ascii="Times New Roman" w:hAnsi="Times New Roman"/>
          <w:spacing w:val="-6"/>
          <w:lang w:eastAsia="zh-CN"/>
        </w:rPr>
      </w:pPr>
      <w:r>
        <w:rPr>
          <w:rFonts w:ascii="Times New Roman" w:hAnsi="Times New Roman"/>
          <w:spacing w:val="-6"/>
          <w:lang w:eastAsia="zh-CN"/>
        </w:rPr>
        <w:t>（3）《土地复垦条例》（国务院令592号，2011</w:t>
      </w:r>
      <w:r>
        <w:rPr>
          <w:rFonts w:hint="eastAsia" w:ascii="Times New Roman" w:hAnsi="Times New Roman"/>
          <w:spacing w:val="-6"/>
          <w:lang w:eastAsia="zh-CN"/>
        </w:rPr>
        <w:t>年</w:t>
      </w:r>
      <w:r>
        <w:rPr>
          <w:rFonts w:ascii="Times New Roman" w:hAnsi="Times New Roman"/>
          <w:spacing w:val="-6"/>
          <w:lang w:eastAsia="zh-CN"/>
        </w:rPr>
        <w:t>2</w:t>
      </w:r>
      <w:r>
        <w:rPr>
          <w:rFonts w:hint="eastAsia" w:ascii="Times New Roman" w:hAnsi="Times New Roman"/>
          <w:spacing w:val="-6"/>
          <w:lang w:eastAsia="zh-CN"/>
        </w:rPr>
        <w:t>月</w:t>
      </w:r>
      <w:r>
        <w:rPr>
          <w:rFonts w:ascii="Times New Roman" w:hAnsi="Times New Roman"/>
          <w:spacing w:val="-6"/>
          <w:lang w:eastAsia="zh-CN"/>
        </w:rPr>
        <w:t>22</w:t>
      </w:r>
      <w:r>
        <w:rPr>
          <w:rFonts w:hint="eastAsia" w:ascii="Times New Roman" w:hAnsi="Times New Roman"/>
          <w:spacing w:val="-6"/>
          <w:lang w:eastAsia="zh-CN"/>
        </w:rPr>
        <w:t>日</w:t>
      </w:r>
      <w:r>
        <w:rPr>
          <w:rFonts w:ascii="Times New Roman" w:hAnsi="Times New Roman"/>
          <w:spacing w:val="-6"/>
          <w:lang w:eastAsia="zh-CN"/>
        </w:rPr>
        <w:t>）；</w:t>
      </w:r>
    </w:p>
    <w:p>
      <w:pPr>
        <w:pStyle w:val="21"/>
        <w:spacing w:before="0"/>
        <w:ind w:left="0" w:firstLine="468"/>
        <w:rPr>
          <w:rFonts w:ascii="Times New Roman" w:hAnsi="Times New Roman"/>
          <w:spacing w:val="-6"/>
          <w:lang w:eastAsia="zh-CN"/>
        </w:rPr>
      </w:pPr>
      <w:r>
        <w:rPr>
          <w:rFonts w:ascii="Times New Roman" w:hAnsi="Times New Roman"/>
          <w:spacing w:val="-6"/>
          <w:lang w:eastAsia="zh-CN"/>
        </w:rPr>
        <w:t>（4）《大气污染防治行动计划》（国发〔2013〕37号），2013</w:t>
      </w:r>
      <w:r>
        <w:rPr>
          <w:rFonts w:hint="eastAsia" w:ascii="Times New Roman" w:hAnsi="Times New Roman"/>
          <w:spacing w:val="-6"/>
          <w:lang w:eastAsia="zh-CN"/>
        </w:rPr>
        <w:t>年</w:t>
      </w:r>
      <w:r>
        <w:rPr>
          <w:rFonts w:ascii="Times New Roman" w:hAnsi="Times New Roman"/>
          <w:spacing w:val="-6"/>
          <w:lang w:eastAsia="zh-CN"/>
        </w:rPr>
        <w:t>9</w:t>
      </w:r>
      <w:r>
        <w:rPr>
          <w:rFonts w:hint="eastAsia" w:ascii="Times New Roman" w:hAnsi="Times New Roman"/>
          <w:spacing w:val="-6"/>
          <w:lang w:eastAsia="zh-CN"/>
        </w:rPr>
        <w:t>月</w:t>
      </w:r>
      <w:r>
        <w:rPr>
          <w:rFonts w:ascii="Times New Roman" w:hAnsi="Times New Roman"/>
          <w:spacing w:val="-6"/>
          <w:lang w:eastAsia="zh-CN"/>
        </w:rPr>
        <w:t>10</w:t>
      </w:r>
      <w:r>
        <w:rPr>
          <w:rFonts w:hint="eastAsia" w:ascii="Times New Roman" w:hAnsi="Times New Roman"/>
          <w:spacing w:val="-6"/>
          <w:lang w:eastAsia="zh-CN"/>
        </w:rPr>
        <w:t>日</w:t>
      </w:r>
      <w:r>
        <w:rPr>
          <w:rFonts w:ascii="Times New Roman" w:hAnsi="Times New Roman"/>
          <w:spacing w:val="-6"/>
          <w:lang w:eastAsia="zh-CN"/>
        </w:rPr>
        <w:t>；</w:t>
      </w:r>
    </w:p>
    <w:p>
      <w:pPr>
        <w:pStyle w:val="21"/>
        <w:spacing w:before="0"/>
        <w:ind w:left="0" w:firstLine="468"/>
        <w:rPr>
          <w:rFonts w:ascii="Times New Roman" w:hAnsi="Times New Roman"/>
          <w:spacing w:val="-6"/>
          <w:lang w:eastAsia="zh-CN"/>
        </w:rPr>
      </w:pPr>
      <w:r>
        <w:rPr>
          <w:rFonts w:ascii="Times New Roman" w:hAnsi="Times New Roman"/>
          <w:spacing w:val="-6"/>
          <w:lang w:eastAsia="zh-CN"/>
        </w:rPr>
        <w:t>（5）《水污染防治行动计划》（国发〔2015〕17号），2015</w:t>
      </w:r>
      <w:r>
        <w:rPr>
          <w:rFonts w:hint="eastAsia" w:ascii="Times New Roman" w:hAnsi="Times New Roman"/>
          <w:spacing w:val="-6"/>
          <w:lang w:eastAsia="zh-CN"/>
        </w:rPr>
        <w:t>年</w:t>
      </w:r>
      <w:r>
        <w:rPr>
          <w:rFonts w:ascii="Times New Roman" w:hAnsi="Times New Roman"/>
          <w:spacing w:val="-6"/>
          <w:lang w:eastAsia="zh-CN"/>
        </w:rPr>
        <w:t>4</w:t>
      </w:r>
      <w:r>
        <w:rPr>
          <w:rFonts w:hint="eastAsia" w:ascii="Times New Roman" w:hAnsi="Times New Roman"/>
          <w:spacing w:val="-6"/>
          <w:lang w:eastAsia="zh-CN"/>
        </w:rPr>
        <w:t>月</w:t>
      </w:r>
      <w:r>
        <w:rPr>
          <w:rFonts w:ascii="Times New Roman" w:hAnsi="Times New Roman"/>
          <w:spacing w:val="-6"/>
          <w:lang w:eastAsia="zh-CN"/>
        </w:rPr>
        <w:t>2</w:t>
      </w:r>
      <w:r>
        <w:rPr>
          <w:rFonts w:hint="eastAsia" w:ascii="Times New Roman" w:hAnsi="Times New Roman"/>
          <w:spacing w:val="-6"/>
          <w:lang w:eastAsia="zh-CN"/>
        </w:rPr>
        <w:t>日</w:t>
      </w:r>
      <w:r>
        <w:rPr>
          <w:rFonts w:ascii="Times New Roman" w:hAnsi="Times New Roman"/>
          <w:spacing w:val="-6"/>
          <w:lang w:eastAsia="zh-CN"/>
        </w:rPr>
        <w:t>；</w:t>
      </w:r>
    </w:p>
    <w:p>
      <w:pPr>
        <w:pStyle w:val="21"/>
        <w:spacing w:before="0"/>
        <w:ind w:left="0" w:firstLine="468"/>
        <w:rPr>
          <w:rFonts w:ascii="Times New Roman" w:hAnsi="Times New Roman"/>
          <w:spacing w:val="-6"/>
          <w:lang w:eastAsia="zh-CN"/>
        </w:rPr>
      </w:pPr>
      <w:r>
        <w:rPr>
          <w:rFonts w:ascii="Times New Roman" w:hAnsi="Times New Roman"/>
          <w:spacing w:val="-6"/>
          <w:lang w:eastAsia="zh-CN"/>
        </w:rPr>
        <w:t>（6）《土壤污染防治行动计划》（国发〔2016〕31号），2016</w:t>
      </w:r>
      <w:r>
        <w:rPr>
          <w:rFonts w:hint="eastAsia" w:ascii="Times New Roman" w:hAnsi="Times New Roman"/>
          <w:spacing w:val="-6"/>
          <w:lang w:eastAsia="zh-CN"/>
        </w:rPr>
        <w:t>年</w:t>
      </w:r>
      <w:r>
        <w:rPr>
          <w:rFonts w:ascii="Times New Roman" w:hAnsi="Times New Roman"/>
          <w:spacing w:val="-6"/>
          <w:lang w:eastAsia="zh-CN"/>
        </w:rPr>
        <w:t>5</w:t>
      </w:r>
      <w:r>
        <w:rPr>
          <w:rFonts w:hint="eastAsia" w:ascii="Times New Roman" w:hAnsi="Times New Roman"/>
          <w:spacing w:val="-6"/>
          <w:lang w:eastAsia="zh-CN"/>
        </w:rPr>
        <w:t>月</w:t>
      </w:r>
      <w:r>
        <w:rPr>
          <w:rFonts w:ascii="Times New Roman" w:hAnsi="Times New Roman"/>
          <w:spacing w:val="-6"/>
          <w:lang w:eastAsia="zh-CN"/>
        </w:rPr>
        <w:t>28</w:t>
      </w:r>
      <w:r>
        <w:rPr>
          <w:rFonts w:hint="eastAsia" w:ascii="Times New Roman" w:hAnsi="Times New Roman"/>
          <w:spacing w:val="-6"/>
          <w:lang w:eastAsia="zh-CN"/>
        </w:rPr>
        <w:t>日</w:t>
      </w:r>
    </w:p>
    <w:p>
      <w:pPr>
        <w:pStyle w:val="21"/>
        <w:spacing w:before="0"/>
        <w:ind w:left="0" w:firstLine="468"/>
        <w:rPr>
          <w:rFonts w:ascii="Times New Roman" w:hAnsi="Times New Roman"/>
          <w:spacing w:val="-6"/>
          <w:lang w:eastAsia="zh-CN"/>
        </w:rPr>
      </w:pPr>
      <w:r>
        <w:rPr>
          <w:rFonts w:ascii="Times New Roman" w:hAnsi="Times New Roman"/>
          <w:spacing w:val="-6"/>
          <w:lang w:eastAsia="zh-CN"/>
        </w:rPr>
        <w:t>（7）《中华人民共和国陆生野生动物保护实施条例》（2016</w:t>
      </w:r>
      <w:r>
        <w:rPr>
          <w:rFonts w:hint="eastAsia" w:ascii="Times New Roman" w:hAnsi="Times New Roman"/>
          <w:spacing w:val="-6"/>
          <w:lang w:eastAsia="zh-CN"/>
        </w:rPr>
        <w:t>年</w:t>
      </w:r>
      <w:r>
        <w:rPr>
          <w:rFonts w:ascii="Times New Roman" w:hAnsi="Times New Roman"/>
          <w:spacing w:val="-6"/>
          <w:lang w:eastAsia="zh-CN"/>
        </w:rPr>
        <w:t>2</w:t>
      </w:r>
      <w:r>
        <w:rPr>
          <w:rFonts w:hint="eastAsia" w:ascii="Times New Roman" w:hAnsi="Times New Roman"/>
          <w:spacing w:val="-6"/>
          <w:lang w:eastAsia="zh-CN"/>
        </w:rPr>
        <w:t>月</w:t>
      </w:r>
      <w:r>
        <w:rPr>
          <w:rFonts w:ascii="Times New Roman" w:hAnsi="Times New Roman"/>
          <w:spacing w:val="-6"/>
          <w:lang w:eastAsia="zh-CN"/>
        </w:rPr>
        <w:t>6</w:t>
      </w:r>
      <w:r>
        <w:rPr>
          <w:rFonts w:hint="eastAsia" w:ascii="Times New Roman" w:hAnsi="Times New Roman"/>
          <w:spacing w:val="-6"/>
          <w:lang w:eastAsia="zh-CN"/>
        </w:rPr>
        <w:t>日</w:t>
      </w:r>
      <w:r>
        <w:rPr>
          <w:rFonts w:ascii="Times New Roman" w:hAnsi="Times New Roman"/>
          <w:spacing w:val="-6"/>
          <w:lang w:eastAsia="zh-CN"/>
        </w:rPr>
        <w:t>修订）；</w:t>
      </w:r>
    </w:p>
    <w:p>
      <w:pPr>
        <w:pStyle w:val="21"/>
        <w:spacing w:before="0"/>
        <w:ind w:left="0" w:firstLine="468"/>
        <w:jc w:val="both"/>
        <w:rPr>
          <w:rFonts w:ascii="Times New Roman" w:hAnsi="Times New Roman"/>
          <w:color w:val="000000" w:themeColor="text1"/>
          <w:spacing w:val="-4"/>
          <w:lang w:eastAsia="zh-CN"/>
          <w14:textFill>
            <w14:solidFill>
              <w14:schemeClr w14:val="tx1"/>
            </w14:solidFill>
          </w14:textFill>
        </w:rPr>
      </w:pPr>
      <w:r>
        <w:rPr>
          <w:rFonts w:ascii="Times New Roman" w:hAnsi="Times New Roman"/>
          <w:spacing w:val="-6"/>
          <w:lang w:eastAsia="zh-CN"/>
        </w:rPr>
        <w:t>（8）《中华人民共和国野生植物保护条例》（2017</w:t>
      </w:r>
      <w:r>
        <w:rPr>
          <w:rFonts w:hint="eastAsia" w:ascii="Times New Roman" w:hAnsi="Times New Roman"/>
          <w:spacing w:val="-6"/>
          <w:lang w:eastAsia="zh-CN"/>
        </w:rPr>
        <w:t>年</w:t>
      </w:r>
      <w:r>
        <w:rPr>
          <w:rFonts w:ascii="Times New Roman" w:hAnsi="Times New Roman"/>
          <w:spacing w:val="-6"/>
          <w:lang w:eastAsia="zh-CN"/>
        </w:rPr>
        <w:t>10</w:t>
      </w:r>
      <w:r>
        <w:rPr>
          <w:rFonts w:hint="eastAsia" w:ascii="Times New Roman" w:hAnsi="Times New Roman"/>
          <w:spacing w:val="-6"/>
          <w:lang w:eastAsia="zh-CN"/>
        </w:rPr>
        <w:t>月</w:t>
      </w:r>
      <w:r>
        <w:rPr>
          <w:rFonts w:ascii="Times New Roman" w:hAnsi="Times New Roman"/>
          <w:spacing w:val="-6"/>
          <w:lang w:eastAsia="zh-CN"/>
        </w:rPr>
        <w:t>7</w:t>
      </w:r>
      <w:r>
        <w:rPr>
          <w:rFonts w:hint="eastAsia" w:ascii="Times New Roman" w:hAnsi="Times New Roman"/>
          <w:spacing w:val="-6"/>
          <w:lang w:eastAsia="zh-CN"/>
        </w:rPr>
        <w:t>日</w:t>
      </w:r>
      <w:r>
        <w:rPr>
          <w:rFonts w:ascii="Times New Roman" w:hAnsi="Times New Roman"/>
          <w:spacing w:val="-6"/>
          <w:lang w:eastAsia="zh-CN"/>
        </w:rPr>
        <w:t>修订）</w:t>
      </w:r>
      <w:r>
        <w:rPr>
          <w:rFonts w:ascii="Times New Roman" w:hAnsi="Times New Roman"/>
          <w:color w:val="000000" w:themeColor="text1"/>
          <w:spacing w:val="-7"/>
          <w:lang w:eastAsia="zh-CN"/>
          <w14:textFill>
            <w14:solidFill>
              <w14:schemeClr w14:val="tx1"/>
            </w14:solidFill>
          </w14:textFill>
        </w:rPr>
        <w:t>。</w:t>
      </w:r>
    </w:p>
    <w:p>
      <w:pPr>
        <w:pStyle w:val="4"/>
        <w:ind w:firstLine="241"/>
        <w:rPr>
          <w:b w:val="0"/>
        </w:rPr>
      </w:pPr>
      <w:r>
        <w:rPr>
          <w:rFonts w:hint="eastAsia"/>
        </w:rPr>
        <w:t>2.3.3</w:t>
      </w:r>
      <w:r>
        <w:t>部门规章</w:t>
      </w:r>
      <w:bookmarkEnd w:id="27"/>
    </w:p>
    <w:p>
      <w:pPr>
        <w:pStyle w:val="606"/>
        <w:numPr>
          <w:ilvl w:val="0"/>
          <w:numId w:val="3"/>
        </w:numPr>
        <w:ind w:left="0" w:firstLine="480" w:firstLineChars="200"/>
      </w:pPr>
      <w:bookmarkStart w:id="28" w:name="_Hlk152591270"/>
      <w:r>
        <w:t>《自然资源部 关于进一步做好用地用海要素保障的通知》（自然资发〔2023〕89号）</w:t>
      </w:r>
    </w:p>
    <w:p>
      <w:pPr>
        <w:pStyle w:val="606"/>
        <w:numPr>
          <w:ilvl w:val="0"/>
          <w:numId w:val="3"/>
        </w:numPr>
        <w:ind w:left="0" w:firstLine="480" w:firstLineChars="200"/>
      </w:pPr>
      <w:r>
        <w:t>《自然资源部 农业农村部关于加强和改进永久基本农田保护工作的通知》（自然资规〔2019〕1号）；</w:t>
      </w:r>
    </w:p>
    <w:p>
      <w:pPr>
        <w:pStyle w:val="606"/>
        <w:numPr>
          <w:ilvl w:val="0"/>
          <w:numId w:val="3"/>
        </w:numPr>
        <w:ind w:left="0" w:firstLine="480" w:firstLineChars="200"/>
      </w:pPr>
      <w:r>
        <w:t>《自然资源部关于做好占用永久基本农田重大建设项目用地预审的通知》（自然资规〔2018〕3号）；</w:t>
      </w:r>
    </w:p>
    <w:p>
      <w:pPr>
        <w:pStyle w:val="606"/>
        <w:numPr>
          <w:ilvl w:val="0"/>
          <w:numId w:val="3"/>
        </w:numPr>
        <w:ind w:left="0" w:firstLine="480" w:firstLineChars="200"/>
      </w:pPr>
      <w:r>
        <w:t>《自然资源部关于规范临时用地管理的通知》（自然资规〔2021〕2号）；</w:t>
      </w:r>
    </w:p>
    <w:p>
      <w:pPr>
        <w:pStyle w:val="606"/>
        <w:numPr>
          <w:ilvl w:val="0"/>
          <w:numId w:val="3"/>
        </w:numPr>
        <w:ind w:left="0" w:firstLine="480" w:firstLineChars="200"/>
      </w:pPr>
      <w:r>
        <w:t>《自然资源部 农业农村部 国家林业和草原局关于严格耕地用途管制有关问题的通知》（自然资发〔2021〕166号）；</w:t>
      </w:r>
    </w:p>
    <w:p>
      <w:pPr>
        <w:pStyle w:val="606"/>
        <w:numPr>
          <w:ilvl w:val="0"/>
          <w:numId w:val="3"/>
        </w:numPr>
        <w:ind w:left="0" w:firstLine="480" w:firstLineChars="200"/>
      </w:pPr>
      <w:bookmarkStart w:id="29" w:name="_Hlk152591243"/>
      <w:r>
        <w:t>自然资源部 生态环境部 国家林业和草原局《关于加强生态保护红线管理的通知（试行）》自然资发〔2022〕142号</w:t>
      </w:r>
      <w:bookmarkEnd w:id="29"/>
      <w:r>
        <w:t>；</w:t>
      </w:r>
    </w:p>
    <w:p>
      <w:pPr>
        <w:pStyle w:val="606"/>
        <w:numPr>
          <w:ilvl w:val="0"/>
          <w:numId w:val="3"/>
        </w:numPr>
        <w:ind w:left="0" w:firstLine="480" w:firstLineChars="200"/>
      </w:pPr>
      <w:r>
        <w:t>《关于进一步加强建设项目环境保护管理工作的通知》（环发〔2001〕19号，2001.2.21）；</w:t>
      </w:r>
    </w:p>
    <w:p>
      <w:pPr>
        <w:pStyle w:val="606"/>
        <w:numPr>
          <w:ilvl w:val="0"/>
          <w:numId w:val="3"/>
        </w:numPr>
        <w:ind w:left="0" w:firstLine="480" w:firstLineChars="200"/>
      </w:pPr>
      <w:r>
        <w:t>《关于进一步加强石油天然气行业环境影响评价管理的通知》（环办环评函〔2019〕910号）；</w:t>
      </w:r>
    </w:p>
    <w:p>
      <w:pPr>
        <w:pStyle w:val="606"/>
        <w:numPr>
          <w:ilvl w:val="0"/>
          <w:numId w:val="3"/>
        </w:numPr>
        <w:ind w:left="0" w:firstLine="480" w:firstLineChars="200"/>
      </w:pPr>
      <w:r>
        <w:t>《环境影响评价公众参与办法》（2018年7月16日）；</w:t>
      </w:r>
    </w:p>
    <w:p>
      <w:pPr>
        <w:pStyle w:val="606"/>
        <w:numPr>
          <w:ilvl w:val="0"/>
          <w:numId w:val="3"/>
        </w:numPr>
        <w:ind w:left="0" w:firstLine="480" w:firstLineChars="200"/>
      </w:pPr>
      <w:r>
        <w:t>《突发环境事件应急管理办法》（部令第34号，2015</w:t>
      </w:r>
      <w:r>
        <w:rPr>
          <w:rFonts w:hint="eastAsia"/>
        </w:rPr>
        <w:t>年</w:t>
      </w:r>
      <w:r>
        <w:t>6</w:t>
      </w:r>
      <w:r>
        <w:rPr>
          <w:rFonts w:hint="eastAsia"/>
        </w:rPr>
        <w:t>月</w:t>
      </w:r>
      <w:r>
        <w:t>5</w:t>
      </w:r>
      <w:r>
        <w:rPr>
          <w:rFonts w:hint="eastAsia"/>
        </w:rPr>
        <w:t>日</w:t>
      </w:r>
      <w:r>
        <w:t>）；</w:t>
      </w:r>
    </w:p>
    <w:p>
      <w:pPr>
        <w:pStyle w:val="606"/>
        <w:numPr>
          <w:ilvl w:val="0"/>
          <w:numId w:val="3"/>
        </w:numPr>
        <w:ind w:left="0" w:firstLine="480" w:firstLineChars="200"/>
      </w:pPr>
      <w:r>
        <w:t>《关于进一步加强环境影响评价管理防范环境风险的通知》（环发〔2012〕77号，2012</w:t>
      </w:r>
      <w:r>
        <w:rPr>
          <w:rFonts w:hint="eastAsia"/>
        </w:rPr>
        <w:t>年</w:t>
      </w:r>
      <w:r>
        <w:t>7</w:t>
      </w:r>
      <w:r>
        <w:rPr>
          <w:rFonts w:hint="eastAsia"/>
        </w:rPr>
        <w:t>月</w:t>
      </w:r>
      <w:r>
        <w:t>3</w:t>
      </w:r>
      <w:r>
        <w:rPr>
          <w:rFonts w:hint="eastAsia"/>
        </w:rPr>
        <w:t>日</w:t>
      </w:r>
      <w:r>
        <w:t>）；</w:t>
      </w:r>
    </w:p>
    <w:p>
      <w:pPr>
        <w:pStyle w:val="606"/>
        <w:numPr>
          <w:ilvl w:val="0"/>
          <w:numId w:val="3"/>
        </w:numPr>
        <w:ind w:left="0" w:firstLine="480" w:firstLineChars="200"/>
      </w:pPr>
      <w:r>
        <w:t>《关于切实加强风险防范严格环境影响评价管理的通知》（环发〔2012〕98号，2012</w:t>
      </w:r>
      <w:r>
        <w:rPr>
          <w:rFonts w:hint="eastAsia"/>
        </w:rPr>
        <w:t>年</w:t>
      </w:r>
      <w:r>
        <w:t>8</w:t>
      </w:r>
      <w:r>
        <w:rPr>
          <w:rFonts w:hint="eastAsia"/>
        </w:rPr>
        <w:t>月</w:t>
      </w:r>
      <w:r>
        <w:t>8</w:t>
      </w:r>
      <w:r>
        <w:rPr>
          <w:rFonts w:hint="eastAsia"/>
        </w:rPr>
        <w:t>日</w:t>
      </w:r>
      <w:r>
        <w:t>）；</w:t>
      </w:r>
    </w:p>
    <w:p>
      <w:pPr>
        <w:pStyle w:val="606"/>
        <w:numPr>
          <w:ilvl w:val="0"/>
          <w:numId w:val="3"/>
        </w:numPr>
        <w:ind w:left="0" w:firstLine="480" w:firstLineChars="200"/>
      </w:pPr>
      <w:r>
        <w:t>《石油天然气开采业污染防治技术政策》（环保部公告2012年第18号，2012</w:t>
      </w:r>
      <w:r>
        <w:rPr>
          <w:rFonts w:hint="eastAsia"/>
        </w:rPr>
        <w:t>年</w:t>
      </w:r>
      <w:r>
        <w:t>03</w:t>
      </w:r>
      <w:r>
        <w:rPr>
          <w:rFonts w:hint="eastAsia"/>
        </w:rPr>
        <w:t>月</w:t>
      </w:r>
      <w:r>
        <w:t>07</w:t>
      </w:r>
      <w:r>
        <w:rPr>
          <w:rFonts w:hint="eastAsia"/>
        </w:rPr>
        <w:t>日</w:t>
      </w:r>
      <w:r>
        <w:t>实施；</w:t>
      </w:r>
    </w:p>
    <w:p>
      <w:pPr>
        <w:pStyle w:val="606"/>
        <w:numPr>
          <w:ilvl w:val="0"/>
          <w:numId w:val="3"/>
        </w:numPr>
        <w:ind w:left="0" w:firstLine="480" w:firstLineChars="200"/>
      </w:pPr>
      <w:r>
        <w:t>《产业结构调整指导目录》（2019年修订）（2020</w:t>
      </w:r>
      <w:r>
        <w:rPr>
          <w:rFonts w:hint="eastAsia"/>
        </w:rPr>
        <w:t>年</w:t>
      </w:r>
      <w:r>
        <w:t>1</w:t>
      </w:r>
      <w:r>
        <w:rPr>
          <w:rFonts w:hint="eastAsia"/>
        </w:rPr>
        <w:t>月</w:t>
      </w:r>
      <w:r>
        <w:t>1</w:t>
      </w:r>
      <w:r>
        <w:rPr>
          <w:rFonts w:hint="eastAsia"/>
        </w:rPr>
        <w:t>日</w:t>
      </w:r>
      <w:r>
        <w:t>施行）；</w:t>
      </w:r>
    </w:p>
    <w:p>
      <w:pPr>
        <w:pStyle w:val="606"/>
        <w:numPr>
          <w:ilvl w:val="0"/>
          <w:numId w:val="3"/>
        </w:numPr>
        <w:ind w:left="0" w:firstLine="480" w:firstLineChars="200"/>
      </w:pPr>
      <w:r>
        <w:t>《国家发展改革委关于修改&lt;产业结构调整指导目录（2019年本）&gt;的决定》（中华人民共和国国家发展和改革委员会令第49号）（2021年修订）；</w:t>
      </w:r>
    </w:p>
    <w:p>
      <w:pPr>
        <w:pStyle w:val="606"/>
        <w:numPr>
          <w:ilvl w:val="0"/>
          <w:numId w:val="3"/>
        </w:numPr>
        <w:ind w:left="0" w:firstLine="480" w:firstLineChars="200"/>
      </w:pPr>
      <w:r>
        <w:t>《关于推进环境保护公众参与的指导意见》（环办〔2014〕48号）；</w:t>
      </w:r>
    </w:p>
    <w:p>
      <w:pPr>
        <w:pStyle w:val="606"/>
        <w:numPr>
          <w:ilvl w:val="0"/>
          <w:numId w:val="3"/>
        </w:numPr>
        <w:ind w:left="0" w:firstLine="480" w:firstLineChars="200"/>
      </w:pPr>
      <w:r>
        <w:t>《关于落实大气污染防治行动计划严格环境影响评价准入的通知》（环办〔2014〕30号）；</w:t>
      </w:r>
    </w:p>
    <w:p>
      <w:pPr>
        <w:pStyle w:val="606"/>
        <w:numPr>
          <w:ilvl w:val="0"/>
          <w:numId w:val="3"/>
        </w:numPr>
        <w:ind w:left="0" w:firstLine="480" w:firstLineChars="200"/>
      </w:pPr>
      <w:r>
        <w:t>《建设项目环境影响评价分类管理名录》，生态环境部令第16号，2021</w:t>
      </w:r>
      <w:r>
        <w:rPr>
          <w:rFonts w:hint="eastAsia"/>
        </w:rPr>
        <w:t>年</w:t>
      </w:r>
      <w:r>
        <w:t>1</w:t>
      </w:r>
      <w:r>
        <w:rPr>
          <w:rFonts w:hint="eastAsia"/>
        </w:rPr>
        <w:t>月</w:t>
      </w:r>
      <w:r>
        <w:t>1</w:t>
      </w:r>
      <w:r>
        <w:rPr>
          <w:rFonts w:hint="eastAsia"/>
        </w:rPr>
        <w:t>日</w:t>
      </w:r>
      <w:r>
        <w:t>起施行；</w:t>
      </w:r>
    </w:p>
    <w:p>
      <w:pPr>
        <w:pStyle w:val="606"/>
        <w:numPr>
          <w:ilvl w:val="0"/>
          <w:numId w:val="3"/>
        </w:numPr>
        <w:ind w:left="0" w:firstLine="480" w:firstLineChars="200"/>
      </w:pPr>
      <w:r>
        <w:t>《国家危险废物名录》环境保护部令第15号，2021</w:t>
      </w:r>
      <w:r>
        <w:rPr>
          <w:rFonts w:hint="eastAsia"/>
        </w:rPr>
        <w:t>年</w:t>
      </w:r>
      <w:r>
        <w:t>1</w:t>
      </w:r>
      <w:r>
        <w:rPr>
          <w:rFonts w:hint="eastAsia"/>
        </w:rPr>
        <w:t>月</w:t>
      </w:r>
      <w:r>
        <w:t>1</w:t>
      </w:r>
      <w:r>
        <w:rPr>
          <w:rFonts w:hint="eastAsia"/>
        </w:rPr>
        <w:t>日</w:t>
      </w:r>
      <w:r>
        <w:t>起施行；</w:t>
      </w:r>
    </w:p>
    <w:p>
      <w:pPr>
        <w:pStyle w:val="606"/>
        <w:numPr>
          <w:ilvl w:val="0"/>
          <w:numId w:val="3"/>
        </w:numPr>
        <w:ind w:left="0" w:firstLine="480" w:firstLineChars="200"/>
      </w:pPr>
      <w:r>
        <w:t>《关于划定并严守生态保护红线的若干意见》（中共中央办公厅、国务院办公厅，2017</w:t>
      </w:r>
      <w:r>
        <w:rPr>
          <w:rFonts w:hint="eastAsia"/>
        </w:rPr>
        <w:t>年</w:t>
      </w:r>
      <w:r>
        <w:t>2</w:t>
      </w:r>
      <w:r>
        <w:rPr>
          <w:rFonts w:hint="eastAsia"/>
        </w:rPr>
        <w:t>月</w:t>
      </w:r>
      <w:r>
        <w:t>7</w:t>
      </w:r>
      <w:r>
        <w:rPr>
          <w:rFonts w:hint="eastAsia"/>
        </w:rPr>
        <w:t>日</w:t>
      </w:r>
      <w:r>
        <w:t>）；</w:t>
      </w:r>
    </w:p>
    <w:p>
      <w:pPr>
        <w:pStyle w:val="606"/>
        <w:numPr>
          <w:ilvl w:val="0"/>
          <w:numId w:val="3"/>
        </w:numPr>
        <w:ind w:left="0" w:firstLine="480" w:firstLineChars="200"/>
      </w:pPr>
      <w:r>
        <w:t>《全国生态环境保护纲要》（国发〔2000〕38号）；</w:t>
      </w:r>
    </w:p>
    <w:p>
      <w:pPr>
        <w:pStyle w:val="606"/>
        <w:numPr>
          <w:ilvl w:val="0"/>
          <w:numId w:val="3"/>
        </w:numPr>
        <w:ind w:left="0" w:firstLine="480" w:firstLineChars="200"/>
      </w:pPr>
      <w:r>
        <w:t>《国家重点生态功能保护区规划纲要》（环发〔2007〕165号）；</w:t>
      </w:r>
    </w:p>
    <w:p>
      <w:pPr>
        <w:pStyle w:val="606"/>
        <w:numPr>
          <w:ilvl w:val="0"/>
          <w:numId w:val="3"/>
        </w:numPr>
        <w:ind w:left="0" w:firstLine="480" w:firstLineChars="200"/>
      </w:pPr>
      <w:r>
        <w:t>《全国生态功能区划（修编版）》（环境保护部、中国科学院公告2015年第61号）；</w:t>
      </w:r>
    </w:p>
    <w:p>
      <w:pPr>
        <w:pStyle w:val="606"/>
        <w:numPr>
          <w:ilvl w:val="0"/>
          <w:numId w:val="3"/>
        </w:numPr>
        <w:ind w:left="0" w:firstLine="480" w:firstLineChars="200"/>
      </w:pPr>
      <w:r>
        <w:t>《关于加强国家重点生态功能区环境保护和管理的意见》（环发〔2013〕16号）；</w:t>
      </w:r>
    </w:p>
    <w:p>
      <w:pPr>
        <w:pStyle w:val="606"/>
        <w:numPr>
          <w:ilvl w:val="0"/>
          <w:numId w:val="3"/>
        </w:numPr>
        <w:ind w:left="0" w:firstLine="480" w:firstLineChars="200"/>
      </w:pPr>
      <w:r>
        <w:t>《关于推进污水资源化利用的指导意见》（发改环资〔2021〕13号）；</w:t>
      </w:r>
    </w:p>
    <w:p>
      <w:pPr>
        <w:pStyle w:val="606"/>
        <w:numPr>
          <w:ilvl w:val="0"/>
          <w:numId w:val="3"/>
        </w:numPr>
        <w:ind w:left="0" w:firstLine="480" w:firstLineChars="200"/>
      </w:pPr>
      <w:r>
        <w:t>《危险废物环境管理指南 陆上石油天然气开采》（生态环境部公告2021年第74号）；</w:t>
      </w:r>
    </w:p>
    <w:p>
      <w:pPr>
        <w:pStyle w:val="606"/>
        <w:numPr>
          <w:ilvl w:val="0"/>
          <w:numId w:val="3"/>
        </w:numPr>
        <w:ind w:left="0" w:firstLine="480" w:firstLineChars="200"/>
      </w:pPr>
      <w:bookmarkStart w:id="30" w:name="_Hlk152591366"/>
      <w:r>
        <w:t>《四川省自然资源厅关于进一步明确临时用地管理有关事项的通知》（川自然资规〔2022〕3号）</w:t>
      </w:r>
      <w:bookmarkEnd w:id="28"/>
      <w:bookmarkEnd w:id="30"/>
      <w:r>
        <w:rPr>
          <w:bCs/>
        </w:rPr>
        <w:t>。</w:t>
      </w:r>
    </w:p>
    <w:p>
      <w:pPr>
        <w:pStyle w:val="4"/>
        <w:ind w:firstLine="241"/>
        <w:rPr>
          <w:b w:val="0"/>
        </w:rPr>
      </w:pPr>
      <w:bookmarkStart w:id="31" w:name="_Toc120173057"/>
      <w:r>
        <w:rPr>
          <w:rFonts w:hint="eastAsia"/>
        </w:rPr>
        <w:t>2.3.4</w:t>
      </w:r>
      <w:r>
        <w:t>地方性法规及规范性文件</w:t>
      </w:r>
      <w:bookmarkEnd w:id="31"/>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（1）《四川省重点保护野生动物名录》（1990</w:t>
      </w:r>
      <w:r>
        <w:rPr>
          <w:rFonts w:hint="eastAsia" w:cs="Times New Roman"/>
          <w:bCs/>
          <w:color w:val="000000" w:themeColor="text1"/>
          <w:szCs w:val="24"/>
          <w14:textFill>
            <w14:solidFill>
              <w14:schemeClr w14:val="tx1"/>
            </w14:solidFill>
          </w14:textFill>
        </w:rPr>
        <w:t>年</w:t>
      </w:r>
      <w:r>
        <w:rPr>
          <w:rFonts w:cs="Times New Roman"/>
          <w:bCs/>
          <w:color w:val="000000" w:themeColor="text1"/>
          <w:szCs w:val="24"/>
          <w14:textFill>
            <w14:solidFill>
              <w14:schemeClr w14:val="tx1"/>
            </w14:solidFill>
          </w14:textFill>
        </w:rPr>
        <w:t>3</w:t>
      </w:r>
      <w:r>
        <w:rPr>
          <w:rFonts w:hint="eastAsia" w:cs="Times New Roman"/>
          <w:bCs/>
          <w:color w:val="000000" w:themeColor="text1"/>
          <w:szCs w:val="24"/>
          <w14:textFill>
            <w14:solidFill>
              <w14:schemeClr w14:val="tx1"/>
            </w14:solidFill>
          </w14:textFill>
        </w:rPr>
        <w:t>月</w:t>
      </w:r>
      <w:r>
        <w:rPr>
          <w:rFonts w:cs="Times New Roman"/>
          <w:bCs/>
          <w:color w:val="000000" w:themeColor="text1"/>
          <w:szCs w:val="24"/>
          <w14:textFill>
            <w14:solidFill>
              <w14:schemeClr w14:val="tx1"/>
            </w14:solidFill>
          </w14:textFill>
        </w:rPr>
        <w:t>12</w:t>
      </w:r>
      <w:r>
        <w:rPr>
          <w:rFonts w:hint="eastAsia" w:cs="Times New Roman"/>
          <w:bCs/>
          <w:color w:val="000000" w:themeColor="text1"/>
          <w:szCs w:val="24"/>
          <w14:textFill>
            <w14:solidFill>
              <w14:schemeClr w14:val="tx1"/>
            </w14:solidFill>
          </w14:textFill>
        </w:rPr>
        <w:t>日</w:t>
      </w:r>
      <w:r>
        <w:rPr>
          <w:rFonts w:cs="Times New Roman"/>
          <w:bCs/>
          <w:color w:val="000000" w:themeColor="text1"/>
          <w:szCs w:val="24"/>
          <w14:textFill>
            <w14:solidFill>
              <w14:schemeClr w14:val="tx1"/>
            </w14:solidFill>
          </w14:textFill>
        </w:rPr>
        <w:t>）；</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（2）《四川省新增重点保护野生动物名录》（2000</w:t>
      </w:r>
      <w:r>
        <w:rPr>
          <w:rFonts w:hint="eastAsia" w:cs="Times New Roman"/>
          <w:bCs/>
          <w:color w:val="000000" w:themeColor="text1"/>
          <w:szCs w:val="24"/>
          <w14:textFill>
            <w14:solidFill>
              <w14:schemeClr w14:val="tx1"/>
            </w14:solidFill>
          </w14:textFill>
        </w:rPr>
        <w:t>年</w:t>
      </w:r>
      <w:r>
        <w:rPr>
          <w:rFonts w:cs="Times New Roman"/>
          <w:bCs/>
          <w:color w:val="000000" w:themeColor="text1"/>
          <w:szCs w:val="24"/>
          <w14:textFill>
            <w14:solidFill>
              <w14:schemeClr w14:val="tx1"/>
            </w14:solidFill>
          </w14:textFill>
        </w:rPr>
        <w:t>9</w:t>
      </w:r>
      <w:r>
        <w:rPr>
          <w:rFonts w:hint="eastAsia" w:cs="Times New Roman"/>
          <w:bCs/>
          <w:color w:val="000000" w:themeColor="text1"/>
          <w:szCs w:val="24"/>
          <w14:textFill>
            <w14:solidFill>
              <w14:schemeClr w14:val="tx1"/>
            </w14:solidFill>
          </w14:textFill>
        </w:rPr>
        <w:t>月</w:t>
      </w:r>
      <w:r>
        <w:rPr>
          <w:rFonts w:cs="Times New Roman"/>
          <w:bCs/>
          <w:color w:val="000000" w:themeColor="text1"/>
          <w:szCs w:val="24"/>
          <w14:textFill>
            <w14:solidFill>
              <w14:schemeClr w14:val="tx1"/>
            </w14:solidFill>
          </w14:textFill>
        </w:rPr>
        <w:t>13</w:t>
      </w:r>
      <w:r>
        <w:rPr>
          <w:rFonts w:hint="eastAsia" w:cs="Times New Roman"/>
          <w:bCs/>
          <w:color w:val="000000" w:themeColor="text1"/>
          <w:szCs w:val="24"/>
          <w14:textFill>
            <w14:solidFill>
              <w14:schemeClr w14:val="tx1"/>
            </w14:solidFill>
          </w14:textFill>
        </w:rPr>
        <w:t>日</w:t>
      </w:r>
      <w:r>
        <w:rPr>
          <w:rFonts w:cs="Times New Roman"/>
          <w:bCs/>
          <w:color w:val="000000" w:themeColor="text1"/>
          <w:szCs w:val="24"/>
          <w14:textFill>
            <w14:solidFill>
              <w14:schemeClr w14:val="tx1"/>
            </w14:solidFill>
          </w14:textFill>
        </w:rPr>
        <w:t>）；</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（3）《四川省永久基本农田保护实施细则》（1996</w:t>
      </w:r>
      <w:r>
        <w:rPr>
          <w:rFonts w:hint="eastAsia" w:cs="Times New Roman"/>
          <w:bCs/>
          <w:color w:val="000000" w:themeColor="text1"/>
          <w:szCs w:val="24"/>
          <w14:textFill>
            <w14:solidFill>
              <w14:schemeClr w14:val="tx1"/>
            </w14:solidFill>
          </w14:textFill>
        </w:rPr>
        <w:t>年</w:t>
      </w:r>
      <w:r>
        <w:rPr>
          <w:rFonts w:cs="Times New Roman"/>
          <w:bCs/>
          <w:color w:val="000000" w:themeColor="text1"/>
          <w:szCs w:val="24"/>
          <w14:textFill>
            <w14:solidFill>
              <w14:schemeClr w14:val="tx1"/>
            </w14:solidFill>
          </w14:textFill>
        </w:rPr>
        <w:t>2</w:t>
      </w:r>
      <w:r>
        <w:rPr>
          <w:rFonts w:hint="eastAsia" w:cs="Times New Roman"/>
          <w:bCs/>
          <w:color w:val="000000" w:themeColor="text1"/>
          <w:szCs w:val="24"/>
          <w14:textFill>
            <w14:solidFill>
              <w14:schemeClr w14:val="tx1"/>
            </w14:solidFill>
          </w14:textFill>
        </w:rPr>
        <w:t>月</w:t>
      </w:r>
      <w:r>
        <w:rPr>
          <w:rFonts w:cs="Times New Roman"/>
          <w:bCs/>
          <w:color w:val="000000" w:themeColor="text1"/>
          <w:szCs w:val="24"/>
          <w14:textFill>
            <w14:solidFill>
              <w14:schemeClr w14:val="tx1"/>
            </w14:solidFill>
          </w14:textFill>
        </w:rPr>
        <w:t>29</w:t>
      </w:r>
      <w:r>
        <w:rPr>
          <w:rFonts w:hint="eastAsia" w:cs="Times New Roman"/>
          <w:bCs/>
          <w:color w:val="000000" w:themeColor="text1"/>
          <w:szCs w:val="24"/>
          <w14:textFill>
            <w14:solidFill>
              <w14:schemeClr w14:val="tx1"/>
            </w14:solidFill>
          </w14:textFill>
        </w:rPr>
        <w:t>日</w:t>
      </w:r>
      <w:r>
        <w:rPr>
          <w:rFonts w:cs="Times New Roman"/>
          <w:bCs/>
          <w:color w:val="000000" w:themeColor="text1"/>
          <w:szCs w:val="24"/>
          <w14:textFill>
            <w14:solidFill>
              <w14:schemeClr w14:val="tx1"/>
            </w14:solidFill>
          </w14:textFill>
        </w:rPr>
        <w:t>）；</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（4）《四川省环境保护条例》（2017年9月22日修订）；</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（5）《四川省生态功能区划》（2010年）；</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（6）《四川省主体功能区规划》（川府发〔2013〕16号文）；</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（7）《关于进一步加强我省农村饮用水水源保护区环境保护工作的通知》（川环办发〔2011〕98号）；</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（8）《四川省〈中华人民共和国野生动物保护法〉实施办法》（2012</w:t>
      </w:r>
      <w:r>
        <w:rPr>
          <w:rFonts w:hint="eastAsia" w:cs="Times New Roman"/>
          <w:bCs/>
          <w:color w:val="000000" w:themeColor="text1"/>
          <w:szCs w:val="24"/>
          <w14:textFill>
            <w14:solidFill>
              <w14:schemeClr w14:val="tx1"/>
            </w14:solidFill>
          </w14:textFill>
        </w:rPr>
        <w:t>年</w:t>
      </w:r>
      <w:r>
        <w:rPr>
          <w:rFonts w:cs="Times New Roman"/>
          <w:bCs/>
          <w:color w:val="000000" w:themeColor="text1"/>
          <w:szCs w:val="24"/>
          <w14:textFill>
            <w14:solidFill>
              <w14:schemeClr w14:val="tx1"/>
            </w14:solidFill>
          </w14:textFill>
        </w:rPr>
        <w:t>7</w:t>
      </w:r>
      <w:r>
        <w:rPr>
          <w:rFonts w:hint="eastAsia" w:cs="Times New Roman"/>
          <w:bCs/>
          <w:color w:val="000000" w:themeColor="text1"/>
          <w:szCs w:val="24"/>
          <w14:textFill>
            <w14:solidFill>
              <w14:schemeClr w14:val="tx1"/>
            </w14:solidFill>
          </w14:textFill>
        </w:rPr>
        <w:t>月</w:t>
      </w:r>
      <w:r>
        <w:rPr>
          <w:rFonts w:cs="Times New Roman"/>
          <w:bCs/>
          <w:color w:val="000000" w:themeColor="text1"/>
          <w:szCs w:val="24"/>
          <w14:textFill>
            <w14:solidFill>
              <w14:schemeClr w14:val="tx1"/>
            </w14:solidFill>
          </w14:textFill>
        </w:rPr>
        <w:t>27</w:t>
      </w:r>
      <w:r>
        <w:rPr>
          <w:rFonts w:hint="eastAsia" w:cs="Times New Roman"/>
          <w:bCs/>
          <w:color w:val="000000" w:themeColor="text1"/>
          <w:szCs w:val="24"/>
          <w14:textFill>
            <w14:solidFill>
              <w14:schemeClr w14:val="tx1"/>
            </w14:solidFill>
          </w14:textFill>
        </w:rPr>
        <w:t>日</w:t>
      </w:r>
      <w:r>
        <w:rPr>
          <w:rFonts w:cs="Times New Roman"/>
          <w:bCs/>
          <w:color w:val="000000" w:themeColor="text1"/>
          <w:szCs w:val="24"/>
          <w14:textFill>
            <w14:solidFill>
              <w14:schemeClr w14:val="tx1"/>
            </w14:solidFill>
          </w14:textFill>
        </w:rPr>
        <w:t>）；</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（9）《四川省&lt;中华人民共和国水土保持法&gt;实施办法》（2012</w:t>
      </w:r>
      <w:r>
        <w:rPr>
          <w:rFonts w:hint="eastAsia" w:cs="Times New Roman"/>
          <w:bCs/>
          <w:color w:val="000000" w:themeColor="text1"/>
          <w:szCs w:val="24"/>
          <w14:textFill>
            <w14:solidFill>
              <w14:schemeClr w14:val="tx1"/>
            </w14:solidFill>
          </w14:textFill>
        </w:rPr>
        <w:t>年</w:t>
      </w:r>
      <w:r>
        <w:rPr>
          <w:rFonts w:cs="Times New Roman"/>
          <w:bCs/>
          <w:color w:val="000000" w:themeColor="text1"/>
          <w:szCs w:val="24"/>
          <w14:textFill>
            <w14:solidFill>
              <w14:schemeClr w14:val="tx1"/>
            </w14:solidFill>
          </w14:textFill>
        </w:rPr>
        <w:t>12</w:t>
      </w:r>
      <w:r>
        <w:rPr>
          <w:rFonts w:hint="eastAsia" w:cs="Times New Roman"/>
          <w:bCs/>
          <w:color w:val="000000" w:themeColor="text1"/>
          <w:szCs w:val="24"/>
          <w14:textFill>
            <w14:solidFill>
              <w14:schemeClr w14:val="tx1"/>
            </w14:solidFill>
          </w14:textFill>
        </w:rPr>
        <w:t>月</w:t>
      </w:r>
      <w:r>
        <w:rPr>
          <w:rFonts w:cs="Times New Roman"/>
          <w:bCs/>
          <w:color w:val="000000" w:themeColor="text1"/>
          <w:szCs w:val="24"/>
          <w14:textFill>
            <w14:solidFill>
              <w14:schemeClr w14:val="tx1"/>
            </w14:solidFill>
          </w14:textFill>
        </w:rPr>
        <w:t>1</w:t>
      </w:r>
      <w:r>
        <w:rPr>
          <w:rFonts w:hint="eastAsia" w:cs="Times New Roman"/>
          <w:bCs/>
          <w:color w:val="000000" w:themeColor="text1"/>
          <w:szCs w:val="24"/>
          <w14:textFill>
            <w14:solidFill>
              <w14:schemeClr w14:val="tx1"/>
            </w14:solidFill>
          </w14:textFill>
        </w:rPr>
        <w:t>日</w:t>
      </w:r>
      <w:r>
        <w:rPr>
          <w:rFonts w:cs="Times New Roman"/>
          <w:bCs/>
          <w:color w:val="000000" w:themeColor="text1"/>
          <w:szCs w:val="24"/>
          <w14:textFill>
            <w14:solidFill>
              <w14:schemeClr w14:val="tx1"/>
            </w14:solidFill>
          </w14:textFill>
        </w:rPr>
        <w:t>）；</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（10）《四川省固体废物污染环境防治条例》（2022</w:t>
      </w:r>
      <w:r>
        <w:rPr>
          <w:rFonts w:hint="eastAsia" w:cs="Times New Roman"/>
          <w:bCs/>
          <w:color w:val="000000" w:themeColor="text1"/>
          <w:szCs w:val="24"/>
          <w14:textFill>
            <w14:solidFill>
              <w14:schemeClr w14:val="tx1"/>
            </w14:solidFill>
          </w14:textFill>
        </w:rPr>
        <w:t>年</w:t>
      </w:r>
      <w:r>
        <w:rPr>
          <w:rFonts w:cs="Times New Roman"/>
          <w:bCs/>
          <w:color w:val="000000" w:themeColor="text1"/>
          <w:szCs w:val="24"/>
          <w14:textFill>
            <w14:solidFill>
              <w14:schemeClr w14:val="tx1"/>
            </w14:solidFill>
          </w14:textFill>
        </w:rPr>
        <w:t>6</w:t>
      </w:r>
      <w:r>
        <w:rPr>
          <w:rFonts w:hint="eastAsia" w:cs="Times New Roman"/>
          <w:bCs/>
          <w:color w:val="000000" w:themeColor="text1"/>
          <w:szCs w:val="24"/>
          <w14:textFill>
            <w14:solidFill>
              <w14:schemeClr w14:val="tx1"/>
            </w14:solidFill>
          </w14:textFill>
        </w:rPr>
        <w:t>月</w:t>
      </w:r>
      <w:r>
        <w:rPr>
          <w:rFonts w:cs="Times New Roman"/>
          <w:bCs/>
          <w:color w:val="000000" w:themeColor="text1"/>
          <w:szCs w:val="24"/>
          <w14:textFill>
            <w14:solidFill>
              <w14:schemeClr w14:val="tx1"/>
            </w14:solidFill>
          </w14:textFill>
        </w:rPr>
        <w:t>9</w:t>
      </w:r>
      <w:r>
        <w:rPr>
          <w:rFonts w:hint="eastAsia" w:cs="Times New Roman"/>
          <w:bCs/>
          <w:color w:val="000000" w:themeColor="text1"/>
          <w:szCs w:val="24"/>
          <w14:textFill>
            <w14:solidFill>
              <w14:schemeClr w14:val="tx1"/>
            </w14:solidFill>
          </w14:textFill>
        </w:rPr>
        <w:t>日</w:t>
      </w:r>
      <w:r>
        <w:rPr>
          <w:rFonts w:cs="Times New Roman"/>
          <w:bCs/>
          <w:color w:val="000000" w:themeColor="text1"/>
          <w:szCs w:val="24"/>
          <w14:textFill>
            <w14:solidFill>
              <w14:schemeClr w14:val="tx1"/>
            </w14:solidFill>
          </w14:textFill>
        </w:rPr>
        <w:t>修订）；</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（11）《四川省国民经济和社会发展第十四个五年规划和二〇三五年远景目标纲要》（2021</w:t>
      </w:r>
      <w:r>
        <w:rPr>
          <w:rFonts w:hint="eastAsia" w:cs="Times New Roman"/>
          <w:bCs/>
          <w:color w:val="000000" w:themeColor="text1"/>
          <w:szCs w:val="24"/>
          <w14:textFill>
            <w14:solidFill>
              <w14:schemeClr w14:val="tx1"/>
            </w14:solidFill>
          </w14:textFill>
        </w:rPr>
        <w:t>年</w:t>
      </w:r>
      <w:r>
        <w:rPr>
          <w:rFonts w:cs="Times New Roman"/>
          <w:bCs/>
          <w:color w:val="000000" w:themeColor="text1"/>
          <w:szCs w:val="24"/>
          <w14:textFill>
            <w14:solidFill>
              <w14:schemeClr w14:val="tx1"/>
            </w14:solidFill>
          </w14:textFill>
        </w:rPr>
        <w:t>2</w:t>
      </w:r>
      <w:r>
        <w:rPr>
          <w:rFonts w:hint="eastAsia" w:cs="Times New Roman"/>
          <w:bCs/>
          <w:color w:val="000000" w:themeColor="text1"/>
          <w:szCs w:val="24"/>
          <w14:textFill>
            <w14:solidFill>
              <w14:schemeClr w14:val="tx1"/>
            </w14:solidFill>
          </w14:textFill>
        </w:rPr>
        <w:t>月</w:t>
      </w:r>
      <w:r>
        <w:rPr>
          <w:rFonts w:cs="Times New Roman"/>
          <w:bCs/>
          <w:color w:val="000000" w:themeColor="text1"/>
          <w:szCs w:val="24"/>
          <w14:textFill>
            <w14:solidFill>
              <w14:schemeClr w14:val="tx1"/>
            </w14:solidFill>
          </w14:textFill>
        </w:rPr>
        <w:t>2</w:t>
      </w:r>
      <w:r>
        <w:rPr>
          <w:rFonts w:hint="eastAsia" w:cs="Times New Roman"/>
          <w:bCs/>
          <w:color w:val="000000" w:themeColor="text1"/>
          <w:szCs w:val="24"/>
          <w14:textFill>
            <w14:solidFill>
              <w14:schemeClr w14:val="tx1"/>
            </w14:solidFill>
          </w14:textFill>
        </w:rPr>
        <w:t>日</w:t>
      </w:r>
      <w:r>
        <w:rPr>
          <w:rFonts w:cs="Times New Roman"/>
          <w:bCs/>
          <w:color w:val="000000" w:themeColor="text1"/>
          <w:szCs w:val="24"/>
          <w14:textFill>
            <w14:solidFill>
              <w14:schemeClr w14:val="tx1"/>
            </w14:solidFill>
          </w14:textFill>
        </w:rPr>
        <w:t>）；</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（12）《四川省自然保护区管理条例》（2018</w:t>
      </w:r>
      <w:r>
        <w:rPr>
          <w:rFonts w:hint="eastAsia" w:cs="Times New Roman"/>
          <w:bCs/>
          <w:color w:val="000000" w:themeColor="text1"/>
          <w:szCs w:val="24"/>
          <w14:textFill>
            <w14:solidFill>
              <w14:schemeClr w14:val="tx1"/>
            </w14:solidFill>
          </w14:textFill>
        </w:rPr>
        <w:t>年</w:t>
      </w:r>
      <w:r>
        <w:rPr>
          <w:rFonts w:cs="Times New Roman"/>
          <w:bCs/>
          <w:color w:val="000000" w:themeColor="text1"/>
          <w:szCs w:val="24"/>
          <w14:textFill>
            <w14:solidFill>
              <w14:schemeClr w14:val="tx1"/>
            </w14:solidFill>
          </w14:textFill>
        </w:rPr>
        <w:t>9</w:t>
      </w:r>
      <w:r>
        <w:rPr>
          <w:rFonts w:hint="eastAsia" w:cs="Times New Roman"/>
          <w:bCs/>
          <w:color w:val="000000" w:themeColor="text1"/>
          <w:szCs w:val="24"/>
          <w14:textFill>
            <w14:solidFill>
              <w14:schemeClr w14:val="tx1"/>
            </w14:solidFill>
          </w14:textFill>
        </w:rPr>
        <w:t>年</w:t>
      </w:r>
      <w:r>
        <w:rPr>
          <w:rFonts w:cs="Times New Roman"/>
          <w:bCs/>
          <w:color w:val="000000" w:themeColor="text1"/>
          <w:szCs w:val="24"/>
          <w14:textFill>
            <w14:solidFill>
              <w14:schemeClr w14:val="tx1"/>
            </w14:solidFill>
          </w14:textFill>
        </w:rPr>
        <w:t>30</w:t>
      </w:r>
      <w:r>
        <w:rPr>
          <w:rFonts w:hint="eastAsia" w:cs="Times New Roman"/>
          <w:bCs/>
          <w:color w:val="000000" w:themeColor="text1"/>
          <w:szCs w:val="24"/>
          <w14:textFill>
            <w14:solidFill>
              <w14:schemeClr w14:val="tx1"/>
            </w14:solidFill>
          </w14:textFill>
        </w:rPr>
        <w:t>日</w:t>
      </w:r>
      <w:r>
        <w:rPr>
          <w:rFonts w:cs="Times New Roman"/>
          <w:bCs/>
          <w:color w:val="000000" w:themeColor="text1"/>
          <w:szCs w:val="24"/>
          <w14:textFill>
            <w14:solidFill>
              <w14:schemeClr w14:val="tx1"/>
            </w14:solidFill>
          </w14:textFill>
        </w:rPr>
        <w:t>修订）；</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（13）《四川省生态保护红线实施意见》（2016</w:t>
      </w:r>
      <w:r>
        <w:rPr>
          <w:rFonts w:hint="eastAsia" w:cs="Times New Roman"/>
          <w:bCs/>
          <w:color w:val="000000" w:themeColor="text1"/>
          <w:szCs w:val="24"/>
          <w14:textFill>
            <w14:solidFill>
              <w14:schemeClr w14:val="tx1"/>
            </w14:solidFill>
          </w14:textFill>
        </w:rPr>
        <w:t>年</w:t>
      </w:r>
      <w:r>
        <w:rPr>
          <w:rFonts w:cs="Times New Roman"/>
          <w:bCs/>
          <w:color w:val="000000" w:themeColor="text1"/>
          <w:szCs w:val="24"/>
          <w14:textFill>
            <w14:solidFill>
              <w14:schemeClr w14:val="tx1"/>
            </w14:solidFill>
          </w14:textFill>
        </w:rPr>
        <w:t>9</w:t>
      </w:r>
      <w:r>
        <w:rPr>
          <w:rFonts w:hint="eastAsia" w:cs="Times New Roman"/>
          <w:bCs/>
          <w:color w:val="000000" w:themeColor="text1"/>
          <w:szCs w:val="24"/>
          <w14:textFill>
            <w14:solidFill>
              <w14:schemeClr w14:val="tx1"/>
            </w14:solidFill>
          </w14:textFill>
        </w:rPr>
        <w:t>月</w:t>
      </w:r>
      <w:r>
        <w:rPr>
          <w:rFonts w:cs="Times New Roman"/>
          <w:bCs/>
          <w:color w:val="000000" w:themeColor="text1"/>
          <w:szCs w:val="24"/>
          <w14:textFill>
            <w14:solidFill>
              <w14:schemeClr w14:val="tx1"/>
            </w14:solidFill>
          </w14:textFill>
        </w:rPr>
        <w:t>30</w:t>
      </w:r>
      <w:r>
        <w:rPr>
          <w:rFonts w:hint="eastAsia" w:cs="Times New Roman"/>
          <w:bCs/>
          <w:color w:val="000000" w:themeColor="text1"/>
          <w:szCs w:val="24"/>
          <w14:textFill>
            <w14:solidFill>
              <w14:schemeClr w14:val="tx1"/>
            </w14:solidFill>
          </w14:textFill>
        </w:rPr>
        <w:t>日</w:t>
      </w:r>
      <w:r>
        <w:rPr>
          <w:rFonts w:cs="Times New Roman"/>
          <w:bCs/>
          <w:color w:val="000000" w:themeColor="text1"/>
          <w:szCs w:val="24"/>
          <w14:textFill>
            <w14:solidFill>
              <w14:schemeClr w14:val="tx1"/>
            </w14:solidFill>
          </w14:textFill>
        </w:rPr>
        <w:t>）；</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（14）《关于印发四川省生态保护红线方案的通知》（川府发〔2018〕24号）；</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（15）《四川省人民政府关于落实生态保护红线、环境质量底线、资源利用上线制定生态环境准入清单实施生态环境分区管控的通知》（川府发〔2020〕9号）；</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（16）《四川省饮用水水源保护管理条例》（2019年修正）；</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（17）《四川省矿产资源总体规划（2021-2025年）》；</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（18）四川省推动长江经济带发展领导小组办公室重庆市推动长江发展领导小组办公室关于印发《四川省、重庆市场长江经济带发展负面清单实施细则（试行，2022版）的通知》；</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（19）《四川省自然资源厅关于进一步明确临时用地管理有关事项的通知》（川自然资规〔2022〕3号）；</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（18）《关于进一步加强固体废物污染防治工作的通知》（达市环办发〔2021〕24号）；</w:t>
      </w:r>
    </w:p>
    <w:p>
      <w:pPr>
        <w:tabs>
          <w:tab w:val="left" w:pos="0"/>
        </w:tabs>
        <w:ind w:firstLine="480"/>
        <w:rPr>
          <w:rFonts w:cs="Times New Roman"/>
          <w:bCs/>
          <w:color w:val="000000" w:themeColor="text1"/>
          <w:szCs w:val="24"/>
          <w14:textFill>
            <w14:solidFill>
              <w14:schemeClr w14:val="tx1"/>
            </w14:solidFill>
          </w14:textFill>
        </w:rPr>
      </w:pPr>
      <w:bookmarkStart w:id="32" w:name="_Hlk152591470"/>
      <w:r>
        <w:rPr>
          <w:rFonts w:cs="Times New Roman"/>
          <w:bCs/>
          <w:color w:val="000000" w:themeColor="text1"/>
          <w:szCs w:val="24"/>
          <w14:textFill>
            <w14:solidFill>
              <w14:schemeClr w14:val="tx1"/>
            </w14:solidFill>
          </w14:textFill>
        </w:rPr>
        <w:t>（19）达州市人民政府《关于落实生态保护红线、环境质量底线、资源利用上线制定生态环境准入清单实施生态环境分区管控的通知》达市府发〔2021〕 17号；</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（20）《达州市人民政府关于划定万源市、宣汉县和大竹县乡镇及以下集中式饮用水水源地保护区的批复》（达市府函〔2020〕124号）；</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（21）《达州市集中式饮用水水源保护管理条例》（2020年修正）；</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（22）《宣汉县人民政府办公室关于印发宣汉县声环境功能区划分及适用标准规定的通知》（宣府办〔2022〕106号）；</w:t>
      </w:r>
    </w:p>
    <w:bookmarkEnd w:id="32"/>
    <w:p>
      <w:pPr>
        <w:tabs>
          <w:tab w:val="left" w:pos="0"/>
        </w:tabs>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（23）《达州市生态环境局办公室关于加强固体废物污染防治工作的通知》（达市环办发〔2019〕49号）文件要求；</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（24）《宣汉县矿产资源总体规划（2021-2025年）》。</w:t>
      </w:r>
    </w:p>
    <w:p>
      <w:pPr>
        <w:pStyle w:val="4"/>
        <w:ind w:firstLine="241"/>
        <w:rPr>
          <w:b w:val="0"/>
        </w:rPr>
      </w:pPr>
      <w:bookmarkStart w:id="33" w:name="_Toc120173058"/>
      <w:r>
        <w:rPr>
          <w:rFonts w:hint="eastAsia"/>
        </w:rPr>
        <w:t>2.3.5</w:t>
      </w:r>
      <w:r>
        <w:t>评价技术导则及规范</w:t>
      </w:r>
      <w:bookmarkEnd w:id="33"/>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（1）《建设项目环境影响评价技术导则 总纲》（HJ2.1-2016）；</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（2）《环境影响评价技术导则 地表水环境》（HJ2.3-2018）；</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（3）《环境影响评价技术导则 声环境》（HJ2.4-2021）；</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（4）《环境影响评价技术导则 地下水环境》（HJ610-2016）；</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（5）《环境影响评价技术导则 大气环境》（HJ2.2-2018）；</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（6）《环境影响评价技术导则 生态影响》（HJ19-2022）；</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（7）《环境影响评价技术导则 土壤环境（试行）》（HJ964-2018）；</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（8）《建设项目环境风险评价技术导则》（HJ169-2018）；</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（9）《环境影响评价技术导则 陆地石油天然气开发建设项目》 （HJ/T349-2023）；</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（10）《建设项目危险废物环境影响评价指南》（环境保护部公告〔2017〕年第43号）；</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（11）《危险废物转移联单管理办法》（国家环境保护总局令第5号，1999年10月1日起施行）；</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（12）《危险废物贮存污染控制标准》（GB18597-2023）；</w:t>
      </w:r>
    </w:p>
    <w:p>
      <w:pPr>
        <w:tabs>
          <w:tab w:val="left" w:pos="0"/>
        </w:tabs>
        <w:ind w:firstLine="480"/>
        <w:rPr>
          <w:rFonts w:cs="Times New Roman"/>
          <w:color w:val="000000" w:themeColor="text1"/>
          <w14:textFill>
            <w14:solidFill>
              <w14:schemeClr w14:val="tx1"/>
            </w14:solidFill>
          </w14:textFill>
        </w:rPr>
      </w:pPr>
      <w:r>
        <w:rPr>
          <w:rFonts w:cs="Times New Roman"/>
          <w:color w:val="000000" w:themeColor="text1"/>
          <w:szCs w:val="24"/>
          <w14:textFill>
            <w14:solidFill>
              <w14:schemeClr w14:val="tx1"/>
            </w14:solidFill>
          </w14:textFill>
        </w:rPr>
        <w:t>（13）</w:t>
      </w:r>
      <w:r>
        <w:rPr>
          <w:rFonts w:cs="Times New Roman"/>
          <w:color w:val="000000" w:themeColor="text1"/>
          <w14:textFill>
            <w14:solidFill>
              <w14:schemeClr w14:val="tx1"/>
            </w14:solidFill>
          </w14:textFill>
        </w:rPr>
        <w:t>《危险废物收集贮存 运输技术规范》（HJ2025）；</w:t>
      </w:r>
    </w:p>
    <w:p>
      <w:pPr>
        <w:tabs>
          <w:tab w:val="left" w:pos="0"/>
        </w:tabs>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（14）《危险废物识别标志设置技术规范》（HJ 1276-2022）；</w:t>
      </w:r>
    </w:p>
    <w:p>
      <w:pPr>
        <w:tabs>
          <w:tab w:val="left" w:pos="0"/>
        </w:tabs>
        <w:ind w:firstLine="480"/>
        <w:rPr>
          <w:rFonts w:cs="Times New Roman"/>
          <w:bCs/>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（15）</w:t>
      </w:r>
      <w:r>
        <w:rPr>
          <w:rFonts w:cs="Times New Roman"/>
          <w:bCs/>
          <w:color w:val="000000" w:themeColor="text1"/>
          <w:szCs w:val="24"/>
          <w14:textFill>
            <w14:solidFill>
              <w14:schemeClr w14:val="tx1"/>
            </w14:solidFill>
          </w14:textFill>
        </w:rPr>
        <w:t>《一般工业固体废物贮存和填埋污染控制标准》（GB18599-2020）。</w:t>
      </w:r>
    </w:p>
    <w:p>
      <w:pPr>
        <w:pStyle w:val="4"/>
        <w:ind w:firstLine="241"/>
        <w:rPr>
          <w:b w:val="0"/>
        </w:rPr>
      </w:pPr>
      <w:bookmarkStart w:id="34" w:name="_Toc120173059"/>
      <w:r>
        <w:rPr>
          <w:rFonts w:hint="eastAsia"/>
        </w:rPr>
        <w:t>2.3.6</w:t>
      </w:r>
      <w:r>
        <w:t>石油天然气行业技术规范</w:t>
      </w:r>
      <w:bookmarkEnd w:id="34"/>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（1）《石油天然气钻井健康、安全与环境管理体系指南》（SY/T6283－1997）；</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（2）《石油天然气设计防火规范》（GB50183-2004）；</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（4）《钻井井控技术规程》（SY/T6426-2005）；</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（5）《石油天然气安全规程》（AQ2012-2007）；</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（6）《石油天然气井控技术规范》（GB/T31033-2014）；</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（7）《井下作业安全规程》（SY5727-2014）；</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（8）《气井试气、采气及动态监测工艺规程》（SYT6125-2013）；</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（9）《油气井井喷着火抢险作法》（SYT6203-2014）；</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（10）《碎屑岩油藏注水水质推荐指标及分析方法》（SY/T5329）；</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（12）《丛式井井平台布置及井眼防碰技术要求》（SY/T6396-2014）；</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（13）《油井井下作业防喷技术规程》（SYT5974-2014）；</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（14）《石油天然气钻井、开发、储运防火防爆安全生产技术规程》（SY_T5225-2019）；</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（15）《钻井井场、设备、作业安全技术规程》（SYT 5974-2014）；</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（16）《输气管道工程设计规范》（GB50251-2015）；</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（17）《气田集输设计规范》（GB50349-2015）；</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（18）《气田水注入技术要求》（SY/T 6596-2016）；</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（19）《钻前工程及井场布置技术要求》（SYT 5466-2013）；</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（20）《气田水注入技术要求》（SY/T6596-2016）；</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（21）《油气输送管道穿越工程设计规范》（GB50423-2015）；</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（22）《原油和天然气输送管道穿跨越工程设计规范穿越工程》（SY/T0015.1-98）；</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（23）《埋地钢质管道阴极保护技术规范》（GB/T21448-2017）；</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（24）《天然气管道运行规范》（SY/T5922-2003）；</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（25）《建筑设计防火规范》（GB50016-2014）；</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（26）《陆上石油天然气集输环境保护推荐作法》（SY/T7294-2016）；</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（27）《高含硫气田水处理及回注工程设计规范》（SY/T6881-2012）；</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（28）《高含硫化氢气田地面集输系统设计规范》(SY/T0612-2014)；</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（29）《陆上石油天然气开采含油污泥处理处置及污染控制技术规范》（SY/T 7300-2016）；</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（30）《陆上石油天然气开采含油污泥资源化综合利用及污染控制技术要求》（SY/T 7301-2016）；</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（31）《天然气开采含油污泥综合利用后剩余固相利用处置标准》（DB51/T 2850—2021）；</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（32）《含硫化氢天然气井公众安全防护距离》（AQ2018-2008）；</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（33）《含硫化氢油气井安全钻井推荐作法》（SY/T5081-2017）。</w:t>
      </w:r>
    </w:p>
    <w:p>
      <w:pPr>
        <w:pStyle w:val="4"/>
        <w:ind w:firstLine="241"/>
        <w:rPr>
          <w:b w:val="0"/>
        </w:rPr>
      </w:pPr>
      <w:bookmarkStart w:id="35" w:name="_Toc120173060"/>
      <w:r>
        <w:rPr>
          <w:rFonts w:hint="eastAsia"/>
        </w:rPr>
        <w:t>2.3.7</w:t>
      </w:r>
      <w:r>
        <w:t>相关技术及工作文件</w:t>
      </w:r>
      <w:bookmarkEnd w:id="35"/>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（1）环境影响评价委托书；</w:t>
      </w:r>
    </w:p>
    <w:p>
      <w:pPr>
        <w:pStyle w:val="249"/>
        <w:ind w:firstLine="480"/>
        <w:rPr>
          <w:color w:val="000000" w:themeColor="text1"/>
          <w14:textFill>
            <w14:solidFill>
              <w14:schemeClr w14:val="tx1"/>
            </w14:solidFill>
          </w14:textFill>
        </w:rPr>
      </w:pPr>
      <w:bookmarkStart w:id="36" w:name="_Hlk56956483"/>
      <w:r>
        <w:rPr>
          <w:color w:val="000000" w:themeColor="text1"/>
          <w14:textFill>
            <w14:solidFill>
              <w14:schemeClr w14:val="tx1"/>
            </w14:solidFill>
          </w14:textFill>
        </w:rPr>
        <w:t>（2）《普光3011-6井钻井及试采工程可行性研究报告》；</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（3）《环境质量监测报告》；</w:t>
      </w:r>
    </w:p>
    <w:bookmarkEnd w:id="36"/>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（4）项目直接影响区、县及相关乡镇规划、土地利用规划、植被分布现状、水系分布情况、旅游区发展规划等相关文件、资料；</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（5）建设单位提供的项目其他有关资料。</w:t>
      </w:r>
    </w:p>
    <w:p>
      <w:pPr>
        <w:pStyle w:val="3"/>
      </w:pPr>
      <w:bookmarkStart w:id="37" w:name="_Toc164667009"/>
      <w:r>
        <w:rPr>
          <w:rFonts w:hint="eastAsia"/>
        </w:rPr>
        <w:t>2.4</w:t>
      </w:r>
      <w:r>
        <w:t>环境影响识别与评价因子筛选</w:t>
      </w:r>
      <w:bookmarkEnd w:id="37"/>
    </w:p>
    <w:p>
      <w:pPr>
        <w:pStyle w:val="4"/>
        <w:ind w:firstLine="241"/>
        <w:rPr>
          <w:b w:val="0"/>
        </w:rPr>
      </w:pPr>
      <w:bookmarkStart w:id="38" w:name="_Toc120173062"/>
      <w:r>
        <w:t>2.4.1环境影响识别</w:t>
      </w:r>
      <w:bookmarkEnd w:id="38"/>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本项目为生态影响型建设工程，主要就工程建设及运行对区域生态环境及其他环境要素所造成的影响进行识别。</w:t>
      </w:r>
    </w:p>
    <w:p>
      <w:pPr>
        <w:pStyle w:val="249"/>
        <w:ind w:firstLine="482"/>
        <w:rPr>
          <w:b/>
          <w:color w:val="000000" w:themeColor="text1"/>
          <w14:textFill>
            <w14:solidFill>
              <w14:schemeClr w14:val="tx1"/>
            </w14:solidFill>
          </w14:textFill>
        </w:rPr>
      </w:pPr>
      <w:r>
        <w:rPr>
          <w:b/>
          <w:color w:val="000000" w:themeColor="text1"/>
          <w14:textFill>
            <w14:solidFill>
              <w14:schemeClr w14:val="tx1"/>
            </w14:solidFill>
          </w14:textFill>
        </w:rPr>
        <w:t>1、生态环境影响</w:t>
      </w:r>
    </w:p>
    <w:p>
      <w:pPr>
        <w:pStyle w:val="249"/>
        <w:ind w:firstLine="480"/>
        <w:rPr>
          <w:color w:val="000000" w:themeColor="text1"/>
          <w:kern w:val="2"/>
          <w:szCs w:val="22"/>
          <w14:textFill>
            <w14:solidFill>
              <w14:schemeClr w14:val="tx1"/>
            </w14:solidFill>
          </w14:textFill>
        </w:rPr>
      </w:pPr>
      <w:r>
        <w:rPr>
          <w:color w:val="000000" w:themeColor="text1"/>
          <w:kern w:val="2"/>
          <w:szCs w:val="22"/>
          <w14:textFill>
            <w14:solidFill>
              <w14:schemeClr w14:val="tx1"/>
            </w14:solidFill>
          </w14:textFill>
        </w:rPr>
        <w:t>本项目生态环境影响主要体现在施工期。工程施工期间对生态环境的影响主要是临时占地和土石方工程开挖引起的自然地貌的改变和地表自然及人工植被的破坏，进而引起对土地利用的改变，生物量和生产力的变化，由此引发区域生态系统稳定性下降，致使生态环境的破坏及水土流失。</w:t>
      </w:r>
    </w:p>
    <w:p>
      <w:pPr>
        <w:pStyle w:val="249"/>
        <w:ind w:firstLine="480"/>
        <w:rPr>
          <w:color w:val="000000" w:themeColor="text1"/>
          <w:kern w:val="2"/>
          <w:szCs w:val="22"/>
          <w14:textFill>
            <w14:solidFill>
              <w14:schemeClr w14:val="tx1"/>
            </w14:solidFill>
          </w14:textFill>
        </w:rPr>
      </w:pPr>
      <w:r>
        <w:rPr>
          <w:color w:val="000000" w:themeColor="text1"/>
          <w:kern w:val="2"/>
          <w:szCs w:val="22"/>
          <w14:textFill>
            <w14:solidFill>
              <w14:schemeClr w14:val="tx1"/>
            </w14:solidFill>
          </w14:textFill>
        </w:rPr>
        <w:t>试采期不会带来新的生态影响，受施工期影响的生态环境按相应的环境保护措施，逐步恢复重建。</w:t>
      </w:r>
    </w:p>
    <w:p>
      <w:pPr>
        <w:pStyle w:val="249"/>
        <w:ind w:firstLine="482"/>
        <w:rPr>
          <w:b/>
          <w:color w:val="000000" w:themeColor="text1"/>
          <w14:textFill>
            <w14:solidFill>
              <w14:schemeClr w14:val="tx1"/>
            </w14:solidFill>
          </w14:textFill>
        </w:rPr>
      </w:pPr>
      <w:r>
        <w:rPr>
          <w:b/>
          <w:color w:val="000000" w:themeColor="text1"/>
          <w14:textFill>
            <w14:solidFill>
              <w14:schemeClr w14:val="tx1"/>
            </w14:solidFill>
          </w14:textFill>
        </w:rPr>
        <w:t>2、地表水环境影响</w:t>
      </w:r>
    </w:p>
    <w:p>
      <w:pPr>
        <w:pStyle w:val="249"/>
        <w:ind w:firstLine="480"/>
        <w:rPr>
          <w:color w:val="000000" w:themeColor="text1"/>
          <w:kern w:val="2"/>
          <w:szCs w:val="22"/>
          <w14:textFill>
            <w14:solidFill>
              <w14:schemeClr w14:val="tx1"/>
            </w14:solidFill>
          </w14:textFill>
        </w:rPr>
      </w:pPr>
      <w:r>
        <w:rPr>
          <w:color w:val="000000" w:themeColor="text1"/>
          <w:kern w:val="2"/>
          <w:szCs w:val="22"/>
          <w14:textFill>
            <w14:solidFill>
              <w14:schemeClr w14:val="tx1"/>
            </w14:solidFill>
          </w14:textFill>
        </w:rPr>
        <w:t>（1）钻井期废水对地表水的影响；</w:t>
      </w:r>
    </w:p>
    <w:p>
      <w:pPr>
        <w:pStyle w:val="249"/>
        <w:ind w:firstLine="480"/>
        <w:rPr>
          <w:color w:val="000000" w:themeColor="text1"/>
          <w:kern w:val="2"/>
          <w:szCs w:val="22"/>
          <w14:textFill>
            <w14:solidFill>
              <w14:schemeClr w14:val="tx1"/>
            </w14:solidFill>
          </w14:textFill>
        </w:rPr>
      </w:pPr>
      <w:r>
        <w:rPr>
          <w:color w:val="000000" w:themeColor="text1"/>
          <w:kern w:val="2"/>
          <w:szCs w:val="22"/>
          <w14:textFill>
            <w14:solidFill>
              <w14:schemeClr w14:val="tx1"/>
            </w14:solidFill>
          </w14:textFill>
        </w:rPr>
        <w:t>（2）施工人员产生的生活污水对地表水环境的影响；</w:t>
      </w:r>
    </w:p>
    <w:p>
      <w:pPr>
        <w:pStyle w:val="249"/>
        <w:ind w:firstLine="480"/>
        <w:rPr>
          <w:color w:val="000000" w:themeColor="text1"/>
          <w:kern w:val="2"/>
          <w:szCs w:val="22"/>
          <w14:textFill>
            <w14:solidFill>
              <w14:schemeClr w14:val="tx1"/>
            </w14:solidFill>
          </w14:textFill>
        </w:rPr>
      </w:pPr>
      <w:r>
        <w:rPr>
          <w:color w:val="000000" w:themeColor="text1"/>
          <w:kern w:val="2"/>
          <w:szCs w:val="22"/>
          <w14:textFill>
            <w14:solidFill>
              <w14:schemeClr w14:val="tx1"/>
            </w14:solidFill>
          </w14:textFill>
        </w:rPr>
        <w:t>（3）试采期气田水对地表水环境的影响。</w:t>
      </w:r>
    </w:p>
    <w:p>
      <w:pPr>
        <w:pStyle w:val="249"/>
        <w:ind w:firstLine="482"/>
        <w:rPr>
          <w:b/>
          <w:color w:val="000000" w:themeColor="text1"/>
          <w14:textFill>
            <w14:solidFill>
              <w14:schemeClr w14:val="tx1"/>
            </w14:solidFill>
          </w14:textFill>
        </w:rPr>
      </w:pPr>
      <w:r>
        <w:rPr>
          <w:b/>
          <w:color w:val="000000" w:themeColor="text1"/>
          <w14:textFill>
            <w14:solidFill>
              <w14:schemeClr w14:val="tx1"/>
            </w14:solidFill>
          </w14:textFill>
        </w:rPr>
        <w:t>3、地下水环境影响</w:t>
      </w:r>
    </w:p>
    <w:p>
      <w:pPr>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（1）本项目施工期对地下水的影响是施工期钻井过程中井套密封不严泄露对地下水的影响，同时施工废水及施工生活污水若处理不当外排，外排废水下渗对局部区域地下水水质造成影响；</w:t>
      </w:r>
    </w:p>
    <w:p>
      <w:pPr>
        <w:pStyle w:val="122"/>
        <w:ind w:firstLine="482" w:firstLineChars="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（2）本项目</w:t>
      </w:r>
      <w:r>
        <w:rPr>
          <w:color w:val="000000" w:themeColor="text1"/>
          <w14:textFill>
            <w14:solidFill>
              <w14:schemeClr w14:val="tx1"/>
            </w14:solidFill>
          </w14:textFill>
        </w:rPr>
        <w:t>试采期</w:t>
      </w:r>
      <w:r>
        <w:rPr>
          <w:color w:val="000000" w:themeColor="text1"/>
          <w:kern w:val="0"/>
          <w:szCs w:val="20"/>
          <w14:textFill>
            <w14:solidFill>
              <w14:schemeClr w14:val="tx1"/>
            </w14:solidFill>
          </w14:textFill>
        </w:rPr>
        <w:t>井场内集输管线破裂出现泄露时，天然气中所含少量的气田水为气态，如果发生泄露，管道监测系统会立即切断并停止输气，所泄露的气田水微乎其微，且同天然气一同扩散到大气中。因此，不会对地下水环境产生影响。</w:t>
      </w:r>
    </w:p>
    <w:p>
      <w:pPr>
        <w:pStyle w:val="249"/>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4、大气环境影响</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（1）施工机械排放的废气；</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（2）施工产生的扬尘；</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（3）试采期非正常工况外排的废气，包括非正常工况下的检修废气和事故放空废气。</w:t>
      </w:r>
    </w:p>
    <w:p>
      <w:pPr>
        <w:pStyle w:val="249"/>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5、声环境影响</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（1）施工期施工机械产生的机械噪声；</w:t>
      </w:r>
    </w:p>
    <w:p>
      <w:pPr>
        <w:pStyle w:val="249"/>
        <w:ind w:firstLine="480"/>
        <w:rPr>
          <w:color w:val="000000" w:themeColor="text1"/>
          <w14:textFill>
            <w14:solidFill>
              <w14:schemeClr w14:val="tx1"/>
            </w14:solidFill>
          </w14:textFill>
        </w:rPr>
      </w:pPr>
      <w:bookmarkStart w:id="39" w:name="_Hlk80470452"/>
      <w:r>
        <w:rPr>
          <w:color w:val="000000" w:themeColor="text1"/>
          <w14:textFill>
            <w14:solidFill>
              <w14:schemeClr w14:val="tx1"/>
            </w14:solidFill>
          </w14:textFill>
        </w:rPr>
        <w:t>（2）试采期场站设备产生的机械噪声及场站输气产生的气流噪声。</w:t>
      </w:r>
    </w:p>
    <w:bookmarkEnd w:id="39"/>
    <w:p>
      <w:pPr>
        <w:pStyle w:val="249"/>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6、固体废物环境影响</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施工期产生的固体废物主要为生活垃圾、土石方、施工废料、钻井固废等；</w:t>
      </w:r>
    </w:p>
    <w:p>
      <w:pPr>
        <w:pStyle w:val="249"/>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7、土壤环境影响</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（1）施工期钻前工程等造成井场和集输管线土壤扰动；</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（2）施工期施工废水对土壤的影响；</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（3）施工期施工机械废机油渗漏对土壤的影响；</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4）试采期不涉及其他工艺设施建设，不涉及新建污水储存设施、污水处理构筑物，无废气排放源，气液分离、污水暂存装置均依托P3011采气站和P301集气站既有设施，故不存在、地面漫流及垂直入渗污染土壤环境。管道破裂出现泄漏时，天然气中所含少量的气田水同天然气一同扩散到大气中。因此，不会对土壤环境产生影响。</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本项目环境影响具体内容见表2.4-1。</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本项目施工期和试采期环境影响分析表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10"/>
        <w:gridCol w:w="556"/>
        <w:gridCol w:w="1602"/>
        <w:gridCol w:w="56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307" w:type="pct"/>
            <w:vAlign w:val="center"/>
          </w:tcPr>
          <w:p>
            <w:pPr>
              <w:pStyle w:val="294"/>
            </w:pPr>
            <w:r>
              <w:t>时段</w:t>
            </w:r>
          </w:p>
        </w:tc>
        <w:tc>
          <w:tcPr>
            <w:tcW w:w="1297" w:type="pct"/>
            <w:gridSpan w:val="2"/>
            <w:vAlign w:val="center"/>
          </w:tcPr>
          <w:p>
            <w:pPr>
              <w:pStyle w:val="294"/>
            </w:pPr>
            <w:r>
              <w:t>项目建设活动</w:t>
            </w:r>
          </w:p>
        </w:tc>
        <w:tc>
          <w:tcPr>
            <w:tcW w:w="3396" w:type="pct"/>
            <w:vAlign w:val="center"/>
          </w:tcPr>
          <w:p>
            <w:pPr>
              <w:pStyle w:val="294"/>
            </w:pPr>
            <w:r>
              <w:t>环境影响内容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307" w:type="pct"/>
            <w:vMerge w:val="restart"/>
            <w:vAlign w:val="center"/>
          </w:tcPr>
          <w:p>
            <w:pPr>
              <w:pStyle w:val="294"/>
            </w:pPr>
            <w:r>
              <w:t>施工期</w:t>
            </w:r>
          </w:p>
        </w:tc>
        <w:tc>
          <w:tcPr>
            <w:tcW w:w="334" w:type="pct"/>
            <w:vMerge w:val="restart"/>
            <w:vAlign w:val="center"/>
          </w:tcPr>
          <w:p>
            <w:pPr>
              <w:pStyle w:val="294"/>
            </w:pPr>
            <w:r>
              <w:t>站场施工及钻完井工程</w:t>
            </w:r>
          </w:p>
        </w:tc>
        <w:tc>
          <w:tcPr>
            <w:tcW w:w="963" w:type="pct"/>
            <w:vAlign w:val="center"/>
          </w:tcPr>
          <w:p>
            <w:pPr>
              <w:pStyle w:val="294"/>
            </w:pPr>
            <w:r>
              <w:t>钻前工程</w:t>
            </w:r>
          </w:p>
        </w:tc>
        <w:tc>
          <w:tcPr>
            <w:tcW w:w="3396" w:type="pct"/>
            <w:vAlign w:val="center"/>
          </w:tcPr>
          <w:p>
            <w:pPr>
              <w:pStyle w:val="294"/>
            </w:pPr>
            <w:r>
              <w:t>破坏植被，改变自然地形地貌，占用土地，改变土地利用现状，新增水土流失。建设过程中车辆运行噪声、扬尘，废水和生活垃圾等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307" w:type="pct"/>
            <w:vMerge w:val="continue"/>
            <w:vAlign w:val="center"/>
          </w:tcPr>
          <w:p>
            <w:pPr>
              <w:pStyle w:val="294"/>
            </w:pPr>
          </w:p>
        </w:tc>
        <w:tc>
          <w:tcPr>
            <w:tcW w:w="334" w:type="pct"/>
            <w:vMerge w:val="continue"/>
            <w:vAlign w:val="center"/>
          </w:tcPr>
          <w:p>
            <w:pPr>
              <w:pStyle w:val="294"/>
            </w:pPr>
          </w:p>
        </w:tc>
        <w:tc>
          <w:tcPr>
            <w:tcW w:w="963" w:type="pct"/>
            <w:vAlign w:val="center"/>
          </w:tcPr>
          <w:p>
            <w:pPr>
              <w:pStyle w:val="294"/>
            </w:pPr>
            <w:r>
              <w:t>钻完井工程</w:t>
            </w:r>
          </w:p>
        </w:tc>
        <w:tc>
          <w:tcPr>
            <w:tcW w:w="3396" w:type="pct"/>
            <w:vAlign w:val="center"/>
          </w:tcPr>
          <w:p>
            <w:pPr>
              <w:pStyle w:val="294"/>
            </w:pPr>
            <w:r>
              <w:t>钻井废水、洗井废水、压裂返排液、初期雨水、生活污水；钻井岩屑、废泥浆及生活垃圾等；泥浆泵、钻机等设备噪声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307" w:type="pct"/>
            <w:vMerge w:val="continue"/>
            <w:vAlign w:val="center"/>
          </w:tcPr>
          <w:p>
            <w:pPr>
              <w:pStyle w:val="294"/>
            </w:pPr>
          </w:p>
        </w:tc>
        <w:tc>
          <w:tcPr>
            <w:tcW w:w="334" w:type="pct"/>
            <w:vMerge w:val="continue"/>
            <w:vAlign w:val="center"/>
          </w:tcPr>
          <w:p>
            <w:pPr>
              <w:pStyle w:val="294"/>
            </w:pPr>
          </w:p>
        </w:tc>
        <w:tc>
          <w:tcPr>
            <w:tcW w:w="963" w:type="pct"/>
            <w:vAlign w:val="center"/>
          </w:tcPr>
          <w:p>
            <w:pPr>
              <w:pStyle w:val="294"/>
            </w:pPr>
            <w:r>
              <w:t>原材料运输</w:t>
            </w:r>
          </w:p>
        </w:tc>
        <w:tc>
          <w:tcPr>
            <w:tcW w:w="3396" w:type="pct"/>
            <w:vAlign w:val="center"/>
          </w:tcPr>
          <w:p>
            <w:pPr>
              <w:pStyle w:val="294"/>
            </w:pPr>
            <w:r>
              <w:t>运输车辆产生尾气、噪声和扬尘；</w:t>
            </w:r>
          </w:p>
          <w:p>
            <w:pPr>
              <w:pStyle w:val="294"/>
            </w:pPr>
            <w:r>
              <w:t>临时料场占用土地，短期影响土地的使用功能或类型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307" w:type="pct"/>
            <w:vMerge w:val="continue"/>
            <w:vAlign w:val="center"/>
          </w:tcPr>
          <w:p>
            <w:pPr>
              <w:pStyle w:val="294"/>
            </w:pPr>
          </w:p>
        </w:tc>
        <w:tc>
          <w:tcPr>
            <w:tcW w:w="334" w:type="pct"/>
            <w:vMerge w:val="continue"/>
            <w:vAlign w:val="center"/>
          </w:tcPr>
          <w:p>
            <w:pPr>
              <w:pStyle w:val="294"/>
            </w:pPr>
          </w:p>
        </w:tc>
        <w:tc>
          <w:tcPr>
            <w:tcW w:w="963" w:type="pct"/>
            <w:vAlign w:val="center"/>
          </w:tcPr>
          <w:p>
            <w:pPr>
              <w:pStyle w:val="294"/>
            </w:pPr>
            <w:r>
              <w:t>施工机械操作</w:t>
            </w:r>
          </w:p>
        </w:tc>
        <w:tc>
          <w:tcPr>
            <w:tcW w:w="3396" w:type="pct"/>
            <w:vAlign w:val="center"/>
          </w:tcPr>
          <w:p>
            <w:pPr>
              <w:pStyle w:val="294"/>
            </w:pPr>
            <w:r>
              <w:t>产生机械尾气和噪声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307" w:type="pct"/>
            <w:vMerge w:val="continue"/>
            <w:vAlign w:val="center"/>
          </w:tcPr>
          <w:p>
            <w:pPr>
              <w:pStyle w:val="294"/>
            </w:pPr>
          </w:p>
        </w:tc>
        <w:tc>
          <w:tcPr>
            <w:tcW w:w="334" w:type="pct"/>
            <w:vMerge w:val="continue"/>
            <w:vAlign w:val="center"/>
          </w:tcPr>
          <w:p>
            <w:pPr>
              <w:pStyle w:val="294"/>
            </w:pPr>
          </w:p>
        </w:tc>
        <w:tc>
          <w:tcPr>
            <w:tcW w:w="963" w:type="pct"/>
            <w:vAlign w:val="center"/>
          </w:tcPr>
          <w:p>
            <w:pPr>
              <w:pStyle w:val="294"/>
            </w:pPr>
            <w:r>
              <w:t>施工便道建设及使用</w:t>
            </w:r>
          </w:p>
        </w:tc>
        <w:tc>
          <w:tcPr>
            <w:tcW w:w="3396" w:type="pct"/>
            <w:vAlign w:val="center"/>
          </w:tcPr>
          <w:p>
            <w:pPr>
              <w:pStyle w:val="294"/>
            </w:pPr>
            <w:r>
              <w:t>临时占用部分土地，产生扬尘及噪声；</w:t>
            </w:r>
          </w:p>
          <w:p>
            <w:pPr>
              <w:pStyle w:val="294"/>
            </w:pPr>
            <w:r>
              <w:t>施工结束后恢复，不改变土地利用的原有功能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307" w:type="pct"/>
            <w:vMerge w:val="continue"/>
            <w:vAlign w:val="center"/>
          </w:tcPr>
          <w:p>
            <w:pPr>
              <w:pStyle w:val="294"/>
            </w:pPr>
          </w:p>
        </w:tc>
        <w:tc>
          <w:tcPr>
            <w:tcW w:w="334" w:type="pct"/>
            <w:vMerge w:val="continue"/>
            <w:vAlign w:val="center"/>
          </w:tcPr>
          <w:p>
            <w:pPr>
              <w:pStyle w:val="294"/>
            </w:pPr>
          </w:p>
        </w:tc>
        <w:tc>
          <w:tcPr>
            <w:tcW w:w="963" w:type="pct"/>
            <w:vAlign w:val="center"/>
          </w:tcPr>
          <w:p>
            <w:pPr>
              <w:pStyle w:val="294"/>
            </w:pPr>
            <w:r>
              <w:t>施工人员日常生活</w:t>
            </w:r>
          </w:p>
        </w:tc>
        <w:tc>
          <w:tcPr>
            <w:tcW w:w="3396" w:type="pct"/>
            <w:vAlign w:val="center"/>
          </w:tcPr>
          <w:p>
            <w:pPr>
              <w:pStyle w:val="294"/>
            </w:pPr>
            <w:r>
              <w:t>施工人员生活污水、生活垃圾产排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307" w:type="pct"/>
            <w:vMerge w:val="continue"/>
            <w:vAlign w:val="center"/>
          </w:tcPr>
          <w:p>
            <w:pPr>
              <w:pStyle w:val="294"/>
            </w:pPr>
          </w:p>
        </w:tc>
        <w:tc>
          <w:tcPr>
            <w:tcW w:w="334" w:type="pct"/>
            <w:vMerge w:val="continue"/>
            <w:vAlign w:val="center"/>
          </w:tcPr>
          <w:p>
            <w:pPr>
              <w:pStyle w:val="294"/>
            </w:pPr>
          </w:p>
        </w:tc>
        <w:tc>
          <w:tcPr>
            <w:tcW w:w="963" w:type="pct"/>
            <w:vAlign w:val="center"/>
          </w:tcPr>
          <w:p>
            <w:pPr>
              <w:pStyle w:val="294"/>
            </w:pPr>
            <w:r>
              <w:t>施工作业场地</w:t>
            </w:r>
          </w:p>
        </w:tc>
        <w:tc>
          <w:tcPr>
            <w:tcW w:w="3396" w:type="pct"/>
            <w:vAlign w:val="center"/>
          </w:tcPr>
          <w:p>
            <w:pPr>
              <w:pStyle w:val="294"/>
            </w:pPr>
            <w:r>
              <w:t>临时占用部分土地（仅施工期生活区临时占地涉及新增占地），短期影响土地的使用功能或类型，破坏生态环境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307" w:type="pct"/>
            <w:vAlign w:val="center"/>
          </w:tcPr>
          <w:p>
            <w:pPr>
              <w:pStyle w:val="294"/>
            </w:pPr>
            <w:r>
              <w:t>运营期</w:t>
            </w:r>
          </w:p>
        </w:tc>
        <w:tc>
          <w:tcPr>
            <w:tcW w:w="1297" w:type="pct"/>
            <w:gridSpan w:val="2"/>
            <w:vAlign w:val="center"/>
          </w:tcPr>
          <w:p>
            <w:pPr>
              <w:pStyle w:val="294"/>
            </w:pPr>
            <w:r>
              <w:t>3011-6试采站</w:t>
            </w:r>
            <w:r>
              <w:br w:type="textWrapping"/>
            </w:r>
            <w:r>
              <w:t>（P3011采气站）</w:t>
            </w:r>
          </w:p>
        </w:tc>
        <w:tc>
          <w:tcPr>
            <w:tcW w:w="3396" w:type="pct"/>
            <w:vAlign w:val="center"/>
          </w:tcPr>
          <w:p>
            <w:pPr>
              <w:pStyle w:val="294"/>
            </w:pPr>
            <w:r>
              <w:t>废水：采气初期返排液；天然气试采产生气田水；</w:t>
            </w:r>
          </w:p>
          <w:p>
            <w:pPr>
              <w:pStyle w:val="294"/>
            </w:pPr>
            <w:r>
              <w:t>废气：异常工况下站场检修排放的少量天然气以及超压放空排放废气；</w:t>
            </w:r>
          </w:p>
          <w:p>
            <w:pPr>
              <w:pStyle w:val="294"/>
            </w:pPr>
            <w:r>
              <w:t>噪声：节流阀、站内采气管道等设施运行产生的噪声；</w:t>
            </w:r>
          </w:p>
          <w:p>
            <w:pPr>
              <w:pStyle w:val="294"/>
            </w:pPr>
            <w:r>
              <w:t>固废：生活垃圾；</w:t>
            </w:r>
          </w:p>
          <w:p>
            <w:pPr>
              <w:pStyle w:val="294"/>
            </w:pPr>
            <w:r>
              <w:t>环境风险事故：钻井阶段井喷风险事故等；站内管线、设备发生泄漏、火灾、爆炸事故对周围环境和人员的影响；非正常生产时，系统超压和站场检修时经放空装置直接排放的天然气燃烧后排放的废气</w:t>
            </w:r>
          </w:p>
        </w:tc>
      </w:tr>
    </w:tbl>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根据环境影响矩阵表，分析环境影响因子的影响类型和影响程度，其结果见表2.4-2。</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环境影响要素矩阵</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90"/>
        <w:gridCol w:w="1345"/>
        <w:gridCol w:w="538"/>
        <w:gridCol w:w="540"/>
        <w:gridCol w:w="540"/>
        <w:gridCol w:w="539"/>
        <w:gridCol w:w="541"/>
        <w:gridCol w:w="541"/>
        <w:gridCol w:w="539"/>
        <w:gridCol w:w="471"/>
        <w:gridCol w:w="70"/>
        <w:gridCol w:w="541"/>
        <w:gridCol w:w="539"/>
        <w:gridCol w:w="541"/>
        <w:gridCol w:w="5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restart"/>
            <w:vAlign w:val="center"/>
          </w:tcPr>
          <w:p>
            <w:pPr>
              <w:pStyle w:val="294"/>
            </w:pPr>
            <w:r>
              <w:t>类别</w:t>
            </w:r>
          </w:p>
        </w:tc>
        <w:tc>
          <w:tcPr>
            <w:tcW w:w="809" w:type="pct"/>
            <w:vMerge w:val="restart"/>
            <w:vAlign w:val="center"/>
          </w:tcPr>
          <w:p>
            <w:pPr>
              <w:pStyle w:val="294"/>
            </w:pPr>
            <w:r>
              <w:t>环境因子</w:t>
            </w:r>
          </w:p>
        </w:tc>
        <w:tc>
          <w:tcPr>
            <w:tcW w:w="1298" w:type="pct"/>
            <w:gridSpan w:val="4"/>
            <w:vAlign w:val="center"/>
          </w:tcPr>
          <w:p>
            <w:pPr>
              <w:pStyle w:val="294"/>
            </w:pPr>
            <w:r>
              <w:t>工程施工</w:t>
            </w:r>
          </w:p>
        </w:tc>
        <w:tc>
          <w:tcPr>
            <w:tcW w:w="1257" w:type="pct"/>
            <w:gridSpan w:val="4"/>
            <w:vAlign w:val="center"/>
          </w:tcPr>
          <w:p>
            <w:pPr>
              <w:pStyle w:val="294"/>
            </w:pPr>
            <w:r>
              <w:t>正常运行</w:t>
            </w:r>
          </w:p>
        </w:tc>
        <w:tc>
          <w:tcPr>
            <w:tcW w:w="1341" w:type="pct"/>
            <w:gridSpan w:val="5"/>
            <w:vAlign w:val="center"/>
          </w:tcPr>
          <w:p>
            <w:pPr>
              <w:pStyle w:val="294"/>
            </w:pPr>
            <w:r>
              <w:t>非正常工况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4"/>
            </w:pPr>
          </w:p>
        </w:tc>
        <w:tc>
          <w:tcPr>
            <w:tcW w:w="809" w:type="pct"/>
            <w:vMerge w:val="continue"/>
            <w:vAlign w:val="center"/>
          </w:tcPr>
          <w:p>
            <w:pPr>
              <w:pStyle w:val="294"/>
            </w:pPr>
          </w:p>
        </w:tc>
        <w:tc>
          <w:tcPr>
            <w:tcW w:w="324" w:type="pct"/>
            <w:vAlign w:val="center"/>
          </w:tcPr>
          <w:p>
            <w:pPr>
              <w:pStyle w:val="294"/>
            </w:pPr>
            <w:r>
              <w:t>有利</w:t>
            </w:r>
          </w:p>
          <w:p>
            <w:pPr>
              <w:pStyle w:val="294"/>
            </w:pPr>
            <w:r>
              <w:t>影响</w:t>
            </w:r>
          </w:p>
        </w:tc>
        <w:tc>
          <w:tcPr>
            <w:tcW w:w="325" w:type="pct"/>
            <w:vAlign w:val="center"/>
          </w:tcPr>
          <w:p>
            <w:pPr>
              <w:pStyle w:val="294"/>
            </w:pPr>
            <w:r>
              <w:t>不利</w:t>
            </w:r>
          </w:p>
          <w:p>
            <w:pPr>
              <w:pStyle w:val="294"/>
            </w:pPr>
            <w:r>
              <w:t>影响</w:t>
            </w:r>
          </w:p>
        </w:tc>
        <w:tc>
          <w:tcPr>
            <w:tcW w:w="325" w:type="pct"/>
            <w:vAlign w:val="center"/>
          </w:tcPr>
          <w:p>
            <w:pPr>
              <w:pStyle w:val="294"/>
            </w:pPr>
            <w:r>
              <w:t>影响</w:t>
            </w:r>
          </w:p>
          <w:p>
            <w:pPr>
              <w:pStyle w:val="294"/>
            </w:pPr>
            <w:r>
              <w:t>较大</w:t>
            </w:r>
          </w:p>
        </w:tc>
        <w:tc>
          <w:tcPr>
            <w:tcW w:w="324" w:type="pct"/>
            <w:vAlign w:val="center"/>
          </w:tcPr>
          <w:p>
            <w:pPr>
              <w:pStyle w:val="294"/>
            </w:pPr>
            <w:r>
              <w:t>影响</w:t>
            </w:r>
          </w:p>
          <w:p>
            <w:pPr>
              <w:pStyle w:val="294"/>
            </w:pPr>
            <w:r>
              <w:t>较轻</w:t>
            </w:r>
          </w:p>
        </w:tc>
        <w:tc>
          <w:tcPr>
            <w:tcW w:w="325" w:type="pct"/>
            <w:vAlign w:val="center"/>
          </w:tcPr>
          <w:p>
            <w:pPr>
              <w:pStyle w:val="294"/>
            </w:pPr>
            <w:r>
              <w:t>有利</w:t>
            </w:r>
          </w:p>
          <w:p>
            <w:pPr>
              <w:pStyle w:val="294"/>
            </w:pPr>
            <w:r>
              <w:t>影响</w:t>
            </w:r>
          </w:p>
        </w:tc>
        <w:tc>
          <w:tcPr>
            <w:tcW w:w="325" w:type="pct"/>
            <w:vAlign w:val="center"/>
          </w:tcPr>
          <w:p>
            <w:pPr>
              <w:pStyle w:val="294"/>
            </w:pPr>
            <w:r>
              <w:t>不利</w:t>
            </w:r>
          </w:p>
          <w:p>
            <w:pPr>
              <w:pStyle w:val="294"/>
            </w:pPr>
            <w:r>
              <w:t>影响</w:t>
            </w:r>
          </w:p>
        </w:tc>
        <w:tc>
          <w:tcPr>
            <w:tcW w:w="324" w:type="pct"/>
            <w:vAlign w:val="center"/>
          </w:tcPr>
          <w:p>
            <w:pPr>
              <w:pStyle w:val="294"/>
            </w:pPr>
            <w:r>
              <w:t>影响</w:t>
            </w:r>
          </w:p>
          <w:p>
            <w:pPr>
              <w:pStyle w:val="294"/>
            </w:pPr>
            <w:r>
              <w:t>较大</w:t>
            </w:r>
          </w:p>
        </w:tc>
        <w:tc>
          <w:tcPr>
            <w:tcW w:w="325" w:type="pct"/>
            <w:gridSpan w:val="2"/>
            <w:vAlign w:val="center"/>
          </w:tcPr>
          <w:p>
            <w:pPr>
              <w:pStyle w:val="294"/>
            </w:pPr>
            <w:r>
              <w:t>影响</w:t>
            </w:r>
          </w:p>
          <w:p>
            <w:pPr>
              <w:pStyle w:val="294"/>
            </w:pPr>
            <w:r>
              <w:t>较轻</w:t>
            </w:r>
          </w:p>
        </w:tc>
        <w:tc>
          <w:tcPr>
            <w:tcW w:w="325" w:type="pct"/>
            <w:vAlign w:val="center"/>
          </w:tcPr>
          <w:p>
            <w:pPr>
              <w:pStyle w:val="294"/>
            </w:pPr>
            <w:r>
              <w:t>有利</w:t>
            </w:r>
          </w:p>
          <w:p>
            <w:pPr>
              <w:pStyle w:val="294"/>
            </w:pPr>
            <w:r>
              <w:t>影响</w:t>
            </w:r>
          </w:p>
        </w:tc>
        <w:tc>
          <w:tcPr>
            <w:tcW w:w="324" w:type="pct"/>
            <w:vAlign w:val="center"/>
          </w:tcPr>
          <w:p>
            <w:pPr>
              <w:pStyle w:val="294"/>
            </w:pPr>
            <w:r>
              <w:t>不利</w:t>
            </w:r>
          </w:p>
          <w:p>
            <w:pPr>
              <w:pStyle w:val="294"/>
            </w:pPr>
            <w:r>
              <w:t>影响</w:t>
            </w:r>
          </w:p>
        </w:tc>
        <w:tc>
          <w:tcPr>
            <w:tcW w:w="325" w:type="pct"/>
            <w:vAlign w:val="center"/>
          </w:tcPr>
          <w:p>
            <w:pPr>
              <w:pStyle w:val="294"/>
            </w:pPr>
            <w:r>
              <w:t>影响</w:t>
            </w:r>
          </w:p>
          <w:p>
            <w:pPr>
              <w:pStyle w:val="294"/>
            </w:pPr>
            <w:r>
              <w:t>较大</w:t>
            </w:r>
          </w:p>
        </w:tc>
        <w:tc>
          <w:tcPr>
            <w:tcW w:w="325" w:type="pct"/>
            <w:vAlign w:val="center"/>
          </w:tcPr>
          <w:p>
            <w:pPr>
              <w:pStyle w:val="294"/>
            </w:pPr>
            <w:r>
              <w:t>影响</w:t>
            </w:r>
          </w:p>
          <w:p>
            <w:pPr>
              <w:pStyle w:val="294"/>
            </w:pPr>
            <w:r>
              <w:t>较轻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restart"/>
            <w:vAlign w:val="center"/>
          </w:tcPr>
          <w:p>
            <w:pPr>
              <w:pStyle w:val="294"/>
            </w:pPr>
            <w:r>
              <w:t>环境质量</w:t>
            </w:r>
          </w:p>
        </w:tc>
        <w:tc>
          <w:tcPr>
            <w:tcW w:w="809" w:type="pct"/>
            <w:vAlign w:val="center"/>
          </w:tcPr>
          <w:p>
            <w:pPr>
              <w:pStyle w:val="294"/>
            </w:pPr>
            <w:r>
              <w:t>地表水</w:t>
            </w:r>
          </w:p>
        </w:tc>
        <w:tc>
          <w:tcPr>
            <w:tcW w:w="324" w:type="pct"/>
            <w:vAlign w:val="center"/>
          </w:tcPr>
          <w:p>
            <w:pPr>
              <w:pStyle w:val="294"/>
            </w:pPr>
          </w:p>
        </w:tc>
        <w:tc>
          <w:tcPr>
            <w:tcW w:w="325" w:type="pct"/>
            <w:vAlign w:val="center"/>
          </w:tcPr>
          <w:p>
            <w:pPr>
              <w:pStyle w:val="294"/>
            </w:pPr>
            <w:r>
              <w:t>√</w:t>
            </w:r>
          </w:p>
        </w:tc>
        <w:tc>
          <w:tcPr>
            <w:tcW w:w="325" w:type="pct"/>
            <w:vAlign w:val="center"/>
          </w:tcPr>
          <w:p>
            <w:pPr>
              <w:pStyle w:val="294"/>
            </w:pPr>
          </w:p>
        </w:tc>
        <w:tc>
          <w:tcPr>
            <w:tcW w:w="324" w:type="pct"/>
            <w:vAlign w:val="center"/>
          </w:tcPr>
          <w:p>
            <w:pPr>
              <w:pStyle w:val="294"/>
            </w:pPr>
            <w:r>
              <w:t>√</w:t>
            </w:r>
          </w:p>
        </w:tc>
        <w:tc>
          <w:tcPr>
            <w:tcW w:w="325" w:type="pct"/>
            <w:vAlign w:val="center"/>
          </w:tcPr>
          <w:p>
            <w:pPr>
              <w:pStyle w:val="294"/>
            </w:pPr>
          </w:p>
        </w:tc>
        <w:tc>
          <w:tcPr>
            <w:tcW w:w="325" w:type="pct"/>
            <w:vAlign w:val="center"/>
          </w:tcPr>
          <w:p>
            <w:pPr>
              <w:pStyle w:val="294"/>
            </w:pPr>
            <w:r>
              <w:t>√</w:t>
            </w:r>
          </w:p>
        </w:tc>
        <w:tc>
          <w:tcPr>
            <w:tcW w:w="324" w:type="pct"/>
            <w:vAlign w:val="center"/>
          </w:tcPr>
          <w:p>
            <w:pPr>
              <w:pStyle w:val="294"/>
            </w:pPr>
          </w:p>
        </w:tc>
        <w:tc>
          <w:tcPr>
            <w:tcW w:w="325" w:type="pct"/>
            <w:gridSpan w:val="2"/>
            <w:vAlign w:val="center"/>
          </w:tcPr>
          <w:p>
            <w:pPr>
              <w:pStyle w:val="294"/>
            </w:pPr>
            <w:r>
              <w:t>√</w:t>
            </w:r>
          </w:p>
        </w:tc>
        <w:tc>
          <w:tcPr>
            <w:tcW w:w="325" w:type="pct"/>
            <w:vAlign w:val="center"/>
          </w:tcPr>
          <w:p>
            <w:pPr>
              <w:pStyle w:val="294"/>
            </w:pPr>
          </w:p>
        </w:tc>
        <w:tc>
          <w:tcPr>
            <w:tcW w:w="324" w:type="pct"/>
            <w:vAlign w:val="center"/>
          </w:tcPr>
          <w:p>
            <w:pPr>
              <w:pStyle w:val="294"/>
            </w:pPr>
            <w:r>
              <w:t>√</w:t>
            </w:r>
          </w:p>
        </w:tc>
        <w:tc>
          <w:tcPr>
            <w:tcW w:w="325" w:type="pct"/>
            <w:vAlign w:val="center"/>
          </w:tcPr>
          <w:p>
            <w:pPr>
              <w:pStyle w:val="294"/>
            </w:pPr>
          </w:p>
        </w:tc>
        <w:tc>
          <w:tcPr>
            <w:tcW w:w="325" w:type="pct"/>
            <w:vAlign w:val="center"/>
          </w:tcPr>
          <w:p>
            <w:pPr>
              <w:pStyle w:val="294"/>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4"/>
            </w:pPr>
          </w:p>
        </w:tc>
        <w:tc>
          <w:tcPr>
            <w:tcW w:w="809" w:type="pct"/>
            <w:vAlign w:val="center"/>
          </w:tcPr>
          <w:p>
            <w:pPr>
              <w:pStyle w:val="294"/>
            </w:pPr>
            <w:r>
              <w:t>环境空气</w:t>
            </w:r>
          </w:p>
        </w:tc>
        <w:tc>
          <w:tcPr>
            <w:tcW w:w="324" w:type="pct"/>
            <w:vAlign w:val="center"/>
          </w:tcPr>
          <w:p>
            <w:pPr>
              <w:pStyle w:val="294"/>
            </w:pPr>
          </w:p>
        </w:tc>
        <w:tc>
          <w:tcPr>
            <w:tcW w:w="325" w:type="pct"/>
            <w:vAlign w:val="center"/>
          </w:tcPr>
          <w:p>
            <w:pPr>
              <w:pStyle w:val="294"/>
            </w:pPr>
            <w:r>
              <w:t>√</w:t>
            </w:r>
          </w:p>
        </w:tc>
        <w:tc>
          <w:tcPr>
            <w:tcW w:w="325" w:type="pct"/>
            <w:vAlign w:val="center"/>
          </w:tcPr>
          <w:p>
            <w:pPr>
              <w:pStyle w:val="294"/>
            </w:pPr>
          </w:p>
        </w:tc>
        <w:tc>
          <w:tcPr>
            <w:tcW w:w="324" w:type="pct"/>
            <w:vAlign w:val="center"/>
          </w:tcPr>
          <w:p>
            <w:pPr>
              <w:pStyle w:val="294"/>
            </w:pPr>
            <w:r>
              <w:t>√</w:t>
            </w:r>
          </w:p>
        </w:tc>
        <w:tc>
          <w:tcPr>
            <w:tcW w:w="325" w:type="pct"/>
            <w:vAlign w:val="center"/>
          </w:tcPr>
          <w:p>
            <w:pPr>
              <w:pStyle w:val="294"/>
            </w:pPr>
          </w:p>
        </w:tc>
        <w:tc>
          <w:tcPr>
            <w:tcW w:w="325" w:type="pct"/>
            <w:vAlign w:val="center"/>
          </w:tcPr>
          <w:p>
            <w:pPr>
              <w:pStyle w:val="294"/>
            </w:pPr>
            <w:r>
              <w:t>√</w:t>
            </w:r>
          </w:p>
        </w:tc>
        <w:tc>
          <w:tcPr>
            <w:tcW w:w="324" w:type="pct"/>
            <w:vAlign w:val="center"/>
          </w:tcPr>
          <w:p>
            <w:pPr>
              <w:pStyle w:val="294"/>
            </w:pPr>
          </w:p>
        </w:tc>
        <w:tc>
          <w:tcPr>
            <w:tcW w:w="325" w:type="pct"/>
            <w:gridSpan w:val="2"/>
            <w:vAlign w:val="center"/>
          </w:tcPr>
          <w:p>
            <w:pPr>
              <w:pStyle w:val="294"/>
            </w:pPr>
            <w:r>
              <w:t>√</w:t>
            </w:r>
          </w:p>
        </w:tc>
        <w:tc>
          <w:tcPr>
            <w:tcW w:w="325" w:type="pct"/>
            <w:vAlign w:val="center"/>
          </w:tcPr>
          <w:p>
            <w:pPr>
              <w:pStyle w:val="294"/>
            </w:pPr>
          </w:p>
        </w:tc>
        <w:tc>
          <w:tcPr>
            <w:tcW w:w="324" w:type="pct"/>
            <w:vAlign w:val="center"/>
          </w:tcPr>
          <w:p>
            <w:pPr>
              <w:pStyle w:val="294"/>
            </w:pPr>
            <w:r>
              <w:t>√</w:t>
            </w:r>
          </w:p>
        </w:tc>
        <w:tc>
          <w:tcPr>
            <w:tcW w:w="325" w:type="pct"/>
            <w:vAlign w:val="center"/>
          </w:tcPr>
          <w:p>
            <w:pPr>
              <w:pStyle w:val="294"/>
            </w:pPr>
            <w:r>
              <w:t>√</w:t>
            </w:r>
          </w:p>
        </w:tc>
        <w:tc>
          <w:tcPr>
            <w:tcW w:w="325" w:type="pct"/>
            <w:vAlign w:val="center"/>
          </w:tcPr>
          <w:p>
            <w:pPr>
              <w:pStyle w:val="29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4"/>
            </w:pPr>
          </w:p>
        </w:tc>
        <w:tc>
          <w:tcPr>
            <w:tcW w:w="809" w:type="pct"/>
            <w:vAlign w:val="center"/>
          </w:tcPr>
          <w:p>
            <w:pPr>
              <w:pStyle w:val="294"/>
            </w:pPr>
            <w:r>
              <w:t>声环境</w:t>
            </w:r>
          </w:p>
        </w:tc>
        <w:tc>
          <w:tcPr>
            <w:tcW w:w="324" w:type="pct"/>
            <w:vAlign w:val="center"/>
          </w:tcPr>
          <w:p>
            <w:pPr>
              <w:pStyle w:val="294"/>
            </w:pPr>
          </w:p>
        </w:tc>
        <w:tc>
          <w:tcPr>
            <w:tcW w:w="325" w:type="pct"/>
            <w:vAlign w:val="center"/>
          </w:tcPr>
          <w:p>
            <w:pPr>
              <w:pStyle w:val="294"/>
            </w:pPr>
            <w:r>
              <w:t>√</w:t>
            </w:r>
          </w:p>
        </w:tc>
        <w:tc>
          <w:tcPr>
            <w:tcW w:w="325" w:type="pct"/>
            <w:vAlign w:val="center"/>
          </w:tcPr>
          <w:p>
            <w:pPr>
              <w:pStyle w:val="294"/>
            </w:pPr>
          </w:p>
        </w:tc>
        <w:tc>
          <w:tcPr>
            <w:tcW w:w="324" w:type="pct"/>
            <w:vAlign w:val="center"/>
          </w:tcPr>
          <w:p>
            <w:pPr>
              <w:pStyle w:val="294"/>
            </w:pPr>
            <w:r>
              <w:t>√</w:t>
            </w:r>
          </w:p>
        </w:tc>
        <w:tc>
          <w:tcPr>
            <w:tcW w:w="325" w:type="pct"/>
            <w:vAlign w:val="center"/>
          </w:tcPr>
          <w:p>
            <w:pPr>
              <w:pStyle w:val="294"/>
            </w:pPr>
          </w:p>
        </w:tc>
        <w:tc>
          <w:tcPr>
            <w:tcW w:w="325" w:type="pct"/>
            <w:vAlign w:val="center"/>
          </w:tcPr>
          <w:p>
            <w:pPr>
              <w:pStyle w:val="294"/>
            </w:pPr>
            <w:r>
              <w:t>√</w:t>
            </w:r>
          </w:p>
        </w:tc>
        <w:tc>
          <w:tcPr>
            <w:tcW w:w="324" w:type="pct"/>
            <w:vAlign w:val="center"/>
          </w:tcPr>
          <w:p>
            <w:pPr>
              <w:pStyle w:val="294"/>
            </w:pPr>
          </w:p>
        </w:tc>
        <w:tc>
          <w:tcPr>
            <w:tcW w:w="325" w:type="pct"/>
            <w:gridSpan w:val="2"/>
            <w:vAlign w:val="center"/>
          </w:tcPr>
          <w:p>
            <w:pPr>
              <w:pStyle w:val="294"/>
            </w:pPr>
            <w:r>
              <w:t>√</w:t>
            </w:r>
          </w:p>
        </w:tc>
        <w:tc>
          <w:tcPr>
            <w:tcW w:w="325" w:type="pct"/>
            <w:vAlign w:val="center"/>
          </w:tcPr>
          <w:p>
            <w:pPr>
              <w:pStyle w:val="294"/>
            </w:pPr>
          </w:p>
        </w:tc>
        <w:tc>
          <w:tcPr>
            <w:tcW w:w="324" w:type="pct"/>
            <w:vAlign w:val="center"/>
          </w:tcPr>
          <w:p>
            <w:pPr>
              <w:pStyle w:val="294"/>
            </w:pPr>
            <w:r>
              <w:t>√</w:t>
            </w:r>
          </w:p>
        </w:tc>
        <w:tc>
          <w:tcPr>
            <w:tcW w:w="325" w:type="pct"/>
            <w:vAlign w:val="center"/>
          </w:tcPr>
          <w:p>
            <w:pPr>
              <w:pStyle w:val="294"/>
            </w:pPr>
          </w:p>
        </w:tc>
        <w:tc>
          <w:tcPr>
            <w:tcW w:w="325" w:type="pct"/>
            <w:vAlign w:val="center"/>
          </w:tcPr>
          <w:p>
            <w:pPr>
              <w:pStyle w:val="294"/>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restart"/>
            <w:vAlign w:val="center"/>
          </w:tcPr>
          <w:p>
            <w:pPr>
              <w:pStyle w:val="294"/>
            </w:pPr>
            <w:r>
              <w:t>自然生态环境</w:t>
            </w:r>
          </w:p>
        </w:tc>
        <w:tc>
          <w:tcPr>
            <w:tcW w:w="809" w:type="pct"/>
            <w:vAlign w:val="center"/>
          </w:tcPr>
          <w:p>
            <w:pPr>
              <w:pStyle w:val="294"/>
            </w:pPr>
            <w:r>
              <w:t>地形地貌</w:t>
            </w:r>
          </w:p>
        </w:tc>
        <w:tc>
          <w:tcPr>
            <w:tcW w:w="324" w:type="pct"/>
            <w:vAlign w:val="center"/>
          </w:tcPr>
          <w:p>
            <w:pPr>
              <w:pStyle w:val="294"/>
            </w:pPr>
          </w:p>
        </w:tc>
        <w:tc>
          <w:tcPr>
            <w:tcW w:w="325" w:type="pct"/>
            <w:vAlign w:val="center"/>
          </w:tcPr>
          <w:p>
            <w:pPr>
              <w:pStyle w:val="294"/>
            </w:pPr>
            <w:r>
              <w:t>√</w:t>
            </w:r>
          </w:p>
        </w:tc>
        <w:tc>
          <w:tcPr>
            <w:tcW w:w="325" w:type="pct"/>
            <w:vAlign w:val="center"/>
          </w:tcPr>
          <w:p>
            <w:pPr>
              <w:pStyle w:val="294"/>
            </w:pPr>
          </w:p>
        </w:tc>
        <w:tc>
          <w:tcPr>
            <w:tcW w:w="324" w:type="pct"/>
            <w:vAlign w:val="center"/>
          </w:tcPr>
          <w:p>
            <w:pPr>
              <w:pStyle w:val="294"/>
            </w:pPr>
            <w:r>
              <w:t>√</w:t>
            </w:r>
          </w:p>
        </w:tc>
        <w:tc>
          <w:tcPr>
            <w:tcW w:w="325" w:type="pct"/>
            <w:vAlign w:val="center"/>
          </w:tcPr>
          <w:p>
            <w:pPr>
              <w:pStyle w:val="294"/>
            </w:pPr>
          </w:p>
        </w:tc>
        <w:tc>
          <w:tcPr>
            <w:tcW w:w="325" w:type="pct"/>
            <w:vAlign w:val="center"/>
          </w:tcPr>
          <w:p>
            <w:pPr>
              <w:pStyle w:val="294"/>
            </w:pPr>
          </w:p>
        </w:tc>
        <w:tc>
          <w:tcPr>
            <w:tcW w:w="324" w:type="pct"/>
            <w:vAlign w:val="center"/>
          </w:tcPr>
          <w:p>
            <w:pPr>
              <w:pStyle w:val="294"/>
            </w:pPr>
          </w:p>
        </w:tc>
        <w:tc>
          <w:tcPr>
            <w:tcW w:w="325" w:type="pct"/>
            <w:gridSpan w:val="2"/>
            <w:vAlign w:val="center"/>
          </w:tcPr>
          <w:p>
            <w:pPr>
              <w:pStyle w:val="294"/>
            </w:pPr>
          </w:p>
        </w:tc>
        <w:tc>
          <w:tcPr>
            <w:tcW w:w="325" w:type="pct"/>
            <w:vAlign w:val="center"/>
          </w:tcPr>
          <w:p>
            <w:pPr>
              <w:pStyle w:val="294"/>
            </w:pPr>
          </w:p>
        </w:tc>
        <w:tc>
          <w:tcPr>
            <w:tcW w:w="324" w:type="pct"/>
            <w:vAlign w:val="center"/>
          </w:tcPr>
          <w:p>
            <w:pPr>
              <w:pStyle w:val="294"/>
            </w:pPr>
          </w:p>
        </w:tc>
        <w:tc>
          <w:tcPr>
            <w:tcW w:w="325" w:type="pct"/>
            <w:vAlign w:val="center"/>
          </w:tcPr>
          <w:p>
            <w:pPr>
              <w:pStyle w:val="294"/>
            </w:pPr>
          </w:p>
        </w:tc>
        <w:tc>
          <w:tcPr>
            <w:tcW w:w="325" w:type="pct"/>
            <w:vAlign w:val="center"/>
          </w:tcPr>
          <w:p>
            <w:pPr>
              <w:pStyle w:val="29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4"/>
            </w:pPr>
          </w:p>
        </w:tc>
        <w:tc>
          <w:tcPr>
            <w:tcW w:w="809" w:type="pct"/>
            <w:vAlign w:val="center"/>
          </w:tcPr>
          <w:p>
            <w:pPr>
              <w:pStyle w:val="294"/>
            </w:pPr>
            <w:r>
              <w:t>生态环境</w:t>
            </w:r>
          </w:p>
        </w:tc>
        <w:tc>
          <w:tcPr>
            <w:tcW w:w="324" w:type="pct"/>
            <w:vAlign w:val="center"/>
          </w:tcPr>
          <w:p>
            <w:pPr>
              <w:pStyle w:val="294"/>
            </w:pPr>
          </w:p>
        </w:tc>
        <w:tc>
          <w:tcPr>
            <w:tcW w:w="325" w:type="pct"/>
            <w:vAlign w:val="center"/>
          </w:tcPr>
          <w:p>
            <w:pPr>
              <w:pStyle w:val="294"/>
            </w:pPr>
            <w:r>
              <w:t>√</w:t>
            </w:r>
          </w:p>
        </w:tc>
        <w:tc>
          <w:tcPr>
            <w:tcW w:w="325" w:type="pct"/>
            <w:vAlign w:val="center"/>
          </w:tcPr>
          <w:p>
            <w:pPr>
              <w:pStyle w:val="294"/>
            </w:pPr>
          </w:p>
        </w:tc>
        <w:tc>
          <w:tcPr>
            <w:tcW w:w="324" w:type="pct"/>
            <w:vAlign w:val="center"/>
          </w:tcPr>
          <w:p>
            <w:pPr>
              <w:pStyle w:val="294"/>
            </w:pPr>
            <w:r>
              <w:t>√</w:t>
            </w:r>
          </w:p>
        </w:tc>
        <w:tc>
          <w:tcPr>
            <w:tcW w:w="325" w:type="pct"/>
            <w:vAlign w:val="center"/>
          </w:tcPr>
          <w:p>
            <w:pPr>
              <w:pStyle w:val="294"/>
            </w:pPr>
          </w:p>
        </w:tc>
        <w:tc>
          <w:tcPr>
            <w:tcW w:w="325" w:type="pct"/>
            <w:vAlign w:val="center"/>
          </w:tcPr>
          <w:p>
            <w:pPr>
              <w:pStyle w:val="294"/>
            </w:pPr>
          </w:p>
        </w:tc>
        <w:tc>
          <w:tcPr>
            <w:tcW w:w="324" w:type="pct"/>
            <w:vAlign w:val="center"/>
          </w:tcPr>
          <w:p>
            <w:pPr>
              <w:pStyle w:val="294"/>
            </w:pPr>
          </w:p>
        </w:tc>
        <w:tc>
          <w:tcPr>
            <w:tcW w:w="325" w:type="pct"/>
            <w:gridSpan w:val="2"/>
            <w:vAlign w:val="center"/>
          </w:tcPr>
          <w:p>
            <w:pPr>
              <w:pStyle w:val="294"/>
            </w:pPr>
            <w:r>
              <w:t>√</w:t>
            </w:r>
          </w:p>
        </w:tc>
        <w:tc>
          <w:tcPr>
            <w:tcW w:w="325" w:type="pct"/>
            <w:vAlign w:val="center"/>
          </w:tcPr>
          <w:p>
            <w:pPr>
              <w:pStyle w:val="294"/>
            </w:pPr>
          </w:p>
        </w:tc>
        <w:tc>
          <w:tcPr>
            <w:tcW w:w="324" w:type="pct"/>
            <w:vAlign w:val="center"/>
          </w:tcPr>
          <w:p>
            <w:pPr>
              <w:pStyle w:val="294"/>
            </w:pPr>
            <w:r>
              <w:t>√</w:t>
            </w:r>
          </w:p>
        </w:tc>
        <w:tc>
          <w:tcPr>
            <w:tcW w:w="325" w:type="pct"/>
            <w:vAlign w:val="center"/>
          </w:tcPr>
          <w:p>
            <w:pPr>
              <w:pStyle w:val="294"/>
            </w:pPr>
          </w:p>
        </w:tc>
        <w:tc>
          <w:tcPr>
            <w:tcW w:w="325" w:type="pct"/>
            <w:vAlign w:val="center"/>
          </w:tcPr>
          <w:p>
            <w:pPr>
              <w:pStyle w:val="294"/>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4"/>
            </w:pPr>
          </w:p>
        </w:tc>
        <w:tc>
          <w:tcPr>
            <w:tcW w:w="809" w:type="pct"/>
            <w:vAlign w:val="center"/>
          </w:tcPr>
          <w:p>
            <w:pPr>
              <w:pStyle w:val="294"/>
            </w:pPr>
            <w:r>
              <w:t>土壤</w:t>
            </w:r>
          </w:p>
        </w:tc>
        <w:tc>
          <w:tcPr>
            <w:tcW w:w="324" w:type="pct"/>
            <w:vAlign w:val="center"/>
          </w:tcPr>
          <w:p>
            <w:pPr>
              <w:pStyle w:val="294"/>
            </w:pPr>
          </w:p>
        </w:tc>
        <w:tc>
          <w:tcPr>
            <w:tcW w:w="325" w:type="pct"/>
            <w:vAlign w:val="center"/>
          </w:tcPr>
          <w:p>
            <w:pPr>
              <w:pStyle w:val="294"/>
            </w:pPr>
            <w:r>
              <w:t>√</w:t>
            </w:r>
          </w:p>
        </w:tc>
        <w:tc>
          <w:tcPr>
            <w:tcW w:w="325" w:type="pct"/>
            <w:vAlign w:val="center"/>
          </w:tcPr>
          <w:p>
            <w:pPr>
              <w:pStyle w:val="294"/>
            </w:pPr>
          </w:p>
        </w:tc>
        <w:tc>
          <w:tcPr>
            <w:tcW w:w="324" w:type="pct"/>
            <w:vAlign w:val="center"/>
          </w:tcPr>
          <w:p>
            <w:pPr>
              <w:pStyle w:val="294"/>
            </w:pPr>
            <w:r>
              <w:t>√</w:t>
            </w:r>
          </w:p>
        </w:tc>
        <w:tc>
          <w:tcPr>
            <w:tcW w:w="325" w:type="pct"/>
            <w:vAlign w:val="center"/>
          </w:tcPr>
          <w:p>
            <w:pPr>
              <w:pStyle w:val="294"/>
            </w:pPr>
          </w:p>
        </w:tc>
        <w:tc>
          <w:tcPr>
            <w:tcW w:w="325" w:type="pct"/>
            <w:vAlign w:val="center"/>
          </w:tcPr>
          <w:p>
            <w:pPr>
              <w:pStyle w:val="294"/>
            </w:pPr>
          </w:p>
        </w:tc>
        <w:tc>
          <w:tcPr>
            <w:tcW w:w="324" w:type="pct"/>
            <w:vAlign w:val="center"/>
          </w:tcPr>
          <w:p>
            <w:pPr>
              <w:pStyle w:val="294"/>
            </w:pPr>
          </w:p>
        </w:tc>
        <w:tc>
          <w:tcPr>
            <w:tcW w:w="325" w:type="pct"/>
            <w:gridSpan w:val="2"/>
            <w:vAlign w:val="center"/>
          </w:tcPr>
          <w:p>
            <w:pPr>
              <w:pStyle w:val="294"/>
            </w:pPr>
          </w:p>
        </w:tc>
        <w:tc>
          <w:tcPr>
            <w:tcW w:w="325" w:type="pct"/>
            <w:vAlign w:val="center"/>
          </w:tcPr>
          <w:p>
            <w:pPr>
              <w:pStyle w:val="294"/>
            </w:pPr>
          </w:p>
        </w:tc>
        <w:tc>
          <w:tcPr>
            <w:tcW w:w="324" w:type="pct"/>
            <w:vAlign w:val="center"/>
          </w:tcPr>
          <w:p>
            <w:pPr>
              <w:pStyle w:val="294"/>
            </w:pPr>
            <w:r>
              <w:t>√</w:t>
            </w:r>
          </w:p>
        </w:tc>
        <w:tc>
          <w:tcPr>
            <w:tcW w:w="325" w:type="pct"/>
            <w:vAlign w:val="center"/>
          </w:tcPr>
          <w:p>
            <w:pPr>
              <w:pStyle w:val="294"/>
            </w:pPr>
          </w:p>
        </w:tc>
        <w:tc>
          <w:tcPr>
            <w:tcW w:w="325" w:type="pct"/>
            <w:vAlign w:val="center"/>
          </w:tcPr>
          <w:p>
            <w:pPr>
              <w:pStyle w:val="294"/>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4"/>
            </w:pPr>
          </w:p>
        </w:tc>
        <w:tc>
          <w:tcPr>
            <w:tcW w:w="809" w:type="pct"/>
            <w:vAlign w:val="center"/>
          </w:tcPr>
          <w:p>
            <w:pPr>
              <w:pStyle w:val="294"/>
            </w:pPr>
            <w:r>
              <w:t>植被</w:t>
            </w:r>
          </w:p>
        </w:tc>
        <w:tc>
          <w:tcPr>
            <w:tcW w:w="324" w:type="pct"/>
            <w:vAlign w:val="center"/>
          </w:tcPr>
          <w:p>
            <w:pPr>
              <w:pStyle w:val="294"/>
            </w:pPr>
          </w:p>
        </w:tc>
        <w:tc>
          <w:tcPr>
            <w:tcW w:w="325" w:type="pct"/>
            <w:vAlign w:val="center"/>
          </w:tcPr>
          <w:p>
            <w:pPr>
              <w:pStyle w:val="294"/>
            </w:pPr>
            <w:r>
              <w:t>√</w:t>
            </w:r>
          </w:p>
        </w:tc>
        <w:tc>
          <w:tcPr>
            <w:tcW w:w="325" w:type="pct"/>
            <w:vAlign w:val="center"/>
          </w:tcPr>
          <w:p>
            <w:pPr>
              <w:pStyle w:val="294"/>
            </w:pPr>
          </w:p>
        </w:tc>
        <w:tc>
          <w:tcPr>
            <w:tcW w:w="324" w:type="pct"/>
            <w:vAlign w:val="center"/>
          </w:tcPr>
          <w:p>
            <w:pPr>
              <w:pStyle w:val="294"/>
            </w:pPr>
            <w:r>
              <w:t>√</w:t>
            </w:r>
          </w:p>
        </w:tc>
        <w:tc>
          <w:tcPr>
            <w:tcW w:w="325" w:type="pct"/>
            <w:vAlign w:val="center"/>
          </w:tcPr>
          <w:p>
            <w:pPr>
              <w:pStyle w:val="294"/>
            </w:pPr>
          </w:p>
        </w:tc>
        <w:tc>
          <w:tcPr>
            <w:tcW w:w="325" w:type="pct"/>
            <w:vAlign w:val="center"/>
          </w:tcPr>
          <w:p>
            <w:pPr>
              <w:pStyle w:val="294"/>
            </w:pPr>
          </w:p>
        </w:tc>
        <w:tc>
          <w:tcPr>
            <w:tcW w:w="324" w:type="pct"/>
            <w:vAlign w:val="center"/>
          </w:tcPr>
          <w:p>
            <w:pPr>
              <w:pStyle w:val="294"/>
            </w:pPr>
          </w:p>
        </w:tc>
        <w:tc>
          <w:tcPr>
            <w:tcW w:w="325" w:type="pct"/>
            <w:gridSpan w:val="2"/>
            <w:vAlign w:val="center"/>
          </w:tcPr>
          <w:p>
            <w:pPr>
              <w:pStyle w:val="294"/>
            </w:pPr>
          </w:p>
        </w:tc>
        <w:tc>
          <w:tcPr>
            <w:tcW w:w="325" w:type="pct"/>
            <w:vAlign w:val="center"/>
          </w:tcPr>
          <w:p>
            <w:pPr>
              <w:pStyle w:val="294"/>
            </w:pPr>
          </w:p>
        </w:tc>
        <w:tc>
          <w:tcPr>
            <w:tcW w:w="324" w:type="pct"/>
            <w:vAlign w:val="center"/>
          </w:tcPr>
          <w:p>
            <w:pPr>
              <w:pStyle w:val="294"/>
            </w:pPr>
            <w:r>
              <w:t>√</w:t>
            </w:r>
          </w:p>
        </w:tc>
        <w:tc>
          <w:tcPr>
            <w:tcW w:w="325" w:type="pct"/>
            <w:vAlign w:val="center"/>
          </w:tcPr>
          <w:p>
            <w:pPr>
              <w:pStyle w:val="294"/>
            </w:pPr>
          </w:p>
        </w:tc>
        <w:tc>
          <w:tcPr>
            <w:tcW w:w="325" w:type="pct"/>
            <w:vAlign w:val="center"/>
          </w:tcPr>
          <w:p>
            <w:pPr>
              <w:pStyle w:val="294"/>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4"/>
            </w:pPr>
          </w:p>
        </w:tc>
        <w:tc>
          <w:tcPr>
            <w:tcW w:w="809" w:type="pct"/>
            <w:vAlign w:val="center"/>
          </w:tcPr>
          <w:p>
            <w:pPr>
              <w:pStyle w:val="294"/>
            </w:pPr>
            <w:r>
              <w:t>水土流失</w:t>
            </w:r>
          </w:p>
        </w:tc>
        <w:tc>
          <w:tcPr>
            <w:tcW w:w="324" w:type="pct"/>
            <w:vAlign w:val="center"/>
          </w:tcPr>
          <w:p>
            <w:pPr>
              <w:pStyle w:val="294"/>
            </w:pPr>
          </w:p>
        </w:tc>
        <w:tc>
          <w:tcPr>
            <w:tcW w:w="325" w:type="pct"/>
            <w:vAlign w:val="center"/>
          </w:tcPr>
          <w:p>
            <w:pPr>
              <w:pStyle w:val="294"/>
            </w:pPr>
            <w:r>
              <w:t>√</w:t>
            </w:r>
          </w:p>
        </w:tc>
        <w:tc>
          <w:tcPr>
            <w:tcW w:w="325" w:type="pct"/>
            <w:vAlign w:val="center"/>
          </w:tcPr>
          <w:p>
            <w:pPr>
              <w:pStyle w:val="294"/>
            </w:pPr>
          </w:p>
        </w:tc>
        <w:tc>
          <w:tcPr>
            <w:tcW w:w="324" w:type="pct"/>
            <w:vAlign w:val="center"/>
          </w:tcPr>
          <w:p>
            <w:pPr>
              <w:pStyle w:val="294"/>
            </w:pPr>
            <w:r>
              <w:t>√</w:t>
            </w:r>
          </w:p>
        </w:tc>
        <w:tc>
          <w:tcPr>
            <w:tcW w:w="325" w:type="pct"/>
            <w:vAlign w:val="center"/>
          </w:tcPr>
          <w:p>
            <w:pPr>
              <w:pStyle w:val="294"/>
            </w:pPr>
          </w:p>
        </w:tc>
        <w:tc>
          <w:tcPr>
            <w:tcW w:w="325" w:type="pct"/>
            <w:vAlign w:val="center"/>
          </w:tcPr>
          <w:p>
            <w:pPr>
              <w:pStyle w:val="294"/>
            </w:pPr>
          </w:p>
        </w:tc>
        <w:tc>
          <w:tcPr>
            <w:tcW w:w="324" w:type="pct"/>
            <w:vAlign w:val="center"/>
          </w:tcPr>
          <w:p>
            <w:pPr>
              <w:pStyle w:val="294"/>
            </w:pPr>
          </w:p>
        </w:tc>
        <w:tc>
          <w:tcPr>
            <w:tcW w:w="325" w:type="pct"/>
            <w:gridSpan w:val="2"/>
            <w:vAlign w:val="center"/>
          </w:tcPr>
          <w:p>
            <w:pPr>
              <w:pStyle w:val="294"/>
            </w:pPr>
          </w:p>
        </w:tc>
        <w:tc>
          <w:tcPr>
            <w:tcW w:w="325" w:type="pct"/>
            <w:vAlign w:val="center"/>
          </w:tcPr>
          <w:p>
            <w:pPr>
              <w:pStyle w:val="294"/>
            </w:pPr>
          </w:p>
        </w:tc>
        <w:tc>
          <w:tcPr>
            <w:tcW w:w="324" w:type="pct"/>
            <w:vAlign w:val="center"/>
          </w:tcPr>
          <w:p>
            <w:pPr>
              <w:pStyle w:val="294"/>
            </w:pPr>
          </w:p>
        </w:tc>
        <w:tc>
          <w:tcPr>
            <w:tcW w:w="325" w:type="pct"/>
            <w:vAlign w:val="center"/>
          </w:tcPr>
          <w:p>
            <w:pPr>
              <w:pStyle w:val="294"/>
            </w:pPr>
          </w:p>
        </w:tc>
        <w:tc>
          <w:tcPr>
            <w:tcW w:w="325" w:type="pct"/>
            <w:vAlign w:val="center"/>
          </w:tcPr>
          <w:p>
            <w:pPr>
              <w:pStyle w:val="29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4"/>
            </w:pPr>
          </w:p>
        </w:tc>
        <w:tc>
          <w:tcPr>
            <w:tcW w:w="809" w:type="pct"/>
            <w:vAlign w:val="center"/>
          </w:tcPr>
          <w:p>
            <w:pPr>
              <w:pStyle w:val="294"/>
            </w:pPr>
            <w:r>
              <w:t>土地利用</w:t>
            </w:r>
          </w:p>
        </w:tc>
        <w:tc>
          <w:tcPr>
            <w:tcW w:w="324" w:type="pct"/>
            <w:vAlign w:val="center"/>
          </w:tcPr>
          <w:p>
            <w:pPr>
              <w:pStyle w:val="294"/>
            </w:pPr>
          </w:p>
        </w:tc>
        <w:tc>
          <w:tcPr>
            <w:tcW w:w="325" w:type="pct"/>
            <w:vAlign w:val="center"/>
          </w:tcPr>
          <w:p>
            <w:pPr>
              <w:pStyle w:val="294"/>
            </w:pPr>
            <w:r>
              <w:t>√</w:t>
            </w:r>
          </w:p>
        </w:tc>
        <w:tc>
          <w:tcPr>
            <w:tcW w:w="325" w:type="pct"/>
            <w:vAlign w:val="center"/>
          </w:tcPr>
          <w:p>
            <w:pPr>
              <w:pStyle w:val="294"/>
            </w:pPr>
          </w:p>
        </w:tc>
        <w:tc>
          <w:tcPr>
            <w:tcW w:w="324" w:type="pct"/>
            <w:vAlign w:val="center"/>
          </w:tcPr>
          <w:p>
            <w:pPr>
              <w:pStyle w:val="294"/>
            </w:pPr>
            <w:r>
              <w:t>√</w:t>
            </w:r>
          </w:p>
        </w:tc>
        <w:tc>
          <w:tcPr>
            <w:tcW w:w="325" w:type="pct"/>
            <w:vAlign w:val="center"/>
          </w:tcPr>
          <w:p>
            <w:pPr>
              <w:pStyle w:val="294"/>
            </w:pPr>
          </w:p>
        </w:tc>
        <w:tc>
          <w:tcPr>
            <w:tcW w:w="325" w:type="pct"/>
            <w:vAlign w:val="center"/>
          </w:tcPr>
          <w:p>
            <w:pPr>
              <w:pStyle w:val="294"/>
            </w:pPr>
          </w:p>
        </w:tc>
        <w:tc>
          <w:tcPr>
            <w:tcW w:w="324" w:type="pct"/>
            <w:vAlign w:val="center"/>
          </w:tcPr>
          <w:p>
            <w:pPr>
              <w:pStyle w:val="294"/>
            </w:pPr>
          </w:p>
        </w:tc>
        <w:tc>
          <w:tcPr>
            <w:tcW w:w="325" w:type="pct"/>
            <w:gridSpan w:val="2"/>
            <w:vAlign w:val="center"/>
          </w:tcPr>
          <w:p>
            <w:pPr>
              <w:pStyle w:val="294"/>
            </w:pPr>
          </w:p>
        </w:tc>
        <w:tc>
          <w:tcPr>
            <w:tcW w:w="325" w:type="pct"/>
            <w:vAlign w:val="center"/>
          </w:tcPr>
          <w:p>
            <w:pPr>
              <w:pStyle w:val="294"/>
            </w:pPr>
          </w:p>
        </w:tc>
        <w:tc>
          <w:tcPr>
            <w:tcW w:w="324" w:type="pct"/>
            <w:vAlign w:val="center"/>
          </w:tcPr>
          <w:p>
            <w:pPr>
              <w:pStyle w:val="294"/>
            </w:pPr>
          </w:p>
        </w:tc>
        <w:tc>
          <w:tcPr>
            <w:tcW w:w="325" w:type="pct"/>
            <w:vAlign w:val="center"/>
          </w:tcPr>
          <w:p>
            <w:pPr>
              <w:pStyle w:val="294"/>
            </w:pPr>
          </w:p>
        </w:tc>
        <w:tc>
          <w:tcPr>
            <w:tcW w:w="325" w:type="pct"/>
            <w:vAlign w:val="center"/>
          </w:tcPr>
          <w:p>
            <w:pPr>
              <w:pStyle w:val="29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4"/>
            </w:pPr>
          </w:p>
        </w:tc>
        <w:tc>
          <w:tcPr>
            <w:tcW w:w="809" w:type="pct"/>
            <w:vAlign w:val="center"/>
          </w:tcPr>
          <w:p>
            <w:pPr>
              <w:pStyle w:val="294"/>
            </w:pPr>
            <w:r>
              <w:t>减少温室效应</w:t>
            </w:r>
          </w:p>
        </w:tc>
        <w:tc>
          <w:tcPr>
            <w:tcW w:w="324" w:type="pct"/>
            <w:vAlign w:val="center"/>
          </w:tcPr>
          <w:p>
            <w:pPr>
              <w:pStyle w:val="294"/>
            </w:pPr>
          </w:p>
        </w:tc>
        <w:tc>
          <w:tcPr>
            <w:tcW w:w="325" w:type="pct"/>
            <w:vAlign w:val="center"/>
          </w:tcPr>
          <w:p>
            <w:pPr>
              <w:pStyle w:val="294"/>
            </w:pPr>
          </w:p>
        </w:tc>
        <w:tc>
          <w:tcPr>
            <w:tcW w:w="325" w:type="pct"/>
            <w:vAlign w:val="center"/>
          </w:tcPr>
          <w:p>
            <w:pPr>
              <w:pStyle w:val="294"/>
            </w:pPr>
          </w:p>
        </w:tc>
        <w:tc>
          <w:tcPr>
            <w:tcW w:w="324" w:type="pct"/>
            <w:vAlign w:val="center"/>
          </w:tcPr>
          <w:p>
            <w:pPr>
              <w:pStyle w:val="294"/>
            </w:pPr>
          </w:p>
        </w:tc>
        <w:tc>
          <w:tcPr>
            <w:tcW w:w="325" w:type="pct"/>
            <w:vAlign w:val="center"/>
          </w:tcPr>
          <w:p>
            <w:pPr>
              <w:pStyle w:val="294"/>
            </w:pPr>
            <w:r>
              <w:t>√</w:t>
            </w:r>
          </w:p>
        </w:tc>
        <w:tc>
          <w:tcPr>
            <w:tcW w:w="325" w:type="pct"/>
            <w:vAlign w:val="center"/>
          </w:tcPr>
          <w:p>
            <w:pPr>
              <w:pStyle w:val="294"/>
            </w:pPr>
          </w:p>
        </w:tc>
        <w:tc>
          <w:tcPr>
            <w:tcW w:w="324" w:type="pct"/>
            <w:vAlign w:val="center"/>
          </w:tcPr>
          <w:p>
            <w:pPr>
              <w:pStyle w:val="294"/>
            </w:pPr>
          </w:p>
        </w:tc>
        <w:tc>
          <w:tcPr>
            <w:tcW w:w="325" w:type="pct"/>
            <w:gridSpan w:val="2"/>
            <w:vAlign w:val="center"/>
          </w:tcPr>
          <w:p>
            <w:pPr>
              <w:pStyle w:val="294"/>
            </w:pPr>
          </w:p>
        </w:tc>
        <w:tc>
          <w:tcPr>
            <w:tcW w:w="325" w:type="pct"/>
            <w:vAlign w:val="center"/>
          </w:tcPr>
          <w:p>
            <w:pPr>
              <w:pStyle w:val="294"/>
            </w:pPr>
          </w:p>
        </w:tc>
        <w:tc>
          <w:tcPr>
            <w:tcW w:w="324" w:type="pct"/>
            <w:vAlign w:val="center"/>
          </w:tcPr>
          <w:p>
            <w:pPr>
              <w:pStyle w:val="294"/>
            </w:pPr>
          </w:p>
        </w:tc>
        <w:tc>
          <w:tcPr>
            <w:tcW w:w="325" w:type="pct"/>
            <w:vAlign w:val="center"/>
          </w:tcPr>
          <w:p>
            <w:pPr>
              <w:pStyle w:val="294"/>
            </w:pPr>
          </w:p>
        </w:tc>
        <w:tc>
          <w:tcPr>
            <w:tcW w:w="325" w:type="pct"/>
            <w:vAlign w:val="center"/>
          </w:tcPr>
          <w:p>
            <w:pPr>
              <w:pStyle w:val="294"/>
            </w:pPr>
          </w:p>
        </w:tc>
      </w:tr>
    </w:tbl>
    <w:p>
      <w:pPr>
        <w:tabs>
          <w:tab w:val="left" w:pos="0"/>
        </w:tabs>
        <w:spacing w:before="163" w:beforeLines="5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根据表2.4-1和表2.4-2的分析结果可知，就环境影响因子影响而言，拟建工程主要影响生态环境。</w:t>
      </w:r>
    </w:p>
    <w:p>
      <w:pPr>
        <w:pStyle w:val="4"/>
        <w:ind w:firstLine="241"/>
        <w:rPr>
          <w:b w:val="0"/>
        </w:rPr>
      </w:pPr>
      <w:bookmarkStart w:id="40" w:name="_Toc120173063"/>
      <w:r>
        <w:rPr>
          <w:rFonts w:hint="eastAsia"/>
        </w:rPr>
        <w:t>2.4.2</w:t>
      </w:r>
      <w:r>
        <w:t>评价因子筛选</w:t>
      </w:r>
      <w:bookmarkEnd w:id="40"/>
    </w:p>
    <w:p>
      <w:pPr>
        <w:tabs>
          <w:tab w:val="left" w:pos="0"/>
        </w:tabs>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根据建设项目特点、环境影响的主要特征和方式，结合区域自然生态环境情况、区域环境功能要求、环境保护目标、评价标准和环境制约因素等，筛选确定项目主要评价分析因子如下：</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 xml:space="preserve">表 </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t>3  本项目环境影响评价因子</w:t>
      </w:r>
    </w:p>
    <w:tbl>
      <w:tblPr>
        <w:tblStyle w:val="52"/>
        <w:tblW w:w="5000" w:type="pct"/>
        <w:jc w:val="center"/>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Layout w:type="autofit"/>
        <w:tblCellMar>
          <w:top w:w="0" w:type="dxa"/>
          <w:left w:w="108" w:type="dxa"/>
          <w:bottom w:w="0" w:type="dxa"/>
          <w:right w:w="108" w:type="dxa"/>
        </w:tblCellMar>
      </w:tblPr>
      <w:tblGrid>
        <w:gridCol w:w="939"/>
        <w:gridCol w:w="3954"/>
        <w:gridCol w:w="1934"/>
        <w:gridCol w:w="1695"/>
      </w:tblGrid>
      <w:tr>
        <w:tblPrEx>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51" w:type="pct"/>
            <w:vMerge w:val="restart"/>
            <w:vAlign w:val="center"/>
          </w:tcPr>
          <w:p>
            <w:pPr>
              <w:widowControl/>
              <w:spacing w:before="35" w:line="240" w:lineRule="auto"/>
              <w:ind w:left="138" w:firstLine="0" w:firstLineChars="0"/>
              <w:jc w:val="center"/>
              <w:rPr>
                <w:rFonts w:cs="Times New Roman"/>
                <w:kern w:val="0"/>
                <w:sz w:val="21"/>
                <w:szCs w:val="21"/>
                <w:lang w:eastAsia="en-US"/>
              </w:rPr>
            </w:pPr>
            <w:r>
              <w:rPr>
                <w:rFonts w:cs="Times New Roman"/>
                <w:kern w:val="0"/>
                <w:sz w:val="21"/>
                <w:szCs w:val="21"/>
                <w:lang w:eastAsia="en-US"/>
              </w:rPr>
              <w:t>环境要素</w:t>
            </w:r>
          </w:p>
        </w:tc>
        <w:tc>
          <w:tcPr>
            <w:tcW w:w="2320" w:type="pct"/>
            <w:vMerge w:val="restart"/>
            <w:vAlign w:val="center"/>
          </w:tcPr>
          <w:p>
            <w:pPr>
              <w:widowControl/>
              <w:spacing w:before="35" w:line="240" w:lineRule="auto"/>
              <w:ind w:left="138" w:firstLine="0" w:firstLineChars="0"/>
              <w:jc w:val="center"/>
              <w:rPr>
                <w:rFonts w:cs="Times New Roman"/>
                <w:kern w:val="0"/>
                <w:sz w:val="21"/>
                <w:szCs w:val="21"/>
              </w:rPr>
            </w:pPr>
            <w:r>
              <w:rPr>
                <w:rFonts w:cs="Times New Roman"/>
                <w:kern w:val="0"/>
                <w:sz w:val="21"/>
                <w:szCs w:val="21"/>
              </w:rPr>
              <w:t>环境质量现状评价因子</w:t>
            </w:r>
          </w:p>
        </w:tc>
        <w:tc>
          <w:tcPr>
            <w:tcW w:w="2129" w:type="pct"/>
            <w:gridSpan w:val="2"/>
            <w:vAlign w:val="center"/>
          </w:tcPr>
          <w:p>
            <w:pPr>
              <w:widowControl/>
              <w:spacing w:before="35" w:line="240" w:lineRule="auto"/>
              <w:ind w:left="138" w:firstLine="0" w:firstLineChars="0"/>
              <w:jc w:val="center"/>
              <w:rPr>
                <w:rFonts w:cs="Times New Roman"/>
                <w:kern w:val="0"/>
                <w:sz w:val="21"/>
                <w:szCs w:val="21"/>
                <w:lang w:eastAsia="en-US"/>
              </w:rPr>
            </w:pPr>
            <w:r>
              <w:rPr>
                <w:rFonts w:cs="Times New Roman"/>
                <w:kern w:val="0"/>
                <w:sz w:val="21"/>
                <w:szCs w:val="21"/>
                <w:lang w:eastAsia="en-US"/>
              </w:rPr>
              <w:t>环境影响预测与评价</w:t>
            </w:r>
          </w:p>
        </w:tc>
      </w:tr>
      <w:tr>
        <w:tblPrEx>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51" w:type="pct"/>
            <w:vMerge w:val="continue"/>
            <w:vAlign w:val="center"/>
          </w:tcPr>
          <w:p>
            <w:pPr>
              <w:widowControl/>
              <w:spacing w:before="35" w:line="240" w:lineRule="auto"/>
              <w:ind w:left="138" w:firstLine="0" w:firstLineChars="0"/>
              <w:jc w:val="center"/>
              <w:rPr>
                <w:rFonts w:cs="Times New Roman"/>
                <w:kern w:val="0"/>
                <w:sz w:val="21"/>
                <w:szCs w:val="21"/>
                <w:lang w:eastAsia="en-US"/>
              </w:rPr>
            </w:pPr>
          </w:p>
        </w:tc>
        <w:tc>
          <w:tcPr>
            <w:tcW w:w="2320" w:type="pct"/>
            <w:vMerge w:val="continue"/>
            <w:vAlign w:val="center"/>
          </w:tcPr>
          <w:p>
            <w:pPr>
              <w:widowControl/>
              <w:spacing w:before="35" w:line="240" w:lineRule="auto"/>
              <w:ind w:left="138" w:firstLine="0" w:firstLineChars="0"/>
              <w:jc w:val="center"/>
              <w:rPr>
                <w:rFonts w:cs="Times New Roman"/>
                <w:kern w:val="0"/>
                <w:sz w:val="21"/>
                <w:szCs w:val="21"/>
                <w:lang w:eastAsia="en-US"/>
              </w:rPr>
            </w:pPr>
          </w:p>
        </w:tc>
        <w:tc>
          <w:tcPr>
            <w:tcW w:w="1135" w:type="pct"/>
            <w:vAlign w:val="center"/>
          </w:tcPr>
          <w:p>
            <w:pPr>
              <w:widowControl/>
              <w:spacing w:before="35" w:line="240" w:lineRule="auto"/>
              <w:ind w:left="138" w:firstLine="0" w:firstLineChars="0"/>
              <w:jc w:val="center"/>
              <w:rPr>
                <w:rFonts w:cs="Times New Roman"/>
                <w:kern w:val="0"/>
                <w:sz w:val="21"/>
                <w:szCs w:val="21"/>
                <w:lang w:eastAsia="en-US"/>
              </w:rPr>
            </w:pPr>
            <w:r>
              <w:rPr>
                <w:rFonts w:cs="Times New Roman"/>
                <w:kern w:val="0"/>
                <w:sz w:val="21"/>
                <w:szCs w:val="21"/>
                <w:lang w:eastAsia="en-US"/>
              </w:rPr>
              <w:t>施工期</w:t>
            </w:r>
          </w:p>
        </w:tc>
        <w:tc>
          <w:tcPr>
            <w:tcW w:w="994" w:type="pct"/>
            <w:vAlign w:val="center"/>
          </w:tcPr>
          <w:p>
            <w:pPr>
              <w:widowControl/>
              <w:spacing w:before="35" w:line="240" w:lineRule="auto"/>
              <w:ind w:left="138" w:firstLine="0" w:firstLineChars="0"/>
              <w:jc w:val="center"/>
              <w:rPr>
                <w:rFonts w:cs="Times New Roman"/>
                <w:kern w:val="0"/>
                <w:sz w:val="21"/>
                <w:szCs w:val="21"/>
              </w:rPr>
            </w:pPr>
            <w:r>
              <w:rPr>
                <w:rFonts w:cs="Times New Roman"/>
                <w:kern w:val="0"/>
                <w:sz w:val="21"/>
                <w:szCs w:val="21"/>
              </w:rPr>
              <w:t>试采期</w:t>
            </w:r>
          </w:p>
        </w:tc>
      </w:tr>
      <w:tr>
        <w:tblPrEx>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CellMar>
            <w:top w:w="0" w:type="dxa"/>
            <w:left w:w="108" w:type="dxa"/>
            <w:bottom w:w="0" w:type="dxa"/>
            <w:right w:w="108" w:type="dxa"/>
          </w:tblCellMar>
        </w:tblPrEx>
        <w:trPr>
          <w:trHeight w:val="114" w:hRule="atLeast"/>
          <w:jc w:val="center"/>
        </w:trPr>
        <w:tc>
          <w:tcPr>
            <w:tcW w:w="551" w:type="pct"/>
            <w:vAlign w:val="center"/>
          </w:tcPr>
          <w:p>
            <w:pPr>
              <w:widowControl/>
              <w:spacing w:before="35" w:line="240" w:lineRule="auto"/>
              <w:ind w:left="138" w:firstLine="0" w:firstLineChars="0"/>
              <w:jc w:val="center"/>
              <w:rPr>
                <w:rFonts w:cs="Times New Roman"/>
                <w:kern w:val="0"/>
                <w:sz w:val="21"/>
                <w:szCs w:val="21"/>
                <w:lang w:eastAsia="en-US"/>
              </w:rPr>
            </w:pPr>
            <w:r>
              <w:rPr>
                <w:rFonts w:cs="Times New Roman"/>
                <w:kern w:val="0"/>
                <w:sz w:val="21"/>
                <w:szCs w:val="21"/>
                <w:lang w:eastAsia="en-US"/>
              </w:rPr>
              <w:t>生态</w:t>
            </w:r>
          </w:p>
        </w:tc>
        <w:tc>
          <w:tcPr>
            <w:tcW w:w="2320" w:type="pct"/>
            <w:vAlign w:val="center"/>
          </w:tcPr>
          <w:p>
            <w:pPr>
              <w:widowControl/>
              <w:spacing w:before="35" w:line="240" w:lineRule="auto"/>
              <w:ind w:left="138" w:firstLine="0" w:firstLineChars="0"/>
              <w:jc w:val="center"/>
              <w:rPr>
                <w:rFonts w:cs="Times New Roman"/>
                <w:kern w:val="0"/>
                <w:sz w:val="21"/>
                <w:szCs w:val="21"/>
              </w:rPr>
            </w:pPr>
            <w:r>
              <w:rPr>
                <w:rFonts w:cs="Times New Roman"/>
                <w:kern w:val="0"/>
                <w:sz w:val="21"/>
                <w:szCs w:val="21"/>
              </w:rPr>
              <w:t>生态功能区划、土地利用现状、植被类型、野生动植物、水生生物、土壤侵蚀、生态系统完整性等</w:t>
            </w:r>
          </w:p>
        </w:tc>
        <w:tc>
          <w:tcPr>
            <w:tcW w:w="1135" w:type="pct"/>
            <w:vAlign w:val="center"/>
          </w:tcPr>
          <w:p>
            <w:pPr>
              <w:widowControl/>
              <w:spacing w:before="35" w:line="240" w:lineRule="auto"/>
              <w:ind w:left="138" w:firstLine="0" w:firstLineChars="0"/>
              <w:jc w:val="center"/>
              <w:rPr>
                <w:rFonts w:cs="Times New Roman"/>
                <w:kern w:val="0"/>
                <w:sz w:val="21"/>
                <w:szCs w:val="21"/>
                <w:lang w:eastAsia="en-US"/>
              </w:rPr>
            </w:pPr>
            <w:r>
              <w:rPr>
                <w:rFonts w:cs="Times New Roman"/>
                <w:kern w:val="0"/>
                <w:sz w:val="21"/>
                <w:szCs w:val="21"/>
                <w:lang w:eastAsia="en-US"/>
              </w:rPr>
              <w:t>生态系统等</w:t>
            </w:r>
          </w:p>
        </w:tc>
        <w:tc>
          <w:tcPr>
            <w:tcW w:w="994" w:type="pct"/>
            <w:vAlign w:val="center"/>
          </w:tcPr>
          <w:p>
            <w:pPr>
              <w:widowControl/>
              <w:spacing w:before="35" w:line="240" w:lineRule="auto"/>
              <w:ind w:left="138" w:firstLine="0" w:firstLineChars="0"/>
              <w:jc w:val="center"/>
              <w:rPr>
                <w:rFonts w:cs="Times New Roman"/>
                <w:kern w:val="0"/>
                <w:sz w:val="21"/>
                <w:szCs w:val="21"/>
                <w:lang w:eastAsia="en-US"/>
              </w:rPr>
            </w:pPr>
            <w:r>
              <w:rPr>
                <w:rFonts w:cs="Times New Roman"/>
                <w:kern w:val="0"/>
                <w:sz w:val="21"/>
                <w:szCs w:val="21"/>
                <w:lang w:eastAsia="en-US"/>
              </w:rPr>
              <w:t>/</w:t>
            </w:r>
          </w:p>
        </w:tc>
      </w:tr>
      <w:tr>
        <w:tblPrEx>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51" w:type="pct"/>
            <w:vAlign w:val="center"/>
          </w:tcPr>
          <w:p>
            <w:pPr>
              <w:widowControl/>
              <w:spacing w:before="35" w:line="240" w:lineRule="auto"/>
              <w:ind w:left="138" w:firstLine="0" w:firstLineChars="0"/>
              <w:jc w:val="center"/>
              <w:rPr>
                <w:rFonts w:cs="Times New Roman"/>
                <w:kern w:val="0"/>
                <w:sz w:val="21"/>
                <w:szCs w:val="21"/>
                <w:lang w:eastAsia="en-US"/>
              </w:rPr>
            </w:pPr>
            <w:r>
              <w:rPr>
                <w:rFonts w:cs="Times New Roman"/>
                <w:kern w:val="0"/>
                <w:sz w:val="21"/>
                <w:szCs w:val="21"/>
                <w:lang w:eastAsia="en-US"/>
              </w:rPr>
              <w:t>大气环境</w:t>
            </w:r>
          </w:p>
        </w:tc>
        <w:tc>
          <w:tcPr>
            <w:tcW w:w="2320" w:type="pct"/>
            <w:vAlign w:val="center"/>
          </w:tcPr>
          <w:p>
            <w:pPr>
              <w:widowControl/>
              <w:spacing w:before="35" w:line="240" w:lineRule="auto"/>
              <w:ind w:left="138" w:firstLine="0" w:firstLineChars="0"/>
              <w:jc w:val="center"/>
              <w:rPr>
                <w:rFonts w:cs="Times New Roman"/>
                <w:kern w:val="0"/>
                <w:sz w:val="21"/>
                <w:szCs w:val="21"/>
              </w:rPr>
            </w:pPr>
            <w:r>
              <w:rPr>
                <w:rFonts w:cs="Times New Roman"/>
                <w:kern w:val="0"/>
                <w:sz w:val="21"/>
                <w:szCs w:val="21"/>
                <w:lang w:eastAsia="en-US"/>
              </w:rPr>
              <w:t>SO</w:t>
            </w:r>
            <w:r>
              <w:rPr>
                <w:rFonts w:cs="Times New Roman"/>
                <w:kern w:val="0"/>
                <w:sz w:val="21"/>
                <w:szCs w:val="21"/>
                <w:vertAlign w:val="subscript"/>
                <w:lang w:eastAsia="en-US"/>
              </w:rPr>
              <w:t>2</w:t>
            </w:r>
            <w:r>
              <w:rPr>
                <w:rFonts w:cs="Times New Roman"/>
                <w:kern w:val="0"/>
                <w:sz w:val="21"/>
                <w:szCs w:val="21"/>
                <w:lang w:eastAsia="en-US"/>
              </w:rPr>
              <w:t>、NO</w:t>
            </w:r>
            <w:r>
              <w:rPr>
                <w:rFonts w:cs="Times New Roman"/>
                <w:kern w:val="0"/>
                <w:sz w:val="21"/>
                <w:szCs w:val="21"/>
                <w:vertAlign w:val="subscript"/>
                <w:lang w:eastAsia="en-US"/>
              </w:rPr>
              <w:t>2</w:t>
            </w:r>
            <w:r>
              <w:rPr>
                <w:rFonts w:cs="Times New Roman"/>
                <w:kern w:val="0"/>
                <w:sz w:val="21"/>
                <w:szCs w:val="21"/>
                <w:lang w:eastAsia="en-US"/>
              </w:rPr>
              <w:t>、PM</w:t>
            </w:r>
            <w:r>
              <w:rPr>
                <w:rFonts w:cs="Times New Roman"/>
                <w:kern w:val="0"/>
                <w:sz w:val="21"/>
                <w:szCs w:val="21"/>
                <w:vertAlign w:val="subscript"/>
                <w:lang w:eastAsia="en-US"/>
              </w:rPr>
              <w:t>10</w:t>
            </w:r>
            <w:r>
              <w:rPr>
                <w:rFonts w:cs="Times New Roman"/>
                <w:kern w:val="0"/>
                <w:sz w:val="21"/>
                <w:szCs w:val="21"/>
                <w:lang w:eastAsia="en-US"/>
              </w:rPr>
              <w:t>、PM</w:t>
            </w:r>
            <w:r>
              <w:rPr>
                <w:rFonts w:cs="Times New Roman"/>
                <w:kern w:val="0"/>
                <w:sz w:val="21"/>
                <w:szCs w:val="21"/>
                <w:vertAlign w:val="subscript"/>
                <w:lang w:eastAsia="en-US"/>
              </w:rPr>
              <w:t>2.5</w:t>
            </w:r>
            <w:r>
              <w:rPr>
                <w:rFonts w:cs="Times New Roman"/>
                <w:kern w:val="0"/>
                <w:sz w:val="21"/>
                <w:szCs w:val="21"/>
                <w:lang w:eastAsia="en-US"/>
              </w:rPr>
              <w:t>、CO、O</w:t>
            </w:r>
            <w:r>
              <w:rPr>
                <w:rFonts w:cs="Times New Roman"/>
                <w:kern w:val="0"/>
                <w:sz w:val="21"/>
                <w:szCs w:val="21"/>
                <w:vertAlign w:val="subscript"/>
                <w:lang w:eastAsia="en-US"/>
              </w:rPr>
              <w:t>3</w:t>
            </w:r>
            <w:r>
              <w:rPr>
                <w:rFonts w:cs="Times New Roman"/>
                <w:kern w:val="0"/>
                <w:sz w:val="21"/>
                <w:szCs w:val="21"/>
                <w:lang w:eastAsia="en-US"/>
              </w:rPr>
              <w:t>、</w:t>
            </w:r>
            <w:r>
              <w:rPr>
                <w:rFonts w:cs="Times New Roman"/>
                <w:kern w:val="0"/>
                <w:sz w:val="21"/>
                <w:szCs w:val="21"/>
              </w:rPr>
              <w:t>H</w:t>
            </w:r>
            <w:r>
              <w:rPr>
                <w:rFonts w:cs="Times New Roman"/>
                <w:kern w:val="0"/>
                <w:sz w:val="21"/>
                <w:szCs w:val="21"/>
                <w:vertAlign w:val="subscript"/>
              </w:rPr>
              <w:t>2</w:t>
            </w:r>
            <w:r>
              <w:rPr>
                <w:rFonts w:cs="Times New Roman"/>
                <w:kern w:val="0"/>
                <w:sz w:val="21"/>
                <w:szCs w:val="21"/>
              </w:rPr>
              <w:t>S、非甲烷总烃</w:t>
            </w:r>
          </w:p>
        </w:tc>
        <w:tc>
          <w:tcPr>
            <w:tcW w:w="1135" w:type="pct"/>
            <w:vAlign w:val="center"/>
          </w:tcPr>
          <w:p>
            <w:pPr>
              <w:widowControl/>
              <w:spacing w:before="35" w:line="240" w:lineRule="auto"/>
              <w:ind w:left="138" w:firstLine="0" w:firstLineChars="0"/>
              <w:jc w:val="center"/>
              <w:rPr>
                <w:rFonts w:cs="Times New Roman"/>
                <w:kern w:val="0"/>
                <w:sz w:val="21"/>
                <w:szCs w:val="21"/>
              </w:rPr>
            </w:pPr>
            <w:r>
              <w:rPr>
                <w:rFonts w:cs="Times New Roman"/>
                <w:kern w:val="0"/>
                <w:sz w:val="21"/>
                <w:szCs w:val="21"/>
              </w:rPr>
              <w:t>颗粒物、SO</w:t>
            </w:r>
            <w:r>
              <w:rPr>
                <w:rFonts w:cs="Times New Roman"/>
                <w:kern w:val="0"/>
                <w:sz w:val="21"/>
                <w:szCs w:val="21"/>
                <w:vertAlign w:val="subscript"/>
              </w:rPr>
              <w:t>2</w:t>
            </w:r>
            <w:r>
              <w:rPr>
                <w:rFonts w:cs="Times New Roman"/>
                <w:kern w:val="0"/>
                <w:sz w:val="21"/>
                <w:szCs w:val="21"/>
              </w:rPr>
              <w:t>、NO</w:t>
            </w:r>
            <w:r>
              <w:rPr>
                <w:rFonts w:cs="Times New Roman"/>
                <w:kern w:val="0"/>
                <w:sz w:val="21"/>
                <w:szCs w:val="21"/>
                <w:vertAlign w:val="subscript"/>
              </w:rPr>
              <w:t>x</w:t>
            </w:r>
            <w:r>
              <w:rPr>
                <w:rFonts w:cs="Times New Roman"/>
                <w:kern w:val="0"/>
                <w:sz w:val="21"/>
                <w:szCs w:val="21"/>
              </w:rPr>
              <w:t>、非甲烷总烃</w:t>
            </w:r>
          </w:p>
        </w:tc>
        <w:tc>
          <w:tcPr>
            <w:tcW w:w="994" w:type="pct"/>
            <w:vAlign w:val="center"/>
          </w:tcPr>
          <w:p>
            <w:pPr>
              <w:widowControl/>
              <w:spacing w:before="35" w:line="240" w:lineRule="auto"/>
              <w:ind w:left="138" w:firstLine="0" w:firstLineChars="0"/>
              <w:jc w:val="center"/>
              <w:rPr>
                <w:rFonts w:cs="Times New Roman"/>
                <w:kern w:val="0"/>
                <w:sz w:val="21"/>
                <w:szCs w:val="21"/>
                <w:lang w:eastAsia="en-US"/>
              </w:rPr>
            </w:pPr>
            <w:r>
              <w:rPr>
                <w:rFonts w:cs="Times New Roman"/>
                <w:kern w:val="0"/>
                <w:sz w:val="21"/>
                <w:szCs w:val="21"/>
                <w:lang w:eastAsia="en-US"/>
              </w:rPr>
              <w:t>SO</w:t>
            </w:r>
            <w:r>
              <w:rPr>
                <w:rFonts w:cs="Times New Roman"/>
                <w:kern w:val="0"/>
                <w:sz w:val="21"/>
                <w:szCs w:val="21"/>
                <w:vertAlign w:val="subscript"/>
                <w:lang w:eastAsia="en-US"/>
              </w:rPr>
              <w:t>2</w:t>
            </w:r>
            <w:r>
              <w:rPr>
                <w:rFonts w:cs="Times New Roman"/>
                <w:kern w:val="0"/>
                <w:sz w:val="21"/>
                <w:szCs w:val="21"/>
                <w:lang w:eastAsia="en-US"/>
              </w:rPr>
              <w:t>、NO</w:t>
            </w:r>
            <w:r>
              <w:rPr>
                <w:rFonts w:cs="Times New Roman"/>
                <w:kern w:val="0"/>
                <w:sz w:val="21"/>
                <w:szCs w:val="21"/>
                <w:vertAlign w:val="subscript"/>
                <w:lang w:eastAsia="en-US"/>
              </w:rPr>
              <w:t>x</w:t>
            </w:r>
            <w:r>
              <w:rPr>
                <w:rFonts w:cs="Times New Roman"/>
                <w:kern w:val="0"/>
                <w:sz w:val="21"/>
                <w:szCs w:val="21"/>
                <w:lang w:eastAsia="en-US"/>
              </w:rPr>
              <w:t>、硫化氢、非甲烷总烃</w:t>
            </w:r>
          </w:p>
        </w:tc>
      </w:tr>
      <w:tr>
        <w:tblPrEx>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51" w:type="pct"/>
            <w:vAlign w:val="center"/>
          </w:tcPr>
          <w:p>
            <w:pPr>
              <w:widowControl/>
              <w:spacing w:before="35" w:line="240" w:lineRule="auto"/>
              <w:ind w:left="138" w:firstLine="0" w:firstLineChars="0"/>
              <w:jc w:val="center"/>
              <w:rPr>
                <w:rFonts w:cs="Times New Roman"/>
                <w:kern w:val="0"/>
                <w:sz w:val="21"/>
                <w:szCs w:val="21"/>
                <w:lang w:eastAsia="en-US"/>
              </w:rPr>
            </w:pPr>
            <w:r>
              <w:rPr>
                <w:rFonts w:cs="Times New Roman"/>
                <w:kern w:val="0"/>
                <w:sz w:val="21"/>
                <w:szCs w:val="21"/>
                <w:lang w:eastAsia="en-US"/>
              </w:rPr>
              <w:t>地表水</w:t>
            </w:r>
          </w:p>
        </w:tc>
        <w:tc>
          <w:tcPr>
            <w:tcW w:w="2320" w:type="pct"/>
            <w:vAlign w:val="center"/>
          </w:tcPr>
          <w:p>
            <w:pPr>
              <w:widowControl/>
              <w:spacing w:before="35" w:line="240" w:lineRule="auto"/>
              <w:ind w:left="138" w:firstLine="0" w:firstLineChars="0"/>
              <w:jc w:val="center"/>
              <w:rPr>
                <w:rFonts w:cs="Times New Roman"/>
                <w:kern w:val="0"/>
                <w:sz w:val="21"/>
                <w:szCs w:val="21"/>
                <w:highlight w:val="yellow"/>
              </w:rPr>
            </w:pPr>
            <w:r>
              <w:rPr>
                <w:rFonts w:cs="Times New Roman"/>
                <w:kern w:val="0"/>
                <w:sz w:val="21"/>
                <w:szCs w:val="21"/>
              </w:rPr>
              <w:t>/</w:t>
            </w:r>
          </w:p>
        </w:tc>
        <w:tc>
          <w:tcPr>
            <w:tcW w:w="2129" w:type="pct"/>
            <w:gridSpan w:val="2"/>
            <w:vAlign w:val="center"/>
          </w:tcPr>
          <w:p>
            <w:pPr>
              <w:widowControl/>
              <w:spacing w:before="35" w:line="240" w:lineRule="auto"/>
              <w:ind w:left="138" w:firstLine="0" w:firstLineChars="0"/>
              <w:jc w:val="center"/>
              <w:rPr>
                <w:rFonts w:cs="Times New Roman"/>
                <w:kern w:val="0"/>
                <w:sz w:val="21"/>
                <w:szCs w:val="21"/>
              </w:rPr>
            </w:pPr>
            <w:r>
              <w:rPr>
                <w:rFonts w:cs="Times New Roman"/>
                <w:kern w:val="0"/>
                <w:sz w:val="21"/>
                <w:szCs w:val="21"/>
              </w:rPr>
              <w:t>/（进行污水处理设施依托可行性分析）</w:t>
            </w:r>
          </w:p>
        </w:tc>
      </w:tr>
      <w:tr>
        <w:tblPrEx>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CellMar>
            <w:top w:w="0" w:type="dxa"/>
            <w:left w:w="108" w:type="dxa"/>
            <w:bottom w:w="0" w:type="dxa"/>
            <w:right w:w="108" w:type="dxa"/>
          </w:tblCellMar>
        </w:tblPrEx>
        <w:trPr>
          <w:jc w:val="center"/>
        </w:trPr>
        <w:tc>
          <w:tcPr>
            <w:tcW w:w="551" w:type="pct"/>
            <w:vAlign w:val="center"/>
          </w:tcPr>
          <w:p>
            <w:pPr>
              <w:widowControl/>
              <w:spacing w:before="35" w:line="240" w:lineRule="auto"/>
              <w:ind w:left="138" w:firstLine="0" w:firstLineChars="0"/>
              <w:jc w:val="center"/>
              <w:rPr>
                <w:rFonts w:cs="Times New Roman"/>
                <w:kern w:val="0"/>
                <w:sz w:val="21"/>
                <w:szCs w:val="21"/>
                <w:lang w:eastAsia="en-US"/>
              </w:rPr>
            </w:pPr>
            <w:r>
              <w:rPr>
                <w:rFonts w:cs="Times New Roman"/>
                <w:kern w:val="0"/>
                <w:sz w:val="21"/>
                <w:szCs w:val="21"/>
                <w:lang w:eastAsia="en-US"/>
              </w:rPr>
              <w:t>地下水环境</w:t>
            </w:r>
          </w:p>
        </w:tc>
        <w:tc>
          <w:tcPr>
            <w:tcW w:w="2320" w:type="pct"/>
            <w:vAlign w:val="center"/>
          </w:tcPr>
          <w:p>
            <w:pPr>
              <w:widowControl/>
              <w:spacing w:before="35" w:line="240" w:lineRule="auto"/>
              <w:ind w:left="138" w:firstLine="0" w:firstLineChars="0"/>
              <w:jc w:val="center"/>
              <w:rPr>
                <w:rFonts w:cs="Times New Roman"/>
                <w:kern w:val="0"/>
                <w:sz w:val="21"/>
                <w:szCs w:val="21"/>
              </w:rPr>
            </w:pPr>
            <w:r>
              <w:rPr>
                <w:rFonts w:cs="Times New Roman"/>
                <w:kern w:val="0"/>
                <w:sz w:val="21"/>
                <w:szCs w:val="21"/>
              </w:rPr>
              <w:t>pH、氨氮、硝酸盐、亚硝酸盐、挥发性酚类、氰化物、砷、汞、铬（六价）、总硬度、铅、氟、镉、铁、锰、溶解性固体、耗氧量、硫酸盐、氯化物、总大肠菌群、细菌总数、石油类、硫化物、钡、K</w:t>
            </w:r>
            <w:r>
              <w:rPr>
                <w:rFonts w:cs="Times New Roman"/>
                <w:kern w:val="0"/>
                <w:sz w:val="21"/>
                <w:szCs w:val="21"/>
                <w:vertAlign w:val="superscript"/>
              </w:rPr>
              <w:t>+</w:t>
            </w:r>
            <w:r>
              <w:rPr>
                <w:rFonts w:cs="Times New Roman"/>
                <w:kern w:val="0"/>
                <w:sz w:val="21"/>
                <w:szCs w:val="21"/>
              </w:rPr>
              <w:t>、Na</w:t>
            </w:r>
            <w:r>
              <w:rPr>
                <w:rFonts w:cs="Times New Roman"/>
                <w:kern w:val="0"/>
                <w:sz w:val="21"/>
                <w:szCs w:val="21"/>
                <w:vertAlign w:val="superscript"/>
              </w:rPr>
              <w:t>+</w:t>
            </w:r>
            <w:r>
              <w:rPr>
                <w:rFonts w:cs="Times New Roman"/>
                <w:kern w:val="0"/>
                <w:sz w:val="21"/>
                <w:szCs w:val="21"/>
              </w:rPr>
              <w:t>、Ca</w:t>
            </w:r>
            <w:r>
              <w:rPr>
                <w:rFonts w:cs="Times New Roman"/>
                <w:kern w:val="0"/>
                <w:sz w:val="21"/>
                <w:szCs w:val="21"/>
                <w:vertAlign w:val="superscript"/>
              </w:rPr>
              <w:t>2+</w:t>
            </w:r>
            <w:r>
              <w:rPr>
                <w:rFonts w:cs="Times New Roman"/>
                <w:kern w:val="0"/>
                <w:sz w:val="21"/>
                <w:szCs w:val="21"/>
              </w:rPr>
              <w:t>、Mg</w:t>
            </w:r>
            <w:r>
              <w:rPr>
                <w:rFonts w:cs="Times New Roman"/>
                <w:kern w:val="0"/>
                <w:sz w:val="21"/>
                <w:szCs w:val="21"/>
                <w:vertAlign w:val="superscript"/>
              </w:rPr>
              <w:t>2+</w:t>
            </w:r>
            <w:r>
              <w:rPr>
                <w:rFonts w:cs="Times New Roman"/>
                <w:kern w:val="0"/>
                <w:sz w:val="21"/>
                <w:szCs w:val="21"/>
              </w:rPr>
              <w:t>、CO</w:t>
            </w:r>
            <w:r>
              <w:rPr>
                <w:rFonts w:cs="Times New Roman"/>
                <w:kern w:val="0"/>
                <w:sz w:val="21"/>
                <w:szCs w:val="21"/>
                <w:vertAlign w:val="subscript"/>
              </w:rPr>
              <w:t>3</w:t>
            </w:r>
            <w:r>
              <w:rPr>
                <w:rFonts w:cs="Times New Roman"/>
                <w:kern w:val="0"/>
                <w:sz w:val="21"/>
                <w:szCs w:val="21"/>
                <w:vertAlign w:val="superscript"/>
              </w:rPr>
              <w:t>2-</w:t>
            </w:r>
            <w:r>
              <w:rPr>
                <w:rFonts w:cs="Times New Roman"/>
                <w:kern w:val="0"/>
                <w:sz w:val="21"/>
                <w:szCs w:val="21"/>
              </w:rPr>
              <w:t>、HCO</w:t>
            </w:r>
            <w:r>
              <w:rPr>
                <w:rFonts w:cs="Times New Roman"/>
                <w:kern w:val="0"/>
                <w:sz w:val="21"/>
                <w:szCs w:val="21"/>
                <w:vertAlign w:val="subscript"/>
              </w:rPr>
              <w:t>3</w:t>
            </w:r>
            <w:r>
              <w:rPr>
                <w:rFonts w:cs="Times New Roman"/>
                <w:kern w:val="0"/>
                <w:sz w:val="21"/>
                <w:szCs w:val="21"/>
                <w:vertAlign w:val="superscript"/>
              </w:rPr>
              <w:t>-</w:t>
            </w:r>
            <w:r>
              <w:rPr>
                <w:rFonts w:cs="Times New Roman"/>
                <w:kern w:val="0"/>
                <w:sz w:val="21"/>
                <w:szCs w:val="21"/>
              </w:rPr>
              <w:t>、Cl</w:t>
            </w:r>
            <w:r>
              <w:rPr>
                <w:rFonts w:cs="Times New Roman"/>
                <w:kern w:val="0"/>
                <w:sz w:val="21"/>
                <w:szCs w:val="21"/>
                <w:vertAlign w:val="superscript"/>
              </w:rPr>
              <w:t>-</w:t>
            </w:r>
            <w:r>
              <w:rPr>
                <w:rFonts w:cs="Times New Roman"/>
                <w:kern w:val="0"/>
                <w:sz w:val="21"/>
                <w:szCs w:val="21"/>
              </w:rPr>
              <w:t>、SO</w:t>
            </w:r>
            <w:r>
              <w:rPr>
                <w:rFonts w:cs="Times New Roman"/>
                <w:kern w:val="0"/>
                <w:sz w:val="21"/>
                <w:szCs w:val="21"/>
                <w:vertAlign w:val="subscript"/>
              </w:rPr>
              <w:t>4</w:t>
            </w:r>
            <w:r>
              <w:rPr>
                <w:rFonts w:cs="Times New Roman"/>
                <w:kern w:val="0"/>
                <w:sz w:val="21"/>
                <w:szCs w:val="21"/>
                <w:vertAlign w:val="superscript"/>
              </w:rPr>
              <w:t>2-</w:t>
            </w:r>
          </w:p>
        </w:tc>
        <w:tc>
          <w:tcPr>
            <w:tcW w:w="1135" w:type="pct"/>
            <w:vAlign w:val="center"/>
          </w:tcPr>
          <w:p>
            <w:pPr>
              <w:widowControl/>
              <w:spacing w:before="35" w:line="240" w:lineRule="auto"/>
              <w:ind w:left="138" w:firstLine="0" w:firstLineChars="0"/>
              <w:jc w:val="center"/>
              <w:rPr>
                <w:rFonts w:cs="Times New Roman"/>
                <w:kern w:val="0"/>
                <w:sz w:val="21"/>
                <w:szCs w:val="21"/>
              </w:rPr>
            </w:pPr>
            <w:r>
              <w:rPr>
                <w:rFonts w:cs="Times New Roman"/>
                <w:kern w:val="0"/>
                <w:sz w:val="21"/>
                <w:szCs w:val="21"/>
              </w:rPr>
              <w:t>pH值、挥发酚、耗氧量、氨氮、硫化物、氯化物、石油类、总硬度、溶解性总固体、钡、汞、砷、六价铬等</w:t>
            </w:r>
          </w:p>
        </w:tc>
        <w:tc>
          <w:tcPr>
            <w:tcW w:w="994" w:type="pct"/>
            <w:vAlign w:val="center"/>
          </w:tcPr>
          <w:p>
            <w:pPr>
              <w:widowControl/>
              <w:spacing w:before="35" w:line="240" w:lineRule="auto"/>
              <w:ind w:left="138" w:firstLine="0" w:firstLineChars="0"/>
              <w:jc w:val="center"/>
              <w:rPr>
                <w:rFonts w:cs="Times New Roman"/>
                <w:kern w:val="0"/>
                <w:sz w:val="21"/>
                <w:szCs w:val="21"/>
              </w:rPr>
            </w:pPr>
            <w:r>
              <w:rPr>
                <w:rFonts w:cs="Times New Roman"/>
                <w:kern w:val="0"/>
                <w:sz w:val="21"/>
                <w:szCs w:val="21"/>
              </w:rPr>
              <w:t>氯化物、石油类及COD</w:t>
            </w:r>
          </w:p>
        </w:tc>
      </w:tr>
      <w:tr>
        <w:tblPrEx>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CellMar>
            <w:top w:w="0" w:type="dxa"/>
            <w:left w:w="108" w:type="dxa"/>
            <w:bottom w:w="0" w:type="dxa"/>
            <w:right w:w="108" w:type="dxa"/>
          </w:tblCellMar>
        </w:tblPrEx>
        <w:trPr>
          <w:jc w:val="center"/>
        </w:trPr>
        <w:tc>
          <w:tcPr>
            <w:tcW w:w="551" w:type="pct"/>
            <w:vAlign w:val="center"/>
          </w:tcPr>
          <w:p>
            <w:pPr>
              <w:widowControl/>
              <w:spacing w:before="35" w:line="240" w:lineRule="auto"/>
              <w:ind w:left="138" w:firstLine="0" w:firstLineChars="0"/>
              <w:jc w:val="center"/>
              <w:rPr>
                <w:rFonts w:cs="Times New Roman"/>
                <w:kern w:val="0"/>
                <w:sz w:val="21"/>
                <w:szCs w:val="21"/>
              </w:rPr>
            </w:pPr>
            <w:r>
              <w:rPr>
                <w:rFonts w:cs="Times New Roman"/>
                <w:kern w:val="0"/>
                <w:sz w:val="21"/>
                <w:szCs w:val="21"/>
              </w:rPr>
              <w:t>土壤</w:t>
            </w:r>
          </w:p>
        </w:tc>
        <w:tc>
          <w:tcPr>
            <w:tcW w:w="2320" w:type="pct"/>
            <w:vAlign w:val="center"/>
          </w:tcPr>
          <w:p>
            <w:pPr>
              <w:widowControl/>
              <w:spacing w:before="35" w:line="240" w:lineRule="auto"/>
              <w:ind w:left="138" w:firstLine="0" w:firstLineChars="0"/>
              <w:jc w:val="center"/>
              <w:rPr>
                <w:rFonts w:cs="Times New Roman"/>
                <w:kern w:val="0"/>
                <w:sz w:val="21"/>
                <w:szCs w:val="21"/>
                <w:highlight w:val="yellow"/>
              </w:rPr>
            </w:pPr>
            <w:r>
              <w:rPr>
                <w:rFonts w:cs="Times New Roman"/>
                <w:kern w:val="0"/>
                <w:sz w:val="21"/>
                <w:szCs w:val="21"/>
              </w:rPr>
              <w:t>pH、铬、砷、镉、铜、铅、汞、镍、锌、石油烃（C10-C40）、氯离子、硫酸根、钡、全盐量</w:t>
            </w:r>
          </w:p>
        </w:tc>
        <w:tc>
          <w:tcPr>
            <w:tcW w:w="2129" w:type="pct"/>
            <w:gridSpan w:val="2"/>
            <w:vAlign w:val="center"/>
          </w:tcPr>
          <w:p>
            <w:pPr>
              <w:spacing w:line="240" w:lineRule="auto"/>
              <w:ind w:firstLine="0" w:firstLineChars="0"/>
              <w:jc w:val="center"/>
              <w:rPr>
                <w:rFonts w:cs="Times New Roman"/>
                <w:sz w:val="21"/>
                <w:szCs w:val="21"/>
              </w:rPr>
            </w:pPr>
            <w:r>
              <w:rPr>
                <w:rFonts w:cs="Times New Roman"/>
                <w:sz w:val="21"/>
                <w:szCs w:val="21"/>
              </w:rPr>
              <w:t>/（采用定性描述与类比分析）</w:t>
            </w:r>
          </w:p>
        </w:tc>
      </w:tr>
      <w:tr>
        <w:tblPrEx>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CellMar>
            <w:top w:w="0" w:type="dxa"/>
            <w:left w:w="108" w:type="dxa"/>
            <w:bottom w:w="0" w:type="dxa"/>
            <w:right w:w="108" w:type="dxa"/>
          </w:tblCellMar>
        </w:tblPrEx>
        <w:trPr>
          <w:jc w:val="center"/>
        </w:trPr>
        <w:tc>
          <w:tcPr>
            <w:tcW w:w="551" w:type="pct"/>
            <w:vAlign w:val="center"/>
          </w:tcPr>
          <w:p>
            <w:pPr>
              <w:widowControl/>
              <w:spacing w:before="35" w:line="240" w:lineRule="auto"/>
              <w:ind w:left="138" w:firstLine="0" w:firstLineChars="0"/>
              <w:jc w:val="center"/>
              <w:rPr>
                <w:rFonts w:cs="Times New Roman"/>
                <w:kern w:val="0"/>
                <w:sz w:val="21"/>
                <w:szCs w:val="21"/>
                <w:lang w:eastAsia="en-US"/>
              </w:rPr>
            </w:pPr>
            <w:r>
              <w:rPr>
                <w:rFonts w:cs="Times New Roman"/>
                <w:kern w:val="0"/>
                <w:sz w:val="21"/>
                <w:szCs w:val="21"/>
                <w:lang w:eastAsia="en-US"/>
              </w:rPr>
              <w:t>声环境</w:t>
            </w:r>
          </w:p>
        </w:tc>
        <w:tc>
          <w:tcPr>
            <w:tcW w:w="2320" w:type="pct"/>
            <w:vAlign w:val="center"/>
          </w:tcPr>
          <w:p>
            <w:pPr>
              <w:widowControl/>
              <w:spacing w:before="35" w:line="240" w:lineRule="auto"/>
              <w:ind w:left="138" w:firstLine="0" w:firstLineChars="0"/>
              <w:jc w:val="center"/>
              <w:rPr>
                <w:rFonts w:cs="Times New Roman"/>
                <w:kern w:val="0"/>
                <w:sz w:val="21"/>
                <w:szCs w:val="21"/>
                <w:highlight w:val="yellow"/>
                <w:lang w:eastAsia="en-US"/>
              </w:rPr>
            </w:pPr>
            <w:r>
              <w:rPr>
                <w:rFonts w:cs="Times New Roman"/>
                <w:kern w:val="0"/>
                <w:sz w:val="21"/>
                <w:szCs w:val="21"/>
                <w:lang w:eastAsia="en-US"/>
              </w:rPr>
              <w:t>Leq(A)</w:t>
            </w:r>
          </w:p>
        </w:tc>
        <w:tc>
          <w:tcPr>
            <w:tcW w:w="1135" w:type="pct"/>
            <w:vAlign w:val="center"/>
          </w:tcPr>
          <w:p>
            <w:pPr>
              <w:widowControl/>
              <w:spacing w:before="35" w:line="240" w:lineRule="auto"/>
              <w:ind w:left="138" w:firstLine="0" w:firstLineChars="0"/>
              <w:jc w:val="center"/>
              <w:rPr>
                <w:rFonts w:cs="Times New Roman"/>
                <w:kern w:val="0"/>
                <w:sz w:val="21"/>
                <w:szCs w:val="21"/>
                <w:lang w:eastAsia="en-US"/>
              </w:rPr>
            </w:pPr>
            <w:r>
              <w:rPr>
                <w:rFonts w:cs="Times New Roman"/>
                <w:kern w:val="0"/>
                <w:sz w:val="21"/>
                <w:szCs w:val="21"/>
                <w:lang w:eastAsia="en-US"/>
              </w:rPr>
              <w:t>Leq(A)</w:t>
            </w:r>
          </w:p>
        </w:tc>
        <w:tc>
          <w:tcPr>
            <w:tcW w:w="994" w:type="pct"/>
            <w:vAlign w:val="center"/>
          </w:tcPr>
          <w:p>
            <w:pPr>
              <w:widowControl/>
              <w:spacing w:before="35" w:line="240" w:lineRule="auto"/>
              <w:ind w:left="138" w:firstLine="0" w:firstLineChars="0"/>
              <w:jc w:val="center"/>
              <w:rPr>
                <w:rFonts w:cs="Times New Roman"/>
                <w:kern w:val="0"/>
                <w:sz w:val="21"/>
                <w:szCs w:val="21"/>
                <w:lang w:eastAsia="en-US"/>
              </w:rPr>
            </w:pPr>
            <w:r>
              <w:rPr>
                <w:rFonts w:cs="Times New Roman"/>
                <w:kern w:val="0"/>
                <w:sz w:val="21"/>
                <w:szCs w:val="21"/>
                <w:lang w:eastAsia="en-US"/>
              </w:rPr>
              <w:t>Leq(A)</w:t>
            </w:r>
          </w:p>
        </w:tc>
      </w:tr>
      <w:tr>
        <w:tblPrEx>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CellMar>
            <w:top w:w="0" w:type="dxa"/>
            <w:left w:w="108" w:type="dxa"/>
            <w:bottom w:w="0" w:type="dxa"/>
            <w:right w:w="108" w:type="dxa"/>
          </w:tblCellMar>
        </w:tblPrEx>
        <w:trPr>
          <w:jc w:val="center"/>
        </w:trPr>
        <w:tc>
          <w:tcPr>
            <w:tcW w:w="551" w:type="pct"/>
            <w:vAlign w:val="center"/>
          </w:tcPr>
          <w:p>
            <w:pPr>
              <w:widowControl/>
              <w:spacing w:before="35" w:line="240" w:lineRule="auto"/>
              <w:ind w:left="138" w:firstLine="0" w:firstLineChars="0"/>
              <w:jc w:val="center"/>
              <w:rPr>
                <w:rFonts w:cs="Times New Roman"/>
                <w:kern w:val="0"/>
                <w:sz w:val="21"/>
                <w:szCs w:val="21"/>
                <w:lang w:eastAsia="en-US"/>
              </w:rPr>
            </w:pPr>
            <w:r>
              <w:rPr>
                <w:rFonts w:cs="Times New Roman"/>
                <w:kern w:val="0"/>
                <w:sz w:val="21"/>
                <w:szCs w:val="21"/>
                <w:lang w:eastAsia="en-US"/>
              </w:rPr>
              <w:t>环境风险</w:t>
            </w:r>
          </w:p>
        </w:tc>
        <w:tc>
          <w:tcPr>
            <w:tcW w:w="2320" w:type="pct"/>
            <w:vAlign w:val="center"/>
          </w:tcPr>
          <w:p>
            <w:pPr>
              <w:widowControl/>
              <w:spacing w:before="35" w:line="240" w:lineRule="auto"/>
              <w:ind w:left="138" w:firstLine="0" w:firstLineChars="0"/>
              <w:jc w:val="center"/>
              <w:rPr>
                <w:rFonts w:cs="Times New Roman"/>
                <w:kern w:val="0"/>
                <w:sz w:val="21"/>
                <w:szCs w:val="21"/>
                <w:highlight w:val="yellow"/>
                <w:lang w:eastAsia="en-US"/>
              </w:rPr>
            </w:pPr>
            <w:r>
              <w:rPr>
                <w:rFonts w:cs="Times New Roman"/>
                <w:kern w:val="0"/>
                <w:sz w:val="21"/>
                <w:szCs w:val="21"/>
                <w:lang w:eastAsia="en-US"/>
              </w:rPr>
              <w:t>/</w:t>
            </w:r>
          </w:p>
        </w:tc>
        <w:tc>
          <w:tcPr>
            <w:tcW w:w="1135" w:type="pct"/>
            <w:vAlign w:val="center"/>
          </w:tcPr>
          <w:p>
            <w:pPr>
              <w:widowControl/>
              <w:spacing w:before="35" w:line="240" w:lineRule="auto"/>
              <w:ind w:left="138" w:firstLine="0" w:firstLineChars="0"/>
              <w:jc w:val="center"/>
              <w:rPr>
                <w:rFonts w:cs="Times New Roman"/>
                <w:kern w:val="0"/>
                <w:sz w:val="21"/>
                <w:szCs w:val="21"/>
                <w:lang w:eastAsia="en-US"/>
              </w:rPr>
            </w:pPr>
            <w:r>
              <w:rPr>
                <w:rFonts w:cs="Times New Roman"/>
                <w:kern w:val="0"/>
                <w:sz w:val="21"/>
                <w:szCs w:val="21"/>
                <w:lang w:eastAsia="en-US"/>
              </w:rPr>
              <w:t>/</w:t>
            </w:r>
          </w:p>
        </w:tc>
        <w:tc>
          <w:tcPr>
            <w:tcW w:w="994" w:type="pct"/>
            <w:vAlign w:val="center"/>
          </w:tcPr>
          <w:p>
            <w:pPr>
              <w:widowControl/>
              <w:spacing w:before="35" w:line="240" w:lineRule="auto"/>
              <w:ind w:left="138" w:firstLine="0" w:firstLineChars="0"/>
              <w:jc w:val="center"/>
              <w:rPr>
                <w:rFonts w:cs="Times New Roman"/>
                <w:kern w:val="0"/>
                <w:sz w:val="21"/>
                <w:szCs w:val="21"/>
                <w:lang w:eastAsia="en-US"/>
              </w:rPr>
            </w:pPr>
            <w:r>
              <w:rPr>
                <w:rFonts w:cs="Times New Roman"/>
                <w:kern w:val="0"/>
                <w:sz w:val="21"/>
                <w:szCs w:val="21"/>
                <w:lang w:eastAsia="en-US"/>
              </w:rPr>
              <w:t>天然气（甲烷）、</w:t>
            </w:r>
            <w:r>
              <w:rPr>
                <w:rFonts w:cs="Times New Roman"/>
                <w:kern w:val="0"/>
                <w:sz w:val="21"/>
                <w:szCs w:val="21"/>
              </w:rPr>
              <w:t>含油气田水</w:t>
            </w:r>
          </w:p>
        </w:tc>
      </w:tr>
    </w:tbl>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普光3011-6井拟利用原P3011采气站北侧剩余位置进行扩建，主要建设内容为新建方井1座，新建井架基础1座，新建材料棚基础、泥浆不落地基础、危废处理房基础、储备罐基础、泥浆泵基础、油罐基础、高压房基础等。生态环境影响主要表现在施工运营活动对物种、生境、生物群落、自然景观、生态系统、生物多样性等方面的影响。</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在工程分析和现场调查的基础上，结合本项目的特点，进行项目环境影响识别与评价因子筛选，确定本次评价的重点，生态环境影响因素如下表所示。</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施工期陆生生态影响评价因子筛选表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91"/>
        <w:gridCol w:w="2819"/>
        <w:gridCol w:w="3356"/>
        <w:gridCol w:w="541"/>
        <w:gridCol w:w="5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6" w:hRule="atLeast"/>
          <w:jc w:val="center"/>
        </w:trPr>
        <w:tc>
          <w:tcPr>
            <w:tcW w:w="656" w:type="pct"/>
            <w:vAlign w:val="center"/>
          </w:tcPr>
          <w:p>
            <w:pPr>
              <w:pStyle w:val="294"/>
            </w:pPr>
            <w:r>
              <w:t>受影响对象</w:t>
            </w:r>
          </w:p>
        </w:tc>
        <w:tc>
          <w:tcPr>
            <w:tcW w:w="1695" w:type="pct"/>
            <w:vAlign w:val="center"/>
          </w:tcPr>
          <w:p>
            <w:pPr>
              <w:pStyle w:val="294"/>
            </w:pPr>
            <w:r>
              <w:t>评价因子</w:t>
            </w:r>
          </w:p>
        </w:tc>
        <w:tc>
          <w:tcPr>
            <w:tcW w:w="2018" w:type="pct"/>
            <w:vAlign w:val="center"/>
          </w:tcPr>
          <w:p>
            <w:pPr>
              <w:pStyle w:val="294"/>
            </w:pPr>
            <w:r>
              <w:t>工程内容及影响方式</w:t>
            </w:r>
          </w:p>
        </w:tc>
        <w:tc>
          <w:tcPr>
            <w:tcW w:w="325" w:type="pct"/>
            <w:vAlign w:val="center"/>
          </w:tcPr>
          <w:p>
            <w:pPr>
              <w:pStyle w:val="294"/>
            </w:pPr>
            <w:r>
              <w:t>影响性质</w:t>
            </w:r>
          </w:p>
        </w:tc>
        <w:tc>
          <w:tcPr>
            <w:tcW w:w="306" w:type="pct"/>
            <w:vAlign w:val="center"/>
          </w:tcPr>
          <w:p>
            <w:pPr>
              <w:pStyle w:val="294"/>
            </w:pPr>
            <w:r>
              <w:t>影响程度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 w:hRule="atLeast"/>
          <w:jc w:val="center"/>
        </w:trPr>
        <w:tc>
          <w:tcPr>
            <w:tcW w:w="656" w:type="pct"/>
            <w:vAlign w:val="center"/>
          </w:tcPr>
          <w:p>
            <w:pPr>
              <w:pStyle w:val="294"/>
            </w:pPr>
            <w:r>
              <w:t>物种</w:t>
            </w:r>
          </w:p>
        </w:tc>
        <w:tc>
          <w:tcPr>
            <w:tcW w:w="1695" w:type="pct"/>
            <w:vAlign w:val="center"/>
          </w:tcPr>
          <w:p>
            <w:pPr>
              <w:pStyle w:val="294"/>
            </w:pPr>
            <w:r>
              <w:t>分布范围、种群数量、种群结构、行为等</w:t>
            </w:r>
          </w:p>
        </w:tc>
        <w:tc>
          <w:tcPr>
            <w:tcW w:w="2018" w:type="pct"/>
            <w:vMerge w:val="restart"/>
            <w:vAlign w:val="center"/>
          </w:tcPr>
          <w:p>
            <w:pPr>
              <w:pStyle w:val="294"/>
            </w:pPr>
            <w:r>
              <w:t>新建井场，井场边坡，施工便道、表土堆场、生活营地占地</w:t>
            </w:r>
            <w:r>
              <w:rPr>
                <w:rFonts w:hint="eastAsia"/>
              </w:rPr>
              <w:t>，修复</w:t>
            </w:r>
            <w:r>
              <w:t>放喷池，放喷管线，直接影响。</w:t>
            </w:r>
          </w:p>
        </w:tc>
        <w:tc>
          <w:tcPr>
            <w:tcW w:w="325" w:type="pct"/>
            <w:vMerge w:val="restart"/>
            <w:vAlign w:val="center"/>
          </w:tcPr>
          <w:p>
            <w:pPr>
              <w:pStyle w:val="294"/>
            </w:pPr>
            <w:r>
              <w:t>短期、可逆</w:t>
            </w:r>
          </w:p>
        </w:tc>
        <w:tc>
          <w:tcPr>
            <w:tcW w:w="306" w:type="pct"/>
            <w:vMerge w:val="restart"/>
            <w:vAlign w:val="center"/>
          </w:tcPr>
          <w:p>
            <w:pPr>
              <w:pStyle w:val="294"/>
            </w:pPr>
            <w: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56" w:type="pct"/>
            <w:vAlign w:val="center"/>
          </w:tcPr>
          <w:p>
            <w:pPr>
              <w:pStyle w:val="294"/>
            </w:pPr>
            <w:r>
              <w:t>生境</w:t>
            </w:r>
          </w:p>
        </w:tc>
        <w:tc>
          <w:tcPr>
            <w:tcW w:w="1695" w:type="pct"/>
            <w:vAlign w:val="center"/>
          </w:tcPr>
          <w:p>
            <w:pPr>
              <w:pStyle w:val="294"/>
            </w:pPr>
            <w:r>
              <w:t>生境面积、质量、连通性等</w:t>
            </w:r>
          </w:p>
        </w:tc>
        <w:tc>
          <w:tcPr>
            <w:tcW w:w="2018" w:type="pct"/>
            <w:vMerge w:val="continue"/>
            <w:vAlign w:val="center"/>
          </w:tcPr>
          <w:p>
            <w:pPr>
              <w:pStyle w:val="294"/>
            </w:pPr>
          </w:p>
        </w:tc>
        <w:tc>
          <w:tcPr>
            <w:tcW w:w="325" w:type="pct"/>
            <w:vMerge w:val="continue"/>
            <w:vAlign w:val="center"/>
          </w:tcPr>
          <w:p>
            <w:pPr>
              <w:pStyle w:val="294"/>
            </w:pPr>
          </w:p>
        </w:tc>
        <w:tc>
          <w:tcPr>
            <w:tcW w:w="306" w:type="pct"/>
            <w:vMerge w:val="continue"/>
            <w:vAlign w:val="center"/>
          </w:tcPr>
          <w:p>
            <w:pPr>
              <w:pStyle w:val="29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656" w:type="pct"/>
            <w:vAlign w:val="center"/>
          </w:tcPr>
          <w:p>
            <w:pPr>
              <w:pStyle w:val="294"/>
            </w:pPr>
            <w:r>
              <w:t>生物群落</w:t>
            </w:r>
          </w:p>
        </w:tc>
        <w:tc>
          <w:tcPr>
            <w:tcW w:w="1695" w:type="pct"/>
            <w:vAlign w:val="center"/>
          </w:tcPr>
          <w:p>
            <w:pPr>
              <w:pStyle w:val="294"/>
            </w:pPr>
            <w:r>
              <w:t>物种组成、群落结构等</w:t>
            </w:r>
          </w:p>
        </w:tc>
        <w:tc>
          <w:tcPr>
            <w:tcW w:w="2018" w:type="pct"/>
            <w:vMerge w:val="continue"/>
            <w:vAlign w:val="center"/>
          </w:tcPr>
          <w:p>
            <w:pPr>
              <w:pStyle w:val="294"/>
            </w:pPr>
          </w:p>
        </w:tc>
        <w:tc>
          <w:tcPr>
            <w:tcW w:w="325" w:type="pct"/>
            <w:vMerge w:val="continue"/>
            <w:vAlign w:val="center"/>
          </w:tcPr>
          <w:p>
            <w:pPr>
              <w:pStyle w:val="294"/>
            </w:pPr>
          </w:p>
        </w:tc>
        <w:tc>
          <w:tcPr>
            <w:tcW w:w="306" w:type="pct"/>
            <w:vMerge w:val="continue"/>
            <w:vAlign w:val="center"/>
          </w:tcPr>
          <w:p>
            <w:pPr>
              <w:pStyle w:val="29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56" w:type="pct"/>
            <w:vAlign w:val="center"/>
          </w:tcPr>
          <w:p>
            <w:pPr>
              <w:pStyle w:val="294"/>
            </w:pPr>
            <w:r>
              <w:t>生态系统</w:t>
            </w:r>
          </w:p>
        </w:tc>
        <w:tc>
          <w:tcPr>
            <w:tcW w:w="1695" w:type="pct"/>
            <w:vAlign w:val="center"/>
          </w:tcPr>
          <w:p>
            <w:pPr>
              <w:pStyle w:val="294"/>
            </w:pPr>
            <w:r>
              <w:t>植被覆盖度、生产力、生物量、生态系统功能等</w:t>
            </w:r>
          </w:p>
        </w:tc>
        <w:tc>
          <w:tcPr>
            <w:tcW w:w="2018" w:type="pct"/>
            <w:vMerge w:val="continue"/>
            <w:vAlign w:val="center"/>
          </w:tcPr>
          <w:p>
            <w:pPr>
              <w:pStyle w:val="294"/>
            </w:pPr>
          </w:p>
        </w:tc>
        <w:tc>
          <w:tcPr>
            <w:tcW w:w="325" w:type="pct"/>
            <w:vMerge w:val="continue"/>
            <w:vAlign w:val="center"/>
          </w:tcPr>
          <w:p>
            <w:pPr>
              <w:pStyle w:val="294"/>
            </w:pPr>
          </w:p>
        </w:tc>
        <w:tc>
          <w:tcPr>
            <w:tcW w:w="306" w:type="pct"/>
            <w:vMerge w:val="continue"/>
            <w:vAlign w:val="center"/>
          </w:tcPr>
          <w:p>
            <w:pPr>
              <w:pStyle w:val="29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656" w:type="pct"/>
            <w:vAlign w:val="center"/>
          </w:tcPr>
          <w:p>
            <w:pPr>
              <w:pStyle w:val="294"/>
            </w:pPr>
            <w:r>
              <w:t>生物多样性</w:t>
            </w:r>
          </w:p>
        </w:tc>
        <w:tc>
          <w:tcPr>
            <w:tcW w:w="1695" w:type="pct"/>
            <w:vAlign w:val="center"/>
          </w:tcPr>
          <w:p>
            <w:pPr>
              <w:pStyle w:val="294"/>
            </w:pPr>
            <w:r>
              <w:t>物种丰富度、均匀度、优势度等</w:t>
            </w:r>
          </w:p>
        </w:tc>
        <w:tc>
          <w:tcPr>
            <w:tcW w:w="2018" w:type="pct"/>
            <w:vMerge w:val="continue"/>
            <w:vAlign w:val="center"/>
          </w:tcPr>
          <w:p>
            <w:pPr>
              <w:pStyle w:val="294"/>
            </w:pPr>
          </w:p>
        </w:tc>
        <w:tc>
          <w:tcPr>
            <w:tcW w:w="325" w:type="pct"/>
            <w:vMerge w:val="continue"/>
            <w:vAlign w:val="center"/>
          </w:tcPr>
          <w:p>
            <w:pPr>
              <w:pStyle w:val="294"/>
            </w:pPr>
          </w:p>
        </w:tc>
        <w:tc>
          <w:tcPr>
            <w:tcW w:w="306" w:type="pct"/>
            <w:vMerge w:val="continue"/>
            <w:vAlign w:val="center"/>
          </w:tcPr>
          <w:p>
            <w:pPr>
              <w:pStyle w:val="29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56" w:type="pct"/>
            <w:vAlign w:val="center"/>
          </w:tcPr>
          <w:p>
            <w:pPr>
              <w:pStyle w:val="294"/>
            </w:pPr>
            <w:r>
              <w:t>生物多样性</w:t>
            </w:r>
          </w:p>
        </w:tc>
        <w:tc>
          <w:tcPr>
            <w:tcW w:w="1695" w:type="pct"/>
            <w:vAlign w:val="center"/>
          </w:tcPr>
          <w:p>
            <w:pPr>
              <w:pStyle w:val="294"/>
            </w:pPr>
            <w:r>
              <w:t>物种丰富度、均匀度、优势度等</w:t>
            </w:r>
          </w:p>
        </w:tc>
        <w:tc>
          <w:tcPr>
            <w:tcW w:w="2018" w:type="pct"/>
            <w:vMerge w:val="continue"/>
            <w:vAlign w:val="center"/>
          </w:tcPr>
          <w:p>
            <w:pPr>
              <w:pStyle w:val="294"/>
            </w:pPr>
          </w:p>
        </w:tc>
        <w:tc>
          <w:tcPr>
            <w:tcW w:w="325" w:type="pct"/>
            <w:vMerge w:val="continue"/>
            <w:vAlign w:val="center"/>
          </w:tcPr>
          <w:p>
            <w:pPr>
              <w:pStyle w:val="294"/>
            </w:pPr>
          </w:p>
        </w:tc>
        <w:tc>
          <w:tcPr>
            <w:tcW w:w="306" w:type="pct"/>
            <w:vMerge w:val="continue"/>
            <w:vAlign w:val="center"/>
          </w:tcPr>
          <w:p>
            <w:pPr>
              <w:pStyle w:val="29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56" w:type="pct"/>
            <w:vAlign w:val="center"/>
          </w:tcPr>
          <w:p>
            <w:pPr>
              <w:pStyle w:val="294"/>
            </w:pPr>
            <w:r>
              <w:t>自然景观</w:t>
            </w:r>
          </w:p>
        </w:tc>
        <w:tc>
          <w:tcPr>
            <w:tcW w:w="1695" w:type="pct"/>
            <w:vAlign w:val="center"/>
          </w:tcPr>
          <w:p>
            <w:pPr>
              <w:pStyle w:val="294"/>
            </w:pPr>
            <w:r>
              <w:t>景观多样性、完整性等</w:t>
            </w:r>
          </w:p>
        </w:tc>
        <w:tc>
          <w:tcPr>
            <w:tcW w:w="2018" w:type="pct"/>
            <w:vMerge w:val="continue"/>
            <w:vAlign w:val="center"/>
          </w:tcPr>
          <w:p>
            <w:pPr>
              <w:pStyle w:val="294"/>
            </w:pPr>
          </w:p>
        </w:tc>
        <w:tc>
          <w:tcPr>
            <w:tcW w:w="325" w:type="pct"/>
            <w:vMerge w:val="continue"/>
            <w:vAlign w:val="center"/>
          </w:tcPr>
          <w:p>
            <w:pPr>
              <w:pStyle w:val="294"/>
            </w:pPr>
          </w:p>
        </w:tc>
        <w:tc>
          <w:tcPr>
            <w:tcW w:w="306" w:type="pct"/>
            <w:vMerge w:val="continue"/>
            <w:vAlign w:val="center"/>
          </w:tcPr>
          <w:p>
            <w:pPr>
              <w:pStyle w:val="294"/>
            </w:pPr>
          </w:p>
        </w:tc>
      </w:tr>
    </w:tbl>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运营期陆生生态影响评价因子筛选表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78"/>
        <w:gridCol w:w="2847"/>
        <w:gridCol w:w="2902"/>
        <w:gridCol w:w="980"/>
        <w:gridCol w:w="5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6" w:hRule="atLeast"/>
          <w:jc w:val="center"/>
        </w:trPr>
        <w:tc>
          <w:tcPr>
            <w:tcW w:w="648" w:type="pct"/>
            <w:vAlign w:val="center"/>
          </w:tcPr>
          <w:p>
            <w:pPr>
              <w:pStyle w:val="294"/>
            </w:pPr>
            <w:r>
              <w:t>受影响对象</w:t>
            </w:r>
          </w:p>
        </w:tc>
        <w:tc>
          <w:tcPr>
            <w:tcW w:w="1712" w:type="pct"/>
            <w:vAlign w:val="center"/>
          </w:tcPr>
          <w:p>
            <w:pPr>
              <w:pStyle w:val="294"/>
            </w:pPr>
            <w:r>
              <w:t>评价因子</w:t>
            </w:r>
          </w:p>
        </w:tc>
        <w:tc>
          <w:tcPr>
            <w:tcW w:w="1745" w:type="pct"/>
            <w:vAlign w:val="center"/>
          </w:tcPr>
          <w:p>
            <w:pPr>
              <w:pStyle w:val="294"/>
            </w:pPr>
            <w:r>
              <w:t>工程内容及影响方式</w:t>
            </w:r>
          </w:p>
        </w:tc>
        <w:tc>
          <w:tcPr>
            <w:tcW w:w="589" w:type="pct"/>
            <w:vAlign w:val="center"/>
          </w:tcPr>
          <w:p>
            <w:pPr>
              <w:pStyle w:val="294"/>
            </w:pPr>
            <w:r>
              <w:t>影响性质</w:t>
            </w:r>
          </w:p>
        </w:tc>
        <w:tc>
          <w:tcPr>
            <w:tcW w:w="306" w:type="pct"/>
            <w:vAlign w:val="center"/>
          </w:tcPr>
          <w:p>
            <w:pPr>
              <w:pStyle w:val="294"/>
            </w:pPr>
            <w:r>
              <w:t>影响程度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 w:hRule="atLeast"/>
          <w:jc w:val="center"/>
        </w:trPr>
        <w:tc>
          <w:tcPr>
            <w:tcW w:w="648" w:type="pct"/>
            <w:vAlign w:val="center"/>
          </w:tcPr>
          <w:p>
            <w:pPr>
              <w:pStyle w:val="294"/>
            </w:pPr>
            <w:r>
              <w:t>物种</w:t>
            </w:r>
          </w:p>
        </w:tc>
        <w:tc>
          <w:tcPr>
            <w:tcW w:w="1712" w:type="pct"/>
            <w:vAlign w:val="center"/>
          </w:tcPr>
          <w:p>
            <w:pPr>
              <w:pStyle w:val="294"/>
            </w:pPr>
            <w:r>
              <w:t>分布范围、种群数量、种群结构、行为等</w:t>
            </w:r>
          </w:p>
        </w:tc>
        <w:tc>
          <w:tcPr>
            <w:tcW w:w="1745" w:type="pct"/>
            <w:vMerge w:val="restart"/>
            <w:vAlign w:val="center"/>
          </w:tcPr>
          <w:p>
            <w:pPr>
              <w:pStyle w:val="294"/>
            </w:pPr>
            <w:r>
              <w:t>新增占地，间接影响</w:t>
            </w:r>
          </w:p>
        </w:tc>
        <w:tc>
          <w:tcPr>
            <w:tcW w:w="589" w:type="pct"/>
            <w:vMerge w:val="restart"/>
            <w:vAlign w:val="center"/>
          </w:tcPr>
          <w:p>
            <w:pPr>
              <w:pStyle w:val="294"/>
            </w:pPr>
            <w:r>
              <w:t>短期、可逆</w:t>
            </w:r>
          </w:p>
        </w:tc>
        <w:tc>
          <w:tcPr>
            <w:tcW w:w="306" w:type="pct"/>
            <w:vMerge w:val="restart"/>
            <w:vAlign w:val="center"/>
          </w:tcPr>
          <w:p>
            <w:pPr>
              <w:pStyle w:val="294"/>
            </w:pPr>
            <w: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48" w:type="pct"/>
            <w:vAlign w:val="center"/>
          </w:tcPr>
          <w:p>
            <w:pPr>
              <w:pStyle w:val="294"/>
            </w:pPr>
            <w:r>
              <w:t>生境</w:t>
            </w:r>
          </w:p>
        </w:tc>
        <w:tc>
          <w:tcPr>
            <w:tcW w:w="1712" w:type="pct"/>
            <w:vAlign w:val="center"/>
          </w:tcPr>
          <w:p>
            <w:pPr>
              <w:pStyle w:val="294"/>
            </w:pPr>
            <w:r>
              <w:t>生境面积、质量、连通性等</w:t>
            </w:r>
          </w:p>
        </w:tc>
        <w:tc>
          <w:tcPr>
            <w:tcW w:w="1745" w:type="pct"/>
            <w:vMerge w:val="continue"/>
            <w:vAlign w:val="center"/>
          </w:tcPr>
          <w:p>
            <w:pPr>
              <w:pStyle w:val="294"/>
            </w:pPr>
          </w:p>
        </w:tc>
        <w:tc>
          <w:tcPr>
            <w:tcW w:w="589" w:type="pct"/>
            <w:vMerge w:val="continue"/>
            <w:vAlign w:val="center"/>
          </w:tcPr>
          <w:p>
            <w:pPr>
              <w:pStyle w:val="294"/>
            </w:pPr>
          </w:p>
        </w:tc>
        <w:tc>
          <w:tcPr>
            <w:tcW w:w="306" w:type="pct"/>
            <w:vMerge w:val="continue"/>
            <w:vAlign w:val="center"/>
          </w:tcPr>
          <w:p>
            <w:pPr>
              <w:pStyle w:val="29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648" w:type="pct"/>
            <w:vAlign w:val="center"/>
          </w:tcPr>
          <w:p>
            <w:pPr>
              <w:pStyle w:val="294"/>
            </w:pPr>
            <w:r>
              <w:t>生物群落</w:t>
            </w:r>
          </w:p>
        </w:tc>
        <w:tc>
          <w:tcPr>
            <w:tcW w:w="1712" w:type="pct"/>
            <w:vAlign w:val="center"/>
          </w:tcPr>
          <w:p>
            <w:pPr>
              <w:pStyle w:val="294"/>
            </w:pPr>
            <w:r>
              <w:t>物种组成、群落结构等</w:t>
            </w:r>
          </w:p>
        </w:tc>
        <w:tc>
          <w:tcPr>
            <w:tcW w:w="1745" w:type="pct"/>
            <w:vMerge w:val="continue"/>
            <w:vAlign w:val="center"/>
          </w:tcPr>
          <w:p>
            <w:pPr>
              <w:pStyle w:val="294"/>
            </w:pPr>
          </w:p>
        </w:tc>
        <w:tc>
          <w:tcPr>
            <w:tcW w:w="589" w:type="pct"/>
            <w:vMerge w:val="continue"/>
            <w:vAlign w:val="center"/>
          </w:tcPr>
          <w:p>
            <w:pPr>
              <w:pStyle w:val="294"/>
            </w:pPr>
          </w:p>
        </w:tc>
        <w:tc>
          <w:tcPr>
            <w:tcW w:w="306" w:type="pct"/>
            <w:vMerge w:val="continue"/>
            <w:vAlign w:val="center"/>
          </w:tcPr>
          <w:p>
            <w:pPr>
              <w:pStyle w:val="29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48" w:type="pct"/>
            <w:vAlign w:val="center"/>
          </w:tcPr>
          <w:p>
            <w:pPr>
              <w:pStyle w:val="294"/>
            </w:pPr>
            <w:r>
              <w:t>生态系统</w:t>
            </w:r>
          </w:p>
        </w:tc>
        <w:tc>
          <w:tcPr>
            <w:tcW w:w="1712" w:type="pct"/>
            <w:vAlign w:val="center"/>
          </w:tcPr>
          <w:p>
            <w:pPr>
              <w:pStyle w:val="294"/>
            </w:pPr>
            <w:r>
              <w:t>植被覆盖度、生产力、生物量、生态系统功能等</w:t>
            </w:r>
          </w:p>
        </w:tc>
        <w:tc>
          <w:tcPr>
            <w:tcW w:w="1745" w:type="pct"/>
            <w:vMerge w:val="continue"/>
            <w:vAlign w:val="center"/>
          </w:tcPr>
          <w:p>
            <w:pPr>
              <w:pStyle w:val="294"/>
            </w:pPr>
          </w:p>
        </w:tc>
        <w:tc>
          <w:tcPr>
            <w:tcW w:w="589" w:type="pct"/>
            <w:vMerge w:val="continue"/>
            <w:vAlign w:val="center"/>
          </w:tcPr>
          <w:p>
            <w:pPr>
              <w:pStyle w:val="294"/>
            </w:pPr>
          </w:p>
        </w:tc>
        <w:tc>
          <w:tcPr>
            <w:tcW w:w="306" w:type="pct"/>
            <w:vMerge w:val="continue"/>
            <w:vAlign w:val="center"/>
          </w:tcPr>
          <w:p>
            <w:pPr>
              <w:pStyle w:val="29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648" w:type="pct"/>
            <w:vAlign w:val="center"/>
          </w:tcPr>
          <w:p>
            <w:pPr>
              <w:pStyle w:val="294"/>
            </w:pPr>
            <w:r>
              <w:t>生物多样性</w:t>
            </w:r>
          </w:p>
        </w:tc>
        <w:tc>
          <w:tcPr>
            <w:tcW w:w="1712" w:type="pct"/>
            <w:vAlign w:val="center"/>
          </w:tcPr>
          <w:p>
            <w:pPr>
              <w:pStyle w:val="294"/>
            </w:pPr>
            <w:r>
              <w:t>物种丰富度、均匀度、优势度等</w:t>
            </w:r>
          </w:p>
        </w:tc>
        <w:tc>
          <w:tcPr>
            <w:tcW w:w="1745" w:type="pct"/>
            <w:vMerge w:val="continue"/>
            <w:vAlign w:val="center"/>
          </w:tcPr>
          <w:p>
            <w:pPr>
              <w:pStyle w:val="294"/>
            </w:pPr>
          </w:p>
        </w:tc>
        <w:tc>
          <w:tcPr>
            <w:tcW w:w="589" w:type="pct"/>
            <w:vMerge w:val="continue"/>
            <w:vAlign w:val="center"/>
          </w:tcPr>
          <w:p>
            <w:pPr>
              <w:pStyle w:val="294"/>
            </w:pPr>
          </w:p>
        </w:tc>
        <w:tc>
          <w:tcPr>
            <w:tcW w:w="306" w:type="pct"/>
            <w:vMerge w:val="continue"/>
            <w:vAlign w:val="center"/>
          </w:tcPr>
          <w:p>
            <w:pPr>
              <w:pStyle w:val="29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48" w:type="pct"/>
            <w:vAlign w:val="center"/>
          </w:tcPr>
          <w:p>
            <w:pPr>
              <w:pStyle w:val="294"/>
            </w:pPr>
            <w:r>
              <w:t>生态敏感区</w:t>
            </w:r>
          </w:p>
        </w:tc>
        <w:tc>
          <w:tcPr>
            <w:tcW w:w="1712" w:type="pct"/>
            <w:vAlign w:val="center"/>
          </w:tcPr>
          <w:p>
            <w:pPr>
              <w:pStyle w:val="294"/>
            </w:pPr>
            <w:r>
              <w:t>公益林、天然林</w:t>
            </w:r>
          </w:p>
        </w:tc>
        <w:tc>
          <w:tcPr>
            <w:tcW w:w="1745" w:type="pct"/>
            <w:vMerge w:val="continue"/>
            <w:vAlign w:val="center"/>
          </w:tcPr>
          <w:p>
            <w:pPr>
              <w:pStyle w:val="294"/>
            </w:pPr>
          </w:p>
        </w:tc>
        <w:tc>
          <w:tcPr>
            <w:tcW w:w="589" w:type="pct"/>
            <w:vMerge w:val="continue"/>
            <w:vAlign w:val="center"/>
          </w:tcPr>
          <w:p>
            <w:pPr>
              <w:pStyle w:val="294"/>
            </w:pPr>
          </w:p>
        </w:tc>
        <w:tc>
          <w:tcPr>
            <w:tcW w:w="306" w:type="pct"/>
            <w:vMerge w:val="continue"/>
            <w:vAlign w:val="center"/>
          </w:tcPr>
          <w:p>
            <w:pPr>
              <w:pStyle w:val="29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48" w:type="pct"/>
            <w:vAlign w:val="center"/>
          </w:tcPr>
          <w:p>
            <w:pPr>
              <w:pStyle w:val="294"/>
            </w:pPr>
            <w:r>
              <w:t>自然景观</w:t>
            </w:r>
          </w:p>
        </w:tc>
        <w:tc>
          <w:tcPr>
            <w:tcW w:w="1712" w:type="pct"/>
            <w:vAlign w:val="center"/>
          </w:tcPr>
          <w:p>
            <w:pPr>
              <w:pStyle w:val="294"/>
            </w:pPr>
            <w:r>
              <w:t>景观多样性、完整性等</w:t>
            </w:r>
          </w:p>
        </w:tc>
        <w:tc>
          <w:tcPr>
            <w:tcW w:w="1745" w:type="pct"/>
            <w:vMerge w:val="continue"/>
            <w:vAlign w:val="center"/>
          </w:tcPr>
          <w:p>
            <w:pPr>
              <w:pStyle w:val="294"/>
            </w:pPr>
          </w:p>
        </w:tc>
        <w:tc>
          <w:tcPr>
            <w:tcW w:w="589" w:type="pct"/>
            <w:vMerge w:val="continue"/>
            <w:vAlign w:val="center"/>
          </w:tcPr>
          <w:p>
            <w:pPr>
              <w:pStyle w:val="294"/>
            </w:pPr>
          </w:p>
        </w:tc>
        <w:tc>
          <w:tcPr>
            <w:tcW w:w="306" w:type="pct"/>
            <w:vMerge w:val="continue"/>
            <w:vAlign w:val="center"/>
          </w:tcPr>
          <w:p>
            <w:pPr>
              <w:pStyle w:val="294"/>
            </w:pPr>
          </w:p>
        </w:tc>
      </w:tr>
    </w:tbl>
    <w:p>
      <w:pPr>
        <w:pStyle w:val="3"/>
      </w:pPr>
      <w:bookmarkStart w:id="41" w:name="_Toc164667010"/>
      <w:r>
        <w:rPr>
          <w:rFonts w:hint="eastAsia"/>
        </w:rPr>
        <w:t>2.5</w:t>
      </w:r>
      <w:r>
        <w:t>环境功能区划与评价标准</w:t>
      </w:r>
      <w:bookmarkEnd w:id="41"/>
    </w:p>
    <w:p>
      <w:pPr>
        <w:pStyle w:val="4"/>
        <w:ind w:firstLine="241"/>
        <w:rPr>
          <w:b w:val="0"/>
        </w:rPr>
      </w:pPr>
      <w:bookmarkStart w:id="42" w:name="_Toc120173065"/>
      <w:r>
        <w:t>2.5.1环境功能区划</w:t>
      </w:r>
      <w:bookmarkEnd w:id="42"/>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（1）大气环境功能区划</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工程建设区域内主要为农业耕作区，散居农户较少，属乡村区域环境，根据《环境空气质量标准》（GB3095-2012）划分，工程建设区属2类地区，执行《环境空气质量标准》（GB3095-2012）中的二级标准。</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（2）地表水环境功能区划</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根据宣汉县地表水功能区划，本项目周边地表水后河及其支流为《地表水环境质量标准》（GB3838-2002）</w:t>
      </w:r>
      <w:r>
        <w:rPr>
          <w:rFonts w:hint="eastAsia" w:ascii="宋体" w:hAnsi="宋体" w:cs="宋体"/>
          <w:bCs/>
          <w:color w:val="000000" w:themeColor="text1"/>
          <w:szCs w:val="24"/>
          <w14:textFill>
            <w14:solidFill>
              <w14:schemeClr w14:val="tx1"/>
            </w14:solidFill>
          </w14:textFill>
        </w:rPr>
        <w:t>Ⅲ</w:t>
      </w:r>
      <w:r>
        <w:rPr>
          <w:rFonts w:cs="Times New Roman"/>
          <w:bCs/>
          <w:color w:val="000000" w:themeColor="text1"/>
          <w:szCs w:val="24"/>
          <w14:textFill>
            <w14:solidFill>
              <w14:schemeClr w14:val="tx1"/>
            </w14:solidFill>
          </w14:textFill>
        </w:rPr>
        <w:t>类水域。</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（3）地下水环境功能区划</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工程场站地下水环境质量评价均执行《地下水质量标准》（GB/T14848-2017）III类标准，项目所在区域地下水均属于III类地下水功能区。</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（4）声环境功能区划</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本项目所在区域未划定声环境功能区。本项目参照《声环境质量标准》（GB3096-2008）、《声环境功能区划分技术规范》（GB/T15190-2014）等相关规范，按照项目区声环境功能区为2类进行评价。</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（5）生态功能区划</w:t>
      </w:r>
    </w:p>
    <w:p>
      <w:pPr>
        <w:ind w:firstLine="480"/>
        <w:rPr>
          <w:rFonts w:cs="Times New Roman"/>
          <w:bCs/>
          <w:szCs w:val="24"/>
        </w:rPr>
      </w:pPr>
      <w:r>
        <w:rPr>
          <w:rFonts w:cs="Times New Roman"/>
          <w:bCs/>
          <w:szCs w:val="24"/>
        </w:rPr>
        <w:t>根据《四川省生态功能区划》，本项目位于四川盆地亚热带湿润气候生态区，属于</w:t>
      </w:r>
      <w:r>
        <w:rPr>
          <w:rFonts w:hint="eastAsia" w:ascii="宋体" w:hAnsi="宋体" w:cs="宋体"/>
          <w:bCs/>
          <w:szCs w:val="24"/>
        </w:rPr>
        <w:t>Ⅰ</w:t>
      </w:r>
      <w:r>
        <w:rPr>
          <w:rFonts w:cs="Times New Roman"/>
          <w:bCs/>
          <w:szCs w:val="24"/>
        </w:rPr>
        <w:t>四川盆地亚热带农林生态区—</w:t>
      </w:r>
      <w:r>
        <w:rPr>
          <w:rFonts w:hint="eastAsia" w:ascii="宋体" w:hAnsi="宋体" w:cs="宋体"/>
          <w:bCs/>
          <w:szCs w:val="24"/>
        </w:rPr>
        <w:t>Ⅰ</w:t>
      </w:r>
      <w:r>
        <w:rPr>
          <w:rFonts w:cs="Times New Roman"/>
          <w:bCs/>
          <w:szCs w:val="24"/>
        </w:rPr>
        <w:t>-2盆中丘陵农林复合生态亚区—</w:t>
      </w:r>
      <w:r>
        <w:rPr>
          <w:rFonts w:hint="eastAsia" w:ascii="宋体" w:hAnsi="宋体" w:cs="宋体"/>
          <w:bCs/>
          <w:szCs w:val="24"/>
        </w:rPr>
        <w:t>Ⅰ</w:t>
      </w:r>
      <w:r>
        <w:rPr>
          <w:rFonts w:cs="Times New Roman"/>
          <w:bCs/>
          <w:szCs w:val="24"/>
        </w:rPr>
        <w:t>-2-1盆北深丘农林与土壤保持生态功能区，该生态功能区的主导功能是农业及林业发展，土壤保持。</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（6）水土流失防治区划分</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根据达州市水利局《关于水土保持“两区”划分的公告》，本项目涉及</w:t>
      </w:r>
      <w:r>
        <w:rPr>
          <w:rFonts w:cs="Times New Roman"/>
          <w:color w:val="000000" w:themeColor="text1"/>
          <w14:textFill>
            <w14:solidFill>
              <w14:schemeClr w14:val="tx1"/>
            </w14:solidFill>
          </w14:textFill>
        </w:rPr>
        <w:t>水土流失重点预防区，详见附图</w:t>
      </w:r>
      <w:r>
        <w:rPr>
          <w:rFonts w:hint="eastAsia" w:cs="Times New Roman"/>
          <w:color w:val="000000" w:themeColor="text1"/>
          <w14:textFill>
            <w14:solidFill>
              <w14:schemeClr w14:val="tx1"/>
            </w14:solidFill>
          </w14:textFill>
        </w:rPr>
        <w:t>16</w:t>
      </w:r>
      <w:r>
        <w:rPr>
          <w:rFonts w:cs="Times New Roman"/>
          <w:bCs/>
          <w:color w:val="000000" w:themeColor="text1"/>
          <w:szCs w:val="24"/>
          <w14:textFill>
            <w14:solidFill>
              <w14:schemeClr w14:val="tx1"/>
            </w14:solidFill>
          </w14:textFill>
        </w:rPr>
        <w:t>。</w:t>
      </w:r>
    </w:p>
    <w:p>
      <w:pPr>
        <w:pStyle w:val="4"/>
        <w:ind w:firstLine="241"/>
        <w:rPr>
          <w:b w:val="0"/>
        </w:rPr>
      </w:pPr>
      <w:bookmarkStart w:id="43" w:name="_Toc120173066"/>
      <w:r>
        <w:rPr>
          <w:rFonts w:hint="eastAsia"/>
        </w:rPr>
        <w:t>2.5.2</w:t>
      </w:r>
      <w:r>
        <w:t>环境质量标准</w:t>
      </w:r>
      <w:bookmarkEnd w:id="43"/>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（1）地表水</w:t>
      </w:r>
    </w:p>
    <w:p>
      <w:pPr>
        <w:pStyle w:val="27"/>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本项目地表水执行《地表水环境质量标准》（GB3838-2002）</w:t>
      </w:r>
      <w:r>
        <w:rPr>
          <w:rFonts w:hint="eastAsia" w:hAnsi="宋体" w:cs="宋体"/>
          <w:bCs/>
          <w:color w:val="000000" w:themeColor="text1"/>
          <w:szCs w:val="24"/>
          <w14:textFill>
            <w14:solidFill>
              <w14:schemeClr w14:val="tx1"/>
            </w14:solidFill>
          </w14:textFill>
        </w:rPr>
        <w:t>Ⅲ</w:t>
      </w:r>
      <w:r>
        <w:rPr>
          <w:rFonts w:ascii="Times New Roman" w:hAnsi="Times New Roman"/>
          <w:bCs/>
          <w:color w:val="000000" w:themeColor="text1"/>
          <w:szCs w:val="24"/>
          <w14:textFill>
            <w14:solidFill>
              <w14:schemeClr w14:val="tx1"/>
            </w14:solidFill>
          </w14:textFill>
        </w:rPr>
        <w:t>类水域标准，氯化物执行《地表水环境质量标准》（GB3838-2002）中表2标准限值。</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地表水环境质量标准（</w:t>
      </w:r>
      <w:r>
        <w:rPr>
          <w:rFonts w:hint="eastAsia"/>
          <w:color w:val="000000" w:themeColor="text1"/>
          <w14:textFill>
            <w14:solidFill>
              <w14:schemeClr w14:val="tx1"/>
            </w14:solidFill>
          </w14:textFill>
        </w:rPr>
        <w:t>Ⅲ</w:t>
      </w:r>
      <w:r>
        <w:rPr>
          <w:color w:val="000000" w:themeColor="text1"/>
          <w14:textFill>
            <w14:solidFill>
              <w14:schemeClr w14:val="tx1"/>
            </w14:solidFill>
          </w14:textFill>
        </w:rPr>
        <w:t>类）   单位：mg/L</w:t>
      </w:r>
    </w:p>
    <w:tbl>
      <w:tblPr>
        <w:tblStyle w:val="52"/>
        <w:tblW w:w="82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06"/>
        <w:gridCol w:w="680"/>
        <w:gridCol w:w="864"/>
        <w:gridCol w:w="738"/>
        <w:gridCol w:w="793"/>
        <w:gridCol w:w="779"/>
        <w:gridCol w:w="835"/>
        <w:gridCol w:w="794"/>
        <w:gridCol w:w="821"/>
        <w:gridCol w:w="81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6" w:type="dxa"/>
            <w:vAlign w:val="center"/>
          </w:tcPr>
          <w:p>
            <w:pPr>
              <w:pStyle w:val="294"/>
            </w:pPr>
            <w:r>
              <w:t>污染物</w:t>
            </w:r>
          </w:p>
        </w:tc>
        <w:tc>
          <w:tcPr>
            <w:tcW w:w="680" w:type="dxa"/>
            <w:vAlign w:val="center"/>
          </w:tcPr>
          <w:p>
            <w:pPr>
              <w:pStyle w:val="294"/>
            </w:pPr>
            <w:r>
              <w:t>pH</w:t>
            </w:r>
          </w:p>
        </w:tc>
        <w:tc>
          <w:tcPr>
            <w:tcW w:w="864" w:type="dxa"/>
            <w:vAlign w:val="center"/>
          </w:tcPr>
          <w:p>
            <w:pPr>
              <w:pStyle w:val="294"/>
            </w:pPr>
            <w:r>
              <w:t>COD</w:t>
            </w:r>
            <w:r>
              <w:rPr>
                <w:vertAlign w:val="subscript"/>
              </w:rPr>
              <w:t>Cr</w:t>
            </w:r>
          </w:p>
        </w:tc>
        <w:tc>
          <w:tcPr>
            <w:tcW w:w="738" w:type="dxa"/>
            <w:vAlign w:val="center"/>
          </w:tcPr>
          <w:p>
            <w:pPr>
              <w:pStyle w:val="294"/>
            </w:pPr>
            <w:r>
              <w:t>石油类</w:t>
            </w:r>
          </w:p>
        </w:tc>
        <w:tc>
          <w:tcPr>
            <w:tcW w:w="793" w:type="dxa"/>
            <w:vAlign w:val="center"/>
          </w:tcPr>
          <w:p>
            <w:pPr>
              <w:pStyle w:val="294"/>
            </w:pPr>
            <w:r>
              <w:t>BOD</w:t>
            </w:r>
            <w:r>
              <w:rPr>
                <w:vertAlign w:val="subscript"/>
              </w:rPr>
              <w:t>5</w:t>
            </w:r>
          </w:p>
        </w:tc>
        <w:tc>
          <w:tcPr>
            <w:tcW w:w="779" w:type="dxa"/>
            <w:vAlign w:val="center"/>
          </w:tcPr>
          <w:p>
            <w:pPr>
              <w:pStyle w:val="294"/>
            </w:pPr>
            <w:r>
              <w:t>六价铬</w:t>
            </w:r>
          </w:p>
        </w:tc>
        <w:tc>
          <w:tcPr>
            <w:tcW w:w="835" w:type="dxa"/>
            <w:vAlign w:val="center"/>
          </w:tcPr>
          <w:p>
            <w:pPr>
              <w:pStyle w:val="294"/>
            </w:pPr>
            <w:r>
              <w:t>挥发酚</w:t>
            </w:r>
          </w:p>
        </w:tc>
        <w:tc>
          <w:tcPr>
            <w:tcW w:w="794" w:type="dxa"/>
            <w:vAlign w:val="center"/>
          </w:tcPr>
          <w:p>
            <w:pPr>
              <w:pStyle w:val="294"/>
            </w:pPr>
            <w:r>
              <w:t>NH</w:t>
            </w:r>
            <w:r>
              <w:rPr>
                <w:vertAlign w:val="subscript"/>
              </w:rPr>
              <w:t>3</w:t>
            </w:r>
            <w:r>
              <w:t>-N</w:t>
            </w:r>
          </w:p>
        </w:tc>
        <w:tc>
          <w:tcPr>
            <w:tcW w:w="821" w:type="dxa"/>
            <w:vAlign w:val="center"/>
          </w:tcPr>
          <w:p>
            <w:pPr>
              <w:pStyle w:val="294"/>
            </w:pPr>
            <w:r>
              <w:t>硫化物</w:t>
            </w:r>
          </w:p>
        </w:tc>
        <w:tc>
          <w:tcPr>
            <w:tcW w:w="812" w:type="dxa"/>
            <w:vAlign w:val="center"/>
          </w:tcPr>
          <w:p>
            <w:pPr>
              <w:pStyle w:val="294"/>
            </w:pPr>
            <w:r>
              <w:t>氯化物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6" w:type="dxa"/>
            <w:vAlign w:val="center"/>
          </w:tcPr>
          <w:p>
            <w:pPr>
              <w:pStyle w:val="294"/>
            </w:pPr>
            <w:r>
              <w:rPr>
                <w:rFonts w:hint="eastAsia" w:ascii="宋体" w:hAnsi="宋体" w:cs="宋体"/>
              </w:rPr>
              <w:t>Ⅲ</w:t>
            </w:r>
            <w:r>
              <w:t>类标准</w:t>
            </w:r>
          </w:p>
        </w:tc>
        <w:tc>
          <w:tcPr>
            <w:tcW w:w="680" w:type="dxa"/>
            <w:vAlign w:val="center"/>
          </w:tcPr>
          <w:p>
            <w:pPr>
              <w:pStyle w:val="294"/>
            </w:pPr>
            <w:r>
              <w:t>6～9</w:t>
            </w:r>
          </w:p>
        </w:tc>
        <w:tc>
          <w:tcPr>
            <w:tcW w:w="864" w:type="dxa"/>
            <w:vAlign w:val="center"/>
          </w:tcPr>
          <w:p>
            <w:pPr>
              <w:pStyle w:val="294"/>
            </w:pPr>
            <w:r>
              <w:t>≤20</w:t>
            </w:r>
          </w:p>
        </w:tc>
        <w:tc>
          <w:tcPr>
            <w:tcW w:w="738" w:type="dxa"/>
            <w:vAlign w:val="center"/>
          </w:tcPr>
          <w:p>
            <w:pPr>
              <w:pStyle w:val="294"/>
            </w:pPr>
            <w:r>
              <w:t>≤0.05</w:t>
            </w:r>
          </w:p>
        </w:tc>
        <w:tc>
          <w:tcPr>
            <w:tcW w:w="793" w:type="dxa"/>
            <w:vAlign w:val="center"/>
          </w:tcPr>
          <w:p>
            <w:pPr>
              <w:pStyle w:val="294"/>
            </w:pPr>
            <w:r>
              <w:t>≤4</w:t>
            </w:r>
          </w:p>
        </w:tc>
        <w:tc>
          <w:tcPr>
            <w:tcW w:w="779" w:type="dxa"/>
            <w:vAlign w:val="center"/>
          </w:tcPr>
          <w:p>
            <w:pPr>
              <w:pStyle w:val="294"/>
            </w:pPr>
            <w:r>
              <w:t>≤0.05</w:t>
            </w:r>
          </w:p>
        </w:tc>
        <w:tc>
          <w:tcPr>
            <w:tcW w:w="835" w:type="dxa"/>
            <w:vAlign w:val="center"/>
          </w:tcPr>
          <w:p>
            <w:pPr>
              <w:pStyle w:val="294"/>
            </w:pPr>
            <w:r>
              <w:t>≤0.005</w:t>
            </w:r>
          </w:p>
        </w:tc>
        <w:tc>
          <w:tcPr>
            <w:tcW w:w="794" w:type="dxa"/>
            <w:vAlign w:val="center"/>
          </w:tcPr>
          <w:p>
            <w:pPr>
              <w:pStyle w:val="294"/>
            </w:pPr>
            <w:r>
              <w:t>≤1.0</w:t>
            </w:r>
          </w:p>
        </w:tc>
        <w:tc>
          <w:tcPr>
            <w:tcW w:w="821" w:type="dxa"/>
            <w:vAlign w:val="center"/>
          </w:tcPr>
          <w:p>
            <w:pPr>
              <w:pStyle w:val="294"/>
            </w:pPr>
            <w:r>
              <w:t>≤0.2</w:t>
            </w:r>
          </w:p>
        </w:tc>
        <w:tc>
          <w:tcPr>
            <w:tcW w:w="812" w:type="dxa"/>
            <w:vAlign w:val="center"/>
          </w:tcPr>
          <w:p>
            <w:pPr>
              <w:pStyle w:val="294"/>
            </w:pPr>
            <w:r>
              <w:t>≤250</w:t>
            </w:r>
          </w:p>
        </w:tc>
      </w:tr>
    </w:tbl>
    <w:p>
      <w:pPr>
        <w:pStyle w:val="27"/>
        <w:spacing w:before="163" w:beforeLines="50"/>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（2）地下水</w:t>
      </w:r>
    </w:p>
    <w:p>
      <w:pPr>
        <w:pStyle w:val="27"/>
        <w:ind w:firstLine="472"/>
        <w:rPr>
          <w:rFonts w:ascii="Times New Roman" w:hAnsi="Times New Roman"/>
          <w:bCs/>
          <w:color w:val="000000" w:themeColor="text1"/>
          <w:szCs w:val="24"/>
          <w14:textFill>
            <w14:solidFill>
              <w14:schemeClr w14:val="tx1"/>
            </w14:solidFill>
          </w14:textFill>
        </w:rPr>
      </w:pPr>
      <w:r>
        <w:rPr>
          <w:rFonts w:ascii="Times New Roman" w:hAnsi="Times New Roman"/>
          <w:color w:val="000000" w:themeColor="text1"/>
          <w:spacing w:val="-4"/>
          <w14:textFill>
            <w14:solidFill>
              <w14:schemeClr w14:val="tx1"/>
            </w14:solidFill>
          </w14:textFill>
        </w:rPr>
        <w:t>地下水环境执行《地下水质量标准》（GB/T 14848-2017）中III类标准，石油类参照执行《地表水环境质量标准》（ GB 3838-2002）表1中III类标准</w:t>
      </w:r>
      <w:r>
        <w:rPr>
          <w:rFonts w:ascii="Times New Roman" w:hAnsi="Times New Roman"/>
          <w:bCs/>
          <w:color w:val="000000" w:themeColor="text1"/>
          <w:szCs w:val="24"/>
          <w14:textFill>
            <w14:solidFill>
              <w14:schemeClr w14:val="tx1"/>
            </w14:solidFill>
          </w14:textFill>
        </w:rPr>
        <w:t>，标准值见表2.5-2。</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地下水质量标准限值   单位：mg/L</w:t>
      </w:r>
    </w:p>
    <w:tbl>
      <w:tblPr>
        <w:tblStyle w:val="59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5"/>
        <w:gridCol w:w="2035"/>
        <w:gridCol w:w="1398"/>
        <w:gridCol w:w="931"/>
        <w:gridCol w:w="2035"/>
        <w:gridCol w:w="12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序号</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指标</w:t>
            </w:r>
          </w:p>
        </w:tc>
        <w:tc>
          <w:tcPr>
            <w:tcW w:w="820"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标准值</w:t>
            </w:r>
          </w:p>
        </w:tc>
        <w:tc>
          <w:tcPr>
            <w:tcW w:w="546"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序号</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污染物</w:t>
            </w:r>
          </w:p>
        </w:tc>
        <w:tc>
          <w:tcPr>
            <w:tcW w:w="732"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1</w:t>
            </w:r>
          </w:p>
        </w:tc>
        <w:tc>
          <w:tcPr>
            <w:tcW w:w="1194"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pH</w:t>
            </w:r>
          </w:p>
        </w:tc>
        <w:tc>
          <w:tcPr>
            <w:tcW w:w="820"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6.5-8.5</w:t>
            </w:r>
          </w:p>
        </w:tc>
        <w:tc>
          <w:tcPr>
            <w:tcW w:w="546"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13</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溶解性总固体</w:t>
            </w:r>
          </w:p>
        </w:tc>
        <w:tc>
          <w:tcPr>
            <w:tcW w:w="732"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2</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氨氮</w:t>
            </w:r>
          </w:p>
        </w:tc>
        <w:tc>
          <w:tcPr>
            <w:tcW w:w="820"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≤0.5</w:t>
            </w:r>
          </w:p>
        </w:tc>
        <w:tc>
          <w:tcPr>
            <w:tcW w:w="546"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14</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耗氧量</w:t>
            </w:r>
          </w:p>
        </w:tc>
        <w:tc>
          <w:tcPr>
            <w:tcW w:w="732"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3</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硝酸盐</w:t>
            </w:r>
          </w:p>
        </w:tc>
        <w:tc>
          <w:tcPr>
            <w:tcW w:w="820"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≤20</w:t>
            </w:r>
          </w:p>
        </w:tc>
        <w:tc>
          <w:tcPr>
            <w:tcW w:w="546"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15</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氯化物</w:t>
            </w:r>
          </w:p>
        </w:tc>
        <w:tc>
          <w:tcPr>
            <w:tcW w:w="732"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4</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亚硝酸盐</w:t>
            </w:r>
          </w:p>
        </w:tc>
        <w:tc>
          <w:tcPr>
            <w:tcW w:w="820"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≤1.0</w:t>
            </w:r>
          </w:p>
        </w:tc>
        <w:tc>
          <w:tcPr>
            <w:tcW w:w="546"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16</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总大肠杆菌</w:t>
            </w:r>
          </w:p>
        </w:tc>
        <w:tc>
          <w:tcPr>
            <w:tcW w:w="732"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5</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挥发性酚</w:t>
            </w:r>
          </w:p>
        </w:tc>
        <w:tc>
          <w:tcPr>
            <w:tcW w:w="820"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≤0.002</w:t>
            </w:r>
          </w:p>
        </w:tc>
        <w:tc>
          <w:tcPr>
            <w:tcW w:w="546"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17</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细菌总数</w:t>
            </w:r>
          </w:p>
        </w:tc>
        <w:tc>
          <w:tcPr>
            <w:tcW w:w="732"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6</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氰化物</w:t>
            </w:r>
          </w:p>
        </w:tc>
        <w:tc>
          <w:tcPr>
            <w:tcW w:w="820"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≤0.05</w:t>
            </w:r>
          </w:p>
        </w:tc>
        <w:tc>
          <w:tcPr>
            <w:tcW w:w="546"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18</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石油类</w:t>
            </w:r>
          </w:p>
        </w:tc>
        <w:tc>
          <w:tcPr>
            <w:tcW w:w="732"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7</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砷</w:t>
            </w:r>
          </w:p>
        </w:tc>
        <w:tc>
          <w:tcPr>
            <w:tcW w:w="820"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≤0.01</w:t>
            </w:r>
          </w:p>
        </w:tc>
        <w:tc>
          <w:tcPr>
            <w:tcW w:w="546"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19</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铬（六价）</w:t>
            </w:r>
          </w:p>
        </w:tc>
        <w:tc>
          <w:tcPr>
            <w:tcW w:w="732"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8</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汞</w:t>
            </w:r>
          </w:p>
        </w:tc>
        <w:tc>
          <w:tcPr>
            <w:tcW w:w="820"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≤0.001</w:t>
            </w:r>
          </w:p>
        </w:tc>
        <w:tc>
          <w:tcPr>
            <w:tcW w:w="546"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20</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硫酸盐</w:t>
            </w:r>
          </w:p>
        </w:tc>
        <w:tc>
          <w:tcPr>
            <w:tcW w:w="732"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9</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总硬度</w:t>
            </w:r>
          </w:p>
        </w:tc>
        <w:tc>
          <w:tcPr>
            <w:tcW w:w="820"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≤450</w:t>
            </w:r>
          </w:p>
        </w:tc>
        <w:tc>
          <w:tcPr>
            <w:tcW w:w="546"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21</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钠</w:t>
            </w:r>
          </w:p>
        </w:tc>
        <w:tc>
          <w:tcPr>
            <w:tcW w:w="732"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10</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铅</w:t>
            </w:r>
          </w:p>
        </w:tc>
        <w:tc>
          <w:tcPr>
            <w:tcW w:w="820"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≤0.01</w:t>
            </w:r>
          </w:p>
        </w:tc>
        <w:tc>
          <w:tcPr>
            <w:tcW w:w="546"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22</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硫化物</w:t>
            </w:r>
          </w:p>
        </w:tc>
        <w:tc>
          <w:tcPr>
            <w:tcW w:w="732"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11</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氟化物</w:t>
            </w:r>
          </w:p>
        </w:tc>
        <w:tc>
          <w:tcPr>
            <w:tcW w:w="820"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≤1.0</w:t>
            </w:r>
          </w:p>
        </w:tc>
        <w:tc>
          <w:tcPr>
            <w:tcW w:w="546"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23</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铁</w:t>
            </w:r>
          </w:p>
        </w:tc>
        <w:tc>
          <w:tcPr>
            <w:tcW w:w="732"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12</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镉</w:t>
            </w:r>
          </w:p>
        </w:tc>
        <w:tc>
          <w:tcPr>
            <w:tcW w:w="820"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≤0.005</w:t>
            </w:r>
          </w:p>
        </w:tc>
        <w:tc>
          <w:tcPr>
            <w:tcW w:w="546"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24</w:t>
            </w:r>
          </w:p>
        </w:tc>
        <w:tc>
          <w:tcPr>
            <w:tcW w:w="1194" w:type="pct"/>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锰</w:t>
            </w:r>
          </w:p>
        </w:tc>
        <w:tc>
          <w:tcPr>
            <w:tcW w:w="732" w:type="pct"/>
            <w:vAlign w:val="center"/>
          </w:tcPr>
          <w:p>
            <w:pPr>
              <w:pStyle w:val="294"/>
              <w:spacing w:line="360" w:lineRule="auto"/>
              <w:ind w:firstLine="200"/>
              <w:rPr>
                <w:rFonts w:eastAsia="Times New Roman"/>
                <w:snapToGrid w:val="0"/>
                <w14:ligatures w14:val="standardContextual"/>
              </w:rPr>
            </w:pPr>
            <w:r>
              <w:rPr>
                <w:rFonts w:eastAsia="Times New Roman"/>
                <w:snapToGrid w:val="0"/>
                <w14:ligatures w14:val="standardContextual"/>
              </w:rPr>
              <w:t>≤0.1</w:t>
            </w:r>
          </w:p>
        </w:tc>
      </w:tr>
    </w:tbl>
    <w:p>
      <w:pPr>
        <w:tabs>
          <w:tab w:val="left" w:pos="0"/>
        </w:tabs>
        <w:spacing w:before="163" w:beforeLines="5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（3）环境空气</w:t>
      </w:r>
    </w:p>
    <w:p>
      <w:pPr>
        <w:pStyle w:val="27"/>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评价区域环境空气执行《环境空气质量标准》（GB3095-2012）二级标准；非甲烷总烃执行《大气污染物综合排放标准详解》中标准限值；硫化氢执行《环境影响评价技术导则大气环境》（HJ2.2-2018）中附录D相关限值。具体标准限值见表2.5-3。</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环境空气质量标准   单位：mg/m3</w:t>
      </w:r>
    </w:p>
    <w:tbl>
      <w:tblPr>
        <w:tblStyle w:val="52"/>
        <w:tblW w:w="519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21"/>
        <w:gridCol w:w="1811"/>
        <w:gridCol w:w="1811"/>
        <w:gridCol w:w="37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 w:hRule="atLeast"/>
          <w:tblHeader/>
          <w:jc w:val="center"/>
        </w:trPr>
        <w:tc>
          <w:tcPr>
            <w:tcW w:w="1481" w:type="dxa"/>
            <w:vMerge w:val="restart"/>
            <w:vAlign w:val="center"/>
          </w:tcPr>
          <w:p>
            <w:pPr>
              <w:pStyle w:val="294"/>
            </w:pPr>
            <w:r>
              <w:t>污染物</w:t>
            </w:r>
          </w:p>
        </w:tc>
        <w:tc>
          <w:tcPr>
            <w:tcW w:w="3526" w:type="dxa"/>
            <w:gridSpan w:val="2"/>
            <w:vAlign w:val="center"/>
          </w:tcPr>
          <w:p>
            <w:pPr>
              <w:pStyle w:val="294"/>
            </w:pPr>
            <w:r>
              <w:t>浓度限值</w:t>
            </w:r>
          </w:p>
        </w:tc>
        <w:tc>
          <w:tcPr>
            <w:tcW w:w="3611" w:type="dxa"/>
            <w:vMerge w:val="restart"/>
            <w:vAlign w:val="center"/>
          </w:tcPr>
          <w:p>
            <w:pPr>
              <w:pStyle w:val="294"/>
            </w:pPr>
            <w:r>
              <w:t>依据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tblHeader/>
          <w:jc w:val="center"/>
        </w:trPr>
        <w:tc>
          <w:tcPr>
            <w:tcW w:w="1481" w:type="dxa"/>
            <w:vMerge w:val="continue"/>
            <w:vAlign w:val="center"/>
          </w:tcPr>
          <w:p>
            <w:pPr>
              <w:pStyle w:val="294"/>
            </w:pPr>
          </w:p>
        </w:tc>
        <w:tc>
          <w:tcPr>
            <w:tcW w:w="1763" w:type="dxa"/>
            <w:vAlign w:val="center"/>
          </w:tcPr>
          <w:p>
            <w:pPr>
              <w:pStyle w:val="294"/>
            </w:pPr>
            <w:r>
              <w:t>取值时间</w:t>
            </w:r>
          </w:p>
        </w:tc>
        <w:tc>
          <w:tcPr>
            <w:tcW w:w="1763" w:type="dxa"/>
            <w:vAlign w:val="center"/>
          </w:tcPr>
          <w:p>
            <w:pPr>
              <w:pStyle w:val="294"/>
            </w:pPr>
            <w:r>
              <w:t>标准限值</w:t>
            </w:r>
          </w:p>
        </w:tc>
        <w:tc>
          <w:tcPr>
            <w:tcW w:w="3611"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294"/>
            </w:pPr>
            <w:r>
              <w:t>PM</w:t>
            </w:r>
            <w:r>
              <w:rPr>
                <w:vertAlign w:val="subscript"/>
              </w:rPr>
              <w:t>10</w:t>
            </w:r>
          </w:p>
        </w:tc>
        <w:tc>
          <w:tcPr>
            <w:tcW w:w="1763" w:type="dxa"/>
            <w:vAlign w:val="center"/>
          </w:tcPr>
          <w:p>
            <w:pPr>
              <w:pStyle w:val="294"/>
            </w:pPr>
            <w:r>
              <w:t>年平均</w:t>
            </w:r>
          </w:p>
        </w:tc>
        <w:tc>
          <w:tcPr>
            <w:tcW w:w="1763" w:type="dxa"/>
            <w:vAlign w:val="center"/>
          </w:tcPr>
          <w:p>
            <w:pPr>
              <w:pStyle w:val="294"/>
            </w:pPr>
            <w:r>
              <w:t>70μg/m</w:t>
            </w:r>
            <w:r>
              <w:rPr>
                <w:vertAlign w:val="superscript"/>
              </w:rPr>
              <w:t>3</w:t>
            </w:r>
          </w:p>
        </w:tc>
        <w:tc>
          <w:tcPr>
            <w:tcW w:w="3611" w:type="dxa"/>
            <w:vMerge w:val="restart"/>
            <w:vAlign w:val="center"/>
          </w:tcPr>
          <w:p>
            <w:pPr>
              <w:pStyle w:val="294"/>
            </w:pPr>
            <w:r>
              <w:t>《环境空气质量标准》（GB3095-2012）二级标准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294"/>
              <w:rPr>
                <w:vertAlign w:val="subscript"/>
              </w:rPr>
            </w:pPr>
          </w:p>
        </w:tc>
        <w:tc>
          <w:tcPr>
            <w:tcW w:w="1763" w:type="dxa"/>
            <w:vAlign w:val="center"/>
          </w:tcPr>
          <w:p>
            <w:pPr>
              <w:pStyle w:val="294"/>
            </w:pPr>
            <w:r>
              <w:t>24小时平均</w:t>
            </w:r>
          </w:p>
        </w:tc>
        <w:tc>
          <w:tcPr>
            <w:tcW w:w="1763" w:type="dxa"/>
            <w:vAlign w:val="center"/>
          </w:tcPr>
          <w:p>
            <w:pPr>
              <w:pStyle w:val="294"/>
            </w:pPr>
            <w:r>
              <w:t>150μg/m</w:t>
            </w:r>
            <w:r>
              <w:rPr>
                <w:vertAlign w:val="superscript"/>
              </w:rPr>
              <w:t>3</w:t>
            </w:r>
          </w:p>
        </w:tc>
        <w:tc>
          <w:tcPr>
            <w:tcW w:w="3611"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294"/>
            </w:pPr>
            <w:r>
              <w:t>PM</w:t>
            </w:r>
            <w:r>
              <w:rPr>
                <w:vertAlign w:val="subscript"/>
              </w:rPr>
              <w:t>2.5</w:t>
            </w:r>
          </w:p>
        </w:tc>
        <w:tc>
          <w:tcPr>
            <w:tcW w:w="1763" w:type="dxa"/>
            <w:vAlign w:val="center"/>
          </w:tcPr>
          <w:p>
            <w:pPr>
              <w:pStyle w:val="294"/>
            </w:pPr>
            <w:r>
              <w:t>年平均</w:t>
            </w:r>
          </w:p>
        </w:tc>
        <w:tc>
          <w:tcPr>
            <w:tcW w:w="1763" w:type="dxa"/>
            <w:vAlign w:val="center"/>
          </w:tcPr>
          <w:p>
            <w:pPr>
              <w:pStyle w:val="294"/>
            </w:pPr>
            <w:r>
              <w:t>35μg/m</w:t>
            </w:r>
            <w:r>
              <w:rPr>
                <w:vertAlign w:val="superscript"/>
              </w:rPr>
              <w:t>3</w:t>
            </w:r>
          </w:p>
        </w:tc>
        <w:tc>
          <w:tcPr>
            <w:tcW w:w="3611"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294"/>
              <w:rPr>
                <w:vertAlign w:val="subscript"/>
              </w:rPr>
            </w:pPr>
          </w:p>
        </w:tc>
        <w:tc>
          <w:tcPr>
            <w:tcW w:w="1763" w:type="dxa"/>
            <w:vAlign w:val="center"/>
          </w:tcPr>
          <w:p>
            <w:pPr>
              <w:pStyle w:val="294"/>
            </w:pPr>
            <w:r>
              <w:t>24小时平均</w:t>
            </w:r>
          </w:p>
        </w:tc>
        <w:tc>
          <w:tcPr>
            <w:tcW w:w="1763" w:type="dxa"/>
            <w:vAlign w:val="center"/>
          </w:tcPr>
          <w:p>
            <w:pPr>
              <w:pStyle w:val="294"/>
            </w:pPr>
            <w:r>
              <w:t>75μg/m</w:t>
            </w:r>
            <w:r>
              <w:rPr>
                <w:vertAlign w:val="superscript"/>
              </w:rPr>
              <w:t>3</w:t>
            </w:r>
          </w:p>
        </w:tc>
        <w:tc>
          <w:tcPr>
            <w:tcW w:w="3611"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294"/>
              <w:rPr>
                <w:vertAlign w:val="subscript"/>
              </w:rPr>
            </w:pPr>
            <w:r>
              <w:t>SO</w:t>
            </w:r>
            <w:r>
              <w:rPr>
                <w:vertAlign w:val="subscript"/>
              </w:rPr>
              <w:t>2</w:t>
            </w:r>
          </w:p>
        </w:tc>
        <w:tc>
          <w:tcPr>
            <w:tcW w:w="1763" w:type="dxa"/>
            <w:vAlign w:val="center"/>
          </w:tcPr>
          <w:p>
            <w:pPr>
              <w:pStyle w:val="294"/>
            </w:pPr>
            <w:r>
              <w:t>年平均</w:t>
            </w:r>
          </w:p>
        </w:tc>
        <w:tc>
          <w:tcPr>
            <w:tcW w:w="1763" w:type="dxa"/>
            <w:vAlign w:val="center"/>
          </w:tcPr>
          <w:p>
            <w:pPr>
              <w:pStyle w:val="294"/>
            </w:pPr>
            <w:r>
              <w:t>60μg/m</w:t>
            </w:r>
            <w:r>
              <w:rPr>
                <w:vertAlign w:val="superscript"/>
              </w:rPr>
              <w:t>3</w:t>
            </w:r>
          </w:p>
        </w:tc>
        <w:tc>
          <w:tcPr>
            <w:tcW w:w="3611"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481" w:type="dxa"/>
            <w:vMerge w:val="continue"/>
            <w:vAlign w:val="center"/>
          </w:tcPr>
          <w:p>
            <w:pPr>
              <w:pStyle w:val="294"/>
            </w:pPr>
          </w:p>
        </w:tc>
        <w:tc>
          <w:tcPr>
            <w:tcW w:w="1763" w:type="dxa"/>
            <w:vAlign w:val="center"/>
          </w:tcPr>
          <w:p>
            <w:pPr>
              <w:pStyle w:val="294"/>
            </w:pPr>
            <w:r>
              <w:t>24小时平均</w:t>
            </w:r>
          </w:p>
        </w:tc>
        <w:tc>
          <w:tcPr>
            <w:tcW w:w="1763" w:type="dxa"/>
            <w:vAlign w:val="center"/>
          </w:tcPr>
          <w:p>
            <w:pPr>
              <w:pStyle w:val="294"/>
            </w:pPr>
            <w:r>
              <w:t>150μg/m</w:t>
            </w:r>
            <w:r>
              <w:rPr>
                <w:vertAlign w:val="superscript"/>
              </w:rPr>
              <w:t>3</w:t>
            </w:r>
          </w:p>
        </w:tc>
        <w:tc>
          <w:tcPr>
            <w:tcW w:w="3611"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481" w:type="dxa"/>
            <w:vMerge w:val="continue"/>
            <w:vAlign w:val="center"/>
          </w:tcPr>
          <w:p>
            <w:pPr>
              <w:pStyle w:val="294"/>
            </w:pPr>
          </w:p>
        </w:tc>
        <w:tc>
          <w:tcPr>
            <w:tcW w:w="1763" w:type="dxa"/>
            <w:vAlign w:val="center"/>
          </w:tcPr>
          <w:p>
            <w:pPr>
              <w:pStyle w:val="294"/>
            </w:pPr>
            <w:r>
              <w:t>1小时平均</w:t>
            </w:r>
          </w:p>
        </w:tc>
        <w:tc>
          <w:tcPr>
            <w:tcW w:w="1763" w:type="dxa"/>
            <w:vAlign w:val="center"/>
          </w:tcPr>
          <w:p>
            <w:pPr>
              <w:pStyle w:val="294"/>
            </w:pPr>
            <w:r>
              <w:t>500μg/m</w:t>
            </w:r>
            <w:r>
              <w:rPr>
                <w:vertAlign w:val="superscript"/>
              </w:rPr>
              <w:t>3</w:t>
            </w:r>
          </w:p>
        </w:tc>
        <w:tc>
          <w:tcPr>
            <w:tcW w:w="3611"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294"/>
            </w:pPr>
            <w:r>
              <w:t>NO</w:t>
            </w:r>
            <w:r>
              <w:rPr>
                <w:vertAlign w:val="subscript"/>
              </w:rPr>
              <w:t>2</w:t>
            </w:r>
          </w:p>
        </w:tc>
        <w:tc>
          <w:tcPr>
            <w:tcW w:w="1763" w:type="dxa"/>
            <w:vAlign w:val="center"/>
          </w:tcPr>
          <w:p>
            <w:pPr>
              <w:pStyle w:val="294"/>
            </w:pPr>
            <w:r>
              <w:t>年平均</w:t>
            </w:r>
          </w:p>
        </w:tc>
        <w:tc>
          <w:tcPr>
            <w:tcW w:w="1763" w:type="dxa"/>
            <w:vAlign w:val="center"/>
          </w:tcPr>
          <w:p>
            <w:pPr>
              <w:pStyle w:val="294"/>
            </w:pPr>
            <w:r>
              <w:t>40μg/m</w:t>
            </w:r>
            <w:r>
              <w:rPr>
                <w:vertAlign w:val="superscript"/>
              </w:rPr>
              <w:t>3</w:t>
            </w:r>
          </w:p>
        </w:tc>
        <w:tc>
          <w:tcPr>
            <w:tcW w:w="3611"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294"/>
            </w:pPr>
          </w:p>
        </w:tc>
        <w:tc>
          <w:tcPr>
            <w:tcW w:w="1763" w:type="dxa"/>
            <w:vAlign w:val="center"/>
          </w:tcPr>
          <w:p>
            <w:pPr>
              <w:pStyle w:val="294"/>
            </w:pPr>
            <w:r>
              <w:t>24小时平均</w:t>
            </w:r>
          </w:p>
        </w:tc>
        <w:tc>
          <w:tcPr>
            <w:tcW w:w="1763" w:type="dxa"/>
            <w:vAlign w:val="center"/>
          </w:tcPr>
          <w:p>
            <w:pPr>
              <w:pStyle w:val="294"/>
            </w:pPr>
            <w:r>
              <w:t>80μg/m</w:t>
            </w:r>
            <w:r>
              <w:rPr>
                <w:vertAlign w:val="superscript"/>
              </w:rPr>
              <w:t>3</w:t>
            </w:r>
          </w:p>
        </w:tc>
        <w:tc>
          <w:tcPr>
            <w:tcW w:w="3611"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294"/>
            </w:pPr>
          </w:p>
        </w:tc>
        <w:tc>
          <w:tcPr>
            <w:tcW w:w="1763" w:type="dxa"/>
            <w:vAlign w:val="center"/>
          </w:tcPr>
          <w:p>
            <w:pPr>
              <w:pStyle w:val="294"/>
            </w:pPr>
            <w:r>
              <w:t>1小时平均</w:t>
            </w:r>
          </w:p>
        </w:tc>
        <w:tc>
          <w:tcPr>
            <w:tcW w:w="1763" w:type="dxa"/>
            <w:vAlign w:val="center"/>
          </w:tcPr>
          <w:p>
            <w:pPr>
              <w:pStyle w:val="294"/>
            </w:pPr>
            <w:r>
              <w:t>200μg/m</w:t>
            </w:r>
            <w:r>
              <w:rPr>
                <w:vertAlign w:val="superscript"/>
              </w:rPr>
              <w:t>3</w:t>
            </w:r>
          </w:p>
        </w:tc>
        <w:tc>
          <w:tcPr>
            <w:tcW w:w="3611"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294"/>
            </w:pPr>
            <w:r>
              <w:t>TSP</w:t>
            </w:r>
          </w:p>
        </w:tc>
        <w:tc>
          <w:tcPr>
            <w:tcW w:w="1763" w:type="dxa"/>
            <w:vAlign w:val="center"/>
          </w:tcPr>
          <w:p>
            <w:pPr>
              <w:pStyle w:val="294"/>
            </w:pPr>
            <w:r>
              <w:t>年平均</w:t>
            </w:r>
          </w:p>
        </w:tc>
        <w:tc>
          <w:tcPr>
            <w:tcW w:w="1763" w:type="dxa"/>
            <w:vAlign w:val="center"/>
          </w:tcPr>
          <w:p>
            <w:pPr>
              <w:pStyle w:val="294"/>
            </w:pPr>
            <w:r>
              <w:t>200μg/m</w:t>
            </w:r>
            <w:r>
              <w:rPr>
                <w:vertAlign w:val="superscript"/>
              </w:rPr>
              <w:t>3</w:t>
            </w:r>
          </w:p>
        </w:tc>
        <w:tc>
          <w:tcPr>
            <w:tcW w:w="3611"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294"/>
            </w:pPr>
          </w:p>
        </w:tc>
        <w:tc>
          <w:tcPr>
            <w:tcW w:w="1763" w:type="dxa"/>
            <w:vAlign w:val="center"/>
          </w:tcPr>
          <w:p>
            <w:pPr>
              <w:pStyle w:val="294"/>
            </w:pPr>
            <w:r>
              <w:t>24小时平均</w:t>
            </w:r>
          </w:p>
        </w:tc>
        <w:tc>
          <w:tcPr>
            <w:tcW w:w="1763" w:type="dxa"/>
            <w:vAlign w:val="center"/>
          </w:tcPr>
          <w:p>
            <w:pPr>
              <w:pStyle w:val="294"/>
            </w:pPr>
            <w:r>
              <w:t>300μg/m</w:t>
            </w:r>
            <w:r>
              <w:rPr>
                <w:vertAlign w:val="superscript"/>
              </w:rPr>
              <w:t>3</w:t>
            </w:r>
          </w:p>
        </w:tc>
        <w:tc>
          <w:tcPr>
            <w:tcW w:w="3611"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294"/>
            </w:pPr>
            <w:r>
              <w:t>CO</w:t>
            </w:r>
          </w:p>
        </w:tc>
        <w:tc>
          <w:tcPr>
            <w:tcW w:w="1763" w:type="dxa"/>
            <w:vAlign w:val="center"/>
          </w:tcPr>
          <w:p>
            <w:pPr>
              <w:pStyle w:val="294"/>
            </w:pPr>
            <w:r>
              <w:t>24小时平均</w:t>
            </w:r>
          </w:p>
        </w:tc>
        <w:tc>
          <w:tcPr>
            <w:tcW w:w="1763" w:type="dxa"/>
            <w:vAlign w:val="center"/>
          </w:tcPr>
          <w:p>
            <w:pPr>
              <w:pStyle w:val="294"/>
            </w:pPr>
            <w:r>
              <w:t>4mg/m</w:t>
            </w:r>
            <w:r>
              <w:rPr>
                <w:vertAlign w:val="superscript"/>
              </w:rPr>
              <w:t>3</w:t>
            </w:r>
          </w:p>
        </w:tc>
        <w:tc>
          <w:tcPr>
            <w:tcW w:w="3611"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294"/>
            </w:pPr>
          </w:p>
        </w:tc>
        <w:tc>
          <w:tcPr>
            <w:tcW w:w="1763" w:type="dxa"/>
            <w:vAlign w:val="center"/>
          </w:tcPr>
          <w:p>
            <w:pPr>
              <w:pStyle w:val="294"/>
            </w:pPr>
            <w:r>
              <w:t>1小时平均</w:t>
            </w:r>
          </w:p>
        </w:tc>
        <w:tc>
          <w:tcPr>
            <w:tcW w:w="1763" w:type="dxa"/>
            <w:vAlign w:val="center"/>
          </w:tcPr>
          <w:p>
            <w:pPr>
              <w:pStyle w:val="294"/>
            </w:pPr>
            <w:r>
              <w:t>10mg/m</w:t>
            </w:r>
            <w:r>
              <w:rPr>
                <w:vertAlign w:val="superscript"/>
              </w:rPr>
              <w:t>3</w:t>
            </w:r>
          </w:p>
        </w:tc>
        <w:tc>
          <w:tcPr>
            <w:tcW w:w="3611"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294"/>
            </w:pPr>
            <w:r>
              <w:t>O</w:t>
            </w:r>
            <w:r>
              <w:rPr>
                <w:vertAlign w:val="subscript"/>
              </w:rPr>
              <w:t>3</w:t>
            </w:r>
          </w:p>
        </w:tc>
        <w:tc>
          <w:tcPr>
            <w:tcW w:w="1763" w:type="dxa"/>
          </w:tcPr>
          <w:p>
            <w:pPr>
              <w:pStyle w:val="294"/>
            </w:pPr>
            <w:r>
              <w:t>8小时平均</w:t>
            </w:r>
          </w:p>
        </w:tc>
        <w:tc>
          <w:tcPr>
            <w:tcW w:w="1763" w:type="dxa"/>
          </w:tcPr>
          <w:p>
            <w:pPr>
              <w:pStyle w:val="294"/>
            </w:pPr>
            <w:r>
              <w:t>160μg/m</w:t>
            </w:r>
            <w:r>
              <w:rPr>
                <w:vertAlign w:val="superscript"/>
              </w:rPr>
              <w:t>3</w:t>
            </w:r>
          </w:p>
        </w:tc>
        <w:tc>
          <w:tcPr>
            <w:tcW w:w="3611"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294"/>
            </w:pPr>
          </w:p>
        </w:tc>
        <w:tc>
          <w:tcPr>
            <w:tcW w:w="1763" w:type="dxa"/>
          </w:tcPr>
          <w:p>
            <w:pPr>
              <w:pStyle w:val="294"/>
            </w:pPr>
            <w:r>
              <w:t>1小时平均</w:t>
            </w:r>
          </w:p>
        </w:tc>
        <w:tc>
          <w:tcPr>
            <w:tcW w:w="1763" w:type="dxa"/>
          </w:tcPr>
          <w:p>
            <w:pPr>
              <w:pStyle w:val="294"/>
            </w:pPr>
            <w:r>
              <w:t>200μg/m</w:t>
            </w:r>
            <w:r>
              <w:rPr>
                <w:vertAlign w:val="superscript"/>
              </w:rPr>
              <w:t>3</w:t>
            </w:r>
          </w:p>
        </w:tc>
        <w:tc>
          <w:tcPr>
            <w:tcW w:w="3611"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Align w:val="center"/>
          </w:tcPr>
          <w:p>
            <w:pPr>
              <w:pStyle w:val="294"/>
            </w:pPr>
            <w:r>
              <w:t>硫化氢</w:t>
            </w:r>
          </w:p>
        </w:tc>
        <w:tc>
          <w:tcPr>
            <w:tcW w:w="1763" w:type="dxa"/>
            <w:vAlign w:val="center"/>
          </w:tcPr>
          <w:p>
            <w:pPr>
              <w:pStyle w:val="294"/>
              <w:rPr>
                <w:iCs/>
                <w:szCs w:val="21"/>
              </w:rPr>
            </w:pPr>
            <w:r>
              <w:t>1小时平均</w:t>
            </w:r>
          </w:p>
        </w:tc>
        <w:tc>
          <w:tcPr>
            <w:tcW w:w="1763" w:type="dxa"/>
            <w:vAlign w:val="center"/>
          </w:tcPr>
          <w:p>
            <w:pPr>
              <w:pStyle w:val="294"/>
              <w:rPr>
                <w:iCs/>
                <w:szCs w:val="21"/>
              </w:rPr>
            </w:pPr>
            <w:r>
              <w:t>10</w:t>
            </w:r>
            <w:r>
              <w:rPr>
                <w:iCs/>
                <w:kern w:val="0"/>
                <w:szCs w:val="21"/>
              </w:rPr>
              <w:t>μ</w:t>
            </w:r>
            <w:r>
              <w:t>g/m</w:t>
            </w:r>
            <w:r>
              <w:rPr>
                <w:vertAlign w:val="superscript"/>
              </w:rPr>
              <w:t>3</w:t>
            </w:r>
          </w:p>
        </w:tc>
        <w:tc>
          <w:tcPr>
            <w:tcW w:w="3611" w:type="dxa"/>
            <w:vAlign w:val="center"/>
          </w:tcPr>
          <w:p>
            <w:pPr>
              <w:pStyle w:val="294"/>
            </w:pPr>
            <w:r>
              <w:t>《环境影响评价技术导则大气环境》（HJ2.2-2018）中附录D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Align w:val="center"/>
          </w:tcPr>
          <w:p>
            <w:pPr>
              <w:pStyle w:val="294"/>
            </w:pPr>
            <w:r>
              <w:t>非甲烷总烃</w:t>
            </w:r>
          </w:p>
        </w:tc>
        <w:tc>
          <w:tcPr>
            <w:tcW w:w="1763" w:type="dxa"/>
            <w:vAlign w:val="center"/>
          </w:tcPr>
          <w:p>
            <w:pPr>
              <w:pStyle w:val="294"/>
            </w:pPr>
            <w:r>
              <w:t>1小时平均</w:t>
            </w:r>
          </w:p>
        </w:tc>
        <w:tc>
          <w:tcPr>
            <w:tcW w:w="1763" w:type="dxa"/>
            <w:vAlign w:val="center"/>
          </w:tcPr>
          <w:p>
            <w:pPr>
              <w:pStyle w:val="294"/>
            </w:pPr>
            <w:r>
              <w:t>2mg/m</w:t>
            </w:r>
            <w:r>
              <w:rPr>
                <w:vertAlign w:val="superscript"/>
              </w:rPr>
              <w:t>3</w:t>
            </w:r>
          </w:p>
        </w:tc>
        <w:tc>
          <w:tcPr>
            <w:tcW w:w="3611" w:type="dxa"/>
            <w:vAlign w:val="center"/>
          </w:tcPr>
          <w:p>
            <w:pPr>
              <w:pStyle w:val="294"/>
              <w:rPr>
                <w:szCs w:val="21"/>
              </w:rPr>
            </w:pPr>
            <w:r>
              <w:t>《大气污染物综合排放标准详解》</w:t>
            </w:r>
          </w:p>
        </w:tc>
      </w:tr>
    </w:tbl>
    <w:p>
      <w:pPr>
        <w:tabs>
          <w:tab w:val="left" w:pos="0"/>
        </w:tabs>
        <w:spacing w:before="163" w:beforeLines="5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（4）声环境</w:t>
      </w:r>
    </w:p>
    <w:p>
      <w:pPr>
        <w:pStyle w:val="27"/>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项目区域声环境执行《声环境质量标准》（GB3096-2008）2类功能区标准，标准限值见表2.5-4。</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声环境质量标准   单位：dB（A）</w:t>
      </w:r>
    </w:p>
    <w:tbl>
      <w:tblPr>
        <w:tblStyle w:val="5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68"/>
        <w:gridCol w:w="3276"/>
        <w:gridCol w:w="327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55" w:type="pct"/>
            <w:vAlign w:val="center"/>
          </w:tcPr>
          <w:p>
            <w:pPr>
              <w:pStyle w:val="294"/>
            </w:pPr>
            <w:r>
              <w:t>类别</w:t>
            </w:r>
          </w:p>
        </w:tc>
        <w:tc>
          <w:tcPr>
            <w:tcW w:w="1922" w:type="pct"/>
            <w:vAlign w:val="center"/>
          </w:tcPr>
          <w:p>
            <w:pPr>
              <w:pStyle w:val="294"/>
            </w:pPr>
            <w:r>
              <w:t>昼间</w:t>
            </w:r>
          </w:p>
        </w:tc>
        <w:tc>
          <w:tcPr>
            <w:tcW w:w="1923" w:type="pct"/>
            <w:vAlign w:val="center"/>
          </w:tcPr>
          <w:p>
            <w:pPr>
              <w:pStyle w:val="294"/>
            </w:pPr>
            <w:bookmarkStart w:id="44" w:name="_Toc120173067"/>
            <w:bookmarkStart w:id="45" w:name="_Toc88465928"/>
            <w:bookmarkStart w:id="46" w:name="_Toc89099427"/>
            <w:bookmarkStart w:id="47" w:name="_Toc107494216"/>
            <w:r>
              <w:t>夜间</w:t>
            </w:r>
            <w:bookmarkEnd w:id="44"/>
            <w:bookmarkEnd w:id="45"/>
            <w:bookmarkEnd w:id="46"/>
            <w:bookmarkEnd w:id="47"/>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155" w:type="pct"/>
            <w:vAlign w:val="center"/>
          </w:tcPr>
          <w:p>
            <w:pPr>
              <w:pStyle w:val="294"/>
            </w:pPr>
            <w:r>
              <w:t>2类功能区</w:t>
            </w:r>
          </w:p>
        </w:tc>
        <w:tc>
          <w:tcPr>
            <w:tcW w:w="1922" w:type="pct"/>
            <w:vAlign w:val="center"/>
          </w:tcPr>
          <w:p>
            <w:pPr>
              <w:pStyle w:val="294"/>
            </w:pPr>
            <w:r>
              <w:t>≤60</w:t>
            </w:r>
          </w:p>
        </w:tc>
        <w:tc>
          <w:tcPr>
            <w:tcW w:w="1923" w:type="pct"/>
            <w:vAlign w:val="center"/>
          </w:tcPr>
          <w:p>
            <w:pPr>
              <w:pStyle w:val="294"/>
            </w:pPr>
            <w:r>
              <w:t>≤50</w:t>
            </w:r>
          </w:p>
        </w:tc>
      </w:tr>
    </w:tbl>
    <w:p>
      <w:pPr>
        <w:tabs>
          <w:tab w:val="left" w:pos="0"/>
        </w:tabs>
        <w:spacing w:before="163" w:beforeLines="5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（5）土壤环境</w:t>
      </w:r>
    </w:p>
    <w:p>
      <w:pPr>
        <w:pStyle w:val="27"/>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本项目所在区域用地范围内土壤环境质量标准执行《土壤环境质量 建设用地土壤污染风险管控标准（试行）（GB36600—2018）》第二类用地筛选值，项目周边耕地执行《土壤环境质量 农用地土壤污染风险管控标准（试行）（GB15618—2018）》风险筛选值，具体筛选值见表2.5-5和表2.5-6。</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建设用地（第二类用地）土壤环境质量筛选值   单位：mg/kg</w:t>
      </w:r>
    </w:p>
    <w:tbl>
      <w:tblPr>
        <w:tblStyle w:val="52"/>
        <w:tblW w:w="82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Layout w:type="fixed"/>
        <w:tblCellMar>
          <w:top w:w="0" w:type="dxa"/>
          <w:left w:w="57" w:type="dxa"/>
          <w:bottom w:w="0" w:type="dxa"/>
          <w:right w:w="57" w:type="dxa"/>
        </w:tblCellMar>
      </w:tblPr>
      <w:tblGrid>
        <w:gridCol w:w="949"/>
        <w:gridCol w:w="992"/>
        <w:gridCol w:w="1276"/>
        <w:gridCol w:w="1134"/>
        <w:gridCol w:w="992"/>
        <w:gridCol w:w="984"/>
        <w:gridCol w:w="971"/>
        <w:gridCol w:w="9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57" w:type="dxa"/>
            <w:bottom w:w="0" w:type="dxa"/>
            <w:right w:w="57" w:type="dxa"/>
          </w:tblCellMar>
        </w:tblPrEx>
        <w:trPr>
          <w:jc w:val="center"/>
        </w:trPr>
        <w:tc>
          <w:tcPr>
            <w:tcW w:w="949" w:type="dxa"/>
            <w:shd w:val="clear" w:color="auto" w:fill="FFFFFF"/>
            <w:vAlign w:val="center"/>
          </w:tcPr>
          <w:p>
            <w:pPr>
              <w:pStyle w:val="294"/>
            </w:pPr>
            <w:r>
              <w:t>污染物</w:t>
            </w:r>
          </w:p>
        </w:tc>
        <w:tc>
          <w:tcPr>
            <w:tcW w:w="992" w:type="dxa"/>
            <w:shd w:val="clear" w:color="auto" w:fill="FFFFFF"/>
            <w:vAlign w:val="center"/>
          </w:tcPr>
          <w:p>
            <w:pPr>
              <w:pStyle w:val="294"/>
            </w:pPr>
            <w:r>
              <w:t>砷</w:t>
            </w:r>
          </w:p>
        </w:tc>
        <w:tc>
          <w:tcPr>
            <w:tcW w:w="1276" w:type="dxa"/>
            <w:shd w:val="clear" w:color="auto" w:fill="FFFFFF"/>
            <w:vAlign w:val="center"/>
          </w:tcPr>
          <w:p>
            <w:pPr>
              <w:pStyle w:val="294"/>
            </w:pPr>
            <w:r>
              <w:t>镉</w:t>
            </w:r>
          </w:p>
        </w:tc>
        <w:tc>
          <w:tcPr>
            <w:tcW w:w="1134" w:type="dxa"/>
            <w:shd w:val="clear" w:color="auto" w:fill="FFFFFF"/>
            <w:vAlign w:val="center"/>
          </w:tcPr>
          <w:p>
            <w:pPr>
              <w:pStyle w:val="294"/>
            </w:pPr>
            <w:r>
              <w:t>铬（6价）</w:t>
            </w:r>
          </w:p>
        </w:tc>
        <w:tc>
          <w:tcPr>
            <w:tcW w:w="992" w:type="dxa"/>
            <w:shd w:val="clear" w:color="auto" w:fill="FFFFFF"/>
            <w:vAlign w:val="center"/>
          </w:tcPr>
          <w:p>
            <w:pPr>
              <w:pStyle w:val="294"/>
            </w:pPr>
            <w:r>
              <w:t>铜</w:t>
            </w:r>
          </w:p>
        </w:tc>
        <w:tc>
          <w:tcPr>
            <w:tcW w:w="984" w:type="dxa"/>
            <w:shd w:val="clear" w:color="auto" w:fill="FFFFFF"/>
            <w:vAlign w:val="center"/>
          </w:tcPr>
          <w:p>
            <w:pPr>
              <w:pStyle w:val="294"/>
            </w:pPr>
            <w:r>
              <w:t>铅</w:t>
            </w:r>
          </w:p>
        </w:tc>
        <w:tc>
          <w:tcPr>
            <w:tcW w:w="971" w:type="dxa"/>
            <w:shd w:val="clear" w:color="auto" w:fill="FFFFFF"/>
            <w:vAlign w:val="center"/>
          </w:tcPr>
          <w:p>
            <w:pPr>
              <w:pStyle w:val="294"/>
            </w:pPr>
            <w:r>
              <w:t>汞</w:t>
            </w:r>
          </w:p>
        </w:tc>
        <w:tc>
          <w:tcPr>
            <w:tcW w:w="924" w:type="dxa"/>
            <w:shd w:val="clear" w:color="auto" w:fill="FFFFFF"/>
            <w:vAlign w:val="center"/>
          </w:tcPr>
          <w:p>
            <w:pPr>
              <w:pStyle w:val="294"/>
            </w:pPr>
            <w:r>
              <w:t>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4"/>
            </w:pPr>
            <w:r>
              <w:t>筛选值</w:t>
            </w:r>
          </w:p>
        </w:tc>
        <w:tc>
          <w:tcPr>
            <w:tcW w:w="992" w:type="dxa"/>
            <w:shd w:val="clear" w:color="auto" w:fill="FFFFFF"/>
            <w:vAlign w:val="center"/>
          </w:tcPr>
          <w:p>
            <w:pPr>
              <w:pStyle w:val="294"/>
            </w:pPr>
            <w:r>
              <w:t>60</w:t>
            </w:r>
          </w:p>
        </w:tc>
        <w:tc>
          <w:tcPr>
            <w:tcW w:w="1276" w:type="dxa"/>
            <w:shd w:val="clear" w:color="auto" w:fill="FFFFFF"/>
            <w:vAlign w:val="center"/>
          </w:tcPr>
          <w:p>
            <w:pPr>
              <w:pStyle w:val="294"/>
            </w:pPr>
            <w:r>
              <w:t>65</w:t>
            </w:r>
          </w:p>
        </w:tc>
        <w:tc>
          <w:tcPr>
            <w:tcW w:w="1134" w:type="dxa"/>
            <w:shd w:val="clear" w:color="auto" w:fill="FFFFFF"/>
            <w:vAlign w:val="center"/>
          </w:tcPr>
          <w:p>
            <w:pPr>
              <w:pStyle w:val="294"/>
            </w:pPr>
            <w:r>
              <w:t>5.7</w:t>
            </w:r>
          </w:p>
        </w:tc>
        <w:tc>
          <w:tcPr>
            <w:tcW w:w="992" w:type="dxa"/>
            <w:shd w:val="clear" w:color="auto" w:fill="FFFFFF"/>
            <w:vAlign w:val="center"/>
          </w:tcPr>
          <w:p>
            <w:pPr>
              <w:pStyle w:val="294"/>
            </w:pPr>
            <w:r>
              <w:t>18000</w:t>
            </w:r>
          </w:p>
        </w:tc>
        <w:tc>
          <w:tcPr>
            <w:tcW w:w="984" w:type="dxa"/>
            <w:shd w:val="clear" w:color="auto" w:fill="FFFFFF"/>
            <w:vAlign w:val="center"/>
          </w:tcPr>
          <w:p>
            <w:pPr>
              <w:pStyle w:val="294"/>
            </w:pPr>
            <w:r>
              <w:t>800</w:t>
            </w:r>
          </w:p>
        </w:tc>
        <w:tc>
          <w:tcPr>
            <w:tcW w:w="971" w:type="dxa"/>
            <w:shd w:val="clear" w:color="auto" w:fill="FFFFFF"/>
            <w:vAlign w:val="center"/>
          </w:tcPr>
          <w:p>
            <w:pPr>
              <w:pStyle w:val="294"/>
            </w:pPr>
            <w:r>
              <w:t>38</w:t>
            </w:r>
          </w:p>
        </w:tc>
        <w:tc>
          <w:tcPr>
            <w:tcW w:w="924" w:type="dxa"/>
            <w:shd w:val="clear" w:color="auto" w:fill="FFFFFF"/>
            <w:vAlign w:val="center"/>
          </w:tcPr>
          <w:p>
            <w:pPr>
              <w:pStyle w:val="294"/>
            </w:pPr>
            <w:r>
              <w:t>900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4"/>
            </w:pPr>
            <w:r>
              <w:t>污染物</w:t>
            </w:r>
          </w:p>
        </w:tc>
        <w:tc>
          <w:tcPr>
            <w:tcW w:w="992" w:type="dxa"/>
            <w:shd w:val="clear" w:color="auto" w:fill="FFFFFF"/>
            <w:vAlign w:val="center"/>
          </w:tcPr>
          <w:p>
            <w:pPr>
              <w:pStyle w:val="294"/>
            </w:pPr>
            <w:r>
              <w:t>四氯化碳</w:t>
            </w:r>
          </w:p>
        </w:tc>
        <w:tc>
          <w:tcPr>
            <w:tcW w:w="1276" w:type="dxa"/>
            <w:shd w:val="clear" w:color="auto" w:fill="FFFFFF"/>
            <w:vAlign w:val="center"/>
          </w:tcPr>
          <w:p>
            <w:pPr>
              <w:pStyle w:val="294"/>
            </w:pPr>
            <w:r>
              <w:t>氯仿</w:t>
            </w:r>
          </w:p>
        </w:tc>
        <w:tc>
          <w:tcPr>
            <w:tcW w:w="1134" w:type="dxa"/>
            <w:shd w:val="clear" w:color="auto" w:fill="FFFFFF"/>
            <w:vAlign w:val="center"/>
          </w:tcPr>
          <w:p>
            <w:pPr>
              <w:pStyle w:val="294"/>
            </w:pPr>
            <w:r>
              <w:t>氯甲烷</w:t>
            </w:r>
          </w:p>
        </w:tc>
        <w:tc>
          <w:tcPr>
            <w:tcW w:w="992" w:type="dxa"/>
            <w:shd w:val="clear" w:color="auto" w:fill="FFFFFF"/>
            <w:vAlign w:val="center"/>
          </w:tcPr>
          <w:p>
            <w:pPr>
              <w:pStyle w:val="294"/>
            </w:pPr>
            <w:r>
              <w:t>1,1-二氯乙烷</w:t>
            </w:r>
          </w:p>
        </w:tc>
        <w:tc>
          <w:tcPr>
            <w:tcW w:w="984" w:type="dxa"/>
            <w:shd w:val="clear" w:color="auto" w:fill="FFFFFF"/>
            <w:vAlign w:val="center"/>
          </w:tcPr>
          <w:p>
            <w:pPr>
              <w:pStyle w:val="294"/>
            </w:pPr>
            <w:r>
              <w:t>1,2-二氯乙烷</w:t>
            </w:r>
          </w:p>
        </w:tc>
        <w:tc>
          <w:tcPr>
            <w:tcW w:w="971" w:type="dxa"/>
            <w:shd w:val="clear" w:color="auto" w:fill="FFFFFF"/>
            <w:vAlign w:val="center"/>
          </w:tcPr>
          <w:p>
            <w:pPr>
              <w:pStyle w:val="294"/>
            </w:pPr>
            <w:r>
              <w:t>1,1-二氯乙烯</w:t>
            </w:r>
          </w:p>
        </w:tc>
        <w:tc>
          <w:tcPr>
            <w:tcW w:w="924" w:type="dxa"/>
            <w:shd w:val="clear" w:color="auto" w:fill="FFFFFF"/>
            <w:vAlign w:val="center"/>
          </w:tcPr>
          <w:p>
            <w:pPr>
              <w:pStyle w:val="294"/>
            </w:pPr>
            <w:r>
              <w:t>顺-1,1-二氯乙烯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4"/>
            </w:pPr>
            <w:r>
              <w:t>筛选值</w:t>
            </w:r>
          </w:p>
        </w:tc>
        <w:tc>
          <w:tcPr>
            <w:tcW w:w="992" w:type="dxa"/>
            <w:shd w:val="clear" w:color="auto" w:fill="FFFFFF"/>
            <w:vAlign w:val="center"/>
          </w:tcPr>
          <w:p>
            <w:pPr>
              <w:pStyle w:val="294"/>
            </w:pPr>
            <w:r>
              <w:t>2.8</w:t>
            </w:r>
          </w:p>
        </w:tc>
        <w:tc>
          <w:tcPr>
            <w:tcW w:w="1276" w:type="dxa"/>
            <w:shd w:val="clear" w:color="auto" w:fill="FFFFFF"/>
            <w:vAlign w:val="center"/>
          </w:tcPr>
          <w:p>
            <w:pPr>
              <w:pStyle w:val="294"/>
            </w:pPr>
            <w:r>
              <w:t>0.9</w:t>
            </w:r>
          </w:p>
        </w:tc>
        <w:tc>
          <w:tcPr>
            <w:tcW w:w="1134" w:type="dxa"/>
            <w:shd w:val="clear" w:color="auto" w:fill="FFFFFF"/>
            <w:vAlign w:val="center"/>
          </w:tcPr>
          <w:p>
            <w:pPr>
              <w:pStyle w:val="294"/>
            </w:pPr>
            <w:r>
              <w:t>37</w:t>
            </w:r>
          </w:p>
        </w:tc>
        <w:tc>
          <w:tcPr>
            <w:tcW w:w="992" w:type="dxa"/>
            <w:shd w:val="clear" w:color="auto" w:fill="FFFFFF"/>
            <w:vAlign w:val="center"/>
          </w:tcPr>
          <w:p>
            <w:pPr>
              <w:pStyle w:val="294"/>
            </w:pPr>
            <w:r>
              <w:t>9</w:t>
            </w:r>
          </w:p>
        </w:tc>
        <w:tc>
          <w:tcPr>
            <w:tcW w:w="984" w:type="dxa"/>
            <w:shd w:val="clear" w:color="auto" w:fill="FFFFFF"/>
            <w:vAlign w:val="center"/>
          </w:tcPr>
          <w:p>
            <w:pPr>
              <w:pStyle w:val="294"/>
            </w:pPr>
            <w:r>
              <w:t>5</w:t>
            </w:r>
          </w:p>
        </w:tc>
        <w:tc>
          <w:tcPr>
            <w:tcW w:w="971" w:type="dxa"/>
            <w:shd w:val="clear" w:color="auto" w:fill="FFFFFF"/>
            <w:vAlign w:val="center"/>
          </w:tcPr>
          <w:p>
            <w:pPr>
              <w:pStyle w:val="294"/>
            </w:pPr>
            <w:r>
              <w:t>66</w:t>
            </w:r>
          </w:p>
        </w:tc>
        <w:tc>
          <w:tcPr>
            <w:tcW w:w="924" w:type="dxa"/>
            <w:shd w:val="clear" w:color="auto" w:fill="FFFFFF"/>
            <w:vAlign w:val="center"/>
          </w:tcPr>
          <w:p>
            <w:pPr>
              <w:pStyle w:val="294"/>
            </w:pPr>
            <w:r>
              <w:t>596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4"/>
            </w:pPr>
            <w:r>
              <w:t>污染物</w:t>
            </w:r>
          </w:p>
        </w:tc>
        <w:tc>
          <w:tcPr>
            <w:tcW w:w="992" w:type="dxa"/>
            <w:shd w:val="clear" w:color="auto" w:fill="FFFFFF"/>
            <w:vAlign w:val="center"/>
          </w:tcPr>
          <w:p>
            <w:pPr>
              <w:pStyle w:val="294"/>
            </w:pPr>
            <w:r>
              <w:t>反-1,1-二氯乙烯</w:t>
            </w:r>
          </w:p>
        </w:tc>
        <w:tc>
          <w:tcPr>
            <w:tcW w:w="1276" w:type="dxa"/>
            <w:shd w:val="clear" w:color="auto" w:fill="FFFFFF"/>
            <w:vAlign w:val="center"/>
          </w:tcPr>
          <w:p>
            <w:pPr>
              <w:pStyle w:val="294"/>
            </w:pPr>
            <w:r>
              <w:t>二氯甲烷</w:t>
            </w:r>
          </w:p>
        </w:tc>
        <w:tc>
          <w:tcPr>
            <w:tcW w:w="1134" w:type="dxa"/>
            <w:shd w:val="clear" w:color="auto" w:fill="FFFFFF"/>
            <w:vAlign w:val="center"/>
          </w:tcPr>
          <w:p>
            <w:pPr>
              <w:pStyle w:val="294"/>
            </w:pPr>
            <w:r>
              <w:t>1,2-二氯丙烷</w:t>
            </w:r>
          </w:p>
        </w:tc>
        <w:tc>
          <w:tcPr>
            <w:tcW w:w="992" w:type="dxa"/>
            <w:shd w:val="clear" w:color="auto" w:fill="FFFFFF"/>
            <w:vAlign w:val="center"/>
          </w:tcPr>
          <w:p>
            <w:pPr>
              <w:pStyle w:val="294"/>
            </w:pPr>
            <w:r>
              <w:t>1,1，1,2-四氯乙烷</w:t>
            </w:r>
          </w:p>
        </w:tc>
        <w:tc>
          <w:tcPr>
            <w:tcW w:w="984" w:type="dxa"/>
            <w:shd w:val="clear" w:color="auto" w:fill="FFFFFF"/>
            <w:vAlign w:val="center"/>
          </w:tcPr>
          <w:p>
            <w:pPr>
              <w:pStyle w:val="294"/>
            </w:pPr>
            <w:r>
              <w:t>1,1，2,2-四氯乙烷</w:t>
            </w:r>
          </w:p>
        </w:tc>
        <w:tc>
          <w:tcPr>
            <w:tcW w:w="971" w:type="dxa"/>
            <w:shd w:val="clear" w:color="auto" w:fill="FFFFFF"/>
            <w:vAlign w:val="center"/>
          </w:tcPr>
          <w:p>
            <w:pPr>
              <w:pStyle w:val="294"/>
            </w:pPr>
            <w:r>
              <w:t>四氯乙烯</w:t>
            </w:r>
          </w:p>
        </w:tc>
        <w:tc>
          <w:tcPr>
            <w:tcW w:w="924" w:type="dxa"/>
            <w:shd w:val="clear" w:color="auto" w:fill="FFFFFF"/>
            <w:vAlign w:val="center"/>
          </w:tcPr>
          <w:p>
            <w:pPr>
              <w:pStyle w:val="294"/>
            </w:pPr>
            <w:r>
              <w:t>1,1,1-三氯乙烷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4"/>
            </w:pPr>
            <w:r>
              <w:t>筛选值</w:t>
            </w:r>
          </w:p>
        </w:tc>
        <w:tc>
          <w:tcPr>
            <w:tcW w:w="992" w:type="dxa"/>
            <w:shd w:val="clear" w:color="auto" w:fill="FFFFFF"/>
            <w:vAlign w:val="center"/>
          </w:tcPr>
          <w:p>
            <w:pPr>
              <w:pStyle w:val="294"/>
            </w:pPr>
            <w:r>
              <w:t>54</w:t>
            </w:r>
          </w:p>
        </w:tc>
        <w:tc>
          <w:tcPr>
            <w:tcW w:w="1276" w:type="dxa"/>
            <w:shd w:val="clear" w:color="auto" w:fill="FFFFFF"/>
            <w:vAlign w:val="center"/>
          </w:tcPr>
          <w:p>
            <w:pPr>
              <w:pStyle w:val="294"/>
            </w:pPr>
            <w:r>
              <w:t>616</w:t>
            </w:r>
          </w:p>
        </w:tc>
        <w:tc>
          <w:tcPr>
            <w:tcW w:w="1134" w:type="dxa"/>
            <w:shd w:val="clear" w:color="auto" w:fill="FFFFFF"/>
            <w:vAlign w:val="center"/>
          </w:tcPr>
          <w:p>
            <w:pPr>
              <w:pStyle w:val="294"/>
            </w:pPr>
            <w:r>
              <w:t>5</w:t>
            </w:r>
          </w:p>
        </w:tc>
        <w:tc>
          <w:tcPr>
            <w:tcW w:w="992" w:type="dxa"/>
            <w:shd w:val="clear" w:color="auto" w:fill="FFFFFF"/>
            <w:vAlign w:val="center"/>
          </w:tcPr>
          <w:p>
            <w:pPr>
              <w:pStyle w:val="294"/>
            </w:pPr>
            <w:r>
              <w:t>10</w:t>
            </w:r>
          </w:p>
        </w:tc>
        <w:tc>
          <w:tcPr>
            <w:tcW w:w="984" w:type="dxa"/>
            <w:shd w:val="clear" w:color="auto" w:fill="FFFFFF"/>
            <w:vAlign w:val="center"/>
          </w:tcPr>
          <w:p>
            <w:pPr>
              <w:pStyle w:val="294"/>
            </w:pPr>
            <w:r>
              <w:t>6.8</w:t>
            </w:r>
          </w:p>
        </w:tc>
        <w:tc>
          <w:tcPr>
            <w:tcW w:w="971" w:type="dxa"/>
            <w:shd w:val="clear" w:color="auto" w:fill="FFFFFF"/>
            <w:vAlign w:val="center"/>
          </w:tcPr>
          <w:p>
            <w:pPr>
              <w:pStyle w:val="294"/>
            </w:pPr>
            <w:r>
              <w:t>53</w:t>
            </w:r>
          </w:p>
        </w:tc>
        <w:tc>
          <w:tcPr>
            <w:tcW w:w="924" w:type="dxa"/>
            <w:shd w:val="clear" w:color="auto" w:fill="FFFFFF"/>
            <w:vAlign w:val="center"/>
          </w:tcPr>
          <w:p>
            <w:pPr>
              <w:pStyle w:val="294"/>
            </w:pPr>
            <w:r>
              <w:t>840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4"/>
            </w:pPr>
            <w:r>
              <w:t>污染物</w:t>
            </w:r>
          </w:p>
        </w:tc>
        <w:tc>
          <w:tcPr>
            <w:tcW w:w="992" w:type="dxa"/>
            <w:shd w:val="clear" w:color="auto" w:fill="FFFFFF"/>
            <w:vAlign w:val="center"/>
          </w:tcPr>
          <w:p>
            <w:pPr>
              <w:pStyle w:val="294"/>
            </w:pPr>
            <w:r>
              <w:t>1,1,2-三氯乙烷</w:t>
            </w:r>
          </w:p>
        </w:tc>
        <w:tc>
          <w:tcPr>
            <w:tcW w:w="1276" w:type="dxa"/>
            <w:shd w:val="clear" w:color="auto" w:fill="FFFFFF"/>
            <w:vAlign w:val="center"/>
          </w:tcPr>
          <w:p>
            <w:pPr>
              <w:pStyle w:val="294"/>
            </w:pPr>
            <w:r>
              <w:t>三氯乙烯</w:t>
            </w:r>
          </w:p>
        </w:tc>
        <w:tc>
          <w:tcPr>
            <w:tcW w:w="1134" w:type="dxa"/>
            <w:shd w:val="clear" w:color="auto" w:fill="FFFFFF"/>
            <w:vAlign w:val="center"/>
          </w:tcPr>
          <w:p>
            <w:pPr>
              <w:pStyle w:val="294"/>
            </w:pPr>
            <w:r>
              <w:t>1,2,3-三氯乙丙烷</w:t>
            </w:r>
          </w:p>
        </w:tc>
        <w:tc>
          <w:tcPr>
            <w:tcW w:w="992" w:type="dxa"/>
            <w:shd w:val="clear" w:color="auto" w:fill="FFFFFF"/>
            <w:vAlign w:val="center"/>
          </w:tcPr>
          <w:p>
            <w:pPr>
              <w:pStyle w:val="294"/>
            </w:pPr>
            <w:r>
              <w:t>氯乙烯</w:t>
            </w:r>
          </w:p>
        </w:tc>
        <w:tc>
          <w:tcPr>
            <w:tcW w:w="984" w:type="dxa"/>
            <w:shd w:val="clear" w:color="auto" w:fill="FFFFFF"/>
            <w:vAlign w:val="center"/>
          </w:tcPr>
          <w:p>
            <w:pPr>
              <w:pStyle w:val="294"/>
            </w:pPr>
            <w:r>
              <w:t>苯</w:t>
            </w:r>
          </w:p>
        </w:tc>
        <w:tc>
          <w:tcPr>
            <w:tcW w:w="971" w:type="dxa"/>
            <w:shd w:val="clear" w:color="auto" w:fill="FFFFFF"/>
            <w:vAlign w:val="center"/>
          </w:tcPr>
          <w:p>
            <w:pPr>
              <w:pStyle w:val="294"/>
            </w:pPr>
            <w:r>
              <w:t>氯苯</w:t>
            </w:r>
          </w:p>
        </w:tc>
        <w:tc>
          <w:tcPr>
            <w:tcW w:w="924" w:type="dxa"/>
            <w:shd w:val="clear" w:color="auto" w:fill="FFFFFF"/>
            <w:vAlign w:val="center"/>
          </w:tcPr>
          <w:p>
            <w:pPr>
              <w:pStyle w:val="294"/>
            </w:pPr>
            <w:r>
              <w:t>1,2-二氯苯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4"/>
            </w:pPr>
            <w:r>
              <w:t>筛选值</w:t>
            </w:r>
          </w:p>
        </w:tc>
        <w:tc>
          <w:tcPr>
            <w:tcW w:w="992" w:type="dxa"/>
            <w:shd w:val="clear" w:color="auto" w:fill="FFFFFF"/>
            <w:vAlign w:val="center"/>
          </w:tcPr>
          <w:p>
            <w:pPr>
              <w:pStyle w:val="294"/>
            </w:pPr>
            <w:r>
              <w:t>2.8</w:t>
            </w:r>
          </w:p>
        </w:tc>
        <w:tc>
          <w:tcPr>
            <w:tcW w:w="1276" w:type="dxa"/>
            <w:shd w:val="clear" w:color="auto" w:fill="FFFFFF"/>
            <w:vAlign w:val="center"/>
          </w:tcPr>
          <w:p>
            <w:pPr>
              <w:pStyle w:val="294"/>
            </w:pPr>
            <w:r>
              <w:t>2.8</w:t>
            </w:r>
          </w:p>
        </w:tc>
        <w:tc>
          <w:tcPr>
            <w:tcW w:w="1134" w:type="dxa"/>
            <w:shd w:val="clear" w:color="auto" w:fill="FFFFFF"/>
            <w:vAlign w:val="center"/>
          </w:tcPr>
          <w:p>
            <w:pPr>
              <w:pStyle w:val="294"/>
            </w:pPr>
            <w:r>
              <w:t>0.5</w:t>
            </w:r>
          </w:p>
        </w:tc>
        <w:tc>
          <w:tcPr>
            <w:tcW w:w="992" w:type="dxa"/>
            <w:shd w:val="clear" w:color="auto" w:fill="FFFFFF"/>
            <w:vAlign w:val="center"/>
          </w:tcPr>
          <w:p>
            <w:pPr>
              <w:pStyle w:val="294"/>
            </w:pPr>
            <w:r>
              <w:t>0.43</w:t>
            </w:r>
          </w:p>
        </w:tc>
        <w:tc>
          <w:tcPr>
            <w:tcW w:w="984" w:type="dxa"/>
            <w:shd w:val="clear" w:color="auto" w:fill="FFFFFF"/>
            <w:vAlign w:val="center"/>
          </w:tcPr>
          <w:p>
            <w:pPr>
              <w:pStyle w:val="294"/>
            </w:pPr>
            <w:r>
              <w:t>4</w:t>
            </w:r>
          </w:p>
        </w:tc>
        <w:tc>
          <w:tcPr>
            <w:tcW w:w="971" w:type="dxa"/>
            <w:shd w:val="clear" w:color="auto" w:fill="FFFFFF"/>
            <w:vAlign w:val="center"/>
          </w:tcPr>
          <w:p>
            <w:pPr>
              <w:pStyle w:val="294"/>
            </w:pPr>
            <w:r>
              <w:t>270</w:t>
            </w:r>
          </w:p>
        </w:tc>
        <w:tc>
          <w:tcPr>
            <w:tcW w:w="924" w:type="dxa"/>
            <w:shd w:val="clear" w:color="auto" w:fill="FFFFFF"/>
            <w:vAlign w:val="center"/>
          </w:tcPr>
          <w:p>
            <w:pPr>
              <w:pStyle w:val="294"/>
            </w:pPr>
            <w:r>
              <w:t>560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4"/>
            </w:pPr>
            <w:r>
              <w:t>污染物</w:t>
            </w:r>
          </w:p>
        </w:tc>
        <w:tc>
          <w:tcPr>
            <w:tcW w:w="992" w:type="dxa"/>
            <w:shd w:val="clear" w:color="auto" w:fill="FFFFFF"/>
            <w:vAlign w:val="center"/>
          </w:tcPr>
          <w:p>
            <w:pPr>
              <w:pStyle w:val="294"/>
            </w:pPr>
            <w:r>
              <w:t>1,4-二氯苯</w:t>
            </w:r>
          </w:p>
        </w:tc>
        <w:tc>
          <w:tcPr>
            <w:tcW w:w="1276" w:type="dxa"/>
            <w:shd w:val="clear" w:color="auto" w:fill="FFFFFF"/>
            <w:vAlign w:val="center"/>
          </w:tcPr>
          <w:p>
            <w:pPr>
              <w:pStyle w:val="294"/>
            </w:pPr>
            <w:r>
              <w:t>乙苯</w:t>
            </w:r>
          </w:p>
        </w:tc>
        <w:tc>
          <w:tcPr>
            <w:tcW w:w="1134" w:type="dxa"/>
            <w:shd w:val="clear" w:color="auto" w:fill="FFFFFF"/>
            <w:vAlign w:val="center"/>
          </w:tcPr>
          <w:p>
            <w:pPr>
              <w:pStyle w:val="294"/>
            </w:pPr>
            <w:r>
              <w:t>苯乙烯</w:t>
            </w:r>
          </w:p>
        </w:tc>
        <w:tc>
          <w:tcPr>
            <w:tcW w:w="992" w:type="dxa"/>
            <w:shd w:val="clear" w:color="auto" w:fill="FFFFFF"/>
            <w:vAlign w:val="center"/>
          </w:tcPr>
          <w:p>
            <w:pPr>
              <w:pStyle w:val="294"/>
            </w:pPr>
            <w:r>
              <w:t>甲苯</w:t>
            </w:r>
          </w:p>
        </w:tc>
        <w:tc>
          <w:tcPr>
            <w:tcW w:w="1955" w:type="dxa"/>
            <w:gridSpan w:val="2"/>
            <w:shd w:val="clear" w:color="auto" w:fill="FFFFFF"/>
            <w:vAlign w:val="center"/>
          </w:tcPr>
          <w:p>
            <w:pPr>
              <w:pStyle w:val="294"/>
            </w:pPr>
            <w:r>
              <w:t>间二甲苯+对二甲苯</w:t>
            </w:r>
          </w:p>
        </w:tc>
        <w:tc>
          <w:tcPr>
            <w:tcW w:w="924" w:type="dxa"/>
            <w:shd w:val="clear" w:color="auto" w:fill="FFFFFF"/>
            <w:vAlign w:val="center"/>
          </w:tcPr>
          <w:p>
            <w:pPr>
              <w:pStyle w:val="294"/>
            </w:pPr>
            <w:r>
              <w:t>邻二甲苯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4"/>
            </w:pPr>
            <w:r>
              <w:t>筛选值</w:t>
            </w:r>
          </w:p>
        </w:tc>
        <w:tc>
          <w:tcPr>
            <w:tcW w:w="992" w:type="dxa"/>
            <w:shd w:val="clear" w:color="auto" w:fill="FFFFFF"/>
            <w:vAlign w:val="center"/>
          </w:tcPr>
          <w:p>
            <w:pPr>
              <w:pStyle w:val="294"/>
            </w:pPr>
            <w:r>
              <w:t>20</w:t>
            </w:r>
          </w:p>
        </w:tc>
        <w:tc>
          <w:tcPr>
            <w:tcW w:w="1276" w:type="dxa"/>
            <w:shd w:val="clear" w:color="auto" w:fill="FFFFFF"/>
            <w:vAlign w:val="center"/>
          </w:tcPr>
          <w:p>
            <w:pPr>
              <w:pStyle w:val="294"/>
            </w:pPr>
            <w:r>
              <w:t>28</w:t>
            </w:r>
          </w:p>
        </w:tc>
        <w:tc>
          <w:tcPr>
            <w:tcW w:w="1134" w:type="dxa"/>
            <w:shd w:val="clear" w:color="auto" w:fill="FFFFFF"/>
            <w:vAlign w:val="center"/>
          </w:tcPr>
          <w:p>
            <w:pPr>
              <w:pStyle w:val="294"/>
            </w:pPr>
            <w:r>
              <w:t>1290</w:t>
            </w:r>
          </w:p>
        </w:tc>
        <w:tc>
          <w:tcPr>
            <w:tcW w:w="992" w:type="dxa"/>
            <w:shd w:val="clear" w:color="auto" w:fill="FFFFFF"/>
            <w:vAlign w:val="center"/>
          </w:tcPr>
          <w:p>
            <w:pPr>
              <w:pStyle w:val="294"/>
            </w:pPr>
            <w:r>
              <w:t>1200</w:t>
            </w:r>
          </w:p>
        </w:tc>
        <w:tc>
          <w:tcPr>
            <w:tcW w:w="1955" w:type="dxa"/>
            <w:gridSpan w:val="2"/>
            <w:shd w:val="clear" w:color="auto" w:fill="FFFFFF"/>
            <w:vAlign w:val="center"/>
          </w:tcPr>
          <w:p>
            <w:pPr>
              <w:pStyle w:val="294"/>
            </w:pPr>
            <w:r>
              <w:t>570</w:t>
            </w:r>
          </w:p>
        </w:tc>
        <w:tc>
          <w:tcPr>
            <w:tcW w:w="924" w:type="dxa"/>
            <w:shd w:val="clear" w:color="auto" w:fill="FFFFFF"/>
            <w:vAlign w:val="center"/>
          </w:tcPr>
          <w:p>
            <w:pPr>
              <w:pStyle w:val="294"/>
            </w:pPr>
            <w:r>
              <w:t>640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4"/>
            </w:pPr>
            <w:r>
              <w:t>污染物</w:t>
            </w:r>
          </w:p>
        </w:tc>
        <w:tc>
          <w:tcPr>
            <w:tcW w:w="992" w:type="dxa"/>
            <w:shd w:val="clear" w:color="auto" w:fill="FFFFFF"/>
            <w:vAlign w:val="center"/>
          </w:tcPr>
          <w:p>
            <w:pPr>
              <w:pStyle w:val="294"/>
            </w:pPr>
            <w:r>
              <w:t>硝基苯</w:t>
            </w:r>
          </w:p>
        </w:tc>
        <w:tc>
          <w:tcPr>
            <w:tcW w:w="1276" w:type="dxa"/>
            <w:shd w:val="clear" w:color="auto" w:fill="FFFFFF"/>
            <w:vAlign w:val="center"/>
          </w:tcPr>
          <w:p>
            <w:pPr>
              <w:pStyle w:val="294"/>
            </w:pPr>
            <w:r>
              <w:t>苯胺</w:t>
            </w:r>
          </w:p>
        </w:tc>
        <w:tc>
          <w:tcPr>
            <w:tcW w:w="1134" w:type="dxa"/>
            <w:shd w:val="clear" w:color="auto" w:fill="FFFFFF"/>
            <w:vAlign w:val="center"/>
          </w:tcPr>
          <w:p>
            <w:pPr>
              <w:pStyle w:val="294"/>
            </w:pPr>
            <w:r>
              <w:t>2-氯酚</w:t>
            </w:r>
          </w:p>
        </w:tc>
        <w:tc>
          <w:tcPr>
            <w:tcW w:w="992" w:type="dxa"/>
            <w:shd w:val="clear" w:color="auto" w:fill="FFFFFF"/>
            <w:vAlign w:val="center"/>
          </w:tcPr>
          <w:p>
            <w:pPr>
              <w:pStyle w:val="294"/>
            </w:pPr>
            <w:r>
              <w:t>苯并〔a〕蒽</w:t>
            </w:r>
          </w:p>
        </w:tc>
        <w:tc>
          <w:tcPr>
            <w:tcW w:w="984" w:type="dxa"/>
            <w:shd w:val="clear" w:color="auto" w:fill="FFFFFF"/>
            <w:vAlign w:val="center"/>
          </w:tcPr>
          <w:p>
            <w:pPr>
              <w:pStyle w:val="294"/>
            </w:pPr>
            <w:r>
              <w:t>苯并〔a〕芘</w:t>
            </w:r>
          </w:p>
        </w:tc>
        <w:tc>
          <w:tcPr>
            <w:tcW w:w="971" w:type="dxa"/>
            <w:shd w:val="clear" w:color="auto" w:fill="FFFFFF"/>
            <w:vAlign w:val="center"/>
          </w:tcPr>
          <w:p>
            <w:pPr>
              <w:pStyle w:val="294"/>
            </w:pPr>
            <w:r>
              <w:t>苯并〔b〕荧蒽</w:t>
            </w:r>
          </w:p>
        </w:tc>
        <w:tc>
          <w:tcPr>
            <w:tcW w:w="924" w:type="dxa"/>
            <w:shd w:val="clear" w:color="auto" w:fill="FFFFFF"/>
            <w:vAlign w:val="center"/>
          </w:tcPr>
          <w:p>
            <w:pPr>
              <w:pStyle w:val="294"/>
            </w:pPr>
            <w:r>
              <w:t>苯并〔k〕荧蒽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4"/>
            </w:pPr>
            <w:r>
              <w:t>筛选值</w:t>
            </w:r>
          </w:p>
        </w:tc>
        <w:tc>
          <w:tcPr>
            <w:tcW w:w="992" w:type="dxa"/>
            <w:shd w:val="clear" w:color="auto" w:fill="FFFFFF"/>
            <w:vAlign w:val="center"/>
          </w:tcPr>
          <w:p>
            <w:pPr>
              <w:pStyle w:val="294"/>
            </w:pPr>
            <w:r>
              <w:t>76</w:t>
            </w:r>
          </w:p>
        </w:tc>
        <w:tc>
          <w:tcPr>
            <w:tcW w:w="1276" w:type="dxa"/>
            <w:shd w:val="clear" w:color="auto" w:fill="FFFFFF"/>
            <w:vAlign w:val="center"/>
          </w:tcPr>
          <w:p>
            <w:pPr>
              <w:pStyle w:val="294"/>
            </w:pPr>
            <w:r>
              <w:t>260</w:t>
            </w:r>
          </w:p>
        </w:tc>
        <w:tc>
          <w:tcPr>
            <w:tcW w:w="1134" w:type="dxa"/>
            <w:shd w:val="clear" w:color="auto" w:fill="FFFFFF"/>
            <w:vAlign w:val="center"/>
          </w:tcPr>
          <w:p>
            <w:pPr>
              <w:pStyle w:val="294"/>
            </w:pPr>
            <w:r>
              <w:t>2256</w:t>
            </w:r>
          </w:p>
        </w:tc>
        <w:tc>
          <w:tcPr>
            <w:tcW w:w="992" w:type="dxa"/>
            <w:shd w:val="clear" w:color="auto" w:fill="FFFFFF"/>
            <w:vAlign w:val="center"/>
          </w:tcPr>
          <w:p>
            <w:pPr>
              <w:pStyle w:val="294"/>
            </w:pPr>
            <w:r>
              <w:t>15</w:t>
            </w:r>
          </w:p>
        </w:tc>
        <w:tc>
          <w:tcPr>
            <w:tcW w:w="984" w:type="dxa"/>
            <w:shd w:val="clear" w:color="auto" w:fill="FFFFFF"/>
            <w:vAlign w:val="center"/>
          </w:tcPr>
          <w:p>
            <w:pPr>
              <w:pStyle w:val="294"/>
            </w:pPr>
            <w:r>
              <w:t>1.5</w:t>
            </w:r>
          </w:p>
        </w:tc>
        <w:tc>
          <w:tcPr>
            <w:tcW w:w="971" w:type="dxa"/>
            <w:shd w:val="clear" w:color="auto" w:fill="FFFFFF"/>
            <w:vAlign w:val="center"/>
          </w:tcPr>
          <w:p>
            <w:pPr>
              <w:pStyle w:val="294"/>
            </w:pPr>
            <w:r>
              <w:t>15</w:t>
            </w:r>
          </w:p>
        </w:tc>
        <w:tc>
          <w:tcPr>
            <w:tcW w:w="924" w:type="dxa"/>
            <w:shd w:val="clear" w:color="auto" w:fill="FFFFFF"/>
            <w:vAlign w:val="center"/>
          </w:tcPr>
          <w:p>
            <w:pPr>
              <w:pStyle w:val="294"/>
            </w:pPr>
            <w:r>
              <w:t>151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4"/>
            </w:pPr>
            <w:r>
              <w:t>污染物</w:t>
            </w:r>
          </w:p>
        </w:tc>
        <w:tc>
          <w:tcPr>
            <w:tcW w:w="992" w:type="dxa"/>
            <w:shd w:val="clear" w:color="auto" w:fill="FFFFFF"/>
            <w:vAlign w:val="center"/>
          </w:tcPr>
          <w:p>
            <w:pPr>
              <w:pStyle w:val="294"/>
            </w:pPr>
            <w:r>
              <w:t>䓛</w:t>
            </w:r>
          </w:p>
        </w:tc>
        <w:tc>
          <w:tcPr>
            <w:tcW w:w="1276" w:type="dxa"/>
            <w:shd w:val="clear" w:color="auto" w:fill="FFFFFF"/>
            <w:vAlign w:val="center"/>
          </w:tcPr>
          <w:p>
            <w:pPr>
              <w:pStyle w:val="294"/>
            </w:pPr>
            <w:r>
              <w:t>二苯并〔a,h〕蒽</w:t>
            </w:r>
          </w:p>
        </w:tc>
        <w:tc>
          <w:tcPr>
            <w:tcW w:w="2126" w:type="dxa"/>
            <w:gridSpan w:val="2"/>
            <w:shd w:val="clear" w:color="auto" w:fill="FFFFFF"/>
            <w:vAlign w:val="center"/>
          </w:tcPr>
          <w:p>
            <w:pPr>
              <w:pStyle w:val="294"/>
            </w:pPr>
            <w:r>
              <w:t>茆并〔1,2,3-cd〕芘</w:t>
            </w:r>
          </w:p>
        </w:tc>
        <w:tc>
          <w:tcPr>
            <w:tcW w:w="984" w:type="dxa"/>
            <w:shd w:val="clear" w:color="auto" w:fill="FFFFFF"/>
            <w:vAlign w:val="center"/>
          </w:tcPr>
          <w:p>
            <w:pPr>
              <w:pStyle w:val="294"/>
            </w:pPr>
            <w:r>
              <w:t>萘</w:t>
            </w:r>
          </w:p>
        </w:tc>
        <w:tc>
          <w:tcPr>
            <w:tcW w:w="1895" w:type="dxa"/>
            <w:gridSpan w:val="2"/>
            <w:shd w:val="clear" w:color="auto" w:fill="FFFFFF"/>
            <w:vAlign w:val="center"/>
          </w:tcPr>
          <w:p>
            <w:pPr>
              <w:pStyle w:val="294"/>
            </w:pPr>
            <w:r>
              <w:t>石油烃（C</w:t>
            </w:r>
            <w:r>
              <w:rPr>
                <w:vertAlign w:val="subscript"/>
              </w:rPr>
              <w:t>10</w:t>
            </w:r>
            <w:r>
              <w:t>~C</w:t>
            </w:r>
            <w:r>
              <w:rPr>
                <w:vertAlign w:val="subscript"/>
              </w:rPr>
              <w:t>40</w:t>
            </w: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4"/>
            </w:pPr>
            <w:r>
              <w:t>筛选值</w:t>
            </w:r>
          </w:p>
        </w:tc>
        <w:tc>
          <w:tcPr>
            <w:tcW w:w="992" w:type="dxa"/>
            <w:shd w:val="clear" w:color="auto" w:fill="FFFFFF"/>
            <w:vAlign w:val="center"/>
          </w:tcPr>
          <w:p>
            <w:pPr>
              <w:pStyle w:val="294"/>
            </w:pPr>
            <w:r>
              <w:t>1293</w:t>
            </w:r>
          </w:p>
        </w:tc>
        <w:tc>
          <w:tcPr>
            <w:tcW w:w="1276" w:type="dxa"/>
            <w:shd w:val="clear" w:color="auto" w:fill="FFFFFF"/>
            <w:vAlign w:val="center"/>
          </w:tcPr>
          <w:p>
            <w:pPr>
              <w:pStyle w:val="294"/>
            </w:pPr>
            <w:r>
              <w:t>1.5</w:t>
            </w:r>
          </w:p>
        </w:tc>
        <w:tc>
          <w:tcPr>
            <w:tcW w:w="2126" w:type="dxa"/>
            <w:gridSpan w:val="2"/>
            <w:shd w:val="clear" w:color="auto" w:fill="FFFFFF"/>
            <w:vAlign w:val="center"/>
          </w:tcPr>
          <w:p>
            <w:pPr>
              <w:pStyle w:val="294"/>
            </w:pPr>
            <w:r>
              <w:t>15</w:t>
            </w:r>
          </w:p>
        </w:tc>
        <w:tc>
          <w:tcPr>
            <w:tcW w:w="984" w:type="dxa"/>
            <w:shd w:val="clear" w:color="auto" w:fill="FFFFFF"/>
            <w:vAlign w:val="center"/>
          </w:tcPr>
          <w:p>
            <w:pPr>
              <w:pStyle w:val="294"/>
            </w:pPr>
            <w:r>
              <w:t>70</w:t>
            </w:r>
          </w:p>
        </w:tc>
        <w:tc>
          <w:tcPr>
            <w:tcW w:w="1895" w:type="dxa"/>
            <w:gridSpan w:val="2"/>
            <w:shd w:val="clear" w:color="auto" w:fill="FFFFFF"/>
            <w:vAlign w:val="center"/>
          </w:tcPr>
          <w:p>
            <w:pPr>
              <w:pStyle w:val="294"/>
            </w:pPr>
            <w:r>
              <w:t>4500</w:t>
            </w:r>
          </w:p>
        </w:tc>
      </w:tr>
    </w:tbl>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农用地（其他）土壤环境质量筛选值   单位：mg/kg</w:t>
      </w:r>
    </w:p>
    <w:tbl>
      <w:tblPr>
        <w:tblStyle w:val="52"/>
        <w:tblW w:w="82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909"/>
        <w:gridCol w:w="914"/>
        <w:gridCol w:w="914"/>
        <w:gridCol w:w="914"/>
        <w:gridCol w:w="914"/>
        <w:gridCol w:w="914"/>
        <w:gridCol w:w="914"/>
        <w:gridCol w:w="914"/>
        <w:gridCol w:w="9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jc w:val="center"/>
        </w:trPr>
        <w:tc>
          <w:tcPr>
            <w:tcW w:w="909" w:type="dxa"/>
            <w:vMerge w:val="restart"/>
            <w:shd w:val="clear" w:color="auto" w:fill="FFFFFF"/>
            <w:vAlign w:val="center"/>
          </w:tcPr>
          <w:p>
            <w:pPr>
              <w:pStyle w:val="294"/>
            </w:pPr>
            <w:r>
              <w:t>污染物</w:t>
            </w:r>
          </w:p>
        </w:tc>
        <w:tc>
          <w:tcPr>
            <w:tcW w:w="7313" w:type="dxa"/>
            <w:gridSpan w:val="8"/>
            <w:shd w:val="clear" w:color="auto" w:fill="FFFFFF"/>
            <w:vAlign w:val="center"/>
          </w:tcPr>
          <w:p>
            <w:pPr>
              <w:pStyle w:val="294"/>
            </w:pPr>
            <w:r>
              <w:t>风险筛选值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shd w:val="clear" w:color="auto" w:fill="FFFFFF"/>
            <w:vAlign w:val="center"/>
          </w:tcPr>
          <w:p>
            <w:pPr>
              <w:pStyle w:val="294"/>
            </w:pPr>
          </w:p>
        </w:tc>
        <w:tc>
          <w:tcPr>
            <w:tcW w:w="1828" w:type="dxa"/>
            <w:gridSpan w:val="2"/>
            <w:shd w:val="clear" w:color="auto" w:fill="FFFFFF"/>
            <w:vAlign w:val="center"/>
          </w:tcPr>
          <w:p>
            <w:pPr>
              <w:pStyle w:val="294"/>
            </w:pPr>
            <w:r>
              <w:t>pH≤5.5</w:t>
            </w:r>
          </w:p>
        </w:tc>
        <w:tc>
          <w:tcPr>
            <w:tcW w:w="1828" w:type="dxa"/>
            <w:gridSpan w:val="2"/>
            <w:shd w:val="clear" w:color="auto" w:fill="FFFFFF"/>
            <w:vAlign w:val="center"/>
          </w:tcPr>
          <w:p>
            <w:pPr>
              <w:pStyle w:val="294"/>
            </w:pPr>
            <w:r>
              <w:t>5.5＜pH≤6.5</w:t>
            </w:r>
          </w:p>
        </w:tc>
        <w:tc>
          <w:tcPr>
            <w:tcW w:w="1828" w:type="dxa"/>
            <w:gridSpan w:val="2"/>
            <w:shd w:val="clear" w:color="auto" w:fill="FFFFFF"/>
            <w:vAlign w:val="center"/>
          </w:tcPr>
          <w:p>
            <w:pPr>
              <w:pStyle w:val="294"/>
            </w:pPr>
            <w:r>
              <w:t>6.5＜pH≤7.5</w:t>
            </w:r>
          </w:p>
        </w:tc>
        <w:tc>
          <w:tcPr>
            <w:tcW w:w="1829" w:type="dxa"/>
            <w:gridSpan w:val="2"/>
            <w:shd w:val="clear" w:color="auto" w:fill="FFFFFF"/>
            <w:vAlign w:val="center"/>
          </w:tcPr>
          <w:p>
            <w:pPr>
              <w:pStyle w:val="294"/>
            </w:pPr>
            <w:r>
              <w:t>pH＞7.5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shd w:val="clear" w:color="auto" w:fill="FFFFFF"/>
            <w:vAlign w:val="center"/>
          </w:tcPr>
          <w:p>
            <w:pPr>
              <w:pStyle w:val="294"/>
            </w:pPr>
          </w:p>
        </w:tc>
        <w:tc>
          <w:tcPr>
            <w:tcW w:w="914" w:type="dxa"/>
            <w:shd w:val="clear" w:color="auto" w:fill="FFFFFF"/>
            <w:vAlign w:val="center"/>
          </w:tcPr>
          <w:p>
            <w:pPr>
              <w:pStyle w:val="294"/>
            </w:pPr>
            <w:r>
              <w:t>水田</w:t>
            </w:r>
          </w:p>
        </w:tc>
        <w:tc>
          <w:tcPr>
            <w:tcW w:w="914" w:type="dxa"/>
            <w:shd w:val="clear" w:color="auto" w:fill="FFFFFF"/>
            <w:vAlign w:val="center"/>
          </w:tcPr>
          <w:p>
            <w:pPr>
              <w:pStyle w:val="294"/>
            </w:pPr>
            <w:r>
              <w:t>其他</w:t>
            </w:r>
          </w:p>
        </w:tc>
        <w:tc>
          <w:tcPr>
            <w:tcW w:w="914" w:type="dxa"/>
            <w:shd w:val="clear" w:color="auto" w:fill="FFFFFF"/>
            <w:vAlign w:val="center"/>
          </w:tcPr>
          <w:p>
            <w:pPr>
              <w:pStyle w:val="294"/>
            </w:pPr>
            <w:r>
              <w:t>水田</w:t>
            </w:r>
          </w:p>
        </w:tc>
        <w:tc>
          <w:tcPr>
            <w:tcW w:w="914" w:type="dxa"/>
            <w:shd w:val="clear" w:color="auto" w:fill="FFFFFF"/>
            <w:vAlign w:val="center"/>
          </w:tcPr>
          <w:p>
            <w:pPr>
              <w:pStyle w:val="294"/>
            </w:pPr>
            <w:r>
              <w:t>其他</w:t>
            </w:r>
          </w:p>
        </w:tc>
        <w:tc>
          <w:tcPr>
            <w:tcW w:w="914" w:type="dxa"/>
            <w:shd w:val="clear" w:color="auto" w:fill="FFFFFF"/>
            <w:vAlign w:val="center"/>
          </w:tcPr>
          <w:p>
            <w:pPr>
              <w:pStyle w:val="294"/>
            </w:pPr>
            <w:r>
              <w:t>水田</w:t>
            </w:r>
          </w:p>
        </w:tc>
        <w:tc>
          <w:tcPr>
            <w:tcW w:w="914" w:type="dxa"/>
            <w:shd w:val="clear" w:color="auto" w:fill="FFFFFF"/>
            <w:vAlign w:val="center"/>
          </w:tcPr>
          <w:p>
            <w:pPr>
              <w:pStyle w:val="294"/>
            </w:pPr>
            <w:r>
              <w:t>其他</w:t>
            </w:r>
          </w:p>
        </w:tc>
        <w:tc>
          <w:tcPr>
            <w:tcW w:w="914" w:type="dxa"/>
            <w:shd w:val="clear" w:color="auto" w:fill="FFFFFF"/>
            <w:vAlign w:val="center"/>
          </w:tcPr>
          <w:p>
            <w:pPr>
              <w:pStyle w:val="294"/>
            </w:pPr>
            <w:r>
              <w:t>水田</w:t>
            </w:r>
          </w:p>
        </w:tc>
        <w:tc>
          <w:tcPr>
            <w:tcW w:w="915" w:type="dxa"/>
            <w:shd w:val="clear" w:color="auto" w:fill="FFFFFF"/>
            <w:vAlign w:val="center"/>
          </w:tcPr>
          <w:p>
            <w:pPr>
              <w:pStyle w:val="294"/>
            </w:pPr>
            <w: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4"/>
            </w:pPr>
            <w:r>
              <w:t>镉</w:t>
            </w:r>
          </w:p>
        </w:tc>
        <w:tc>
          <w:tcPr>
            <w:tcW w:w="914" w:type="dxa"/>
            <w:shd w:val="clear" w:color="auto" w:fill="FFFFFF"/>
            <w:vAlign w:val="center"/>
          </w:tcPr>
          <w:p>
            <w:pPr>
              <w:pStyle w:val="294"/>
            </w:pPr>
            <w:r>
              <w:t>0.3</w:t>
            </w:r>
          </w:p>
        </w:tc>
        <w:tc>
          <w:tcPr>
            <w:tcW w:w="914" w:type="dxa"/>
            <w:shd w:val="clear" w:color="auto" w:fill="FFFFFF"/>
            <w:vAlign w:val="center"/>
          </w:tcPr>
          <w:p>
            <w:pPr>
              <w:pStyle w:val="294"/>
            </w:pPr>
            <w:r>
              <w:t>0.3</w:t>
            </w:r>
          </w:p>
        </w:tc>
        <w:tc>
          <w:tcPr>
            <w:tcW w:w="914" w:type="dxa"/>
            <w:shd w:val="clear" w:color="auto" w:fill="FFFFFF"/>
            <w:vAlign w:val="center"/>
          </w:tcPr>
          <w:p>
            <w:pPr>
              <w:pStyle w:val="294"/>
            </w:pPr>
            <w:r>
              <w:t>0.4</w:t>
            </w:r>
          </w:p>
        </w:tc>
        <w:tc>
          <w:tcPr>
            <w:tcW w:w="914" w:type="dxa"/>
            <w:shd w:val="clear" w:color="auto" w:fill="FFFFFF"/>
            <w:vAlign w:val="center"/>
          </w:tcPr>
          <w:p>
            <w:pPr>
              <w:pStyle w:val="294"/>
            </w:pPr>
            <w:r>
              <w:t>0.3</w:t>
            </w:r>
          </w:p>
        </w:tc>
        <w:tc>
          <w:tcPr>
            <w:tcW w:w="914" w:type="dxa"/>
            <w:shd w:val="clear" w:color="auto" w:fill="FFFFFF"/>
            <w:vAlign w:val="center"/>
          </w:tcPr>
          <w:p>
            <w:pPr>
              <w:pStyle w:val="294"/>
            </w:pPr>
            <w:r>
              <w:t>0.6</w:t>
            </w:r>
          </w:p>
        </w:tc>
        <w:tc>
          <w:tcPr>
            <w:tcW w:w="914" w:type="dxa"/>
            <w:shd w:val="clear" w:color="auto" w:fill="FFFFFF"/>
            <w:vAlign w:val="center"/>
          </w:tcPr>
          <w:p>
            <w:pPr>
              <w:pStyle w:val="294"/>
            </w:pPr>
            <w:r>
              <w:t>0.3</w:t>
            </w:r>
          </w:p>
        </w:tc>
        <w:tc>
          <w:tcPr>
            <w:tcW w:w="914" w:type="dxa"/>
            <w:shd w:val="clear" w:color="auto" w:fill="FFFFFF"/>
            <w:vAlign w:val="center"/>
          </w:tcPr>
          <w:p>
            <w:pPr>
              <w:pStyle w:val="294"/>
            </w:pPr>
            <w:r>
              <w:t>0.8</w:t>
            </w:r>
          </w:p>
        </w:tc>
        <w:tc>
          <w:tcPr>
            <w:tcW w:w="915" w:type="dxa"/>
            <w:shd w:val="clear" w:color="auto" w:fill="FFFFFF"/>
            <w:vAlign w:val="center"/>
          </w:tcPr>
          <w:p>
            <w:pPr>
              <w:pStyle w:val="294"/>
            </w:pPr>
            <w:r>
              <w:t>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4"/>
            </w:pPr>
            <w:r>
              <w:t>汞</w:t>
            </w:r>
          </w:p>
        </w:tc>
        <w:tc>
          <w:tcPr>
            <w:tcW w:w="914" w:type="dxa"/>
            <w:shd w:val="clear" w:color="auto" w:fill="FFFFFF"/>
            <w:vAlign w:val="center"/>
          </w:tcPr>
          <w:p>
            <w:pPr>
              <w:pStyle w:val="294"/>
            </w:pPr>
            <w:r>
              <w:t>0.5</w:t>
            </w:r>
          </w:p>
        </w:tc>
        <w:tc>
          <w:tcPr>
            <w:tcW w:w="914" w:type="dxa"/>
            <w:shd w:val="clear" w:color="auto" w:fill="FFFFFF"/>
            <w:vAlign w:val="center"/>
          </w:tcPr>
          <w:p>
            <w:pPr>
              <w:pStyle w:val="294"/>
            </w:pPr>
            <w:r>
              <w:t>1.3</w:t>
            </w:r>
          </w:p>
        </w:tc>
        <w:tc>
          <w:tcPr>
            <w:tcW w:w="914" w:type="dxa"/>
            <w:shd w:val="clear" w:color="auto" w:fill="FFFFFF"/>
            <w:vAlign w:val="center"/>
          </w:tcPr>
          <w:p>
            <w:pPr>
              <w:pStyle w:val="294"/>
            </w:pPr>
            <w:r>
              <w:t>0.5</w:t>
            </w:r>
          </w:p>
        </w:tc>
        <w:tc>
          <w:tcPr>
            <w:tcW w:w="914" w:type="dxa"/>
            <w:shd w:val="clear" w:color="auto" w:fill="FFFFFF"/>
            <w:vAlign w:val="center"/>
          </w:tcPr>
          <w:p>
            <w:pPr>
              <w:pStyle w:val="294"/>
            </w:pPr>
            <w:r>
              <w:t>1.8</w:t>
            </w:r>
          </w:p>
        </w:tc>
        <w:tc>
          <w:tcPr>
            <w:tcW w:w="914" w:type="dxa"/>
            <w:shd w:val="clear" w:color="auto" w:fill="FFFFFF"/>
            <w:vAlign w:val="center"/>
          </w:tcPr>
          <w:p>
            <w:pPr>
              <w:pStyle w:val="294"/>
            </w:pPr>
            <w:r>
              <w:t>0.6</w:t>
            </w:r>
          </w:p>
        </w:tc>
        <w:tc>
          <w:tcPr>
            <w:tcW w:w="914" w:type="dxa"/>
            <w:shd w:val="clear" w:color="auto" w:fill="FFFFFF"/>
            <w:vAlign w:val="center"/>
          </w:tcPr>
          <w:p>
            <w:pPr>
              <w:pStyle w:val="294"/>
            </w:pPr>
            <w:r>
              <w:t>2.4</w:t>
            </w:r>
          </w:p>
        </w:tc>
        <w:tc>
          <w:tcPr>
            <w:tcW w:w="914" w:type="dxa"/>
            <w:shd w:val="clear" w:color="auto" w:fill="FFFFFF"/>
            <w:vAlign w:val="center"/>
          </w:tcPr>
          <w:p>
            <w:pPr>
              <w:pStyle w:val="294"/>
            </w:pPr>
            <w:r>
              <w:t>1.0</w:t>
            </w:r>
          </w:p>
        </w:tc>
        <w:tc>
          <w:tcPr>
            <w:tcW w:w="915" w:type="dxa"/>
            <w:shd w:val="clear" w:color="auto" w:fill="FFFFFF"/>
            <w:vAlign w:val="center"/>
          </w:tcPr>
          <w:p>
            <w:pPr>
              <w:pStyle w:val="294"/>
            </w:pPr>
            <w:r>
              <w:t>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4"/>
            </w:pPr>
            <w:r>
              <w:t>砷</w:t>
            </w:r>
          </w:p>
        </w:tc>
        <w:tc>
          <w:tcPr>
            <w:tcW w:w="914" w:type="dxa"/>
            <w:shd w:val="clear" w:color="auto" w:fill="FFFFFF"/>
            <w:vAlign w:val="center"/>
          </w:tcPr>
          <w:p>
            <w:pPr>
              <w:pStyle w:val="294"/>
            </w:pPr>
            <w:r>
              <w:t>30</w:t>
            </w:r>
          </w:p>
        </w:tc>
        <w:tc>
          <w:tcPr>
            <w:tcW w:w="914" w:type="dxa"/>
            <w:shd w:val="clear" w:color="auto" w:fill="FFFFFF"/>
            <w:vAlign w:val="center"/>
          </w:tcPr>
          <w:p>
            <w:pPr>
              <w:pStyle w:val="294"/>
            </w:pPr>
            <w:r>
              <w:t>40</w:t>
            </w:r>
          </w:p>
        </w:tc>
        <w:tc>
          <w:tcPr>
            <w:tcW w:w="914" w:type="dxa"/>
            <w:shd w:val="clear" w:color="auto" w:fill="FFFFFF"/>
            <w:vAlign w:val="center"/>
          </w:tcPr>
          <w:p>
            <w:pPr>
              <w:pStyle w:val="294"/>
            </w:pPr>
            <w:r>
              <w:t>30</w:t>
            </w:r>
          </w:p>
        </w:tc>
        <w:tc>
          <w:tcPr>
            <w:tcW w:w="914" w:type="dxa"/>
            <w:shd w:val="clear" w:color="auto" w:fill="FFFFFF"/>
            <w:vAlign w:val="center"/>
          </w:tcPr>
          <w:p>
            <w:pPr>
              <w:pStyle w:val="294"/>
            </w:pPr>
            <w:r>
              <w:t>40</w:t>
            </w:r>
          </w:p>
        </w:tc>
        <w:tc>
          <w:tcPr>
            <w:tcW w:w="914" w:type="dxa"/>
            <w:shd w:val="clear" w:color="auto" w:fill="FFFFFF"/>
            <w:vAlign w:val="center"/>
          </w:tcPr>
          <w:p>
            <w:pPr>
              <w:pStyle w:val="294"/>
            </w:pPr>
            <w:r>
              <w:t>25</w:t>
            </w:r>
          </w:p>
        </w:tc>
        <w:tc>
          <w:tcPr>
            <w:tcW w:w="914" w:type="dxa"/>
            <w:shd w:val="clear" w:color="auto" w:fill="FFFFFF"/>
            <w:vAlign w:val="center"/>
          </w:tcPr>
          <w:p>
            <w:pPr>
              <w:pStyle w:val="294"/>
            </w:pPr>
            <w:r>
              <w:t>30</w:t>
            </w:r>
          </w:p>
        </w:tc>
        <w:tc>
          <w:tcPr>
            <w:tcW w:w="914" w:type="dxa"/>
            <w:shd w:val="clear" w:color="auto" w:fill="FFFFFF"/>
            <w:vAlign w:val="center"/>
          </w:tcPr>
          <w:p>
            <w:pPr>
              <w:pStyle w:val="294"/>
            </w:pPr>
            <w:r>
              <w:t>20</w:t>
            </w:r>
          </w:p>
        </w:tc>
        <w:tc>
          <w:tcPr>
            <w:tcW w:w="915" w:type="dxa"/>
            <w:shd w:val="clear" w:color="auto" w:fill="FFFFFF"/>
            <w:vAlign w:val="center"/>
          </w:tcPr>
          <w:p>
            <w:pPr>
              <w:pStyle w:val="294"/>
            </w:pPr>
            <w: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4"/>
            </w:pPr>
            <w:r>
              <w:t>铅</w:t>
            </w:r>
          </w:p>
        </w:tc>
        <w:tc>
          <w:tcPr>
            <w:tcW w:w="914" w:type="dxa"/>
            <w:shd w:val="clear" w:color="auto" w:fill="FFFFFF"/>
            <w:vAlign w:val="center"/>
          </w:tcPr>
          <w:p>
            <w:pPr>
              <w:pStyle w:val="294"/>
            </w:pPr>
            <w:r>
              <w:t>80</w:t>
            </w:r>
          </w:p>
        </w:tc>
        <w:tc>
          <w:tcPr>
            <w:tcW w:w="914" w:type="dxa"/>
            <w:shd w:val="clear" w:color="auto" w:fill="FFFFFF"/>
            <w:vAlign w:val="center"/>
          </w:tcPr>
          <w:p>
            <w:pPr>
              <w:pStyle w:val="294"/>
            </w:pPr>
            <w:r>
              <w:t>70</w:t>
            </w:r>
          </w:p>
        </w:tc>
        <w:tc>
          <w:tcPr>
            <w:tcW w:w="914" w:type="dxa"/>
            <w:shd w:val="clear" w:color="auto" w:fill="FFFFFF"/>
            <w:vAlign w:val="center"/>
          </w:tcPr>
          <w:p>
            <w:pPr>
              <w:pStyle w:val="294"/>
            </w:pPr>
            <w:r>
              <w:t>100</w:t>
            </w:r>
          </w:p>
        </w:tc>
        <w:tc>
          <w:tcPr>
            <w:tcW w:w="914" w:type="dxa"/>
            <w:shd w:val="clear" w:color="auto" w:fill="FFFFFF"/>
            <w:vAlign w:val="center"/>
          </w:tcPr>
          <w:p>
            <w:pPr>
              <w:pStyle w:val="294"/>
            </w:pPr>
            <w:r>
              <w:t>90</w:t>
            </w:r>
          </w:p>
        </w:tc>
        <w:tc>
          <w:tcPr>
            <w:tcW w:w="914" w:type="dxa"/>
            <w:shd w:val="clear" w:color="auto" w:fill="FFFFFF"/>
            <w:vAlign w:val="center"/>
          </w:tcPr>
          <w:p>
            <w:pPr>
              <w:pStyle w:val="294"/>
            </w:pPr>
            <w:r>
              <w:t>140</w:t>
            </w:r>
          </w:p>
        </w:tc>
        <w:tc>
          <w:tcPr>
            <w:tcW w:w="914" w:type="dxa"/>
            <w:shd w:val="clear" w:color="auto" w:fill="FFFFFF"/>
            <w:vAlign w:val="center"/>
          </w:tcPr>
          <w:p>
            <w:pPr>
              <w:pStyle w:val="294"/>
            </w:pPr>
            <w:r>
              <w:t>120</w:t>
            </w:r>
          </w:p>
        </w:tc>
        <w:tc>
          <w:tcPr>
            <w:tcW w:w="914" w:type="dxa"/>
            <w:shd w:val="clear" w:color="auto" w:fill="FFFFFF"/>
            <w:vAlign w:val="center"/>
          </w:tcPr>
          <w:p>
            <w:pPr>
              <w:pStyle w:val="294"/>
            </w:pPr>
            <w:r>
              <w:t>240</w:t>
            </w:r>
          </w:p>
        </w:tc>
        <w:tc>
          <w:tcPr>
            <w:tcW w:w="915" w:type="dxa"/>
            <w:shd w:val="clear" w:color="auto" w:fill="FFFFFF"/>
            <w:vAlign w:val="center"/>
          </w:tcPr>
          <w:p>
            <w:pPr>
              <w:pStyle w:val="294"/>
            </w:pPr>
            <w:r>
              <w:t>170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4"/>
            </w:pPr>
            <w:r>
              <w:t>铬</w:t>
            </w:r>
          </w:p>
        </w:tc>
        <w:tc>
          <w:tcPr>
            <w:tcW w:w="914" w:type="dxa"/>
            <w:shd w:val="clear" w:color="auto" w:fill="FFFFFF"/>
            <w:vAlign w:val="center"/>
          </w:tcPr>
          <w:p>
            <w:pPr>
              <w:pStyle w:val="294"/>
            </w:pPr>
            <w:r>
              <w:t>250</w:t>
            </w:r>
          </w:p>
        </w:tc>
        <w:tc>
          <w:tcPr>
            <w:tcW w:w="914" w:type="dxa"/>
            <w:shd w:val="clear" w:color="auto" w:fill="FFFFFF"/>
            <w:vAlign w:val="center"/>
          </w:tcPr>
          <w:p>
            <w:pPr>
              <w:pStyle w:val="294"/>
            </w:pPr>
            <w:r>
              <w:t>150</w:t>
            </w:r>
          </w:p>
        </w:tc>
        <w:tc>
          <w:tcPr>
            <w:tcW w:w="914" w:type="dxa"/>
            <w:shd w:val="clear" w:color="auto" w:fill="FFFFFF"/>
            <w:vAlign w:val="center"/>
          </w:tcPr>
          <w:p>
            <w:pPr>
              <w:pStyle w:val="294"/>
            </w:pPr>
            <w:r>
              <w:t>250</w:t>
            </w:r>
          </w:p>
        </w:tc>
        <w:tc>
          <w:tcPr>
            <w:tcW w:w="914" w:type="dxa"/>
            <w:shd w:val="clear" w:color="auto" w:fill="FFFFFF"/>
            <w:vAlign w:val="center"/>
          </w:tcPr>
          <w:p>
            <w:pPr>
              <w:pStyle w:val="294"/>
            </w:pPr>
            <w:r>
              <w:t>150</w:t>
            </w:r>
          </w:p>
        </w:tc>
        <w:tc>
          <w:tcPr>
            <w:tcW w:w="914" w:type="dxa"/>
            <w:shd w:val="clear" w:color="auto" w:fill="FFFFFF"/>
            <w:vAlign w:val="center"/>
          </w:tcPr>
          <w:p>
            <w:pPr>
              <w:pStyle w:val="294"/>
            </w:pPr>
            <w:r>
              <w:t>300</w:t>
            </w:r>
          </w:p>
        </w:tc>
        <w:tc>
          <w:tcPr>
            <w:tcW w:w="914" w:type="dxa"/>
            <w:shd w:val="clear" w:color="auto" w:fill="FFFFFF"/>
            <w:vAlign w:val="center"/>
          </w:tcPr>
          <w:p>
            <w:pPr>
              <w:pStyle w:val="294"/>
            </w:pPr>
            <w:r>
              <w:t>200</w:t>
            </w:r>
          </w:p>
        </w:tc>
        <w:tc>
          <w:tcPr>
            <w:tcW w:w="914" w:type="dxa"/>
            <w:shd w:val="clear" w:color="auto" w:fill="FFFFFF"/>
            <w:vAlign w:val="center"/>
          </w:tcPr>
          <w:p>
            <w:pPr>
              <w:pStyle w:val="294"/>
            </w:pPr>
            <w:r>
              <w:t>350</w:t>
            </w:r>
          </w:p>
        </w:tc>
        <w:tc>
          <w:tcPr>
            <w:tcW w:w="915" w:type="dxa"/>
            <w:shd w:val="clear" w:color="auto" w:fill="FFFFFF"/>
            <w:vAlign w:val="center"/>
          </w:tcPr>
          <w:p>
            <w:pPr>
              <w:pStyle w:val="294"/>
            </w:pPr>
            <w: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4"/>
            </w:pPr>
            <w:r>
              <w:t>铜</w:t>
            </w:r>
          </w:p>
        </w:tc>
        <w:tc>
          <w:tcPr>
            <w:tcW w:w="914" w:type="dxa"/>
            <w:shd w:val="clear" w:color="auto" w:fill="FFFFFF"/>
            <w:vAlign w:val="center"/>
          </w:tcPr>
          <w:p>
            <w:pPr>
              <w:pStyle w:val="294"/>
            </w:pPr>
            <w:r>
              <w:t>150</w:t>
            </w:r>
          </w:p>
        </w:tc>
        <w:tc>
          <w:tcPr>
            <w:tcW w:w="914" w:type="dxa"/>
            <w:shd w:val="clear" w:color="auto" w:fill="FFFFFF"/>
            <w:vAlign w:val="center"/>
          </w:tcPr>
          <w:p>
            <w:pPr>
              <w:pStyle w:val="294"/>
            </w:pPr>
            <w:r>
              <w:t>50</w:t>
            </w:r>
          </w:p>
        </w:tc>
        <w:tc>
          <w:tcPr>
            <w:tcW w:w="914" w:type="dxa"/>
            <w:shd w:val="clear" w:color="auto" w:fill="FFFFFF"/>
            <w:vAlign w:val="center"/>
          </w:tcPr>
          <w:p>
            <w:pPr>
              <w:pStyle w:val="294"/>
            </w:pPr>
            <w:r>
              <w:t>150</w:t>
            </w:r>
          </w:p>
        </w:tc>
        <w:tc>
          <w:tcPr>
            <w:tcW w:w="914" w:type="dxa"/>
            <w:shd w:val="clear" w:color="auto" w:fill="FFFFFF"/>
            <w:vAlign w:val="center"/>
          </w:tcPr>
          <w:p>
            <w:pPr>
              <w:pStyle w:val="294"/>
            </w:pPr>
            <w:r>
              <w:t>50</w:t>
            </w:r>
          </w:p>
        </w:tc>
        <w:tc>
          <w:tcPr>
            <w:tcW w:w="914" w:type="dxa"/>
            <w:shd w:val="clear" w:color="auto" w:fill="FFFFFF"/>
            <w:vAlign w:val="center"/>
          </w:tcPr>
          <w:p>
            <w:pPr>
              <w:pStyle w:val="294"/>
            </w:pPr>
            <w:r>
              <w:t>200</w:t>
            </w:r>
          </w:p>
        </w:tc>
        <w:tc>
          <w:tcPr>
            <w:tcW w:w="914" w:type="dxa"/>
            <w:shd w:val="clear" w:color="auto" w:fill="FFFFFF"/>
            <w:vAlign w:val="center"/>
          </w:tcPr>
          <w:p>
            <w:pPr>
              <w:pStyle w:val="294"/>
            </w:pPr>
            <w:r>
              <w:t>100</w:t>
            </w:r>
          </w:p>
        </w:tc>
        <w:tc>
          <w:tcPr>
            <w:tcW w:w="914" w:type="dxa"/>
            <w:shd w:val="clear" w:color="auto" w:fill="FFFFFF"/>
            <w:vAlign w:val="center"/>
          </w:tcPr>
          <w:p>
            <w:pPr>
              <w:pStyle w:val="294"/>
            </w:pPr>
            <w:r>
              <w:t>200</w:t>
            </w:r>
          </w:p>
        </w:tc>
        <w:tc>
          <w:tcPr>
            <w:tcW w:w="915" w:type="dxa"/>
            <w:shd w:val="clear" w:color="auto" w:fill="FFFFFF"/>
            <w:vAlign w:val="center"/>
          </w:tcPr>
          <w:p>
            <w:pPr>
              <w:pStyle w:val="294"/>
            </w:pPr>
            <w: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4"/>
            </w:pPr>
            <w:r>
              <w:t>镍</w:t>
            </w:r>
          </w:p>
        </w:tc>
        <w:tc>
          <w:tcPr>
            <w:tcW w:w="1828" w:type="dxa"/>
            <w:gridSpan w:val="2"/>
            <w:shd w:val="clear" w:color="auto" w:fill="FFFFFF"/>
            <w:vAlign w:val="center"/>
          </w:tcPr>
          <w:p>
            <w:pPr>
              <w:pStyle w:val="294"/>
            </w:pPr>
            <w:r>
              <w:t>60</w:t>
            </w:r>
          </w:p>
        </w:tc>
        <w:tc>
          <w:tcPr>
            <w:tcW w:w="1828" w:type="dxa"/>
            <w:gridSpan w:val="2"/>
            <w:shd w:val="clear" w:color="auto" w:fill="FFFFFF"/>
            <w:vAlign w:val="center"/>
          </w:tcPr>
          <w:p>
            <w:pPr>
              <w:pStyle w:val="294"/>
            </w:pPr>
            <w:r>
              <w:t>70</w:t>
            </w:r>
          </w:p>
        </w:tc>
        <w:tc>
          <w:tcPr>
            <w:tcW w:w="1828" w:type="dxa"/>
            <w:gridSpan w:val="2"/>
            <w:shd w:val="clear" w:color="auto" w:fill="FFFFFF"/>
            <w:vAlign w:val="center"/>
          </w:tcPr>
          <w:p>
            <w:pPr>
              <w:pStyle w:val="294"/>
            </w:pPr>
            <w:r>
              <w:t>100</w:t>
            </w:r>
          </w:p>
        </w:tc>
        <w:tc>
          <w:tcPr>
            <w:tcW w:w="1829" w:type="dxa"/>
            <w:gridSpan w:val="2"/>
            <w:shd w:val="clear" w:color="auto" w:fill="FFFFFF"/>
            <w:vAlign w:val="center"/>
          </w:tcPr>
          <w:p>
            <w:pPr>
              <w:pStyle w:val="294"/>
            </w:pPr>
            <w:r>
              <w:t>190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4"/>
            </w:pPr>
            <w:r>
              <w:t>锌</w:t>
            </w:r>
          </w:p>
        </w:tc>
        <w:tc>
          <w:tcPr>
            <w:tcW w:w="1828" w:type="dxa"/>
            <w:gridSpan w:val="2"/>
            <w:shd w:val="clear" w:color="auto" w:fill="FFFFFF"/>
            <w:vAlign w:val="center"/>
          </w:tcPr>
          <w:p>
            <w:pPr>
              <w:pStyle w:val="294"/>
            </w:pPr>
            <w:r>
              <w:t>200</w:t>
            </w:r>
          </w:p>
        </w:tc>
        <w:tc>
          <w:tcPr>
            <w:tcW w:w="1828" w:type="dxa"/>
            <w:gridSpan w:val="2"/>
            <w:shd w:val="clear" w:color="auto" w:fill="FFFFFF"/>
            <w:vAlign w:val="center"/>
          </w:tcPr>
          <w:p>
            <w:pPr>
              <w:pStyle w:val="294"/>
            </w:pPr>
            <w:r>
              <w:t>200</w:t>
            </w:r>
          </w:p>
        </w:tc>
        <w:tc>
          <w:tcPr>
            <w:tcW w:w="1828" w:type="dxa"/>
            <w:gridSpan w:val="2"/>
            <w:shd w:val="clear" w:color="auto" w:fill="FFFFFF"/>
            <w:vAlign w:val="center"/>
          </w:tcPr>
          <w:p>
            <w:pPr>
              <w:pStyle w:val="294"/>
            </w:pPr>
            <w:r>
              <w:t>250</w:t>
            </w:r>
          </w:p>
        </w:tc>
        <w:tc>
          <w:tcPr>
            <w:tcW w:w="1829" w:type="dxa"/>
            <w:gridSpan w:val="2"/>
            <w:shd w:val="clear" w:color="auto" w:fill="FFFFFF"/>
            <w:vAlign w:val="center"/>
          </w:tcPr>
          <w:p>
            <w:pPr>
              <w:pStyle w:val="294"/>
            </w:pPr>
            <w:r>
              <w:t>300</w:t>
            </w:r>
          </w:p>
        </w:tc>
      </w:tr>
    </w:tbl>
    <w:p>
      <w:pPr>
        <w:pStyle w:val="27"/>
        <w:spacing w:before="163" w:beforeLines="50"/>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土壤环境监测指标中农用地石油烃参考第一类建设用地筛选值为826mg/kg。</w:t>
      </w:r>
    </w:p>
    <w:p>
      <w:pPr>
        <w:pStyle w:val="4"/>
        <w:ind w:firstLine="241"/>
        <w:rPr>
          <w:b w:val="0"/>
        </w:rPr>
      </w:pPr>
      <w:bookmarkStart w:id="48" w:name="_Toc120173068"/>
      <w:r>
        <w:rPr>
          <w:rFonts w:hint="eastAsia"/>
        </w:rPr>
        <w:t>2.5.3</w:t>
      </w:r>
      <w:r>
        <w:t>污染物排放标准</w:t>
      </w:r>
      <w:bookmarkEnd w:id="48"/>
    </w:p>
    <w:p>
      <w:pPr>
        <w:pStyle w:val="122"/>
        <w:rPr>
          <w:bCs/>
          <w:color w:val="000000" w:themeColor="text1"/>
          <w14:textFill>
            <w14:solidFill>
              <w14:schemeClr w14:val="tx1"/>
            </w14:solidFill>
          </w14:textFill>
        </w:rPr>
      </w:pPr>
      <w:bookmarkStart w:id="49" w:name="_Hlk48749861"/>
      <w:bookmarkStart w:id="50" w:name="_Hlk48749841"/>
      <w:r>
        <w:rPr>
          <w:bCs/>
          <w:color w:val="000000" w:themeColor="text1"/>
          <w14:textFill>
            <w14:solidFill>
              <w14:schemeClr w14:val="tx1"/>
            </w14:solidFill>
          </w14:textFill>
        </w:rPr>
        <w:t>（1）废水</w:t>
      </w:r>
    </w:p>
    <w:bookmarkEnd w:id="49"/>
    <w:p>
      <w:pPr>
        <w:pStyle w:val="27"/>
        <w:ind w:firstLine="480"/>
        <w:rPr>
          <w:rFonts w:ascii="Times New Roman" w:hAnsi="Times New Roman"/>
          <w:bCs/>
          <w:color w:val="000000" w:themeColor="text1"/>
          <w:szCs w:val="24"/>
          <w14:textFill>
            <w14:solidFill>
              <w14:schemeClr w14:val="tx1"/>
            </w14:solidFill>
          </w14:textFill>
        </w:rPr>
      </w:pPr>
      <w:bookmarkStart w:id="51" w:name="_Hlk48749969"/>
      <w:r>
        <w:rPr>
          <w:rFonts w:ascii="Times New Roman" w:hAnsi="Times New Roman"/>
          <w:bCs/>
          <w:color w:val="000000" w:themeColor="text1"/>
          <w:szCs w:val="24"/>
          <w14:textFill>
            <w14:solidFill>
              <w14:schemeClr w14:val="tx1"/>
            </w14:solidFill>
          </w14:textFill>
        </w:rPr>
        <w:t>钻井工程主要产生钻前施工废水、污水池收集的初期雨水、钻井废水、压裂返排液及洗井废水。其中钻前施工废水，沉淀后循环使用，不外排；钻井期间污水池收集的初期雨水、压裂返排液及洗井废水优先回用钻井工段，不能用回的用罐车拉运至赵家坝污水处理站处理达回注标准后管输至普光11井回注站回注。钻井废水预处理后</w:t>
      </w:r>
      <w:r>
        <w:rPr>
          <w:rFonts w:hint="eastAsia" w:ascii="Times New Roman" w:hAnsi="Times New Roman"/>
          <w:bCs/>
          <w:color w:val="000000" w:themeColor="text1"/>
          <w:szCs w:val="24"/>
          <w14:textFill>
            <w14:solidFill>
              <w14:schemeClr w14:val="tx1"/>
            </w14:solidFill>
          </w14:textFill>
        </w:rPr>
        <w:t>，</w:t>
      </w:r>
      <w:r>
        <w:rPr>
          <w:rFonts w:ascii="Times New Roman" w:hAnsi="Times New Roman"/>
          <w:bCs/>
          <w:color w:val="000000" w:themeColor="text1"/>
          <w:szCs w:val="24"/>
          <w14:textFill>
            <w14:solidFill>
              <w14:schemeClr w14:val="tx1"/>
            </w14:solidFill>
          </w14:textFill>
        </w:rPr>
        <w:t>由罐车拉运至赵家坝污水站处理达标后管输至普光11井回注站回注。施工期间生活污水依托站场已建的厕所收集后由密闭罐车定期拉运至周边生活污水处理厂处理。项目钻井期间无废水外排。</w:t>
      </w:r>
    </w:p>
    <w:p>
      <w:pPr>
        <w:pStyle w:val="27"/>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本项目试采期普光3011-6井产气输至P301集气站进行计量分离，产生的气田水依托P301集气站已建酸液缓冲罐收集暂存，然后通过密闭罐车拉运至赵家坝污水处理站达到《气田水回注方法》（SY/T 6596-2016）中注入水基本要求后管输至普光11井回注站回注处理，不外排。新建普光3011-6井台无人值守，试采期无生活污水产生。</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（2）废气</w:t>
      </w:r>
    </w:p>
    <w:p>
      <w:pPr>
        <w:pStyle w:val="27"/>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项目施工期间扬尘执行《四川省施工场地扬尘排放标准》（DB51/2682-2020）（2020年9月1日起）；试采期间水套加热炉废气排放执行《锅炉大气污染物排放标准》（GB13271-2014）；施工期和试采期挥发性有机物无组织排放执行《陆上石油天然气开采工业大气污染物排放标准》（GB39728-2020）。其他废气执行《大气污染物综合排放标准》（GB16297-1996）。</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四川省施工场地扬尘排放标准</w:t>
      </w:r>
    </w:p>
    <w:tbl>
      <w:tblPr>
        <w:tblStyle w:val="52"/>
        <w:tblW w:w="82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88"/>
        <w:gridCol w:w="3244"/>
        <w:gridCol w:w="1859"/>
        <w:gridCol w:w="1417"/>
        <w:gridCol w:w="7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shd w:val="clear" w:color="auto" w:fill="auto"/>
            <w:vAlign w:val="center"/>
          </w:tcPr>
          <w:p>
            <w:pPr>
              <w:pStyle w:val="294"/>
            </w:pPr>
            <w:r>
              <w:t>监测项目</w:t>
            </w:r>
          </w:p>
        </w:tc>
        <w:tc>
          <w:tcPr>
            <w:tcW w:w="3244" w:type="dxa"/>
            <w:shd w:val="clear" w:color="auto" w:fill="auto"/>
            <w:vAlign w:val="center"/>
          </w:tcPr>
          <w:p>
            <w:pPr>
              <w:pStyle w:val="294"/>
            </w:pPr>
            <w:r>
              <w:t>区域</w:t>
            </w:r>
          </w:p>
        </w:tc>
        <w:tc>
          <w:tcPr>
            <w:tcW w:w="1859" w:type="dxa"/>
            <w:shd w:val="clear" w:color="auto" w:fill="auto"/>
            <w:vAlign w:val="center"/>
          </w:tcPr>
          <w:p>
            <w:pPr>
              <w:pStyle w:val="294"/>
            </w:pPr>
            <w:r>
              <w:t>施工阶段</w:t>
            </w:r>
          </w:p>
        </w:tc>
        <w:tc>
          <w:tcPr>
            <w:tcW w:w="1417" w:type="dxa"/>
            <w:shd w:val="clear" w:color="auto" w:fill="auto"/>
            <w:vAlign w:val="center"/>
          </w:tcPr>
          <w:p>
            <w:pPr>
              <w:pStyle w:val="294"/>
            </w:pPr>
            <w:r>
              <w:t>监测点排放限值（μg/m</w:t>
            </w:r>
            <w:r>
              <w:rPr>
                <w:vertAlign w:val="superscript"/>
              </w:rPr>
              <w:t>3</w:t>
            </w:r>
            <w:r>
              <w:t>）</w:t>
            </w:r>
          </w:p>
        </w:tc>
        <w:tc>
          <w:tcPr>
            <w:tcW w:w="714" w:type="dxa"/>
            <w:shd w:val="clear" w:color="auto" w:fill="auto"/>
            <w:vAlign w:val="center"/>
          </w:tcPr>
          <w:p>
            <w:pPr>
              <w:pStyle w:val="294"/>
            </w:pPr>
            <w:r>
              <w:t>监测时间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Merge w:val="restart"/>
            <w:shd w:val="clear" w:color="auto" w:fill="auto"/>
            <w:vAlign w:val="center"/>
          </w:tcPr>
          <w:p>
            <w:pPr>
              <w:pStyle w:val="294"/>
            </w:pPr>
            <w:r>
              <w:t>总悬浮颗粒物（TSP）</w:t>
            </w:r>
          </w:p>
        </w:tc>
        <w:tc>
          <w:tcPr>
            <w:tcW w:w="3244" w:type="dxa"/>
            <w:vMerge w:val="restart"/>
            <w:shd w:val="clear" w:color="auto" w:fill="auto"/>
            <w:vAlign w:val="center"/>
          </w:tcPr>
          <w:p>
            <w:pPr>
              <w:pStyle w:val="294"/>
            </w:pPr>
            <w:r>
              <w:t>成都市、自贡市、泸州市、德阳市、绵阳市、广元市、遂宁市、内江市、乐山市、南充市、宜宾市、广安市、达州市、巴中市、雅安市、眉山市、资阳市</w:t>
            </w:r>
          </w:p>
        </w:tc>
        <w:tc>
          <w:tcPr>
            <w:tcW w:w="1859" w:type="dxa"/>
            <w:shd w:val="clear" w:color="auto" w:fill="auto"/>
            <w:vAlign w:val="center"/>
          </w:tcPr>
          <w:p>
            <w:pPr>
              <w:pStyle w:val="294"/>
            </w:pPr>
            <w:r>
              <w:t>拆除工程/土方开挖/土方回填阶段</w:t>
            </w:r>
          </w:p>
        </w:tc>
        <w:tc>
          <w:tcPr>
            <w:tcW w:w="1417" w:type="dxa"/>
            <w:shd w:val="clear" w:color="auto" w:fill="auto"/>
            <w:vAlign w:val="center"/>
          </w:tcPr>
          <w:p>
            <w:pPr>
              <w:pStyle w:val="294"/>
            </w:pPr>
            <w:r>
              <w:t>600</w:t>
            </w:r>
          </w:p>
        </w:tc>
        <w:tc>
          <w:tcPr>
            <w:tcW w:w="714" w:type="dxa"/>
            <w:vMerge w:val="restart"/>
            <w:shd w:val="clear" w:color="auto" w:fill="auto"/>
            <w:vAlign w:val="center"/>
          </w:tcPr>
          <w:p>
            <w:pPr>
              <w:pStyle w:val="294"/>
            </w:pPr>
            <w:r>
              <w:t>自监测起持续15分钟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Merge w:val="continue"/>
            <w:shd w:val="clear" w:color="auto" w:fill="auto"/>
            <w:vAlign w:val="center"/>
          </w:tcPr>
          <w:p>
            <w:pPr>
              <w:pStyle w:val="294"/>
            </w:pPr>
          </w:p>
        </w:tc>
        <w:tc>
          <w:tcPr>
            <w:tcW w:w="3244" w:type="dxa"/>
            <w:vMerge w:val="continue"/>
            <w:shd w:val="clear" w:color="auto" w:fill="auto"/>
            <w:vAlign w:val="center"/>
          </w:tcPr>
          <w:p>
            <w:pPr>
              <w:pStyle w:val="294"/>
            </w:pPr>
          </w:p>
        </w:tc>
        <w:tc>
          <w:tcPr>
            <w:tcW w:w="1859" w:type="dxa"/>
            <w:shd w:val="clear" w:color="auto" w:fill="auto"/>
            <w:vAlign w:val="center"/>
          </w:tcPr>
          <w:p>
            <w:pPr>
              <w:pStyle w:val="294"/>
            </w:pPr>
            <w:r>
              <w:t>其他工程阶段</w:t>
            </w:r>
          </w:p>
        </w:tc>
        <w:tc>
          <w:tcPr>
            <w:tcW w:w="1417" w:type="dxa"/>
            <w:shd w:val="clear" w:color="auto" w:fill="auto"/>
            <w:vAlign w:val="center"/>
          </w:tcPr>
          <w:p>
            <w:pPr>
              <w:pStyle w:val="294"/>
            </w:pPr>
            <w:r>
              <w:t>250</w:t>
            </w:r>
          </w:p>
        </w:tc>
        <w:tc>
          <w:tcPr>
            <w:tcW w:w="714" w:type="dxa"/>
            <w:vMerge w:val="continue"/>
            <w:shd w:val="clear" w:color="auto" w:fill="auto"/>
            <w:vAlign w:val="center"/>
          </w:tcPr>
          <w:p>
            <w:pPr>
              <w:pStyle w:val="294"/>
            </w:pPr>
          </w:p>
        </w:tc>
      </w:tr>
    </w:tbl>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t>8 陆上石油天然气开采工业大气污染物排放标准</w:t>
      </w:r>
    </w:p>
    <w:tbl>
      <w:tblPr>
        <w:tblStyle w:val="5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59"/>
        <w:gridCol w:w="1604"/>
        <w:gridCol w:w="575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73" w:hRule="atLeast"/>
          <w:jc w:val="center"/>
        </w:trPr>
        <w:tc>
          <w:tcPr>
            <w:tcW w:w="680" w:type="pct"/>
            <w:vMerge w:val="restart"/>
            <w:vAlign w:val="center"/>
          </w:tcPr>
          <w:p>
            <w:pPr>
              <w:pStyle w:val="294"/>
            </w:pPr>
            <w:r>
              <w:t>污染物</w:t>
            </w:r>
          </w:p>
        </w:tc>
        <w:tc>
          <w:tcPr>
            <w:tcW w:w="941" w:type="pct"/>
            <w:vMerge w:val="restart"/>
            <w:vAlign w:val="center"/>
          </w:tcPr>
          <w:p>
            <w:pPr>
              <w:pStyle w:val="294"/>
            </w:pPr>
            <w:r>
              <w:t>无组织排放（周界外浓度最高点）/（mg/m</w:t>
            </w:r>
            <w:r>
              <w:rPr>
                <w:vertAlign w:val="superscript"/>
              </w:rPr>
              <w:t>3</w:t>
            </w:r>
            <w:r>
              <w:t>）</w:t>
            </w:r>
          </w:p>
        </w:tc>
        <w:tc>
          <w:tcPr>
            <w:tcW w:w="3379" w:type="pct"/>
            <w:vAlign w:val="center"/>
          </w:tcPr>
          <w:p>
            <w:pPr>
              <w:pStyle w:val="294"/>
            </w:pPr>
            <w:r>
              <w:t>有组织排放标准要求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868" w:hRule="atLeast"/>
          <w:jc w:val="center"/>
        </w:trPr>
        <w:tc>
          <w:tcPr>
            <w:tcW w:w="680" w:type="pct"/>
            <w:vMerge w:val="continue"/>
            <w:vAlign w:val="center"/>
          </w:tcPr>
          <w:p>
            <w:pPr>
              <w:pStyle w:val="294"/>
            </w:pPr>
          </w:p>
        </w:tc>
        <w:tc>
          <w:tcPr>
            <w:tcW w:w="941" w:type="pct"/>
            <w:vMerge w:val="continue"/>
            <w:vAlign w:val="center"/>
          </w:tcPr>
          <w:p>
            <w:pPr>
              <w:pStyle w:val="294"/>
            </w:pPr>
          </w:p>
        </w:tc>
        <w:tc>
          <w:tcPr>
            <w:tcW w:w="3379" w:type="pct"/>
            <w:vMerge w:val="restart"/>
            <w:vAlign w:val="center"/>
          </w:tcPr>
          <w:p>
            <w:pPr>
              <w:pStyle w:val="294"/>
            </w:pPr>
            <w:r>
              <w:t>a）非甲烷总烃排放浓度不超过120mg/m</w:t>
            </w:r>
            <w:r>
              <w:rPr>
                <w:vertAlign w:val="superscript"/>
              </w:rPr>
              <w:t>3</w:t>
            </w:r>
            <w:r>
              <w:t>；</w:t>
            </w:r>
          </w:p>
          <w:p>
            <w:pPr>
              <w:pStyle w:val="294"/>
            </w:pPr>
            <w:r>
              <w:t>b）生产装置和设施排气中非甲烷总烃初始排放速率≥3kg/h的，废气处理设施非甲烷总烃去除效率不低于80%。重点地区生产装置和设施排气中非甲烷总烃初始排放速率≥2kg/h的，废气处理设施非甲烷总烃去除效率不低于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0" w:type="pct"/>
            <w:vAlign w:val="center"/>
          </w:tcPr>
          <w:p>
            <w:pPr>
              <w:pStyle w:val="294"/>
            </w:pPr>
            <w:r>
              <w:t>NMHC</w:t>
            </w:r>
          </w:p>
        </w:tc>
        <w:tc>
          <w:tcPr>
            <w:tcW w:w="941" w:type="pct"/>
            <w:vAlign w:val="center"/>
          </w:tcPr>
          <w:p>
            <w:pPr>
              <w:pStyle w:val="294"/>
            </w:pPr>
            <w:r>
              <w:t>4.0</w:t>
            </w:r>
          </w:p>
        </w:tc>
        <w:tc>
          <w:tcPr>
            <w:tcW w:w="3379" w:type="pct"/>
            <w:vMerge w:val="continue"/>
            <w:vAlign w:val="center"/>
          </w:tcPr>
          <w:p>
            <w:pPr>
              <w:pStyle w:val="294"/>
            </w:pPr>
          </w:p>
        </w:tc>
      </w:tr>
    </w:tbl>
    <w:p>
      <w:pPr>
        <w:pStyle w:val="249"/>
        <w:ind w:firstLine="0" w:firstLineChars="0"/>
        <w:jc w:val="center"/>
        <w:rPr>
          <w:bCs/>
          <w:color w:val="000000" w:themeColor="text1"/>
          <w:szCs w:val="24"/>
          <w14:textFill>
            <w14:solidFill>
              <w14:schemeClr w14:val="tx1"/>
            </w14:solidFill>
          </w14:textFill>
        </w:rPr>
      </w:pPr>
      <w:r>
        <w:rPr>
          <w:rFonts w:hint="eastAsia"/>
          <w:color w:val="000000" w:themeColor="text1"/>
          <w14:textFill>
            <w14:solidFill>
              <w14:schemeClr w14:val="tx1"/>
            </w14:solidFill>
          </w14:textFill>
        </w:rPr>
        <w:t>表2.5-</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 xml:space="preserve"> </w:t>
      </w:r>
      <w:r>
        <w:rPr>
          <w:bCs/>
          <w:color w:val="000000" w:themeColor="text1"/>
          <w:szCs w:val="24"/>
          <w14:textFill>
            <w14:solidFill>
              <w14:schemeClr w14:val="tx1"/>
            </w14:solidFill>
          </w14:textFill>
        </w:rPr>
        <w:t>《锅炉大气污染物排放标准》（GB13271-2014）</w:t>
      </w:r>
    </w:p>
    <w:tbl>
      <w:tblPr>
        <w:tblStyle w:val="5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74"/>
        <w:gridCol w:w="3503"/>
        <w:gridCol w:w="28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76" w:type="pct"/>
            <w:vAlign w:val="center"/>
          </w:tcPr>
          <w:p>
            <w:pPr>
              <w:widowControl/>
              <w:adjustRightInd/>
              <w:spacing w:line="240" w:lineRule="auto"/>
              <w:ind w:firstLine="0" w:firstLineChars="0"/>
              <w:jc w:val="center"/>
              <w:rPr>
                <w:rFonts w:cs="Times New Roman"/>
                <w:bCs/>
                <w:color w:val="000000" w:themeColor="text1"/>
                <w:kern w:val="0"/>
                <w:sz w:val="21"/>
                <w:szCs w:val="21"/>
                <w:lang w:eastAsia="en-US"/>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污染物</w:t>
            </w:r>
          </w:p>
        </w:tc>
        <w:tc>
          <w:tcPr>
            <w:tcW w:w="2055" w:type="pct"/>
            <w:vAlign w:val="center"/>
          </w:tcPr>
          <w:p>
            <w:pPr>
              <w:widowControl/>
              <w:adjustRightInd/>
              <w:spacing w:line="240" w:lineRule="auto"/>
              <w:ind w:firstLine="0" w:firstLineChars="0"/>
              <w:jc w:val="center"/>
              <w:rPr>
                <w:rFonts w:cs="Times New Roman"/>
                <w:bCs/>
                <w:color w:val="000000" w:themeColor="text1"/>
                <w:kern w:val="0"/>
                <w:sz w:val="21"/>
                <w:szCs w:val="21"/>
                <w14:textFill>
                  <w14:solidFill>
                    <w14:schemeClr w14:val="tx1"/>
                  </w14:solidFill>
                </w14:textFill>
              </w:rPr>
            </w:pPr>
            <w:r>
              <w:rPr>
                <w:rFonts w:cs="Times New Roman"/>
                <w:bCs/>
                <w:color w:val="000000" w:themeColor="text1"/>
                <w:kern w:val="0"/>
                <w:sz w:val="21"/>
                <w:szCs w:val="21"/>
                <w14:textFill>
                  <w14:solidFill>
                    <w14:schemeClr w14:val="tx1"/>
                  </w14:solidFill>
                </w14:textFill>
              </w:rPr>
              <w:t>最高允许排放浓度（mg/m</w:t>
            </w:r>
            <w:r>
              <w:rPr>
                <w:rFonts w:cs="Times New Roman"/>
                <w:bCs/>
                <w:color w:val="000000" w:themeColor="text1"/>
                <w:kern w:val="0"/>
                <w:sz w:val="21"/>
                <w:szCs w:val="21"/>
                <w:vertAlign w:val="superscript"/>
                <w14:textFill>
                  <w14:solidFill>
                    <w14:schemeClr w14:val="tx1"/>
                  </w14:solidFill>
                </w14:textFill>
              </w:rPr>
              <w:t>3</w:t>
            </w:r>
            <w:r>
              <w:rPr>
                <w:rFonts w:cs="Times New Roman"/>
                <w:bCs/>
                <w:color w:val="000000" w:themeColor="text1"/>
                <w:kern w:val="0"/>
                <w:sz w:val="21"/>
                <w:szCs w:val="21"/>
                <w14:textFill>
                  <w14:solidFill>
                    <w14:schemeClr w14:val="tx1"/>
                  </w14:solidFill>
                </w14:textFill>
              </w:rPr>
              <w:t>）</w:t>
            </w:r>
          </w:p>
        </w:tc>
        <w:tc>
          <w:tcPr>
            <w:tcW w:w="1669" w:type="pct"/>
            <w:vAlign w:val="center"/>
          </w:tcPr>
          <w:p>
            <w:pPr>
              <w:widowControl/>
              <w:adjustRightInd/>
              <w:spacing w:line="240" w:lineRule="auto"/>
              <w:ind w:firstLine="0" w:firstLineChars="0"/>
              <w:jc w:val="center"/>
              <w:rPr>
                <w:rFonts w:cs="Times New Roman"/>
                <w:bCs/>
                <w:color w:val="000000" w:themeColor="text1"/>
                <w:kern w:val="0"/>
                <w:sz w:val="21"/>
                <w:szCs w:val="21"/>
                <w14:textFill>
                  <w14:solidFill>
                    <w14:schemeClr w14:val="tx1"/>
                  </w14:solidFill>
                </w14:textFill>
              </w:rPr>
            </w:pPr>
            <w:r>
              <w:rPr>
                <w:rFonts w:hint="eastAsia" w:cs="Times New Roman"/>
                <w:bCs/>
                <w:color w:val="000000" w:themeColor="text1"/>
                <w:kern w:val="0"/>
                <w:sz w:val="21"/>
                <w:szCs w:val="21"/>
                <w14:textFill>
                  <w14:solidFill>
                    <w14:schemeClr w14:val="tx1"/>
                  </w14:solidFill>
                </w14:textFill>
              </w:rPr>
              <w:t>污染物排放</w:t>
            </w:r>
            <w:r>
              <w:rPr>
                <w:rFonts w:cs="Times New Roman"/>
                <w:bCs/>
                <w:color w:val="000000" w:themeColor="text1"/>
                <w:kern w:val="0"/>
                <w:sz w:val="21"/>
                <w:szCs w:val="21"/>
                <w14:textFill>
                  <w14:solidFill>
                    <w14:schemeClr w14:val="tx1"/>
                  </w14:solidFill>
                </w14:textFill>
              </w:rPr>
              <w:t>监控位置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76" w:type="pct"/>
            <w:vAlign w:val="center"/>
          </w:tcPr>
          <w:p>
            <w:pPr>
              <w:widowControl/>
              <w:adjustRightIn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SO</w:t>
            </w:r>
            <w:r>
              <w:rPr>
                <w:rFonts w:cs="Times New Roman"/>
                <w:color w:val="000000" w:themeColor="text1"/>
                <w:kern w:val="0"/>
                <w:sz w:val="21"/>
                <w:szCs w:val="21"/>
                <w:vertAlign w:val="subscript"/>
                <w:lang w:eastAsia="en-US"/>
                <w14:textFill>
                  <w14:solidFill>
                    <w14:schemeClr w14:val="tx1"/>
                  </w14:solidFill>
                </w14:textFill>
              </w:rPr>
              <w:t>2</w:t>
            </w:r>
          </w:p>
        </w:tc>
        <w:tc>
          <w:tcPr>
            <w:tcW w:w="2055" w:type="pct"/>
            <w:vAlign w:val="center"/>
          </w:tcPr>
          <w:p>
            <w:pPr>
              <w:widowControl/>
              <w:adjustRightIn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50</w:t>
            </w:r>
          </w:p>
        </w:tc>
        <w:tc>
          <w:tcPr>
            <w:tcW w:w="1669" w:type="pct"/>
            <w:vMerge w:val="restart"/>
            <w:vAlign w:val="center"/>
          </w:tcPr>
          <w:p>
            <w:pPr>
              <w:widowControl/>
              <w:adjustRightIn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烟囱</w:t>
            </w:r>
            <w:r>
              <w:rPr>
                <w:rFonts w:cs="Times New Roman"/>
                <w:color w:val="000000" w:themeColor="text1"/>
                <w:kern w:val="0"/>
                <w:sz w:val="21"/>
                <w:szCs w:val="21"/>
                <w14:textFill>
                  <w14:solidFill>
                    <w14:schemeClr w14:val="tx1"/>
                  </w14:solidFill>
                </w14:textFill>
              </w:rPr>
              <w:t>或烟道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76" w:type="pct"/>
            <w:vAlign w:val="center"/>
          </w:tcPr>
          <w:p>
            <w:pPr>
              <w:widowControl/>
              <w:adjustRightIn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NO</w:t>
            </w:r>
            <w:r>
              <w:rPr>
                <w:rFonts w:cs="Times New Roman"/>
                <w:color w:val="000000" w:themeColor="text1"/>
                <w:kern w:val="0"/>
                <w:sz w:val="21"/>
                <w:szCs w:val="21"/>
                <w:vertAlign w:val="subscript"/>
                <w:lang w:eastAsia="en-US"/>
                <w14:textFill>
                  <w14:solidFill>
                    <w14:schemeClr w14:val="tx1"/>
                  </w14:solidFill>
                </w14:textFill>
              </w:rPr>
              <w:t>x</w:t>
            </w:r>
          </w:p>
        </w:tc>
        <w:tc>
          <w:tcPr>
            <w:tcW w:w="2055" w:type="pct"/>
            <w:vAlign w:val="center"/>
          </w:tcPr>
          <w:p>
            <w:pPr>
              <w:widowControl/>
              <w:adjustRightIn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200</w:t>
            </w:r>
          </w:p>
        </w:tc>
        <w:tc>
          <w:tcPr>
            <w:tcW w:w="1669" w:type="pct"/>
            <w:vMerge w:val="continue"/>
            <w:vAlign w:val="center"/>
          </w:tcPr>
          <w:p>
            <w:pPr>
              <w:widowControl/>
              <w:adjustRightIn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76" w:type="pct"/>
            <w:vAlign w:val="center"/>
          </w:tcPr>
          <w:p>
            <w:pPr>
              <w:widowControl/>
              <w:adjustRightIn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颗粒物</w:t>
            </w:r>
          </w:p>
        </w:tc>
        <w:tc>
          <w:tcPr>
            <w:tcW w:w="2055" w:type="pct"/>
            <w:vAlign w:val="center"/>
          </w:tcPr>
          <w:p>
            <w:pPr>
              <w:widowControl/>
              <w:adjustRightIn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20</w:t>
            </w:r>
          </w:p>
        </w:tc>
        <w:tc>
          <w:tcPr>
            <w:tcW w:w="1669" w:type="pct"/>
            <w:vMerge w:val="continue"/>
            <w:vAlign w:val="center"/>
          </w:tcPr>
          <w:p>
            <w:pPr>
              <w:widowControl/>
              <w:adjustRightIn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p>
        </w:tc>
      </w:tr>
    </w:tbl>
    <w:p>
      <w:pPr>
        <w:tabs>
          <w:tab w:val="left" w:pos="0"/>
        </w:tabs>
        <w:spacing w:before="163" w:beforeLines="5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（3）噪声</w:t>
      </w:r>
    </w:p>
    <w:bookmarkEnd w:id="50"/>
    <w:p>
      <w:pPr>
        <w:pStyle w:val="27"/>
        <w:ind w:firstLine="480"/>
        <w:rPr>
          <w:rFonts w:ascii="Times New Roman" w:hAnsi="Times New Roman"/>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项目施工期噪声执行《建筑施工场界环境噪声排放标准》（GB12523-2011），</w:t>
      </w:r>
      <w:r>
        <w:rPr>
          <w:rFonts w:ascii="Times New Roman" w:hAnsi="Times New Roman"/>
          <w:color w:val="000000" w:themeColor="text1"/>
          <w:szCs w:val="24"/>
          <w14:textFill>
            <w14:solidFill>
              <w14:schemeClr w14:val="tx1"/>
            </w14:solidFill>
          </w14:textFill>
        </w:rPr>
        <w:t>试采期</w:t>
      </w:r>
      <w:r>
        <w:rPr>
          <w:rFonts w:ascii="Times New Roman" w:hAnsi="Times New Roman"/>
          <w:bCs/>
          <w:snapToGrid w:val="0"/>
          <w:color w:val="000000" w:themeColor="text1"/>
          <w:szCs w:val="24"/>
          <w14:textFill>
            <w14:solidFill>
              <w14:schemeClr w14:val="tx1"/>
            </w14:solidFill>
          </w14:textFill>
        </w:rPr>
        <w:t>执</w:t>
      </w:r>
      <w:r>
        <w:rPr>
          <w:rFonts w:ascii="Times New Roman" w:hAnsi="Times New Roman"/>
          <w:color w:val="000000" w:themeColor="text1"/>
          <w:szCs w:val="24"/>
          <w14:textFill>
            <w14:solidFill>
              <w14:schemeClr w14:val="tx1"/>
            </w14:solidFill>
          </w14:textFill>
        </w:rPr>
        <w:t>行《工业企业厂界环境噪声排放标准》（GB12348-2008</w:t>
      </w:r>
      <w:r>
        <w:rPr>
          <w:rFonts w:ascii="Times New Roman" w:hAnsi="Times New Roman"/>
          <w:bCs/>
          <w:snapToGrid w:val="0"/>
          <w:color w:val="000000" w:themeColor="text1"/>
          <w:szCs w:val="24"/>
          <w14:textFill>
            <w14:solidFill>
              <w14:schemeClr w14:val="tx1"/>
            </w14:solidFill>
          </w14:textFill>
        </w:rPr>
        <w:t>）2类功能区标准，见表2.5-10</w:t>
      </w:r>
      <w:r>
        <w:rPr>
          <w:rFonts w:ascii="Times New Roman" w:hAnsi="Times New Roman"/>
          <w:color w:val="000000" w:themeColor="text1"/>
          <w:szCs w:val="24"/>
          <w14:textFill>
            <w14:solidFill>
              <w14:schemeClr w14:val="tx1"/>
            </w14:solidFill>
          </w14:textFill>
        </w:rPr>
        <w:t>。</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t>10 噪声污染物排放标准   单位：dB（A）</w:t>
      </w:r>
    </w:p>
    <w:tbl>
      <w:tblPr>
        <w:tblStyle w:val="52"/>
        <w:tblW w:w="82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32"/>
        <w:gridCol w:w="3686"/>
        <w:gridCol w:w="992"/>
        <w:gridCol w:w="1134"/>
        <w:gridCol w:w="117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32" w:type="dxa"/>
            <w:vAlign w:val="center"/>
          </w:tcPr>
          <w:p>
            <w:pPr>
              <w:pStyle w:val="294"/>
            </w:pPr>
            <w:r>
              <w:t>时段</w:t>
            </w:r>
          </w:p>
        </w:tc>
        <w:tc>
          <w:tcPr>
            <w:tcW w:w="3686" w:type="dxa"/>
            <w:vAlign w:val="center"/>
          </w:tcPr>
          <w:p>
            <w:pPr>
              <w:pStyle w:val="294"/>
            </w:pPr>
            <w:r>
              <w:t>标准名称及级（类）别</w:t>
            </w:r>
          </w:p>
        </w:tc>
        <w:tc>
          <w:tcPr>
            <w:tcW w:w="3304" w:type="dxa"/>
            <w:gridSpan w:val="3"/>
            <w:vAlign w:val="center"/>
          </w:tcPr>
          <w:p>
            <w:pPr>
              <w:pStyle w:val="294"/>
            </w:pPr>
            <w:r>
              <w:t>标准值（单位：dB（A））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32" w:type="dxa"/>
            <w:vMerge w:val="restart"/>
            <w:vAlign w:val="center"/>
          </w:tcPr>
          <w:p>
            <w:pPr>
              <w:pStyle w:val="294"/>
            </w:pPr>
            <w:r>
              <w:t>施工期</w:t>
            </w:r>
          </w:p>
        </w:tc>
        <w:tc>
          <w:tcPr>
            <w:tcW w:w="3686" w:type="dxa"/>
            <w:vMerge w:val="restart"/>
            <w:vAlign w:val="center"/>
          </w:tcPr>
          <w:p>
            <w:pPr>
              <w:pStyle w:val="294"/>
            </w:pPr>
            <w:r>
              <w:t>《建筑施工场界环境噪声排放标准》（GB12523-2011）</w:t>
            </w:r>
          </w:p>
        </w:tc>
        <w:tc>
          <w:tcPr>
            <w:tcW w:w="992" w:type="dxa"/>
            <w:vMerge w:val="restart"/>
            <w:vAlign w:val="center"/>
          </w:tcPr>
          <w:p>
            <w:pPr>
              <w:pStyle w:val="294"/>
            </w:pPr>
            <w:r>
              <w:t>场界</w:t>
            </w:r>
          </w:p>
        </w:tc>
        <w:tc>
          <w:tcPr>
            <w:tcW w:w="1134" w:type="dxa"/>
            <w:vAlign w:val="center"/>
          </w:tcPr>
          <w:p>
            <w:pPr>
              <w:pStyle w:val="294"/>
            </w:pPr>
            <w:r>
              <w:t>昼间</w:t>
            </w:r>
          </w:p>
        </w:tc>
        <w:tc>
          <w:tcPr>
            <w:tcW w:w="1178" w:type="dxa"/>
            <w:vAlign w:val="center"/>
          </w:tcPr>
          <w:p>
            <w:pPr>
              <w:pStyle w:val="294"/>
            </w:pPr>
            <w:r>
              <w:t>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32" w:type="dxa"/>
            <w:vMerge w:val="continue"/>
            <w:vAlign w:val="center"/>
          </w:tcPr>
          <w:p>
            <w:pPr>
              <w:pStyle w:val="294"/>
            </w:pPr>
          </w:p>
        </w:tc>
        <w:tc>
          <w:tcPr>
            <w:tcW w:w="3686" w:type="dxa"/>
            <w:vMerge w:val="continue"/>
            <w:vAlign w:val="center"/>
          </w:tcPr>
          <w:p>
            <w:pPr>
              <w:pStyle w:val="294"/>
            </w:pPr>
          </w:p>
        </w:tc>
        <w:tc>
          <w:tcPr>
            <w:tcW w:w="992" w:type="dxa"/>
            <w:vMerge w:val="continue"/>
            <w:vAlign w:val="center"/>
          </w:tcPr>
          <w:p>
            <w:pPr>
              <w:pStyle w:val="294"/>
            </w:pPr>
          </w:p>
        </w:tc>
        <w:tc>
          <w:tcPr>
            <w:tcW w:w="1134" w:type="dxa"/>
            <w:vAlign w:val="center"/>
          </w:tcPr>
          <w:p>
            <w:pPr>
              <w:pStyle w:val="294"/>
            </w:pPr>
            <w:r>
              <w:t>夜间</w:t>
            </w:r>
          </w:p>
        </w:tc>
        <w:tc>
          <w:tcPr>
            <w:tcW w:w="1178" w:type="dxa"/>
            <w:vAlign w:val="center"/>
          </w:tcPr>
          <w:p>
            <w:pPr>
              <w:pStyle w:val="294"/>
            </w:pPr>
            <w:r>
              <w:t>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32" w:type="dxa"/>
            <w:vMerge w:val="restart"/>
            <w:vAlign w:val="center"/>
          </w:tcPr>
          <w:p>
            <w:pPr>
              <w:pStyle w:val="294"/>
            </w:pPr>
            <w:r>
              <w:t>试采期</w:t>
            </w:r>
          </w:p>
        </w:tc>
        <w:tc>
          <w:tcPr>
            <w:tcW w:w="3686" w:type="dxa"/>
            <w:vMerge w:val="restart"/>
            <w:vAlign w:val="center"/>
          </w:tcPr>
          <w:p>
            <w:pPr>
              <w:pStyle w:val="294"/>
            </w:pPr>
            <w:r>
              <w:t>《工业企业厂界环境噪声排放标准》（GB12348-2008</w:t>
            </w:r>
            <w:r>
              <w:rPr>
                <w:bCs/>
              </w:rPr>
              <w:t>）2类标准</w:t>
            </w:r>
          </w:p>
        </w:tc>
        <w:tc>
          <w:tcPr>
            <w:tcW w:w="992" w:type="dxa"/>
            <w:vMerge w:val="restart"/>
            <w:vAlign w:val="center"/>
          </w:tcPr>
          <w:p>
            <w:pPr>
              <w:pStyle w:val="294"/>
            </w:pPr>
            <w:r>
              <w:t>场界</w:t>
            </w:r>
          </w:p>
        </w:tc>
        <w:tc>
          <w:tcPr>
            <w:tcW w:w="1134" w:type="dxa"/>
            <w:vAlign w:val="center"/>
          </w:tcPr>
          <w:p>
            <w:pPr>
              <w:pStyle w:val="294"/>
            </w:pPr>
            <w:r>
              <w:t>昼间</w:t>
            </w:r>
          </w:p>
        </w:tc>
        <w:tc>
          <w:tcPr>
            <w:tcW w:w="1178" w:type="dxa"/>
            <w:vAlign w:val="center"/>
          </w:tcPr>
          <w:p>
            <w:pPr>
              <w:pStyle w:val="294"/>
            </w:pPr>
            <w: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32" w:type="dxa"/>
            <w:vMerge w:val="continue"/>
            <w:vAlign w:val="center"/>
          </w:tcPr>
          <w:p>
            <w:pPr>
              <w:pStyle w:val="294"/>
            </w:pPr>
          </w:p>
        </w:tc>
        <w:tc>
          <w:tcPr>
            <w:tcW w:w="3686" w:type="dxa"/>
            <w:vMerge w:val="continue"/>
            <w:vAlign w:val="center"/>
          </w:tcPr>
          <w:p>
            <w:pPr>
              <w:pStyle w:val="294"/>
            </w:pPr>
          </w:p>
        </w:tc>
        <w:tc>
          <w:tcPr>
            <w:tcW w:w="992" w:type="dxa"/>
            <w:vMerge w:val="continue"/>
            <w:vAlign w:val="center"/>
          </w:tcPr>
          <w:p>
            <w:pPr>
              <w:pStyle w:val="294"/>
            </w:pPr>
          </w:p>
        </w:tc>
        <w:tc>
          <w:tcPr>
            <w:tcW w:w="1134" w:type="dxa"/>
            <w:vAlign w:val="center"/>
          </w:tcPr>
          <w:p>
            <w:pPr>
              <w:pStyle w:val="294"/>
            </w:pPr>
            <w:r>
              <w:t>夜间</w:t>
            </w:r>
          </w:p>
        </w:tc>
        <w:tc>
          <w:tcPr>
            <w:tcW w:w="1178" w:type="dxa"/>
            <w:vAlign w:val="center"/>
          </w:tcPr>
          <w:p>
            <w:pPr>
              <w:pStyle w:val="294"/>
            </w:pPr>
            <w:r>
              <w:t>50</w:t>
            </w:r>
          </w:p>
        </w:tc>
      </w:tr>
    </w:tbl>
    <w:p>
      <w:pPr>
        <w:tabs>
          <w:tab w:val="left" w:pos="0"/>
        </w:tabs>
        <w:spacing w:before="163" w:beforeLines="5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（4）固废</w:t>
      </w:r>
    </w:p>
    <w:bookmarkEnd w:id="51"/>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一般固体废物参照执行《一般工业固体废物贮存和填埋污染控制标准》（GB18599-2020）；危险废物执行《危险废物贮存污染控制标准》（GB18597-2023）和《危险废物环境管理指南 陆上石油天然气开采》。</w:t>
      </w:r>
    </w:p>
    <w:p>
      <w:pPr>
        <w:pStyle w:val="3"/>
      </w:pPr>
      <w:bookmarkStart w:id="52" w:name="_Toc164667011"/>
      <w:r>
        <w:rPr>
          <w:rFonts w:hint="eastAsia"/>
        </w:rPr>
        <w:t>2.6</w:t>
      </w:r>
      <w:r>
        <w:t>评价工作等级和评价范围</w:t>
      </w:r>
      <w:bookmarkEnd w:id="52"/>
    </w:p>
    <w:p>
      <w:pPr>
        <w:pStyle w:val="4"/>
        <w:ind w:firstLine="241"/>
        <w:rPr>
          <w:b w:val="0"/>
        </w:rPr>
      </w:pPr>
      <w:bookmarkStart w:id="53" w:name="_Toc120173070"/>
      <w:r>
        <w:t>2.6.1地表水环境</w:t>
      </w:r>
      <w:bookmarkEnd w:id="53"/>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（1）评价工作等级</w:t>
      </w:r>
    </w:p>
    <w:p>
      <w:pPr>
        <w:tabs>
          <w:tab w:val="left" w:pos="0"/>
        </w:tabs>
        <w:ind w:firstLine="480"/>
        <w:rPr>
          <w:rFonts w:cs="Times New Roman"/>
          <w:color w:val="000000" w:themeColor="text1"/>
          <w:szCs w:val="20"/>
          <w14:textFill>
            <w14:solidFill>
              <w14:schemeClr w14:val="tx1"/>
            </w14:solidFill>
          </w14:textFill>
        </w:rPr>
      </w:pPr>
      <w:r>
        <w:rPr>
          <w:rFonts w:hint="eastAsia" w:cs="Times New Roman"/>
          <w:color w:val="000000" w:themeColor="text1"/>
          <w:szCs w:val="20"/>
          <w14:textFill>
            <w14:solidFill>
              <w14:schemeClr w14:val="tx1"/>
            </w14:solidFill>
          </w14:textFill>
        </w:rPr>
        <w:t>根据《环境影响评价技术导则 陆地石油天然气开发建设项目》（HJ349-2023）地表水按照水污染影响型建设项目开展地表水评价，评价等级和评价范围依据HJ2.3的相关原则来确定。</w:t>
      </w:r>
    </w:p>
    <w:p>
      <w:pPr>
        <w:tabs>
          <w:tab w:val="left" w:pos="0"/>
        </w:tabs>
        <w:ind w:firstLine="480"/>
        <w:rPr>
          <w:rFonts w:cs="Times New Roman"/>
          <w:bCs/>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根据《环境影响评价技术导则 地表水环境》（HJ2.3-2018）中关于项目评价等级与评价范围的规定及工程分析，施工期间生活污水依托站场已建的厕所收集后由密闭罐车定期拉运至周边生活污水处理厂处理；</w:t>
      </w:r>
      <w:r>
        <w:rPr>
          <w:rFonts w:cs="Times New Roman"/>
          <w:bCs/>
          <w:color w:val="000000" w:themeColor="text1"/>
          <w:szCs w:val="20"/>
          <w14:textFill>
            <w14:solidFill>
              <w14:schemeClr w14:val="tx1"/>
            </w14:solidFill>
          </w14:textFill>
        </w:rPr>
        <w:t>钻前施工废水，沉淀后循环使用，不外排；钻井期间污水池收集的初期雨水、压裂返排液及洗井废水优先回用钻井工段，不能用回的用罐车拉运至赵家坝污水处理站处理达回注标准后管输至普光11井回注站回注。钻井废水预处理后</w:t>
      </w:r>
      <w:r>
        <w:rPr>
          <w:rFonts w:hint="eastAsia" w:cs="Times New Roman"/>
          <w:bCs/>
          <w:color w:val="000000" w:themeColor="text1"/>
          <w:szCs w:val="20"/>
          <w14:textFill>
            <w14:solidFill>
              <w14:schemeClr w14:val="tx1"/>
            </w14:solidFill>
          </w14:textFill>
        </w:rPr>
        <w:t>，</w:t>
      </w:r>
      <w:r>
        <w:rPr>
          <w:rFonts w:cs="Times New Roman"/>
          <w:bCs/>
          <w:color w:val="000000" w:themeColor="text1"/>
          <w:szCs w:val="20"/>
          <w14:textFill>
            <w14:solidFill>
              <w14:schemeClr w14:val="tx1"/>
            </w14:solidFill>
          </w14:textFill>
        </w:rPr>
        <w:t>由罐车拉运至赵家坝污水站处理达标后管输至普光11井回注站回注。</w:t>
      </w:r>
      <w:r>
        <w:rPr>
          <w:rFonts w:cs="Times New Roman"/>
          <w:color w:val="000000" w:themeColor="text1"/>
          <w:szCs w:val="20"/>
          <w14:textFill>
            <w14:solidFill>
              <w14:schemeClr w14:val="tx1"/>
            </w14:solidFill>
          </w14:textFill>
        </w:rPr>
        <w:t>本项目试采期普光3011-6井产气输至P3011采气站进行分酸、加热、三次节流后输送至已建P301集气站，在P301集气站内计量分离依托已建的集输管道外输至天然气净化厂。产生的气田水依托P3011采气站闲置酸液缓冲罐收集暂存，然后通过密闭罐车拉运至赵家坝污水处理站达到《气田水回注方法》（SY/T 6596-2016）中注入水基本要求后管输至普光11井回注站回注处理，不外排。拟建工程</w:t>
      </w:r>
      <w:r>
        <w:rPr>
          <w:rFonts w:cs="Times New Roman"/>
          <w:bCs/>
          <w:color w:val="000000" w:themeColor="text1"/>
          <w:szCs w:val="20"/>
          <w14:textFill>
            <w14:solidFill>
              <w14:schemeClr w14:val="tx1"/>
            </w14:solidFill>
          </w14:textFill>
        </w:rPr>
        <w:t>井台无人值守，运营期无生活污水产生。</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0"/>
          <w14:textFill>
            <w14:solidFill>
              <w14:schemeClr w14:val="tx1"/>
            </w14:solidFill>
          </w14:textFill>
        </w:rPr>
        <w:t>因此，本项目废水均不直接外排，根据</w:t>
      </w:r>
      <w:r>
        <w:rPr>
          <w:rFonts w:hint="eastAsia" w:cs="Times New Roman"/>
          <w:bCs/>
          <w:color w:val="000000" w:themeColor="text1"/>
          <w:szCs w:val="20"/>
          <w14:textFill>
            <w14:solidFill>
              <w14:schemeClr w14:val="tx1"/>
            </w14:solidFill>
          </w14:textFill>
        </w:rPr>
        <w:t>《环境影响评价技术导则 陆地石油天然气开发建设项目》（HJ349-2023）和</w:t>
      </w:r>
      <w:r>
        <w:rPr>
          <w:rFonts w:cs="Times New Roman"/>
          <w:bCs/>
          <w:color w:val="000000" w:themeColor="text1"/>
          <w:szCs w:val="20"/>
          <w14:textFill>
            <w14:solidFill>
              <w14:schemeClr w14:val="tx1"/>
            </w14:solidFill>
          </w14:textFill>
        </w:rPr>
        <w:t>《环境影响评价技术导则地表水环境》（HJ2.3-2018）判定地表水评价等级为三级B。</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2.6</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地表水水污染型建设项目评价工作等级分级</w:t>
      </w:r>
    </w:p>
    <w:tbl>
      <w:tblPr>
        <w:tblStyle w:val="52"/>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742"/>
        <w:gridCol w:w="2356"/>
        <w:gridCol w:w="312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vMerge w:val="restart"/>
            <w:tcBorders>
              <w:top w:val="single" w:color="auto" w:sz="12" w:space="0"/>
              <w:left w:val="single" w:color="auto" w:sz="12" w:space="0"/>
              <w:right w:val="single" w:color="auto" w:sz="4" w:space="0"/>
            </w:tcBorders>
            <w:vAlign w:val="center"/>
          </w:tcPr>
          <w:p>
            <w:pPr>
              <w:pStyle w:val="294"/>
            </w:pPr>
            <w:r>
              <w:t>评价等级</w:t>
            </w:r>
          </w:p>
        </w:tc>
        <w:tc>
          <w:tcPr>
            <w:tcW w:w="5480" w:type="dxa"/>
            <w:gridSpan w:val="2"/>
            <w:tcBorders>
              <w:top w:val="single" w:color="auto" w:sz="12" w:space="0"/>
              <w:left w:val="single" w:color="auto" w:sz="4" w:space="0"/>
              <w:bottom w:val="single" w:color="auto" w:sz="4" w:space="0"/>
              <w:right w:val="single" w:color="auto" w:sz="12" w:space="0"/>
            </w:tcBorders>
            <w:vAlign w:val="center"/>
          </w:tcPr>
          <w:p>
            <w:pPr>
              <w:pStyle w:val="294"/>
            </w:pPr>
            <w:r>
              <w:t>判定依据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vMerge w:val="continue"/>
            <w:tcBorders>
              <w:left w:val="single" w:color="auto" w:sz="12" w:space="0"/>
              <w:bottom w:val="single" w:color="auto" w:sz="4" w:space="0"/>
              <w:right w:val="single" w:color="auto" w:sz="4" w:space="0"/>
            </w:tcBorders>
            <w:vAlign w:val="center"/>
          </w:tcPr>
          <w:p>
            <w:pPr>
              <w:pStyle w:val="294"/>
            </w:pPr>
          </w:p>
        </w:tc>
        <w:tc>
          <w:tcPr>
            <w:tcW w:w="2356" w:type="dxa"/>
            <w:tcBorders>
              <w:top w:val="single" w:color="auto" w:sz="4" w:space="0"/>
              <w:left w:val="single" w:color="auto" w:sz="4" w:space="0"/>
              <w:bottom w:val="single" w:color="auto" w:sz="4" w:space="0"/>
              <w:right w:val="single" w:color="auto" w:sz="4" w:space="0"/>
            </w:tcBorders>
            <w:vAlign w:val="center"/>
          </w:tcPr>
          <w:p>
            <w:pPr>
              <w:pStyle w:val="294"/>
            </w:pPr>
            <w:r>
              <w:t>排放方式</w:t>
            </w:r>
          </w:p>
        </w:tc>
        <w:tc>
          <w:tcPr>
            <w:tcW w:w="3124" w:type="dxa"/>
            <w:tcBorders>
              <w:top w:val="single" w:color="auto" w:sz="4" w:space="0"/>
              <w:left w:val="single" w:color="auto" w:sz="4" w:space="0"/>
              <w:bottom w:val="single" w:color="auto" w:sz="4" w:space="0"/>
              <w:right w:val="single" w:color="auto" w:sz="12" w:space="0"/>
            </w:tcBorders>
            <w:vAlign w:val="center"/>
          </w:tcPr>
          <w:p>
            <w:pPr>
              <w:pStyle w:val="294"/>
              <w:rPr>
                <w:shd w:val="pct10" w:color="auto" w:fill="FFFFFF"/>
              </w:rPr>
            </w:pPr>
            <w:r>
              <w:t>废水排放量Q/（m</w:t>
            </w:r>
            <w:r>
              <w:rPr>
                <w:vertAlign w:val="superscript"/>
              </w:rPr>
              <w:t>3</w:t>
            </w:r>
            <w:r>
              <w:t>/d）；水污染物当量W/（无量纲）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tcBorders>
              <w:top w:val="single" w:color="auto" w:sz="4" w:space="0"/>
              <w:left w:val="single" w:color="auto" w:sz="12" w:space="0"/>
              <w:bottom w:val="single" w:color="auto" w:sz="4" w:space="0"/>
              <w:right w:val="single" w:color="auto" w:sz="4" w:space="0"/>
            </w:tcBorders>
            <w:vAlign w:val="center"/>
          </w:tcPr>
          <w:p>
            <w:pPr>
              <w:pStyle w:val="294"/>
            </w:pPr>
            <w:r>
              <w:t>一级</w:t>
            </w:r>
          </w:p>
        </w:tc>
        <w:tc>
          <w:tcPr>
            <w:tcW w:w="2356" w:type="dxa"/>
            <w:tcBorders>
              <w:top w:val="single" w:color="auto" w:sz="4" w:space="0"/>
              <w:left w:val="single" w:color="auto" w:sz="4" w:space="0"/>
              <w:bottom w:val="single" w:color="auto" w:sz="4" w:space="0"/>
              <w:right w:val="single" w:color="auto" w:sz="4" w:space="0"/>
            </w:tcBorders>
            <w:vAlign w:val="center"/>
          </w:tcPr>
          <w:p>
            <w:pPr>
              <w:pStyle w:val="294"/>
            </w:pPr>
            <w:r>
              <w:t>直接排放</w:t>
            </w:r>
          </w:p>
        </w:tc>
        <w:tc>
          <w:tcPr>
            <w:tcW w:w="3124" w:type="dxa"/>
            <w:tcBorders>
              <w:top w:val="single" w:color="auto" w:sz="4" w:space="0"/>
              <w:left w:val="single" w:color="auto" w:sz="4" w:space="0"/>
              <w:bottom w:val="single" w:color="auto" w:sz="4" w:space="0"/>
              <w:right w:val="single" w:color="auto" w:sz="12" w:space="0"/>
            </w:tcBorders>
            <w:vAlign w:val="center"/>
          </w:tcPr>
          <w:p>
            <w:pPr>
              <w:pStyle w:val="294"/>
            </w:pPr>
            <w:r>
              <w:t>Q≥20000或W≥600000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tcBorders>
              <w:top w:val="single" w:color="auto" w:sz="4" w:space="0"/>
              <w:left w:val="single" w:color="auto" w:sz="12" w:space="0"/>
              <w:bottom w:val="single" w:color="auto" w:sz="4" w:space="0"/>
              <w:right w:val="single" w:color="auto" w:sz="4" w:space="0"/>
            </w:tcBorders>
            <w:vAlign w:val="center"/>
          </w:tcPr>
          <w:p>
            <w:pPr>
              <w:pStyle w:val="294"/>
            </w:pPr>
            <w:r>
              <w:t>二级</w:t>
            </w:r>
          </w:p>
        </w:tc>
        <w:tc>
          <w:tcPr>
            <w:tcW w:w="2356" w:type="dxa"/>
            <w:tcBorders>
              <w:top w:val="single" w:color="auto" w:sz="4" w:space="0"/>
              <w:left w:val="single" w:color="auto" w:sz="4" w:space="0"/>
              <w:bottom w:val="single" w:color="auto" w:sz="4" w:space="0"/>
              <w:right w:val="single" w:color="auto" w:sz="4" w:space="0"/>
            </w:tcBorders>
            <w:vAlign w:val="center"/>
          </w:tcPr>
          <w:p>
            <w:pPr>
              <w:pStyle w:val="294"/>
            </w:pPr>
            <w:r>
              <w:t>直接排放</w:t>
            </w:r>
          </w:p>
        </w:tc>
        <w:tc>
          <w:tcPr>
            <w:tcW w:w="3124" w:type="dxa"/>
            <w:tcBorders>
              <w:top w:val="single" w:color="auto" w:sz="4" w:space="0"/>
              <w:left w:val="single" w:color="auto" w:sz="4" w:space="0"/>
              <w:bottom w:val="single" w:color="auto" w:sz="4" w:space="0"/>
              <w:right w:val="single" w:color="auto" w:sz="12" w:space="0"/>
            </w:tcBorders>
            <w:vAlign w:val="center"/>
          </w:tcPr>
          <w:p>
            <w:pPr>
              <w:pStyle w:val="294"/>
            </w:pPr>
            <w:r>
              <w:t>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tcBorders>
              <w:top w:val="single" w:color="auto" w:sz="4" w:space="0"/>
              <w:left w:val="single" w:color="auto" w:sz="12" w:space="0"/>
              <w:bottom w:val="single" w:color="auto" w:sz="4" w:space="0"/>
              <w:right w:val="single" w:color="auto" w:sz="4" w:space="0"/>
            </w:tcBorders>
            <w:vAlign w:val="center"/>
          </w:tcPr>
          <w:p>
            <w:pPr>
              <w:pStyle w:val="294"/>
            </w:pPr>
            <w:r>
              <w:t>三级A</w:t>
            </w:r>
          </w:p>
        </w:tc>
        <w:tc>
          <w:tcPr>
            <w:tcW w:w="2356" w:type="dxa"/>
            <w:tcBorders>
              <w:top w:val="single" w:color="auto" w:sz="4" w:space="0"/>
              <w:left w:val="single" w:color="auto" w:sz="4" w:space="0"/>
              <w:bottom w:val="single" w:color="auto" w:sz="4" w:space="0"/>
              <w:right w:val="single" w:color="auto" w:sz="4" w:space="0"/>
            </w:tcBorders>
            <w:vAlign w:val="center"/>
          </w:tcPr>
          <w:p>
            <w:pPr>
              <w:pStyle w:val="294"/>
            </w:pPr>
            <w:r>
              <w:t>直接排放</w:t>
            </w:r>
          </w:p>
        </w:tc>
        <w:tc>
          <w:tcPr>
            <w:tcW w:w="3124" w:type="dxa"/>
            <w:tcBorders>
              <w:top w:val="single" w:color="auto" w:sz="4" w:space="0"/>
              <w:left w:val="single" w:color="auto" w:sz="4" w:space="0"/>
              <w:bottom w:val="single" w:color="auto" w:sz="4" w:space="0"/>
              <w:right w:val="single" w:color="auto" w:sz="12" w:space="0"/>
            </w:tcBorders>
            <w:vAlign w:val="center"/>
          </w:tcPr>
          <w:p>
            <w:pPr>
              <w:pStyle w:val="294"/>
            </w:pPr>
            <w:r>
              <w:t>Q＜200或W＜6000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tcBorders>
              <w:top w:val="single" w:color="auto" w:sz="4" w:space="0"/>
              <w:left w:val="single" w:color="auto" w:sz="12" w:space="0"/>
              <w:bottom w:val="single" w:color="auto" w:sz="12" w:space="0"/>
              <w:right w:val="single" w:color="auto" w:sz="4" w:space="0"/>
            </w:tcBorders>
            <w:vAlign w:val="center"/>
          </w:tcPr>
          <w:p>
            <w:pPr>
              <w:pStyle w:val="294"/>
            </w:pPr>
            <w:r>
              <w:t>三级B</w:t>
            </w:r>
          </w:p>
        </w:tc>
        <w:tc>
          <w:tcPr>
            <w:tcW w:w="2356" w:type="dxa"/>
            <w:tcBorders>
              <w:top w:val="single" w:color="auto" w:sz="4" w:space="0"/>
              <w:left w:val="single" w:color="auto" w:sz="4" w:space="0"/>
              <w:bottom w:val="single" w:color="auto" w:sz="12" w:space="0"/>
              <w:right w:val="single" w:color="auto" w:sz="4" w:space="0"/>
            </w:tcBorders>
            <w:vAlign w:val="center"/>
          </w:tcPr>
          <w:p>
            <w:pPr>
              <w:pStyle w:val="294"/>
            </w:pPr>
            <w:r>
              <w:t>间接排放</w:t>
            </w:r>
          </w:p>
        </w:tc>
        <w:tc>
          <w:tcPr>
            <w:tcW w:w="3124" w:type="dxa"/>
            <w:tcBorders>
              <w:top w:val="single" w:color="auto" w:sz="4" w:space="0"/>
              <w:left w:val="single" w:color="auto" w:sz="4" w:space="0"/>
              <w:bottom w:val="single" w:color="auto" w:sz="12" w:space="0"/>
              <w:right w:val="single" w:color="auto" w:sz="12" w:space="0"/>
            </w:tcBorders>
            <w:vAlign w:val="center"/>
          </w:tcPr>
          <w:p>
            <w:pPr>
              <w:pStyle w:val="294"/>
            </w:pPr>
            <w:r>
              <w:t>——</w:t>
            </w:r>
          </w:p>
        </w:tc>
      </w:tr>
    </w:tbl>
    <w:p>
      <w:pPr>
        <w:tabs>
          <w:tab w:val="left" w:pos="0"/>
        </w:tabs>
        <w:spacing w:before="163" w:beforeLines="5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（2）评价范围</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w:t>
      </w:r>
      <w:r>
        <w:rPr>
          <w:rFonts w:hint="eastAsia" w:cs="Times New Roman"/>
          <w:bCs/>
          <w:color w:val="000000" w:themeColor="text1"/>
          <w:szCs w:val="24"/>
          <w14:textFill>
            <w14:solidFill>
              <w14:schemeClr w14:val="tx1"/>
            </w14:solidFill>
          </w14:textFill>
        </w:rPr>
        <w:t>《环境影响评价技术导则 陆地石油天然气开发建设项目》（HJ349-2023）中第7.3条和</w:t>
      </w:r>
      <w:r>
        <w:rPr>
          <w:rFonts w:cs="Times New Roman"/>
          <w:bCs/>
          <w:color w:val="000000" w:themeColor="text1"/>
          <w:szCs w:val="24"/>
          <w14:textFill>
            <w14:solidFill>
              <w14:schemeClr w14:val="tx1"/>
            </w14:solidFill>
          </w14:textFill>
        </w:rPr>
        <w:t>《环境影响评价技术导则 地表水环境》（HJ2.3-2018）中第5.3.2.2条规定，并结合项目实际情况，本次环评地表水环境影响评价不作预测评价，仅对污、废水的产生情况和气田水依托可行性等进行</w:t>
      </w:r>
      <w:r>
        <w:rPr>
          <w:rFonts w:hint="eastAsia" w:cs="Times New Roman"/>
          <w:bCs/>
          <w:color w:val="000000" w:themeColor="text1"/>
          <w:szCs w:val="24"/>
          <w14:textFill>
            <w14:solidFill>
              <w14:schemeClr w14:val="tx1"/>
            </w14:solidFill>
          </w14:textFill>
        </w:rPr>
        <w:t>分析</w:t>
      </w:r>
      <w:r>
        <w:rPr>
          <w:rFonts w:cs="Times New Roman"/>
          <w:bCs/>
          <w:color w:val="000000" w:themeColor="text1"/>
          <w:szCs w:val="24"/>
          <w14:textFill>
            <w14:solidFill>
              <w14:schemeClr w14:val="tx1"/>
            </w14:solidFill>
          </w14:textFill>
        </w:rPr>
        <w:t>，并进行简单的环境影响分析。</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因此，</w:t>
      </w:r>
      <w:r>
        <w:rPr>
          <w:rFonts w:hint="eastAsia" w:cs="Times New Roman"/>
          <w:bCs/>
          <w:color w:val="000000" w:themeColor="text1"/>
          <w:szCs w:val="24"/>
          <w14:textFill>
            <w14:solidFill>
              <w14:schemeClr w14:val="tx1"/>
            </w14:solidFill>
          </w14:textFill>
        </w:rPr>
        <w:t>地表水评价范围应满足其依托污水处理设施环境可行性分析的要求</w:t>
      </w:r>
      <w:r>
        <w:rPr>
          <w:rFonts w:cs="Times New Roman"/>
          <w:bCs/>
          <w:color w:val="000000" w:themeColor="text1"/>
          <w:szCs w:val="24"/>
          <w14:textFill>
            <w14:solidFill>
              <w14:schemeClr w14:val="tx1"/>
            </w14:solidFill>
          </w14:textFill>
        </w:rPr>
        <w:t>。</w:t>
      </w:r>
    </w:p>
    <w:p>
      <w:pPr>
        <w:pStyle w:val="4"/>
        <w:ind w:firstLine="241"/>
        <w:rPr>
          <w:b w:val="0"/>
        </w:rPr>
      </w:pPr>
      <w:bookmarkStart w:id="54" w:name="_Toc120173071"/>
      <w:r>
        <w:rPr>
          <w:rFonts w:hint="eastAsia"/>
        </w:rPr>
        <w:t>2.6.2</w:t>
      </w:r>
      <w:r>
        <w:t>地下水环境</w:t>
      </w:r>
      <w:bookmarkEnd w:id="54"/>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（1）评价工作等级</w:t>
      </w:r>
    </w:p>
    <w:p>
      <w:pPr>
        <w:tabs>
          <w:tab w:val="left" w:pos="0"/>
        </w:tabs>
        <w:ind w:firstLine="480"/>
        <w:rPr>
          <w:rFonts w:cs="Times New Roman"/>
          <w:bCs/>
          <w:color w:val="000000" w:themeColor="text1"/>
          <w:szCs w:val="24"/>
          <w14:textFill>
            <w14:solidFill>
              <w14:schemeClr w14:val="tx1"/>
            </w14:solidFill>
          </w14:textFill>
        </w:rPr>
      </w:pPr>
      <w:r>
        <w:rPr>
          <w:rFonts w:hint="eastAsia" w:cs="Times New Roman"/>
          <w:bCs/>
          <w:color w:val="000000" w:themeColor="text1"/>
          <w:szCs w:val="24"/>
          <w14:textFill>
            <w14:solidFill>
              <w14:schemeClr w14:val="tx1"/>
            </w14:solidFill>
          </w14:textFill>
        </w:rPr>
        <w:t>根据《环境影响评价技术导则 陆地石油天然气开发建设项目》（HJ349-2023）地表水环境评价等级和评价范围依据HJ610的相关原则来确定。</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根据《环境影响评价导则-地下水环境》（HJ610-2016），评价工作等级的划分应依据建设项目行业分类和地下水环境敏感程度分级进行判定，具体如下：</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1）建设项目行业分类</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本项目属天然气试采项目，根据《环境影响评价导则-地下水环境》（HJ 610-2016）附录A地下水环境影响评价行业分类表，本项目属其中“天然气、页岩气开采（含净化）”，属于II类建设项目。</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2）建设项目地下水环境敏感程度</w:t>
      </w:r>
    </w:p>
    <w:p>
      <w:pPr>
        <w:tabs>
          <w:tab w:val="left" w:pos="0"/>
        </w:tabs>
        <w:ind w:firstLine="480"/>
        <w:rPr>
          <w:rFonts w:cs="Times New Roman"/>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建设项目地下水环境敏感程度可分为敏感、较敏感、不敏感三级，分级原则见表2.6-2。</w:t>
      </w:r>
    </w:p>
    <w:p>
      <w:pPr>
        <w:pStyle w:val="249"/>
        <w:ind w:firstLine="0" w:firstLineChars="0"/>
        <w:jc w:val="center"/>
        <w:rPr>
          <w:color w:val="000000" w:themeColor="text1"/>
          <w14:textFill>
            <w14:solidFill>
              <w14:schemeClr w14:val="tx1"/>
            </w14:solidFill>
          </w14:textFill>
        </w:rPr>
      </w:pPr>
    </w:p>
    <w:p>
      <w:pPr>
        <w:pStyle w:val="249"/>
        <w:ind w:firstLine="0" w:firstLineChars="0"/>
        <w:jc w:val="center"/>
        <w:rPr>
          <w:color w:val="000000" w:themeColor="text1"/>
          <w14:textFill>
            <w14:solidFill>
              <w14:schemeClr w14:val="tx1"/>
            </w14:solidFill>
          </w14:textFill>
        </w:rPr>
      </w:pPr>
    </w:p>
    <w:p>
      <w:pPr>
        <w:pStyle w:val="249"/>
        <w:ind w:firstLine="0" w:firstLineChars="0"/>
        <w:jc w:val="center"/>
        <w:rPr>
          <w:color w:val="000000" w:themeColor="text1"/>
          <w14:textFill>
            <w14:solidFill>
              <w14:schemeClr w14:val="tx1"/>
            </w14:solidFill>
          </w14:textFill>
        </w:rPr>
      </w:pPr>
    </w:p>
    <w:p>
      <w:pPr>
        <w:pStyle w:val="249"/>
        <w:ind w:firstLine="0" w:firstLineChars="0"/>
        <w:jc w:val="center"/>
        <w:rPr>
          <w:color w:val="000000" w:themeColor="text1"/>
          <w14:textFill>
            <w14:solidFill>
              <w14:schemeClr w14:val="tx1"/>
            </w14:solidFill>
          </w14:textFill>
        </w:rPr>
      </w:pP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2.6</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地下水环境敏感程度分级</w:t>
      </w:r>
    </w:p>
    <w:tbl>
      <w:tblPr>
        <w:tblStyle w:val="52"/>
        <w:tblW w:w="82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51"/>
        <w:gridCol w:w="4231"/>
        <w:gridCol w:w="28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151" w:type="dxa"/>
            <w:vAlign w:val="center"/>
          </w:tcPr>
          <w:p>
            <w:pPr>
              <w:pStyle w:val="294"/>
            </w:pPr>
            <w:r>
              <w:t>分级</w:t>
            </w:r>
          </w:p>
        </w:tc>
        <w:tc>
          <w:tcPr>
            <w:tcW w:w="4231" w:type="dxa"/>
            <w:vAlign w:val="center"/>
          </w:tcPr>
          <w:p>
            <w:pPr>
              <w:pStyle w:val="294"/>
            </w:pPr>
            <w:r>
              <w:t>项目场地的地下水环境敏感特征</w:t>
            </w:r>
          </w:p>
        </w:tc>
        <w:tc>
          <w:tcPr>
            <w:tcW w:w="2840" w:type="dxa"/>
            <w:vAlign w:val="center"/>
          </w:tcPr>
          <w:p>
            <w:pPr>
              <w:pStyle w:val="294"/>
            </w:pPr>
            <w:r>
              <w:t>本工程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1" w:type="dxa"/>
            <w:vAlign w:val="center"/>
          </w:tcPr>
          <w:p>
            <w:pPr>
              <w:pStyle w:val="294"/>
            </w:pPr>
            <w:r>
              <w:t>敏感</w:t>
            </w:r>
          </w:p>
        </w:tc>
        <w:tc>
          <w:tcPr>
            <w:tcW w:w="4231" w:type="dxa"/>
            <w:vAlign w:val="center"/>
          </w:tcPr>
          <w:p>
            <w:pPr>
              <w:pStyle w:val="294"/>
            </w:pPr>
            <w:r>
              <w:t>集中式饮用水源地（包括已建成的在用、备用、应急水源地，在建和规划的水源地）准保护区；除集中式饮用水源地以外的国家或地方政府设定的与地下水环境相关的其它保护区，如热水、矿泉水、温泉等特殊地下水资源保护区</w:t>
            </w:r>
          </w:p>
        </w:tc>
        <w:tc>
          <w:tcPr>
            <w:tcW w:w="2840" w:type="dxa"/>
            <w:vMerge w:val="restart"/>
            <w:vAlign w:val="center"/>
          </w:tcPr>
          <w:p>
            <w:pPr>
              <w:pStyle w:val="294"/>
            </w:pPr>
            <w:r>
              <w:t>根据调查，本项目未位于集中式饮用水源保护区和补给径流区内，也不涉及地下水环境相关的其它保护区和分布区；根据现场问询与调查，评价范围内农户饮水均为山泉水，</w:t>
            </w:r>
            <w:r>
              <w:rPr>
                <w:rFonts w:hint="eastAsia"/>
                <w:bCs/>
                <w:szCs w:val="24"/>
              </w:rPr>
              <w:t>各居民点处均修建有蓄水池，通过管道将山泉水从山上引至蓄水池中，然后</w:t>
            </w:r>
            <w:r>
              <w:rPr>
                <w:bCs/>
                <w:szCs w:val="24"/>
              </w:rPr>
              <w:t>分散供周边居民使用</w:t>
            </w:r>
            <w:r>
              <w:t>，平均约</w:t>
            </w:r>
            <w:r>
              <w:rPr>
                <w:rFonts w:hint="eastAsia"/>
              </w:rPr>
              <w:t>5</w:t>
            </w:r>
            <w:r>
              <w:t>~</w:t>
            </w:r>
            <w:r>
              <w:rPr>
                <w:rFonts w:hint="eastAsia"/>
              </w:rPr>
              <w:t>20</w:t>
            </w:r>
            <w:r>
              <w:t>户使用1处泉水。因此，评价区地下水环境敏感程度为</w:t>
            </w:r>
            <w:r>
              <w:rPr>
                <w:b/>
                <w:bCs/>
              </w:rPr>
              <w:t>“较敏感”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1" w:type="dxa"/>
            <w:vAlign w:val="center"/>
          </w:tcPr>
          <w:p>
            <w:pPr>
              <w:pStyle w:val="294"/>
            </w:pPr>
            <w:r>
              <w:t>较敏感（√）</w:t>
            </w:r>
          </w:p>
        </w:tc>
        <w:tc>
          <w:tcPr>
            <w:tcW w:w="4231" w:type="dxa"/>
            <w:vAlign w:val="center"/>
          </w:tcPr>
          <w:p>
            <w:pPr>
              <w:pStyle w:val="294"/>
            </w:pPr>
            <w:r>
              <w:t>集中式饮用水源地（包括已建成的在用、备用、应急水源地，在建和规划的水源地）准保护区以外的补给径流区；</w:t>
            </w:r>
            <w:r>
              <w:rPr>
                <w:bCs/>
              </w:rPr>
              <w:t>未划定准保护区的集中式饮用水源地，</w:t>
            </w:r>
            <w:r>
              <w:t>其保护区以外的补给径流区；分散式饮用水源地；特殊地下水资源（如矿泉水、温泉等）保护区以外的分布区以及分散居民饮用水源等其它未列入上述敏感分级的环境敏感区</w:t>
            </w:r>
          </w:p>
        </w:tc>
        <w:tc>
          <w:tcPr>
            <w:tcW w:w="2840"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1" w:type="dxa"/>
            <w:vAlign w:val="center"/>
          </w:tcPr>
          <w:p>
            <w:pPr>
              <w:pStyle w:val="294"/>
              <w:rPr>
                <w:u w:val="single"/>
              </w:rPr>
            </w:pPr>
            <w:r>
              <w:t>不敏感</w:t>
            </w:r>
          </w:p>
        </w:tc>
        <w:tc>
          <w:tcPr>
            <w:tcW w:w="4231" w:type="dxa"/>
            <w:vAlign w:val="center"/>
          </w:tcPr>
          <w:p>
            <w:pPr>
              <w:pStyle w:val="294"/>
            </w:pPr>
            <w:r>
              <w:t>上述地区之外的其它地区</w:t>
            </w:r>
          </w:p>
        </w:tc>
        <w:tc>
          <w:tcPr>
            <w:tcW w:w="2840" w:type="dxa"/>
            <w:vMerge w:val="continue"/>
            <w:vAlign w:val="center"/>
          </w:tcPr>
          <w:p>
            <w:pPr>
              <w:pStyle w:val="294"/>
            </w:pPr>
          </w:p>
        </w:tc>
      </w:tr>
    </w:tbl>
    <w:p>
      <w:pPr>
        <w:tabs>
          <w:tab w:val="left" w:pos="0"/>
        </w:tabs>
        <w:spacing w:before="163" w:beforeLines="5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3）地下水评价等级确定</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 xml:space="preserve">表 </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2.6</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地下水评价工作等级分级</w:t>
      </w:r>
    </w:p>
    <w:tbl>
      <w:tblPr>
        <w:tblStyle w:val="52"/>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056"/>
        <w:gridCol w:w="2056"/>
        <w:gridCol w:w="2055"/>
        <w:gridCol w:w="20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056" w:type="dxa"/>
            <w:tcBorders>
              <w:top w:val="single" w:color="auto" w:sz="12" w:space="0"/>
              <w:left w:val="single" w:color="auto" w:sz="12" w:space="0"/>
              <w:bottom w:val="single" w:color="auto" w:sz="4" w:space="0"/>
              <w:right w:val="single" w:color="auto" w:sz="4" w:space="0"/>
              <w:tl2br w:val="single" w:color="auto" w:sz="4" w:space="0"/>
            </w:tcBorders>
            <w:vAlign w:val="center"/>
          </w:tcPr>
          <w:p>
            <w:pPr>
              <w:pStyle w:val="294"/>
            </w:pPr>
            <w:r>
              <w:t>项目类别</w:t>
            </w:r>
          </w:p>
          <w:p>
            <w:pPr>
              <w:pStyle w:val="294"/>
            </w:pPr>
            <w:r>
              <w:t>环境敏感程度</w:t>
            </w:r>
          </w:p>
        </w:tc>
        <w:tc>
          <w:tcPr>
            <w:tcW w:w="2056" w:type="dxa"/>
            <w:tcBorders>
              <w:top w:val="single" w:color="auto" w:sz="12" w:space="0"/>
              <w:left w:val="single" w:color="auto" w:sz="4" w:space="0"/>
              <w:bottom w:val="single" w:color="auto" w:sz="4" w:space="0"/>
              <w:right w:val="single" w:color="auto" w:sz="4" w:space="0"/>
            </w:tcBorders>
            <w:vAlign w:val="center"/>
          </w:tcPr>
          <w:p>
            <w:pPr>
              <w:pStyle w:val="294"/>
            </w:pPr>
            <w:r>
              <w:fldChar w:fldCharType="begin"/>
            </w:r>
            <w:r>
              <w:instrText xml:space="preserve"> = 1 \* ROMAN </w:instrText>
            </w:r>
            <w:r>
              <w:fldChar w:fldCharType="separate"/>
            </w:r>
            <w:r>
              <w:t>I</w:t>
            </w:r>
            <w:r>
              <w:fldChar w:fldCharType="end"/>
            </w:r>
            <w:r>
              <w:t>类项目</w:t>
            </w:r>
          </w:p>
        </w:tc>
        <w:tc>
          <w:tcPr>
            <w:tcW w:w="2055" w:type="dxa"/>
            <w:tcBorders>
              <w:top w:val="single" w:color="auto" w:sz="12" w:space="0"/>
              <w:left w:val="single" w:color="auto" w:sz="4" w:space="0"/>
              <w:bottom w:val="single" w:color="auto" w:sz="4" w:space="0"/>
              <w:right w:val="single" w:color="auto" w:sz="4" w:space="0"/>
            </w:tcBorders>
            <w:vAlign w:val="center"/>
          </w:tcPr>
          <w:p>
            <w:pPr>
              <w:pStyle w:val="294"/>
            </w:pPr>
            <w:r>
              <w:fldChar w:fldCharType="begin"/>
            </w:r>
            <w:r>
              <w:instrText xml:space="preserve"> = 2 \* ROMAN </w:instrText>
            </w:r>
            <w:r>
              <w:fldChar w:fldCharType="separate"/>
            </w:r>
            <w:r>
              <w:t>II</w:t>
            </w:r>
            <w:r>
              <w:fldChar w:fldCharType="end"/>
            </w:r>
            <w:r>
              <w:t>类项目</w:t>
            </w:r>
          </w:p>
        </w:tc>
        <w:tc>
          <w:tcPr>
            <w:tcW w:w="2055" w:type="dxa"/>
            <w:tcBorders>
              <w:top w:val="single" w:color="auto" w:sz="12" w:space="0"/>
              <w:left w:val="single" w:color="auto" w:sz="4" w:space="0"/>
              <w:bottom w:val="single" w:color="auto" w:sz="4" w:space="0"/>
              <w:right w:val="single" w:color="auto" w:sz="12" w:space="0"/>
            </w:tcBorders>
            <w:vAlign w:val="center"/>
          </w:tcPr>
          <w:p>
            <w:pPr>
              <w:pStyle w:val="294"/>
            </w:pPr>
            <w:r>
              <w:fldChar w:fldCharType="begin"/>
            </w:r>
            <w:r>
              <w:instrText xml:space="preserve"> = 3 \* ROMAN </w:instrText>
            </w:r>
            <w:r>
              <w:fldChar w:fldCharType="separate"/>
            </w:r>
            <w:r>
              <w:t>III</w:t>
            </w:r>
            <w:r>
              <w:fldChar w:fldCharType="end"/>
            </w:r>
            <w:r>
              <w:t>类项目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056" w:type="dxa"/>
            <w:tcBorders>
              <w:top w:val="single" w:color="auto" w:sz="4" w:space="0"/>
              <w:left w:val="single" w:color="auto" w:sz="12" w:space="0"/>
              <w:bottom w:val="single" w:color="auto" w:sz="4" w:space="0"/>
              <w:right w:val="single" w:color="auto" w:sz="4" w:space="0"/>
            </w:tcBorders>
            <w:vAlign w:val="center"/>
          </w:tcPr>
          <w:p>
            <w:pPr>
              <w:pStyle w:val="294"/>
            </w:pPr>
            <w:r>
              <w:t>敏感</w:t>
            </w:r>
          </w:p>
        </w:tc>
        <w:tc>
          <w:tcPr>
            <w:tcW w:w="2056" w:type="dxa"/>
            <w:tcBorders>
              <w:top w:val="single" w:color="auto" w:sz="4" w:space="0"/>
              <w:left w:val="single" w:color="auto" w:sz="4" w:space="0"/>
              <w:bottom w:val="single" w:color="auto" w:sz="4" w:space="0"/>
              <w:right w:val="single" w:color="auto" w:sz="4" w:space="0"/>
            </w:tcBorders>
            <w:vAlign w:val="center"/>
          </w:tcPr>
          <w:p>
            <w:pPr>
              <w:pStyle w:val="294"/>
            </w:pPr>
            <w:r>
              <w:t>一</w:t>
            </w:r>
          </w:p>
        </w:tc>
        <w:tc>
          <w:tcPr>
            <w:tcW w:w="2055" w:type="dxa"/>
            <w:tcBorders>
              <w:top w:val="single" w:color="auto" w:sz="4" w:space="0"/>
              <w:left w:val="single" w:color="auto" w:sz="4" w:space="0"/>
              <w:bottom w:val="single" w:color="auto" w:sz="4" w:space="0"/>
              <w:right w:val="single" w:color="auto" w:sz="4" w:space="0"/>
            </w:tcBorders>
            <w:vAlign w:val="center"/>
          </w:tcPr>
          <w:p>
            <w:pPr>
              <w:pStyle w:val="294"/>
            </w:pPr>
            <w:r>
              <w:t>一</w:t>
            </w:r>
          </w:p>
        </w:tc>
        <w:tc>
          <w:tcPr>
            <w:tcW w:w="2055" w:type="dxa"/>
            <w:tcBorders>
              <w:top w:val="single" w:color="auto" w:sz="4" w:space="0"/>
              <w:left w:val="single" w:color="auto" w:sz="4" w:space="0"/>
              <w:bottom w:val="single" w:color="auto" w:sz="4" w:space="0"/>
              <w:right w:val="single" w:color="auto" w:sz="12" w:space="0"/>
            </w:tcBorders>
            <w:vAlign w:val="center"/>
          </w:tcPr>
          <w:p>
            <w:pPr>
              <w:pStyle w:val="294"/>
            </w:pPr>
            <w:r>
              <w:t>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056" w:type="dxa"/>
            <w:tcBorders>
              <w:top w:val="single" w:color="auto" w:sz="4" w:space="0"/>
              <w:left w:val="single" w:color="auto" w:sz="12" w:space="0"/>
              <w:bottom w:val="single" w:color="auto" w:sz="4" w:space="0"/>
              <w:right w:val="single" w:color="auto" w:sz="4" w:space="0"/>
            </w:tcBorders>
            <w:vAlign w:val="center"/>
          </w:tcPr>
          <w:p>
            <w:pPr>
              <w:pStyle w:val="294"/>
            </w:pPr>
            <w:r>
              <w:t>较敏感</w:t>
            </w:r>
          </w:p>
        </w:tc>
        <w:tc>
          <w:tcPr>
            <w:tcW w:w="2056" w:type="dxa"/>
            <w:tcBorders>
              <w:top w:val="single" w:color="auto" w:sz="4" w:space="0"/>
              <w:left w:val="single" w:color="auto" w:sz="4" w:space="0"/>
              <w:bottom w:val="single" w:color="auto" w:sz="4" w:space="0"/>
              <w:right w:val="single" w:color="auto" w:sz="4" w:space="0"/>
            </w:tcBorders>
            <w:vAlign w:val="center"/>
          </w:tcPr>
          <w:p>
            <w:pPr>
              <w:pStyle w:val="294"/>
            </w:pPr>
            <w:r>
              <w:t>一</w:t>
            </w:r>
          </w:p>
        </w:tc>
        <w:tc>
          <w:tcPr>
            <w:tcW w:w="2055" w:type="dxa"/>
            <w:tcBorders>
              <w:top w:val="single" w:color="auto" w:sz="4" w:space="0"/>
              <w:left w:val="single" w:color="auto" w:sz="4" w:space="0"/>
              <w:bottom w:val="single" w:color="auto" w:sz="4" w:space="0"/>
              <w:right w:val="single" w:color="auto" w:sz="4" w:space="0"/>
            </w:tcBorders>
            <w:vAlign w:val="center"/>
          </w:tcPr>
          <w:p>
            <w:pPr>
              <w:pStyle w:val="294"/>
            </w:pPr>
            <w:r>
              <w:rPr>
                <w:shd w:val="pct10" w:color="auto" w:fill="FFFFFF"/>
              </w:rPr>
              <w:t>二</w:t>
            </w:r>
          </w:p>
        </w:tc>
        <w:tc>
          <w:tcPr>
            <w:tcW w:w="2055" w:type="dxa"/>
            <w:tcBorders>
              <w:top w:val="single" w:color="auto" w:sz="4" w:space="0"/>
              <w:left w:val="single" w:color="auto" w:sz="4" w:space="0"/>
              <w:bottom w:val="single" w:color="auto" w:sz="4" w:space="0"/>
              <w:right w:val="single" w:color="auto" w:sz="12" w:space="0"/>
            </w:tcBorders>
            <w:vAlign w:val="center"/>
          </w:tcPr>
          <w:p>
            <w:pPr>
              <w:pStyle w:val="294"/>
            </w:pPr>
            <w:r>
              <w:t>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056" w:type="dxa"/>
            <w:tcBorders>
              <w:top w:val="single" w:color="auto" w:sz="4" w:space="0"/>
              <w:left w:val="single" w:color="auto" w:sz="12" w:space="0"/>
              <w:bottom w:val="single" w:color="auto" w:sz="12" w:space="0"/>
              <w:right w:val="single" w:color="auto" w:sz="4" w:space="0"/>
            </w:tcBorders>
            <w:vAlign w:val="center"/>
          </w:tcPr>
          <w:p>
            <w:pPr>
              <w:pStyle w:val="294"/>
            </w:pPr>
            <w:r>
              <w:t>不敏感</w:t>
            </w:r>
          </w:p>
        </w:tc>
        <w:tc>
          <w:tcPr>
            <w:tcW w:w="2056" w:type="dxa"/>
            <w:tcBorders>
              <w:top w:val="single" w:color="auto" w:sz="4" w:space="0"/>
              <w:left w:val="single" w:color="auto" w:sz="4" w:space="0"/>
              <w:bottom w:val="single" w:color="auto" w:sz="12" w:space="0"/>
              <w:right w:val="single" w:color="auto" w:sz="4" w:space="0"/>
            </w:tcBorders>
            <w:vAlign w:val="center"/>
          </w:tcPr>
          <w:p>
            <w:pPr>
              <w:pStyle w:val="294"/>
            </w:pPr>
            <w:r>
              <w:t>二</w:t>
            </w:r>
          </w:p>
        </w:tc>
        <w:tc>
          <w:tcPr>
            <w:tcW w:w="2055" w:type="dxa"/>
            <w:tcBorders>
              <w:top w:val="single" w:color="auto" w:sz="4" w:space="0"/>
              <w:left w:val="single" w:color="auto" w:sz="4" w:space="0"/>
              <w:bottom w:val="single" w:color="auto" w:sz="12" w:space="0"/>
              <w:right w:val="single" w:color="auto" w:sz="4" w:space="0"/>
            </w:tcBorders>
            <w:vAlign w:val="center"/>
          </w:tcPr>
          <w:p>
            <w:pPr>
              <w:pStyle w:val="294"/>
            </w:pPr>
            <w:r>
              <w:t>三</w:t>
            </w:r>
          </w:p>
        </w:tc>
        <w:tc>
          <w:tcPr>
            <w:tcW w:w="2055" w:type="dxa"/>
            <w:tcBorders>
              <w:top w:val="single" w:color="auto" w:sz="4" w:space="0"/>
              <w:left w:val="single" w:color="auto" w:sz="4" w:space="0"/>
              <w:bottom w:val="single" w:color="auto" w:sz="12" w:space="0"/>
              <w:right w:val="single" w:color="auto" w:sz="12" w:space="0"/>
            </w:tcBorders>
            <w:vAlign w:val="center"/>
          </w:tcPr>
          <w:p>
            <w:pPr>
              <w:pStyle w:val="294"/>
            </w:pPr>
            <w:r>
              <w:t>三</w:t>
            </w:r>
          </w:p>
        </w:tc>
      </w:tr>
    </w:tbl>
    <w:p>
      <w:pPr>
        <w:tabs>
          <w:tab w:val="left" w:pos="0"/>
        </w:tabs>
        <w:spacing w:before="163" w:beforeLines="5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综上所述，根据《环境影响评价技术导则—地下水环境》（HJ610-2016）规定，项目属II类项目、环境敏感程度为较敏感，最终确定本次地下水环境评价等级确定为二级。</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（2）评价范围</w:t>
      </w:r>
    </w:p>
    <w:p>
      <w:pPr>
        <w:tabs>
          <w:tab w:val="left" w:pos="0"/>
        </w:tabs>
        <w:ind w:firstLine="480"/>
        <w:rPr>
          <w:rFonts w:cs="Times New Roman"/>
          <w:color w:val="000000"/>
          <w:szCs w:val="24"/>
        </w:rPr>
      </w:pPr>
      <w:bookmarkStart w:id="55" w:name="_Toc120173072"/>
      <w:r>
        <w:rPr>
          <w:rFonts w:cs="Times New Roman"/>
          <w:color w:val="000000"/>
          <w:szCs w:val="24"/>
        </w:rPr>
        <w:t>根据《环境影响评价技术导则 地下水环境》（HJ610-2016）规定，地下水环境现状调查与评价的范围应包括相关的地下水环境保护目标，以能说明地下水环境的现状，反映调查评价区地下水基本流场特征，满足地下水环境影响预测和评价为基本原则。评价范围确定方法可采用公式法、查表法和自定义法确定，当计算或查表范围超出水文地质单元边界时，应以水文地质单元边界为宜。</w:t>
      </w:r>
    </w:p>
    <w:p>
      <w:pPr>
        <w:tabs>
          <w:tab w:val="left" w:pos="0"/>
        </w:tabs>
        <w:ind w:firstLine="480"/>
        <w:rPr>
          <w:rFonts w:cs="Times New Roman"/>
          <w:color w:val="000000"/>
          <w:szCs w:val="24"/>
          <w:highlight w:val="yellow"/>
        </w:rPr>
      </w:pPr>
      <w:r>
        <w:rPr>
          <w:rFonts w:cs="Times New Roman"/>
          <w:color w:val="000000"/>
          <w:szCs w:val="24"/>
        </w:rPr>
        <w:t>结合本项目周边的区域地质条件、地下水补给径流排泄条件、地形地貌特征、地下水开发利用情况和环境保护目标分布，本次评价采用自定义法。通过区域水文地质资料分析，结合项目所处地地形地貌、地层岩性、构造、地表水文及水文地质条件，本项目西面以山脊为界，南面、东面以山坳和冲沟为界，北面以后河为界。根据测算，本项目地下水环境影响评价范围共计约1.62km</w:t>
      </w:r>
      <w:r>
        <w:rPr>
          <w:rFonts w:cs="Times New Roman"/>
          <w:color w:val="000000"/>
          <w:szCs w:val="24"/>
          <w:vertAlign w:val="superscript"/>
        </w:rPr>
        <w:t>2</w:t>
      </w:r>
      <w:r>
        <w:rPr>
          <w:rFonts w:cs="Times New Roman"/>
          <w:color w:val="000000"/>
          <w:szCs w:val="24"/>
        </w:rPr>
        <w:t>。</w:t>
      </w:r>
    </w:p>
    <w:p>
      <w:pPr>
        <w:tabs>
          <w:tab w:val="left" w:pos="0"/>
        </w:tabs>
        <w:ind w:firstLine="0" w:firstLineChars="0"/>
        <w:rPr>
          <w:rFonts w:cs="Times New Roman"/>
          <w:color w:val="000000"/>
          <w:szCs w:val="24"/>
        </w:rPr>
      </w:pPr>
      <w:r>
        <w:rPr>
          <w:rFonts w:cs="Times New Roman"/>
        </w:rPr>
        <w:drawing>
          <wp:inline distT="0" distB="0" distL="114300" distR="114300">
            <wp:extent cx="5266055" cy="3360420"/>
            <wp:effectExtent l="0" t="0" r="10795" b="11430"/>
            <wp:docPr id="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
                    <pic:cNvPicPr>
                      <a:picLocks noChangeAspect="1"/>
                    </pic:cNvPicPr>
                  </pic:nvPicPr>
                  <pic:blipFill>
                    <a:blip r:embed="rId29"/>
                    <a:stretch>
                      <a:fillRect/>
                    </a:stretch>
                  </pic:blipFill>
                  <pic:spPr>
                    <a:xfrm>
                      <a:off x="0" y="0"/>
                      <a:ext cx="5266055" cy="3360420"/>
                    </a:xfrm>
                    <a:prstGeom prst="rect">
                      <a:avLst/>
                    </a:prstGeom>
                    <a:noFill/>
                    <a:ln>
                      <a:noFill/>
                    </a:ln>
                  </pic:spPr>
                </pic:pic>
              </a:graphicData>
            </a:graphic>
          </wp:inline>
        </w:drawing>
      </w:r>
    </w:p>
    <w:p>
      <w:pPr>
        <w:pStyle w:val="161"/>
        <w:rPr>
          <w:rFonts w:eastAsia="宋体"/>
          <w:color w:val="000000"/>
          <w:sz w:val="24"/>
          <w:szCs w:val="22"/>
        </w:rPr>
      </w:pPr>
      <w:r>
        <w:rPr>
          <w:rFonts w:eastAsia="宋体"/>
          <w:color w:val="000000"/>
          <w:sz w:val="24"/>
          <w:szCs w:val="22"/>
        </w:rPr>
        <w:t>图2.6-1  项目所在区地下水环境评价范围图</w:t>
      </w:r>
    </w:p>
    <w:p>
      <w:pPr>
        <w:pStyle w:val="4"/>
        <w:ind w:firstLine="241"/>
        <w:rPr>
          <w:b w:val="0"/>
        </w:rPr>
      </w:pPr>
      <w:r>
        <w:rPr>
          <w:rFonts w:hint="eastAsia"/>
        </w:rPr>
        <w:t>2.6.3</w:t>
      </w:r>
      <w:r>
        <w:t>大气环境</w:t>
      </w:r>
      <w:bookmarkEnd w:id="55"/>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（1）评价工作等级</w:t>
      </w:r>
    </w:p>
    <w:p>
      <w:pPr>
        <w:tabs>
          <w:tab w:val="left" w:pos="0"/>
        </w:tabs>
        <w:ind w:firstLine="480"/>
        <w:rPr>
          <w:rFonts w:cs="Times New Roman"/>
          <w:bCs/>
          <w:szCs w:val="24"/>
        </w:rPr>
      </w:pPr>
      <w:r>
        <w:rPr>
          <w:rFonts w:hint="eastAsia" w:cs="Times New Roman"/>
          <w:bCs/>
          <w:szCs w:val="24"/>
        </w:rPr>
        <w:t>根据《环境影响评价技术导则 陆地石油天然气开发建设项目》（HJ349-2023）大气环境评价等级和评价范围依据HJ2.2的相关原则来确定。</w:t>
      </w:r>
    </w:p>
    <w:p>
      <w:pPr>
        <w:tabs>
          <w:tab w:val="left" w:pos="0"/>
        </w:tabs>
        <w:ind w:firstLine="480"/>
        <w:rPr>
          <w:rFonts w:cs="Times New Roman"/>
          <w:bCs/>
          <w:szCs w:val="24"/>
        </w:rPr>
      </w:pPr>
      <w:r>
        <w:rPr>
          <w:rFonts w:cs="Times New Roman"/>
          <w:bCs/>
          <w:szCs w:val="24"/>
        </w:rPr>
        <w:t>根据《环境影响评价技术导则 大气环境》（HJ2.2-2018）的规定，依据污染物最大地面浓度占标率确定空气环境评价等级。</w:t>
      </w:r>
    </w:p>
    <w:p>
      <w:pPr>
        <w:tabs>
          <w:tab w:val="left" w:pos="0"/>
        </w:tabs>
        <w:ind w:firstLine="480"/>
        <w:rPr>
          <w:rFonts w:cs="Times New Roman"/>
          <w:bCs/>
          <w:szCs w:val="24"/>
        </w:rPr>
      </w:pPr>
      <w:r>
        <w:rPr>
          <w:rFonts w:cs="Times New Roman"/>
          <w:bCs/>
          <w:szCs w:val="24"/>
        </w:rPr>
        <w:t>根据天然气开发项目环境影响特点，大气环境影响为钻井期间的施工机械、施工车辆产生的尾气、柴油发电机废气，试采期间正常工况下将产生水套加热炉燃烧废气和采气、集输设备检修或事故状态下时产生少量的放空燃烧废气。由于施工期较短暂，钻井工程工期较短，试采期主要生产设施均依托P3011采气站及P301集气站已建生产设施。</w:t>
      </w:r>
    </w:p>
    <w:p>
      <w:pPr>
        <w:tabs>
          <w:tab w:val="left" w:pos="0"/>
        </w:tabs>
        <w:ind w:firstLine="480"/>
        <w:rPr>
          <w:rFonts w:cs="Times New Roman"/>
          <w:bCs/>
          <w:szCs w:val="24"/>
        </w:rPr>
      </w:pPr>
      <w:r>
        <w:rPr>
          <w:rFonts w:cs="Times New Roman"/>
          <w:color w:val="000000" w:themeColor="text1"/>
          <w:szCs w:val="24"/>
          <w14:textFill>
            <w14:solidFill>
              <w14:schemeClr w14:val="tx1"/>
            </w14:solidFill>
          </w14:textFill>
        </w:rPr>
        <w:t>本项目主要依托原P301集气站内已批复建设放空火炬和P3011采气站内已批复建设生产工艺</w:t>
      </w:r>
      <w:r>
        <w:rPr>
          <w:rFonts w:hint="eastAsia" w:cs="Times New Roman"/>
          <w:color w:val="000000" w:themeColor="text1"/>
          <w:szCs w:val="24"/>
          <w14:textFill>
            <w14:solidFill>
              <w14:schemeClr w14:val="tx1"/>
            </w14:solidFill>
          </w14:textFill>
        </w:rPr>
        <w:t>（加热炉）</w:t>
      </w:r>
      <w:r>
        <w:rPr>
          <w:rFonts w:cs="Times New Roman"/>
          <w:color w:val="000000" w:themeColor="text1"/>
          <w:szCs w:val="24"/>
          <w14:textFill>
            <w14:solidFill>
              <w14:schemeClr w14:val="tx1"/>
            </w14:solidFill>
          </w14:textFill>
        </w:rPr>
        <w:t>等生产流程，</w:t>
      </w:r>
      <w:r>
        <w:rPr>
          <w:rFonts w:cs="Times New Roman"/>
          <w:bCs/>
          <w:color w:val="000000" w:themeColor="text1"/>
          <w:szCs w:val="24"/>
          <w14:textFill>
            <w14:solidFill>
              <w14:schemeClr w14:val="tx1"/>
            </w14:solidFill>
          </w14:textFill>
        </w:rPr>
        <w:t>本项目的建设不会新增原P301集气站和P3011采气站已验收的既有生产设施的废气量及污染物排放量</w:t>
      </w:r>
      <w:r>
        <w:rPr>
          <w:rFonts w:hint="eastAsia" w:cs="Times New Roman"/>
          <w:bCs/>
          <w:color w:val="000000" w:themeColor="text1"/>
          <w:szCs w:val="24"/>
          <w14:textFill>
            <w14:solidFill>
              <w14:schemeClr w14:val="tx1"/>
            </w14:solidFill>
          </w14:textFill>
        </w:rPr>
        <w:t>。</w:t>
      </w:r>
      <w:r>
        <w:rPr>
          <w:rFonts w:cs="Times New Roman"/>
          <w:bCs/>
          <w:color w:val="000000" w:themeColor="text1"/>
          <w:szCs w:val="24"/>
          <w14:textFill>
            <w14:solidFill>
              <w14:schemeClr w14:val="tx1"/>
            </w14:solidFill>
          </w14:textFill>
        </w:rPr>
        <w:t>但由于热力负荷的需求，本项目需要</w:t>
      </w:r>
      <w:r>
        <w:rPr>
          <w:rFonts w:hint="eastAsia" w:cs="Times New Roman"/>
          <w:bCs/>
          <w:color w:val="000000" w:themeColor="text1"/>
          <w:szCs w:val="24"/>
          <w14:textFill>
            <w14:solidFill>
              <w14:schemeClr w14:val="tx1"/>
            </w14:solidFill>
          </w14:textFill>
        </w:rPr>
        <w:t>依托使用P30</w:t>
      </w:r>
      <w:r>
        <w:rPr>
          <w:rFonts w:cs="Times New Roman"/>
          <w:bCs/>
          <w:color w:val="000000" w:themeColor="text1"/>
          <w:szCs w:val="24"/>
          <w14:textFill>
            <w14:solidFill>
              <w14:schemeClr w14:val="tx1"/>
            </w14:solidFill>
          </w14:textFill>
        </w:rPr>
        <w:t>11</w:t>
      </w:r>
      <w:r>
        <w:rPr>
          <w:rFonts w:hint="eastAsia" w:cs="Times New Roman"/>
          <w:bCs/>
          <w:color w:val="000000" w:themeColor="text1"/>
          <w:szCs w:val="24"/>
          <w14:textFill>
            <w14:solidFill>
              <w14:schemeClr w14:val="tx1"/>
            </w14:solidFill>
          </w14:textFill>
        </w:rPr>
        <w:t>采气站</w:t>
      </w:r>
      <w:r>
        <w:rPr>
          <w:rFonts w:cs="Times New Roman"/>
          <w:bCs/>
          <w:color w:val="000000" w:themeColor="text1"/>
          <w:szCs w:val="24"/>
          <w14:textFill>
            <w14:solidFill>
              <w14:schemeClr w14:val="tx1"/>
            </w14:solidFill>
          </w14:textFill>
        </w:rPr>
        <w:t>水套加热炉，因此，试采工程</w:t>
      </w:r>
      <w:r>
        <w:rPr>
          <w:rFonts w:hint="eastAsia" w:cs="Times New Roman"/>
          <w:bCs/>
          <w:color w:val="000000" w:themeColor="text1"/>
          <w:szCs w:val="24"/>
          <w14:textFill>
            <w14:solidFill>
              <w14:schemeClr w14:val="tx1"/>
            </w14:solidFill>
          </w14:textFill>
        </w:rPr>
        <w:t>仍考虑依托使用</w:t>
      </w:r>
      <w:r>
        <w:rPr>
          <w:rFonts w:hint="eastAsia"/>
        </w:rPr>
        <w:t>P30</w:t>
      </w:r>
      <w:r>
        <w:t>11</w:t>
      </w:r>
      <w:r>
        <w:rPr>
          <w:rFonts w:hint="eastAsia"/>
        </w:rPr>
        <w:t>采气站</w:t>
      </w:r>
      <w:r>
        <w:t>1套水套加热炉</w:t>
      </w:r>
      <w:r>
        <w:rPr>
          <w:rFonts w:hint="eastAsia"/>
        </w:rPr>
        <w:t>新增污染物</w:t>
      </w:r>
      <w:r>
        <w:t>排放</w:t>
      </w:r>
      <w:r>
        <w:rPr>
          <w:rFonts w:hint="eastAsia"/>
        </w:rPr>
        <w:t>对</w:t>
      </w:r>
      <w:r>
        <w:t>环境的影响。</w:t>
      </w:r>
      <w:r>
        <w:rPr>
          <w:rFonts w:cs="Times New Roman"/>
          <w:bCs/>
          <w:szCs w:val="24"/>
        </w:rPr>
        <w:t>此外，集输设备检修或事故状态下时产生放空燃烧废气会有所增加，但其为非正常工况下排放，排放时间短，且废气量较小。</w:t>
      </w:r>
      <w:bookmarkStart w:id="56" w:name="_Hlk152592521"/>
    </w:p>
    <w:bookmarkEnd w:id="56"/>
    <w:p>
      <w:pPr>
        <w:tabs>
          <w:tab w:val="left" w:pos="0"/>
        </w:tabs>
        <w:spacing w:before="163" w:beforeLines="50"/>
        <w:ind w:firstLine="480"/>
        <w:rPr>
          <w:rFonts w:cs="Times New Roman"/>
          <w:bCs/>
          <w:szCs w:val="24"/>
        </w:rPr>
      </w:pPr>
      <w:bookmarkStart w:id="57" w:name="_Hlk152592540"/>
      <w:r>
        <w:rPr>
          <w:rFonts w:hint="eastAsia" w:cs="Times New Roman"/>
          <w:bCs/>
          <w:szCs w:val="24"/>
        </w:rPr>
        <w:t>综上所述，本次大气环境影响评价等级以因本工程建设导致增加后的水套加热炉的废气源强进行预测后得出</w:t>
      </w:r>
      <w:bookmarkEnd w:id="57"/>
      <w:r>
        <w:rPr>
          <w:rFonts w:hint="eastAsia" w:cs="Times New Roman"/>
          <w:bCs/>
          <w:szCs w:val="24"/>
        </w:rPr>
        <w:t>。</w:t>
      </w:r>
    </w:p>
    <w:p>
      <w:pPr>
        <w:tabs>
          <w:tab w:val="left" w:pos="0"/>
        </w:tabs>
        <w:spacing w:before="163" w:beforeLines="50"/>
        <w:ind w:firstLine="480"/>
        <w:rPr>
          <w:rFonts w:cs="Times New Roman"/>
          <w:bCs/>
          <w:szCs w:val="24"/>
        </w:rPr>
      </w:pPr>
      <w:r>
        <w:rPr>
          <w:rFonts w:hint="eastAsia" w:cs="Times New Roman"/>
          <w:bCs/>
          <w:szCs w:val="24"/>
        </w:rPr>
        <w:t>根据后文大气环境影响评价内容部分，本项目水套加热炉有组织废气排放影响预测结果如下表所示。</w:t>
      </w:r>
    </w:p>
    <w:p>
      <w:pPr>
        <w:pStyle w:val="95"/>
        <w:spacing w:before="163"/>
        <w:ind w:firstLine="480"/>
      </w:pPr>
      <w:r>
        <w:t>表2.6-4  有组织废气排放影响估算结果表</w:t>
      </w:r>
    </w:p>
    <w:tbl>
      <w:tblPr>
        <w:tblStyle w:val="52"/>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995"/>
        <w:gridCol w:w="1259"/>
        <w:gridCol w:w="708"/>
        <w:gridCol w:w="1276"/>
        <w:gridCol w:w="853"/>
        <w:gridCol w:w="1275"/>
        <w:gridCol w:w="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5" w:type="dxa"/>
            <w:vMerge w:val="restart"/>
            <w:vAlign w:val="center"/>
          </w:tcPr>
          <w:p>
            <w:pPr>
              <w:spacing w:line="240" w:lineRule="auto"/>
              <w:ind w:firstLine="0" w:firstLineChars="0"/>
              <w:jc w:val="center"/>
              <w:rPr>
                <w:rFonts w:cs="Times New Roman"/>
                <w:sz w:val="21"/>
                <w:szCs w:val="21"/>
              </w:rPr>
            </w:pPr>
            <w:r>
              <w:rPr>
                <w:rFonts w:cs="Times New Roman"/>
                <w:sz w:val="21"/>
                <w:szCs w:val="21"/>
              </w:rPr>
              <w:t>距源中心下风向</w:t>
            </w:r>
          </w:p>
          <w:p>
            <w:pPr>
              <w:spacing w:line="240" w:lineRule="auto"/>
              <w:ind w:firstLine="0" w:firstLineChars="0"/>
              <w:jc w:val="center"/>
              <w:rPr>
                <w:rFonts w:cs="Times New Roman"/>
                <w:sz w:val="21"/>
                <w:szCs w:val="21"/>
              </w:rPr>
            </w:pPr>
            <w:r>
              <w:rPr>
                <w:rFonts w:cs="Times New Roman"/>
                <w:sz w:val="21"/>
                <w:szCs w:val="21"/>
              </w:rPr>
              <w:t>距离D/m</w:t>
            </w:r>
          </w:p>
        </w:tc>
        <w:tc>
          <w:tcPr>
            <w:tcW w:w="6225" w:type="dxa"/>
            <w:gridSpan w:val="6"/>
            <w:vAlign w:val="center"/>
          </w:tcPr>
          <w:p>
            <w:pPr>
              <w:spacing w:line="240" w:lineRule="auto"/>
              <w:ind w:firstLine="0" w:firstLineChars="0"/>
              <w:jc w:val="center"/>
              <w:rPr>
                <w:rFonts w:cs="Times New Roman"/>
                <w:sz w:val="21"/>
                <w:szCs w:val="21"/>
              </w:rPr>
            </w:pPr>
            <w:r>
              <w:rPr>
                <w:rFonts w:cs="Times New Roman"/>
                <w:sz w:val="21"/>
                <w:szCs w:val="21"/>
              </w:rPr>
              <w:t>水套加热炉排气筒(P1)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171" w:hRule="atLeast"/>
          <w:tblHeader/>
          <w:jc w:val="center"/>
        </w:trPr>
        <w:tc>
          <w:tcPr>
            <w:tcW w:w="1995" w:type="dxa"/>
            <w:vMerge w:val="continue"/>
            <w:vAlign w:val="center"/>
          </w:tcPr>
          <w:p>
            <w:pPr>
              <w:spacing w:line="240" w:lineRule="auto"/>
              <w:ind w:firstLine="0" w:firstLineChars="0"/>
              <w:jc w:val="center"/>
              <w:rPr>
                <w:rFonts w:cs="Times New Roman"/>
                <w:sz w:val="21"/>
                <w:szCs w:val="21"/>
              </w:rPr>
            </w:pPr>
          </w:p>
        </w:tc>
        <w:tc>
          <w:tcPr>
            <w:tcW w:w="1967" w:type="dxa"/>
            <w:gridSpan w:val="2"/>
            <w:vAlign w:val="center"/>
          </w:tcPr>
          <w:p>
            <w:pPr>
              <w:spacing w:line="240" w:lineRule="auto"/>
              <w:ind w:firstLine="0" w:firstLineChars="0"/>
              <w:jc w:val="center"/>
              <w:rPr>
                <w:rFonts w:cs="Times New Roman"/>
                <w:sz w:val="21"/>
                <w:szCs w:val="21"/>
              </w:rPr>
            </w:pPr>
            <w:r>
              <w:rPr>
                <w:rFonts w:hint="eastAsia" w:cs="Times New Roman"/>
                <w:sz w:val="21"/>
                <w:szCs w:val="21"/>
              </w:rPr>
              <w:t>颗粒物</w:t>
            </w:r>
          </w:p>
        </w:tc>
        <w:tc>
          <w:tcPr>
            <w:tcW w:w="2129" w:type="dxa"/>
            <w:gridSpan w:val="2"/>
            <w:tcBorders>
              <w:righ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SO</w:t>
            </w:r>
            <w:r>
              <w:rPr>
                <w:rFonts w:cs="Times New Roman"/>
                <w:sz w:val="21"/>
                <w:szCs w:val="21"/>
                <w:vertAlign w:val="subscript"/>
              </w:rPr>
              <w:t>2</w:t>
            </w:r>
          </w:p>
        </w:tc>
        <w:tc>
          <w:tcPr>
            <w:tcW w:w="2129" w:type="dxa"/>
            <w:gridSpan w:val="2"/>
            <w:tcBorders>
              <w:lef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NOx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5" w:type="dxa"/>
            <w:vMerge w:val="continue"/>
            <w:vAlign w:val="center"/>
          </w:tcPr>
          <w:p>
            <w:pPr>
              <w:spacing w:line="240" w:lineRule="auto"/>
              <w:ind w:firstLine="0" w:firstLineChars="0"/>
              <w:jc w:val="center"/>
              <w:rPr>
                <w:rFonts w:cs="Times New Roman"/>
                <w:sz w:val="21"/>
                <w:szCs w:val="21"/>
              </w:rPr>
            </w:pPr>
          </w:p>
        </w:tc>
        <w:tc>
          <w:tcPr>
            <w:tcW w:w="1259" w:type="dxa"/>
            <w:vAlign w:val="center"/>
          </w:tcPr>
          <w:p>
            <w:pPr>
              <w:spacing w:line="240" w:lineRule="auto"/>
              <w:ind w:firstLine="0" w:firstLineChars="0"/>
              <w:jc w:val="center"/>
              <w:rPr>
                <w:rFonts w:cs="Times New Roman"/>
                <w:sz w:val="21"/>
                <w:szCs w:val="21"/>
              </w:rPr>
            </w:pPr>
            <w:r>
              <w:rPr>
                <w:rFonts w:cs="Times New Roman"/>
                <w:sz w:val="21"/>
                <w:szCs w:val="21"/>
              </w:rPr>
              <w:t>C/（μg/m³）</w:t>
            </w:r>
          </w:p>
        </w:tc>
        <w:tc>
          <w:tcPr>
            <w:tcW w:w="708" w:type="dxa"/>
            <w:vAlign w:val="center"/>
          </w:tcPr>
          <w:p>
            <w:pPr>
              <w:spacing w:line="240" w:lineRule="auto"/>
              <w:ind w:firstLine="0" w:firstLineChars="0"/>
              <w:jc w:val="center"/>
              <w:rPr>
                <w:rFonts w:cs="Times New Roman"/>
                <w:sz w:val="21"/>
                <w:szCs w:val="21"/>
              </w:rPr>
            </w:pPr>
            <w:r>
              <w:rPr>
                <w:rFonts w:cs="Times New Roman"/>
                <w:sz w:val="21"/>
                <w:szCs w:val="21"/>
              </w:rPr>
              <w:t>P/%</w:t>
            </w:r>
          </w:p>
        </w:tc>
        <w:tc>
          <w:tcPr>
            <w:tcW w:w="1276" w:type="dxa"/>
            <w:vAlign w:val="center"/>
          </w:tcPr>
          <w:p>
            <w:pPr>
              <w:spacing w:line="240" w:lineRule="auto"/>
              <w:ind w:firstLine="0" w:firstLineChars="0"/>
              <w:jc w:val="center"/>
              <w:rPr>
                <w:rFonts w:cs="Times New Roman"/>
                <w:sz w:val="21"/>
                <w:szCs w:val="21"/>
              </w:rPr>
            </w:pPr>
            <w:r>
              <w:rPr>
                <w:rFonts w:cs="Times New Roman"/>
                <w:sz w:val="21"/>
                <w:szCs w:val="21"/>
              </w:rPr>
              <w:t>C/（μg/m³）</w:t>
            </w:r>
          </w:p>
        </w:tc>
        <w:tc>
          <w:tcPr>
            <w:tcW w:w="853" w:type="dxa"/>
            <w:tcBorders>
              <w:righ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P/%</w:t>
            </w:r>
          </w:p>
        </w:tc>
        <w:tc>
          <w:tcPr>
            <w:tcW w:w="1275" w:type="dxa"/>
            <w:tcBorders>
              <w:lef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C/（μg/m³）</w:t>
            </w:r>
          </w:p>
        </w:tc>
        <w:tc>
          <w:tcPr>
            <w:tcW w:w="854" w:type="dxa"/>
            <w:tcBorders>
              <w:lef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5" w:type="dxa"/>
            <w:vAlign w:val="center"/>
          </w:tcPr>
          <w:p>
            <w:pPr>
              <w:spacing w:line="240" w:lineRule="auto"/>
              <w:ind w:firstLine="0" w:firstLineChars="0"/>
              <w:jc w:val="center"/>
              <w:rPr>
                <w:rFonts w:cs="Times New Roman"/>
                <w:sz w:val="21"/>
                <w:szCs w:val="21"/>
              </w:rPr>
            </w:pPr>
            <w:r>
              <w:rPr>
                <w:rFonts w:cs="Times New Roman"/>
                <w:sz w:val="21"/>
                <w:szCs w:val="21"/>
              </w:rPr>
              <w:t>下风向最大浓度</w:t>
            </w:r>
          </w:p>
        </w:tc>
        <w:tc>
          <w:tcPr>
            <w:tcW w:w="1259" w:type="dxa"/>
            <w:vAlign w:val="center"/>
          </w:tcPr>
          <w:p>
            <w:pPr>
              <w:spacing w:line="240" w:lineRule="auto"/>
              <w:ind w:firstLine="0" w:firstLineChars="0"/>
              <w:jc w:val="center"/>
              <w:rPr>
                <w:rFonts w:cs="Times New Roman"/>
                <w:sz w:val="21"/>
                <w:szCs w:val="21"/>
              </w:rPr>
            </w:pPr>
            <w:r>
              <w:rPr>
                <w:rFonts w:cs="Times New Roman"/>
                <w:sz w:val="21"/>
                <w:szCs w:val="21"/>
              </w:rPr>
              <w:t>6.225</w:t>
            </w:r>
          </w:p>
        </w:tc>
        <w:tc>
          <w:tcPr>
            <w:tcW w:w="708" w:type="dxa"/>
            <w:vAlign w:val="center"/>
          </w:tcPr>
          <w:p>
            <w:pPr>
              <w:spacing w:line="240" w:lineRule="auto"/>
              <w:ind w:firstLine="0" w:firstLineChars="0"/>
              <w:jc w:val="center"/>
              <w:rPr>
                <w:rFonts w:cs="Times New Roman"/>
                <w:sz w:val="21"/>
                <w:szCs w:val="21"/>
              </w:rPr>
            </w:pPr>
            <w:r>
              <w:rPr>
                <w:rFonts w:hint="eastAsia" w:cs="Times New Roman"/>
                <w:sz w:val="21"/>
                <w:szCs w:val="21"/>
              </w:rPr>
              <w:t>1.39</w:t>
            </w:r>
          </w:p>
        </w:tc>
        <w:tc>
          <w:tcPr>
            <w:tcW w:w="1276" w:type="dxa"/>
            <w:vAlign w:val="center"/>
          </w:tcPr>
          <w:p>
            <w:pPr>
              <w:spacing w:line="240" w:lineRule="auto"/>
              <w:ind w:firstLine="0" w:firstLineChars="0"/>
              <w:jc w:val="center"/>
              <w:rPr>
                <w:rFonts w:cs="Times New Roman"/>
                <w:sz w:val="21"/>
                <w:szCs w:val="21"/>
              </w:rPr>
            </w:pPr>
            <w:r>
              <w:rPr>
                <w:rFonts w:cs="Times New Roman"/>
                <w:sz w:val="21"/>
                <w:szCs w:val="21"/>
              </w:rPr>
              <w:t>0.381</w:t>
            </w:r>
          </w:p>
        </w:tc>
        <w:tc>
          <w:tcPr>
            <w:tcW w:w="853" w:type="dxa"/>
            <w:tcBorders>
              <w:right w:val="single" w:color="auto" w:sz="8"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0.08</w:t>
            </w:r>
          </w:p>
        </w:tc>
        <w:tc>
          <w:tcPr>
            <w:tcW w:w="1275" w:type="dxa"/>
            <w:tcBorders>
              <w:lef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22.029</w:t>
            </w:r>
          </w:p>
        </w:tc>
        <w:tc>
          <w:tcPr>
            <w:tcW w:w="854" w:type="dxa"/>
            <w:tcBorders>
              <w:left w:val="single" w:color="auto" w:sz="8"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8.81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5" w:type="dxa"/>
            <w:vAlign w:val="center"/>
          </w:tcPr>
          <w:p>
            <w:pPr>
              <w:spacing w:line="240" w:lineRule="auto"/>
              <w:ind w:firstLine="0" w:firstLineChars="0"/>
              <w:jc w:val="center"/>
              <w:rPr>
                <w:rFonts w:cs="Times New Roman"/>
                <w:sz w:val="21"/>
                <w:szCs w:val="21"/>
              </w:rPr>
            </w:pPr>
            <w:r>
              <w:rPr>
                <w:rFonts w:cs="Times New Roman"/>
                <w:sz w:val="21"/>
                <w:szCs w:val="21"/>
              </w:rPr>
              <w:t>最大浓度出现距离</w:t>
            </w:r>
          </w:p>
        </w:tc>
        <w:tc>
          <w:tcPr>
            <w:tcW w:w="1967" w:type="dxa"/>
            <w:gridSpan w:val="2"/>
            <w:vAlign w:val="center"/>
          </w:tcPr>
          <w:p>
            <w:pPr>
              <w:spacing w:line="240" w:lineRule="auto"/>
              <w:ind w:firstLine="0" w:firstLineChars="0"/>
              <w:jc w:val="center"/>
              <w:rPr>
                <w:rFonts w:cs="Times New Roman"/>
                <w:sz w:val="21"/>
                <w:szCs w:val="21"/>
              </w:rPr>
            </w:pPr>
            <w:r>
              <w:rPr>
                <w:rFonts w:cs="Times New Roman"/>
                <w:sz w:val="21"/>
                <w:szCs w:val="21"/>
              </w:rPr>
              <w:t>120m</w:t>
            </w:r>
          </w:p>
        </w:tc>
        <w:tc>
          <w:tcPr>
            <w:tcW w:w="2129" w:type="dxa"/>
            <w:gridSpan w:val="2"/>
            <w:tcBorders>
              <w:righ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120</w:t>
            </w:r>
            <w:r>
              <w:rPr>
                <w:rFonts w:hint="eastAsia" w:cs="Times New Roman"/>
                <w:sz w:val="21"/>
                <w:szCs w:val="21"/>
              </w:rPr>
              <w:t>m</w:t>
            </w:r>
          </w:p>
        </w:tc>
        <w:tc>
          <w:tcPr>
            <w:tcW w:w="2129" w:type="dxa"/>
            <w:gridSpan w:val="2"/>
            <w:tcBorders>
              <w:lef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120</w:t>
            </w:r>
            <w:r>
              <w:rPr>
                <w:rFonts w:hint="eastAsia" w:cs="Times New Roman"/>
                <w:sz w:val="21"/>
                <w:szCs w:val="21"/>
              </w:rPr>
              <w:t>m</w:t>
            </w:r>
          </w:p>
        </w:tc>
      </w:tr>
    </w:tbl>
    <w:p>
      <w:pPr>
        <w:tabs>
          <w:tab w:val="left" w:pos="0"/>
        </w:tabs>
        <w:spacing w:before="163" w:beforeLines="50"/>
        <w:ind w:firstLine="480"/>
        <w:rPr>
          <w:rFonts w:cs="Times New Roman"/>
          <w:bCs/>
          <w:szCs w:val="24"/>
        </w:rPr>
      </w:pPr>
      <w:r>
        <w:rPr>
          <w:rFonts w:cs="Times New Roman"/>
          <w:bCs/>
          <w:szCs w:val="24"/>
        </w:rPr>
        <w:t>评价工作等级按《环境影响评价技术导则 大气环境》（HJ2.2-2018）规定的分级判据进行划分（见表2.6-3），如污染物数i大于1，取P中最大值（Pmax）。</w:t>
      </w:r>
    </w:p>
    <w:p>
      <w:pPr>
        <w:pStyle w:val="95"/>
        <w:spacing w:before="163"/>
        <w:ind w:firstLine="480"/>
      </w:pPr>
      <w:r>
        <w:t>表2.6-</w:t>
      </w:r>
      <w:r>
        <w:rPr>
          <w:rFonts w:hint="eastAsia"/>
        </w:rPr>
        <w:t>5</w:t>
      </w:r>
      <w:r>
        <w:t xml:space="preserve">  大气评价工作等级</w:t>
      </w:r>
    </w:p>
    <w:tbl>
      <w:tblPr>
        <w:tblStyle w:val="52"/>
        <w:tblW w:w="8222" w:type="dxa"/>
        <w:jc w:val="center"/>
        <w:tblLayout w:type="fixed"/>
        <w:tblCellMar>
          <w:top w:w="0" w:type="dxa"/>
          <w:left w:w="0" w:type="dxa"/>
          <w:bottom w:w="0" w:type="dxa"/>
          <w:right w:w="0" w:type="dxa"/>
        </w:tblCellMar>
      </w:tblPr>
      <w:tblGrid>
        <w:gridCol w:w="2554"/>
        <w:gridCol w:w="5668"/>
      </w:tblGrid>
      <w:tr>
        <w:tblPrEx>
          <w:tblCellMar>
            <w:top w:w="0" w:type="dxa"/>
            <w:left w:w="0" w:type="dxa"/>
            <w:bottom w:w="0" w:type="dxa"/>
            <w:right w:w="0" w:type="dxa"/>
          </w:tblCellMar>
        </w:tblPrEx>
        <w:trPr>
          <w:jc w:val="center"/>
        </w:trPr>
        <w:tc>
          <w:tcPr>
            <w:tcW w:w="2554"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rFonts w:cs="Times New Roman"/>
                <w:sz w:val="21"/>
                <w:szCs w:val="21"/>
              </w:rPr>
            </w:pPr>
            <w:r>
              <w:rPr>
                <w:rFonts w:cs="Times New Roman"/>
                <w:sz w:val="21"/>
                <w:szCs w:val="21"/>
              </w:rPr>
              <w:t>评价工作等级</w:t>
            </w:r>
          </w:p>
        </w:tc>
        <w:tc>
          <w:tcPr>
            <w:tcW w:w="5668"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rFonts w:cs="Times New Roman"/>
                <w:sz w:val="21"/>
                <w:szCs w:val="21"/>
              </w:rPr>
            </w:pPr>
            <w:r>
              <w:rPr>
                <w:rFonts w:cs="Times New Roman"/>
                <w:sz w:val="21"/>
                <w:szCs w:val="21"/>
              </w:rPr>
              <w:t>评价工作分级判据</w:t>
            </w:r>
          </w:p>
        </w:tc>
      </w:tr>
      <w:tr>
        <w:tblPrEx>
          <w:tblCellMar>
            <w:top w:w="0" w:type="dxa"/>
            <w:left w:w="0" w:type="dxa"/>
            <w:bottom w:w="0" w:type="dxa"/>
            <w:right w:w="0" w:type="dxa"/>
          </w:tblCellMar>
        </w:tblPrEx>
        <w:trPr>
          <w:jc w:val="center"/>
        </w:trPr>
        <w:tc>
          <w:tcPr>
            <w:tcW w:w="2554"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rFonts w:cs="Times New Roman"/>
                <w:sz w:val="21"/>
                <w:szCs w:val="21"/>
              </w:rPr>
            </w:pPr>
            <w:r>
              <w:rPr>
                <w:rFonts w:cs="Times New Roman"/>
                <w:sz w:val="21"/>
                <w:szCs w:val="21"/>
              </w:rPr>
              <w:t>一级</w:t>
            </w:r>
          </w:p>
        </w:tc>
        <w:tc>
          <w:tcPr>
            <w:tcW w:w="5668"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rFonts w:cs="Times New Roman"/>
                <w:sz w:val="21"/>
                <w:szCs w:val="21"/>
              </w:rPr>
            </w:pPr>
            <w:r>
              <w:rPr>
                <w:rFonts w:cs="Times New Roman"/>
                <w:sz w:val="21"/>
                <w:szCs w:val="21"/>
              </w:rPr>
              <w:t>Pmax≥10%</w:t>
            </w:r>
          </w:p>
        </w:tc>
      </w:tr>
      <w:tr>
        <w:tblPrEx>
          <w:tblCellMar>
            <w:top w:w="0" w:type="dxa"/>
            <w:left w:w="0" w:type="dxa"/>
            <w:bottom w:w="0" w:type="dxa"/>
            <w:right w:w="0" w:type="dxa"/>
          </w:tblCellMar>
        </w:tblPrEx>
        <w:trPr>
          <w:jc w:val="center"/>
        </w:trPr>
        <w:tc>
          <w:tcPr>
            <w:tcW w:w="2554"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rFonts w:cs="Times New Roman"/>
                <w:sz w:val="21"/>
                <w:szCs w:val="21"/>
              </w:rPr>
            </w:pPr>
            <w:r>
              <w:rPr>
                <w:rFonts w:cs="Times New Roman"/>
                <w:sz w:val="21"/>
                <w:szCs w:val="21"/>
              </w:rPr>
              <w:t>二级</w:t>
            </w:r>
          </w:p>
        </w:tc>
        <w:tc>
          <w:tcPr>
            <w:tcW w:w="5668"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rFonts w:cs="Times New Roman"/>
                <w:sz w:val="21"/>
                <w:szCs w:val="21"/>
              </w:rPr>
            </w:pPr>
            <w:r>
              <w:rPr>
                <w:rFonts w:cs="Times New Roman"/>
                <w:sz w:val="21"/>
                <w:szCs w:val="21"/>
              </w:rPr>
              <w:t>1%≤Pmax＜10%</w:t>
            </w:r>
          </w:p>
        </w:tc>
      </w:tr>
      <w:tr>
        <w:tblPrEx>
          <w:tblCellMar>
            <w:top w:w="0" w:type="dxa"/>
            <w:left w:w="0" w:type="dxa"/>
            <w:bottom w:w="0" w:type="dxa"/>
            <w:right w:w="0" w:type="dxa"/>
          </w:tblCellMar>
        </w:tblPrEx>
        <w:trPr>
          <w:trHeight w:val="258" w:hRule="atLeast"/>
          <w:jc w:val="center"/>
        </w:trPr>
        <w:tc>
          <w:tcPr>
            <w:tcW w:w="2554"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rFonts w:cs="Times New Roman"/>
                <w:sz w:val="21"/>
                <w:szCs w:val="21"/>
              </w:rPr>
            </w:pPr>
            <w:r>
              <w:rPr>
                <w:rFonts w:cs="Times New Roman"/>
                <w:sz w:val="21"/>
                <w:szCs w:val="21"/>
              </w:rPr>
              <w:t>三级</w:t>
            </w:r>
          </w:p>
        </w:tc>
        <w:tc>
          <w:tcPr>
            <w:tcW w:w="5668"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rFonts w:cs="Times New Roman"/>
                <w:sz w:val="21"/>
                <w:szCs w:val="21"/>
              </w:rPr>
            </w:pPr>
            <w:r>
              <w:rPr>
                <w:rFonts w:cs="Times New Roman"/>
                <w:sz w:val="21"/>
                <w:szCs w:val="21"/>
              </w:rPr>
              <w:t>Pmax＜1%</w:t>
            </w:r>
          </w:p>
        </w:tc>
      </w:tr>
    </w:tbl>
    <w:p>
      <w:pPr>
        <w:spacing w:before="163" w:beforeLines="50"/>
        <w:ind w:firstLine="480"/>
      </w:pPr>
      <w:r>
        <w:rPr>
          <w:rFonts w:hint="eastAsia" w:cs="Times New Roman"/>
          <w:bCs/>
          <w:szCs w:val="24"/>
        </w:rPr>
        <w:t>本项目</w:t>
      </w:r>
      <w:r>
        <w:rPr>
          <w:rFonts w:cs="Times New Roman"/>
          <w:bCs/>
          <w:szCs w:val="24"/>
        </w:rPr>
        <w:t>Pmax</w:t>
      </w:r>
      <w:r>
        <w:rPr>
          <w:rFonts w:hint="eastAsia" w:cs="Times New Roman"/>
          <w:bCs/>
          <w:szCs w:val="24"/>
        </w:rPr>
        <w:t>=</w:t>
      </w:r>
      <w:r>
        <w:rPr>
          <w:rFonts w:cs="Times New Roman"/>
          <w:bCs/>
          <w:szCs w:val="24"/>
        </w:rPr>
        <w:t>8.81</w:t>
      </w:r>
      <w:r>
        <w:rPr>
          <w:rFonts w:hint="eastAsia" w:cs="Times New Roman"/>
          <w:bCs/>
          <w:szCs w:val="24"/>
        </w:rPr>
        <w:t>，</w:t>
      </w:r>
      <w:r>
        <w:rPr>
          <w:rFonts w:cs="Times New Roman"/>
          <w:bCs/>
          <w:szCs w:val="24"/>
        </w:rPr>
        <w:t>本项目大气评价等级为</w:t>
      </w:r>
      <w:r>
        <w:rPr>
          <w:rFonts w:hint="eastAsia" w:cs="Times New Roman"/>
          <w:bCs/>
          <w:szCs w:val="24"/>
        </w:rPr>
        <w:t>二</w:t>
      </w:r>
      <w:r>
        <w:rPr>
          <w:rFonts w:cs="Times New Roman"/>
          <w:bCs/>
          <w:szCs w:val="24"/>
        </w:rPr>
        <w:t>级。</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（2）评价范围</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根据《环境影响评价技术导则大气环境》（HJ 2.2-2018），本次大气环境评价范围为以项目</w:t>
      </w:r>
      <w:r>
        <w:rPr>
          <w:rFonts w:hint="eastAsia" w:cs="Times New Roman"/>
          <w:color w:val="000000" w:themeColor="text1"/>
          <w:szCs w:val="24"/>
          <w14:textFill>
            <w14:solidFill>
              <w14:schemeClr w14:val="tx1"/>
            </w14:solidFill>
          </w14:textFill>
        </w:rPr>
        <w:t>厂址</w:t>
      </w:r>
      <w:r>
        <w:rPr>
          <w:rFonts w:cs="Times New Roman"/>
          <w:color w:val="000000" w:themeColor="text1"/>
          <w:szCs w:val="24"/>
          <w14:textFill>
            <w14:solidFill>
              <w14:schemeClr w14:val="tx1"/>
            </w14:solidFill>
          </w14:textFill>
        </w:rPr>
        <w:t>为中心区域，边长5.0km的矩形区域。</w:t>
      </w:r>
    </w:p>
    <w:p>
      <w:pPr>
        <w:pStyle w:val="41"/>
        <w:ind w:firstLine="400"/>
      </w:pPr>
      <w:r>
        <mc:AlternateContent>
          <mc:Choice Requires="wps">
            <w:drawing>
              <wp:anchor distT="45720" distB="45720" distL="114300" distR="114300" simplePos="0" relativeHeight="251695104" behindDoc="0" locked="0" layoutInCell="1" allowOverlap="1">
                <wp:simplePos x="0" y="0"/>
                <wp:positionH relativeFrom="column">
                  <wp:posOffset>4413250</wp:posOffset>
                </wp:positionH>
                <wp:positionV relativeFrom="paragraph">
                  <wp:posOffset>1671955</wp:posOffset>
                </wp:positionV>
                <wp:extent cx="606425" cy="259715"/>
                <wp:effectExtent l="0" t="0" r="0" b="0"/>
                <wp:wrapNone/>
                <wp:docPr id="4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06425" cy="259715"/>
                        </a:xfrm>
                        <a:prstGeom prst="rect">
                          <a:avLst/>
                        </a:prstGeom>
                        <a:noFill/>
                        <a:ln w="9525">
                          <a:noFill/>
                          <a:miter lim="800000"/>
                        </a:ln>
                      </wps:spPr>
                      <wps:txbx>
                        <w:txbxContent>
                          <w:p>
                            <w:pPr>
                              <w:spacing w:line="240" w:lineRule="auto"/>
                              <w:ind w:firstLine="0" w:firstLineChars="0"/>
                              <w:rPr>
                                <w:color w:val="FFC000"/>
                              </w:rPr>
                            </w:pPr>
                            <w:r>
                              <w:rPr>
                                <w:color w:val="FFC000"/>
                              </w:rPr>
                              <w:t>5km</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47.5pt;margin-top:131.65pt;height:20.45pt;width:47.75pt;z-index:251695104;mso-width-relative:page;mso-height-relative:page;" filled="f" stroked="f" coordsize="21600,21600" o:gfxdata="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JOS&#10;4njZAAAACwEAAA8AAAAAAAAAAQAgAAAAIgAAAGRycy9kb3ducmV2LnhtbFBLAQIUABQAAAAIAIdO&#10;4kAKvcAaIgIAACkEAAAOAAAAAAAAAAEAIAAAACgBAABkcnMvZTJvRG9jLnhtbFBLBQYAAAAABgAG&#10;AFkBAAC8BQAAAAA=&#10;">
                <v:fill on="f" focussize="0,0"/>
                <v:stroke on="f" miterlimit="8" joinstyle="miter"/>
                <v:imagedata o:title=""/>
                <o:lock v:ext="edit" aspectratio="f"/>
                <v:textbox>
                  <w:txbxContent>
                    <w:p>
                      <w:pPr>
                        <w:spacing w:line="240" w:lineRule="auto"/>
                        <w:ind w:firstLine="0" w:firstLineChars="0"/>
                        <w:rPr>
                          <w:color w:val="FFC000"/>
                        </w:rPr>
                      </w:pPr>
                      <w:r>
                        <w:rPr>
                          <w:color w:val="FFC000"/>
                        </w:rPr>
                        <w:t>5km</w:t>
                      </w:r>
                    </w:p>
                  </w:txbxContent>
                </v:textbox>
              </v:shape>
            </w:pict>
          </mc:Fallback>
        </mc:AlternateContent>
      </w:r>
      <w:r>
        <mc:AlternateContent>
          <mc:Choice Requires="wps">
            <w:drawing>
              <wp:anchor distT="45720" distB="45720" distL="114300" distR="114300" simplePos="0" relativeHeight="251694080" behindDoc="0" locked="0" layoutInCell="1" allowOverlap="1">
                <wp:simplePos x="0" y="0"/>
                <wp:positionH relativeFrom="column">
                  <wp:posOffset>2336165</wp:posOffset>
                </wp:positionH>
                <wp:positionV relativeFrom="paragraph">
                  <wp:posOffset>-635</wp:posOffset>
                </wp:positionV>
                <wp:extent cx="606425" cy="259715"/>
                <wp:effectExtent l="0" t="0" r="0" b="0"/>
                <wp:wrapNone/>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06425" cy="259715"/>
                        </a:xfrm>
                        <a:prstGeom prst="rect">
                          <a:avLst/>
                        </a:prstGeom>
                        <a:noFill/>
                        <a:ln w="9525">
                          <a:noFill/>
                          <a:miter lim="800000"/>
                        </a:ln>
                      </wps:spPr>
                      <wps:txbx>
                        <w:txbxContent>
                          <w:p>
                            <w:pPr>
                              <w:spacing w:line="240" w:lineRule="auto"/>
                              <w:ind w:firstLine="0" w:firstLineChars="0"/>
                              <w:rPr>
                                <w:color w:val="FFC000"/>
                              </w:rPr>
                            </w:pPr>
                            <w:r>
                              <w:rPr>
                                <w:color w:val="FFC000"/>
                              </w:rPr>
                              <w:t>5km</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83.95pt;margin-top:-0.05pt;height:20.45pt;width:47.75pt;z-index:251694080;mso-width-relative:page;mso-height-relative:page;" filled="f" stroked="f" coordsize="21600,21600" o:gfxdata="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R163T&#10;1wAAAAgBAAAPAAAAAAAAAAEAIAAAACIAAABkcnMvZG93bnJldi54bWxQSwECFAAUAAAACACHTuJA&#10;k0fiyCICAAAqBAAADgAAAAAAAAABACAAAAAmAQAAZHJzL2Uyb0RvYy54bWxQSwUGAAAAAAYABgBZ&#10;AQAAugUAAAAA&#10;">
                <v:fill on="f" focussize="0,0"/>
                <v:stroke on="f" miterlimit="8" joinstyle="miter"/>
                <v:imagedata o:title=""/>
                <o:lock v:ext="edit" aspectratio="f"/>
                <v:textbox>
                  <w:txbxContent>
                    <w:p>
                      <w:pPr>
                        <w:spacing w:line="240" w:lineRule="auto"/>
                        <w:ind w:firstLine="0" w:firstLineChars="0"/>
                        <w:rPr>
                          <w:color w:val="FFC000"/>
                        </w:rPr>
                      </w:pPr>
                      <w:r>
                        <w:rPr>
                          <w:color w:val="FFC000"/>
                        </w:rPr>
                        <w:t>5km</w:t>
                      </w:r>
                    </w:p>
                  </w:txbxContent>
                </v:textbox>
              </v:shap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2568575</wp:posOffset>
                </wp:positionH>
                <wp:positionV relativeFrom="paragraph">
                  <wp:posOffset>2051685</wp:posOffset>
                </wp:positionV>
                <wp:extent cx="45720" cy="45720"/>
                <wp:effectExtent l="0" t="0" r="12065" b="12065"/>
                <wp:wrapNone/>
                <wp:docPr id="40" name="矩形 40"/>
                <wp:cNvGraphicFramePr/>
                <a:graphic xmlns:a="http://schemas.openxmlformats.org/drawingml/2006/main">
                  <a:graphicData uri="http://schemas.microsoft.com/office/word/2010/wordprocessingShape">
                    <wps:wsp>
                      <wps:cNvSpPr/>
                      <wps:spPr>
                        <a:xfrm>
                          <a:off x="0" y="0"/>
                          <a:ext cx="45719" cy="457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2.25pt;margin-top:161.55pt;height:3.6pt;width:3.6pt;z-index:251693056;v-text-anchor:middle;mso-width-relative:page;mso-height-relative:page;" filled="f" stroked="t" coordsize="21600,21600" o:gfxdata="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dXOLbYAAAACwEAAA8AAAAAAAAAAQAgAAAAIgAAAGRycy9kb3ducmV2LnhtbFBLAQIU&#10;ABQAAAAIAIdO4kDZ2UqsZQIAAMoEAAAOAAAAAAAAAAEAIAAAACcBAABkcnMvZTJvRG9jLnhtbFBL&#10;BQYAAAAABgAGAFkBAAD+BQAAAAA=&#10;">
                <v:fill on="f" focussize="0,0"/>
                <v:stroke weight="1pt" color="#FF0000 [3204]" miterlimit="8" joinstyle="miter"/>
                <v:imagedata o:title=""/>
                <o:lock v:ext="edit" aspectratio="f"/>
              </v:rect>
            </w:pict>
          </mc:Fallback>
        </mc:AlternateContent>
      </w:r>
      <w:r>
        <w:drawing>
          <wp:inline distT="0" distB="0" distL="0" distR="0">
            <wp:extent cx="4287520" cy="4244340"/>
            <wp:effectExtent l="0" t="0" r="0" b="3810"/>
            <wp:docPr id="35" name="图片 35" descr="E:\郑桥\2024\2普光\预测\底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E:\郑桥\2024\2普光\预测\底图.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4287520" cy="4244340"/>
                    </a:xfrm>
                    <a:prstGeom prst="rect">
                      <a:avLst/>
                    </a:prstGeom>
                    <a:noFill/>
                    <a:ln>
                      <a:noFill/>
                    </a:ln>
                  </pic:spPr>
                </pic:pic>
              </a:graphicData>
            </a:graphic>
          </wp:inline>
        </w:drawing>
      </w:r>
    </w:p>
    <w:p>
      <w:pPr>
        <w:ind w:firstLine="480"/>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2.6</w:t>
      </w:r>
      <w:r>
        <w:fldChar w:fldCharType="end"/>
      </w:r>
      <w:r>
        <w:noBreakHyphen/>
      </w:r>
      <w:r>
        <w:rPr>
          <w:rFonts w:hint="eastAsia"/>
        </w:rPr>
        <w:t>2</w:t>
      </w:r>
      <w:r>
        <w:t xml:space="preserve">  </w:t>
      </w:r>
      <w:r>
        <w:rPr>
          <w:rFonts w:hint="eastAsia"/>
        </w:rPr>
        <w:t>本项目大气环境评价范围图</w:t>
      </w:r>
    </w:p>
    <w:p>
      <w:pPr>
        <w:pStyle w:val="4"/>
        <w:ind w:firstLine="241"/>
        <w:rPr>
          <w:b w:val="0"/>
        </w:rPr>
      </w:pPr>
      <w:bookmarkStart w:id="58" w:name="_Toc120173073"/>
      <w:r>
        <w:rPr>
          <w:rFonts w:hint="eastAsia"/>
        </w:rPr>
        <w:t>2.6.4</w:t>
      </w:r>
      <w:r>
        <w:t>声环境</w:t>
      </w:r>
      <w:bookmarkEnd w:id="58"/>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（1）评价工作等级</w:t>
      </w:r>
    </w:p>
    <w:p>
      <w:pPr>
        <w:tabs>
          <w:tab w:val="left" w:pos="0"/>
        </w:tabs>
        <w:ind w:firstLine="480"/>
        <w:rPr>
          <w:rFonts w:cs="Times New Roman"/>
          <w:bCs/>
          <w:color w:val="000000" w:themeColor="text1"/>
          <w:szCs w:val="24"/>
          <w14:textFill>
            <w14:solidFill>
              <w14:schemeClr w14:val="tx1"/>
            </w14:solidFill>
          </w14:textFill>
        </w:rPr>
      </w:pPr>
      <w:r>
        <w:rPr>
          <w:rFonts w:hint="eastAsia" w:cs="Times New Roman"/>
          <w:bCs/>
          <w:color w:val="000000" w:themeColor="text1"/>
          <w:szCs w:val="24"/>
          <w14:textFill>
            <w14:solidFill>
              <w14:schemeClr w14:val="tx1"/>
            </w14:solidFill>
          </w14:textFill>
        </w:rPr>
        <w:t>根据《环境影响评价技术导则 陆地石油天然气开发建设项目》（HJ349-2023）声环境评价等级和评价范围依据HJ2.4的相关原则来确定。</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根据《环境影响评价技术导则 声环境》（HJ2.4-2021）规定，声环境评价等级的划分依据建设项目所在区域的声环境功能区类别，建设项目建设前后所在区域的声环境质量变化程度，受建设项目影响人口的数量。本项目位于《声环境质量标准》（GB3096-2008）2类区域，平台周边200m范围内无居民分布，试采期试采站内设备噪声小，项目建设前后噪声级增加较小，且受影响人口不变。</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因此，参照《环境影响评价技术导则 声环境》（HJ2.4-2021）第5条的规定，本工程的声环境影响评价工作等级定为二级。</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2.6</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t>6 声环境评价等级判别表</w:t>
      </w:r>
    </w:p>
    <w:tbl>
      <w:tblPr>
        <w:tblStyle w:val="52"/>
        <w:tblW w:w="82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50"/>
        <w:gridCol w:w="2835"/>
        <w:gridCol w:w="1559"/>
        <w:gridCol w:w="117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4"/>
            </w:pPr>
            <w:r>
              <w:t>划分依据</w:t>
            </w:r>
          </w:p>
        </w:tc>
        <w:tc>
          <w:tcPr>
            <w:tcW w:w="2835" w:type="dxa"/>
            <w:vAlign w:val="center"/>
          </w:tcPr>
          <w:p>
            <w:pPr>
              <w:pStyle w:val="294"/>
            </w:pPr>
            <w:r>
              <w:t>项目情况</w:t>
            </w:r>
          </w:p>
        </w:tc>
        <w:tc>
          <w:tcPr>
            <w:tcW w:w="1559" w:type="dxa"/>
            <w:vAlign w:val="center"/>
          </w:tcPr>
          <w:p>
            <w:pPr>
              <w:pStyle w:val="294"/>
            </w:pPr>
            <w:r>
              <w:t>影响识别</w:t>
            </w:r>
          </w:p>
        </w:tc>
        <w:tc>
          <w:tcPr>
            <w:tcW w:w="1178" w:type="dxa"/>
            <w:vAlign w:val="center"/>
          </w:tcPr>
          <w:p>
            <w:pPr>
              <w:pStyle w:val="294"/>
            </w:pPr>
            <w:r>
              <w:t>评级等级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4"/>
            </w:pPr>
            <w:r>
              <w:t>区域声环境功能区类别</w:t>
            </w:r>
          </w:p>
        </w:tc>
        <w:tc>
          <w:tcPr>
            <w:tcW w:w="2835" w:type="dxa"/>
            <w:vAlign w:val="center"/>
          </w:tcPr>
          <w:p>
            <w:pPr>
              <w:pStyle w:val="294"/>
            </w:pPr>
            <w:r>
              <w:t>农村地区</w:t>
            </w:r>
          </w:p>
        </w:tc>
        <w:tc>
          <w:tcPr>
            <w:tcW w:w="1559" w:type="dxa"/>
            <w:vAlign w:val="center"/>
          </w:tcPr>
          <w:p>
            <w:pPr>
              <w:pStyle w:val="294"/>
            </w:pPr>
            <w:r>
              <w:t>2类地区</w:t>
            </w:r>
          </w:p>
        </w:tc>
        <w:tc>
          <w:tcPr>
            <w:tcW w:w="1178" w:type="dxa"/>
            <w:vMerge w:val="restart"/>
            <w:vAlign w:val="center"/>
          </w:tcPr>
          <w:p>
            <w:pPr>
              <w:pStyle w:val="294"/>
            </w:pPr>
            <w:r>
              <w:t>二级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4"/>
            </w:pPr>
            <w:r>
              <w:t>本项目建设前后所在区域的声环境质量变化程度</w:t>
            </w:r>
          </w:p>
        </w:tc>
        <w:tc>
          <w:tcPr>
            <w:tcW w:w="2835" w:type="dxa"/>
            <w:vAlign w:val="center"/>
          </w:tcPr>
          <w:p>
            <w:pPr>
              <w:pStyle w:val="294"/>
            </w:pPr>
            <w:r>
              <w:t>厂界噪声达标，区域声环境质量变化程度小</w:t>
            </w:r>
          </w:p>
        </w:tc>
        <w:tc>
          <w:tcPr>
            <w:tcW w:w="1559" w:type="dxa"/>
            <w:vAlign w:val="center"/>
          </w:tcPr>
          <w:p>
            <w:pPr>
              <w:pStyle w:val="294"/>
            </w:pPr>
            <w:r>
              <w:t>变化幅度约小于3dB（A）</w:t>
            </w:r>
          </w:p>
        </w:tc>
        <w:tc>
          <w:tcPr>
            <w:tcW w:w="1178" w:type="dxa"/>
            <w:vMerge w:val="continue"/>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4"/>
            </w:pPr>
            <w:r>
              <w:t>受影响人口的数量</w:t>
            </w:r>
          </w:p>
        </w:tc>
        <w:tc>
          <w:tcPr>
            <w:tcW w:w="2835" w:type="dxa"/>
            <w:vAlign w:val="center"/>
          </w:tcPr>
          <w:p>
            <w:pPr>
              <w:pStyle w:val="294"/>
            </w:pPr>
            <w:r>
              <w:t>井场声环境评价范围内无居民等敏感目标分布</w:t>
            </w:r>
          </w:p>
        </w:tc>
        <w:tc>
          <w:tcPr>
            <w:tcW w:w="1559" w:type="dxa"/>
            <w:vAlign w:val="center"/>
          </w:tcPr>
          <w:p>
            <w:pPr>
              <w:pStyle w:val="294"/>
            </w:pPr>
            <w:r>
              <w:t>受噪声影响人口数量较少</w:t>
            </w:r>
          </w:p>
        </w:tc>
        <w:tc>
          <w:tcPr>
            <w:tcW w:w="1178" w:type="dxa"/>
            <w:vMerge w:val="continue"/>
            <w:vAlign w:val="center"/>
          </w:tcPr>
          <w:p>
            <w:pPr>
              <w:pStyle w:val="294"/>
            </w:pPr>
          </w:p>
        </w:tc>
      </w:tr>
    </w:tbl>
    <w:p>
      <w:pPr>
        <w:tabs>
          <w:tab w:val="left" w:pos="0"/>
        </w:tabs>
        <w:spacing w:before="163" w:beforeLines="5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（2）评价范围</w:t>
      </w:r>
    </w:p>
    <w:p>
      <w:pPr>
        <w:tabs>
          <w:tab w:val="left" w:pos="0"/>
        </w:tabs>
        <w:ind w:firstLine="480"/>
        <w:rPr>
          <w:rFonts w:cs="Times New Roman"/>
          <w:bCs/>
          <w:color w:val="000000"/>
          <w:szCs w:val="24"/>
        </w:rPr>
      </w:pPr>
      <w:r>
        <w:rPr>
          <w:rFonts w:cs="Times New Roman"/>
          <w:color w:val="000000"/>
        </w:rPr>
        <w:t>根据《环境影响评价技术导则 声环境》（HJ 2.4-2021）中第6.1.2节的规定，确定为本项目施工期声环境评价范围为井场周边200m范围；运营期声环境评价范围为试采站周边200m范围</w:t>
      </w:r>
      <w:r>
        <w:rPr>
          <w:rFonts w:cs="Times New Roman"/>
          <w:bCs/>
          <w:color w:val="000000"/>
          <w:szCs w:val="24"/>
        </w:rPr>
        <w:t>。</w:t>
      </w:r>
    </w:p>
    <w:p>
      <w:pPr>
        <w:widowControl/>
        <w:spacing w:line="240" w:lineRule="auto"/>
        <w:ind w:firstLine="0" w:firstLineChars="0"/>
        <w:jc w:val="center"/>
        <w:rPr>
          <w:rFonts w:cs="Times New Roman"/>
          <w:color w:val="000000"/>
          <w:kern w:val="0"/>
          <w:sz w:val="29"/>
          <w:szCs w:val="29"/>
        </w:rPr>
      </w:pPr>
      <w:r>
        <w:rPr>
          <w:rFonts w:eastAsia="Times New Roman" w:cs="Times New Roman"/>
          <w:kern w:val="0"/>
          <w:sz w:val="29"/>
          <w:szCs w:val="29"/>
        </w:rPr>
        <w:drawing>
          <wp:inline distT="0" distB="0" distL="114300" distR="114300">
            <wp:extent cx="5267960" cy="3695065"/>
            <wp:effectExtent l="0" t="0" r="8890" b="635"/>
            <wp:docPr id="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0"/>
                    <pic:cNvPicPr>
                      <a:picLocks noChangeAspect="1"/>
                    </pic:cNvPicPr>
                  </pic:nvPicPr>
                  <pic:blipFill>
                    <a:blip r:embed="rId31"/>
                    <a:stretch>
                      <a:fillRect/>
                    </a:stretch>
                  </pic:blipFill>
                  <pic:spPr>
                    <a:xfrm>
                      <a:off x="0" y="0"/>
                      <a:ext cx="5267960" cy="3695065"/>
                    </a:xfrm>
                    <a:prstGeom prst="rect">
                      <a:avLst/>
                    </a:prstGeom>
                    <a:noFill/>
                    <a:ln>
                      <a:noFill/>
                    </a:ln>
                  </pic:spPr>
                </pic:pic>
              </a:graphicData>
            </a:graphic>
          </wp:inline>
        </w:drawing>
      </w:r>
    </w:p>
    <w:p>
      <w:pPr>
        <w:pStyle w:val="161"/>
        <w:rPr>
          <w:color w:val="000000" w:themeColor="text1"/>
          <w14:textFill>
            <w14:solidFill>
              <w14:schemeClr w14:val="tx1"/>
            </w14:solidFill>
          </w14:textFill>
        </w:rPr>
      </w:pPr>
      <w:r>
        <w:rPr>
          <w:rFonts w:eastAsia="宋体"/>
          <w:color w:val="000000"/>
          <w:sz w:val="24"/>
          <w:szCs w:val="22"/>
        </w:rPr>
        <w:t>图</w:t>
      </w:r>
      <w:r>
        <w:rPr>
          <w:rFonts w:eastAsia="宋体"/>
          <w:color w:val="000000"/>
          <w:sz w:val="24"/>
          <w:szCs w:val="22"/>
        </w:rPr>
        <w:fldChar w:fldCharType="begin"/>
      </w:r>
      <w:r>
        <w:rPr>
          <w:rFonts w:eastAsia="宋体"/>
          <w:color w:val="000000"/>
          <w:sz w:val="24"/>
          <w:szCs w:val="22"/>
        </w:rPr>
        <w:instrText xml:space="preserve"> STYLEREF 2 \s </w:instrText>
      </w:r>
      <w:r>
        <w:rPr>
          <w:rFonts w:eastAsia="宋体"/>
          <w:color w:val="000000"/>
          <w:sz w:val="24"/>
          <w:szCs w:val="22"/>
        </w:rPr>
        <w:fldChar w:fldCharType="separate"/>
      </w:r>
      <w:r>
        <w:rPr>
          <w:rFonts w:eastAsia="宋体"/>
          <w:color w:val="000000"/>
          <w:sz w:val="24"/>
          <w:szCs w:val="22"/>
        </w:rPr>
        <w:t>2.6</w:t>
      </w:r>
      <w:r>
        <w:rPr>
          <w:rFonts w:eastAsia="宋体"/>
          <w:color w:val="000000"/>
          <w:sz w:val="24"/>
          <w:szCs w:val="22"/>
        </w:rPr>
        <w:fldChar w:fldCharType="end"/>
      </w:r>
      <w:r>
        <w:rPr>
          <w:rFonts w:eastAsia="宋体"/>
          <w:color w:val="000000"/>
          <w:sz w:val="24"/>
          <w:szCs w:val="22"/>
        </w:rPr>
        <w:noBreakHyphen/>
      </w:r>
      <w:r>
        <w:rPr>
          <w:rFonts w:eastAsia="宋体"/>
          <w:color w:val="000000"/>
          <w:sz w:val="24"/>
          <w:szCs w:val="22"/>
        </w:rPr>
        <w:t>3 施工期声环境评价范围图</w:t>
      </w:r>
    </w:p>
    <w:p>
      <w:pPr>
        <w:pStyle w:val="92"/>
        <w:rPr>
          <w:bCs/>
          <w:color w:val="000000" w:themeColor="text1"/>
          <w:szCs w:val="24"/>
          <w14:textFill>
            <w14:solidFill>
              <w14:schemeClr w14:val="tx1"/>
            </w14:solidFill>
          </w14:textFill>
        </w:rPr>
      </w:pPr>
      <w:r>
        <w:rPr>
          <w:lang w:eastAsia="zh-CN"/>
        </w:rPr>
        <w:drawing>
          <wp:inline distT="0" distB="0" distL="114300" distR="114300">
            <wp:extent cx="5268595" cy="3441700"/>
            <wp:effectExtent l="0" t="0" r="8255" b="6350"/>
            <wp:docPr id="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1"/>
                    <pic:cNvPicPr>
                      <a:picLocks noChangeAspect="1"/>
                    </pic:cNvPicPr>
                  </pic:nvPicPr>
                  <pic:blipFill>
                    <a:blip r:embed="rId32"/>
                    <a:stretch>
                      <a:fillRect/>
                    </a:stretch>
                  </pic:blipFill>
                  <pic:spPr>
                    <a:xfrm>
                      <a:off x="0" y="0"/>
                      <a:ext cx="5268595" cy="3441700"/>
                    </a:xfrm>
                    <a:prstGeom prst="rect">
                      <a:avLst/>
                    </a:prstGeom>
                    <a:noFill/>
                    <a:ln>
                      <a:noFill/>
                    </a:ln>
                  </pic:spPr>
                </pic:pic>
              </a:graphicData>
            </a:graphic>
          </wp:inline>
        </w:drawing>
      </w:r>
    </w:p>
    <w:p>
      <w:pPr>
        <w:pStyle w:val="92"/>
        <w:keepNext/>
        <w:rPr>
          <w:color w:val="000000" w:themeColor="text1"/>
          <w:lang w:eastAsia="zh-CN"/>
          <w14:textFill>
            <w14:solidFill>
              <w14:schemeClr w14:val="tx1"/>
            </w14:solidFill>
          </w14:textFill>
        </w:rPr>
      </w:pPr>
      <w:r>
        <w:rPr>
          <w:snapToGrid w:val="0"/>
          <w:color w:val="000000" w:themeColor="text1"/>
          <w:w w:val="0"/>
          <w:sz w:val="0"/>
          <w:szCs w:val="0"/>
          <w:u w:color="000000"/>
          <w:shd w:val="clear" w:color="000000" w:fill="000000"/>
          <w:lang w:val="zh-CN" w:eastAsia="zh-CN" w:bidi="zh-CN"/>
          <w14:textFill>
            <w14:solidFill>
              <w14:schemeClr w14:val="tx1"/>
            </w14:solidFill>
          </w14:textFill>
        </w:rPr>
        <w:t xml:space="preserve">8 </w:t>
      </w:r>
    </w:p>
    <w:p>
      <w:pPr>
        <w:pStyle w:val="161"/>
        <w:rPr>
          <w:rFonts w:eastAsia="宋体"/>
          <w:color w:val="000000"/>
          <w:sz w:val="24"/>
          <w:szCs w:val="22"/>
        </w:rPr>
      </w:pPr>
      <w:r>
        <w:rPr>
          <w:rFonts w:eastAsia="宋体"/>
          <w:color w:val="000000"/>
          <w:sz w:val="24"/>
          <w:szCs w:val="22"/>
        </w:rPr>
        <w:t>图</w:t>
      </w:r>
      <w:r>
        <w:rPr>
          <w:rFonts w:eastAsia="宋体"/>
          <w:color w:val="000000"/>
          <w:sz w:val="24"/>
          <w:szCs w:val="22"/>
        </w:rPr>
        <w:fldChar w:fldCharType="begin"/>
      </w:r>
      <w:r>
        <w:rPr>
          <w:rFonts w:eastAsia="宋体"/>
          <w:color w:val="000000"/>
          <w:sz w:val="24"/>
          <w:szCs w:val="22"/>
        </w:rPr>
        <w:instrText xml:space="preserve"> STYLEREF 2 \s </w:instrText>
      </w:r>
      <w:r>
        <w:rPr>
          <w:rFonts w:eastAsia="宋体"/>
          <w:color w:val="000000"/>
          <w:sz w:val="24"/>
          <w:szCs w:val="22"/>
        </w:rPr>
        <w:fldChar w:fldCharType="separate"/>
      </w:r>
      <w:r>
        <w:rPr>
          <w:rFonts w:eastAsia="宋体"/>
          <w:color w:val="000000"/>
          <w:sz w:val="24"/>
          <w:szCs w:val="22"/>
        </w:rPr>
        <w:t>2.6</w:t>
      </w:r>
      <w:r>
        <w:rPr>
          <w:rFonts w:eastAsia="宋体"/>
          <w:color w:val="000000"/>
          <w:sz w:val="24"/>
          <w:szCs w:val="22"/>
        </w:rPr>
        <w:fldChar w:fldCharType="end"/>
      </w:r>
      <w:r>
        <w:rPr>
          <w:rFonts w:eastAsia="宋体"/>
          <w:color w:val="000000"/>
          <w:sz w:val="24"/>
          <w:szCs w:val="22"/>
        </w:rPr>
        <w:noBreakHyphen/>
      </w:r>
      <w:r>
        <w:rPr>
          <w:rFonts w:eastAsia="宋体"/>
          <w:color w:val="000000"/>
          <w:sz w:val="24"/>
          <w:szCs w:val="22"/>
        </w:rPr>
        <w:t>4 运营期声环境评价范围图</w:t>
      </w:r>
    </w:p>
    <w:p>
      <w:pPr>
        <w:pStyle w:val="4"/>
        <w:ind w:firstLine="241"/>
        <w:rPr>
          <w:b w:val="0"/>
        </w:rPr>
      </w:pPr>
      <w:bookmarkStart w:id="59" w:name="_Toc120173074"/>
      <w:r>
        <w:rPr>
          <w:rFonts w:hint="eastAsia"/>
        </w:rPr>
        <w:t>2.6.5</w:t>
      </w:r>
      <w:r>
        <w:t>土壤环境</w:t>
      </w:r>
      <w:bookmarkEnd w:id="59"/>
    </w:p>
    <w:p>
      <w:pPr>
        <w:tabs>
          <w:tab w:val="left" w:pos="0"/>
        </w:tabs>
        <w:ind w:firstLine="480"/>
        <w:rPr>
          <w:rFonts w:cs="Times New Roman"/>
          <w:bCs/>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（1）</w:t>
      </w:r>
      <w:r>
        <w:rPr>
          <w:rFonts w:cs="Times New Roman"/>
          <w:bCs/>
          <w:color w:val="000000" w:themeColor="text1"/>
          <w:szCs w:val="24"/>
          <w14:textFill>
            <w14:solidFill>
              <w14:schemeClr w14:val="tx1"/>
            </w14:solidFill>
          </w14:textFill>
        </w:rPr>
        <w:t>评价工作等级</w:t>
      </w:r>
    </w:p>
    <w:p>
      <w:pPr>
        <w:tabs>
          <w:tab w:val="left" w:pos="0"/>
        </w:tabs>
        <w:ind w:firstLine="480"/>
        <w:rPr>
          <w:rFonts w:cs="Times New Roman"/>
          <w:color w:val="000000" w:themeColor="text1"/>
          <w:szCs w:val="24"/>
          <w14:textFill>
            <w14:solidFill>
              <w14:schemeClr w14:val="tx1"/>
            </w14:solidFill>
          </w14:textFill>
        </w:rPr>
      </w:pPr>
      <w:r>
        <w:rPr>
          <w:rFonts w:hint="eastAsia" w:cs="Times New Roman"/>
          <w:color w:val="000000" w:themeColor="text1"/>
          <w:szCs w:val="24"/>
          <w14:textFill>
            <w14:solidFill>
              <w14:schemeClr w14:val="tx1"/>
            </w14:solidFill>
          </w14:textFill>
        </w:rPr>
        <w:t>根据《环境影响评价技术导则 陆地石油天然气开发建设项目》（HJ349-2023）土壤环境评价等级和范围要求，本项目所在区域土壤环境属于非土壤盐化、酸化和碱化地区，应按照土壤污染影响型，按相应等级开展评价工作。具体评价等级和评价范围依据HJ964的相关原则来确定。</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根据《环境影响评价技术导则 土壤环境（试行）》（HJ964-2018），本项目为天然气开采（B072），属于</w:t>
      </w:r>
      <w:r>
        <w:rPr>
          <w:rFonts w:hint="eastAsia" w:ascii="宋体" w:hAnsi="宋体" w:cs="宋体"/>
          <w:color w:val="000000" w:themeColor="text1"/>
          <w:szCs w:val="24"/>
          <w14:textFill>
            <w14:solidFill>
              <w14:schemeClr w14:val="tx1"/>
            </w14:solidFill>
          </w14:textFill>
        </w:rPr>
        <w:t>Ⅱ</w:t>
      </w:r>
      <w:r>
        <w:rPr>
          <w:rFonts w:cs="Times New Roman"/>
          <w:color w:val="000000" w:themeColor="text1"/>
          <w:szCs w:val="24"/>
          <w14:textFill>
            <w14:solidFill>
              <w14:schemeClr w14:val="tx1"/>
            </w14:solidFill>
          </w14:textFill>
        </w:rPr>
        <w:t>类建设项目。根据工程分析，项目对土壤环境的影响主要为污染物泄漏对其造成污染，属于污染影响型项目，周边环境敏感程度判别依据见表2.6-7，土壤环境影响评价工作等级划分见表2.6-8。</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2.6</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t>7 污染影响型项目敏感程度分级表</w:t>
      </w:r>
    </w:p>
    <w:tbl>
      <w:tblPr>
        <w:tblStyle w:val="52"/>
        <w:tblW w:w="82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99"/>
        <w:gridCol w:w="64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99" w:type="dxa"/>
            <w:vAlign w:val="center"/>
          </w:tcPr>
          <w:p>
            <w:pPr>
              <w:pStyle w:val="294"/>
            </w:pPr>
            <w:r>
              <w:t>敏感程度</w:t>
            </w:r>
          </w:p>
        </w:tc>
        <w:tc>
          <w:tcPr>
            <w:tcW w:w="6423" w:type="dxa"/>
            <w:vAlign w:val="center"/>
          </w:tcPr>
          <w:p>
            <w:pPr>
              <w:pStyle w:val="294"/>
            </w:pPr>
            <w:r>
              <w:t>判别依据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799" w:type="dxa"/>
            <w:vAlign w:val="center"/>
          </w:tcPr>
          <w:p>
            <w:pPr>
              <w:pStyle w:val="294"/>
            </w:pPr>
            <w:r>
              <w:t>敏感</w:t>
            </w:r>
          </w:p>
        </w:tc>
        <w:tc>
          <w:tcPr>
            <w:tcW w:w="6423" w:type="dxa"/>
            <w:vAlign w:val="center"/>
          </w:tcPr>
          <w:p>
            <w:pPr>
              <w:pStyle w:val="294"/>
            </w:pPr>
            <w:r>
              <w:t>建设项目周边存在耕地、园地、牧草地、饮用水水源地或居民区、学校、医院、疗养院、养老院等土壤环境敏感目标的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99" w:type="dxa"/>
            <w:vAlign w:val="center"/>
          </w:tcPr>
          <w:p>
            <w:pPr>
              <w:pStyle w:val="294"/>
            </w:pPr>
            <w:r>
              <w:t>较敏感</w:t>
            </w:r>
          </w:p>
        </w:tc>
        <w:tc>
          <w:tcPr>
            <w:tcW w:w="6423" w:type="dxa"/>
            <w:vAlign w:val="center"/>
          </w:tcPr>
          <w:p>
            <w:pPr>
              <w:pStyle w:val="294"/>
            </w:pPr>
            <w:r>
              <w:t>建设项目周边存在其他土壤环境敏感目标的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99" w:type="dxa"/>
            <w:vAlign w:val="center"/>
          </w:tcPr>
          <w:p>
            <w:pPr>
              <w:pStyle w:val="294"/>
            </w:pPr>
            <w:r>
              <w:t>不敏感</w:t>
            </w:r>
          </w:p>
        </w:tc>
        <w:tc>
          <w:tcPr>
            <w:tcW w:w="6423" w:type="dxa"/>
            <w:vAlign w:val="center"/>
          </w:tcPr>
          <w:p>
            <w:pPr>
              <w:pStyle w:val="294"/>
            </w:pPr>
            <w:r>
              <w:t>其他情况</w:t>
            </w:r>
          </w:p>
        </w:tc>
      </w:tr>
    </w:tbl>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2.6</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t>8 污染影响型评价工作等级划分表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5"/>
        <w:gridCol w:w="730"/>
        <w:gridCol w:w="730"/>
        <w:gridCol w:w="731"/>
        <w:gridCol w:w="731"/>
        <w:gridCol w:w="731"/>
        <w:gridCol w:w="731"/>
        <w:gridCol w:w="731"/>
        <w:gridCol w:w="731"/>
        <w:gridCol w:w="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vMerge w:val="restart"/>
            <w:tcBorders>
              <w:top w:val="single" w:color="auto" w:sz="12" w:space="0"/>
              <w:left w:val="single" w:color="auto" w:sz="12" w:space="0"/>
              <w:tl2br w:val="single" w:color="auto" w:sz="4" w:space="0"/>
            </w:tcBorders>
            <w:vAlign w:val="center"/>
          </w:tcPr>
          <w:p>
            <w:pPr>
              <w:pStyle w:val="294"/>
            </w:pPr>
            <w:r>
              <w:t>占地规模</w:t>
            </w:r>
          </w:p>
          <w:p>
            <w:pPr>
              <w:pStyle w:val="294"/>
            </w:pPr>
            <w:r>
              <w:t xml:space="preserve">敏感程度 </w:t>
            </w:r>
          </w:p>
        </w:tc>
        <w:tc>
          <w:tcPr>
            <w:tcW w:w="2191" w:type="dxa"/>
            <w:gridSpan w:val="3"/>
            <w:tcBorders>
              <w:top w:val="single" w:color="auto" w:sz="12" w:space="0"/>
            </w:tcBorders>
            <w:vAlign w:val="center"/>
          </w:tcPr>
          <w:p>
            <w:pPr>
              <w:pStyle w:val="294"/>
            </w:pPr>
            <w:r>
              <w:t>I类</w:t>
            </w:r>
          </w:p>
        </w:tc>
        <w:tc>
          <w:tcPr>
            <w:tcW w:w="2193" w:type="dxa"/>
            <w:gridSpan w:val="3"/>
            <w:tcBorders>
              <w:top w:val="single" w:color="auto" w:sz="12" w:space="0"/>
            </w:tcBorders>
          </w:tcPr>
          <w:p>
            <w:pPr>
              <w:pStyle w:val="294"/>
            </w:pPr>
            <w:r>
              <w:rPr>
                <w:shd w:val="pct10" w:color="auto" w:fill="FFFFFF"/>
              </w:rPr>
              <w:t>II类</w:t>
            </w:r>
          </w:p>
        </w:tc>
        <w:tc>
          <w:tcPr>
            <w:tcW w:w="2193" w:type="dxa"/>
            <w:gridSpan w:val="3"/>
            <w:tcBorders>
              <w:top w:val="single" w:color="auto" w:sz="12" w:space="0"/>
              <w:right w:val="single" w:color="auto" w:sz="12" w:space="0"/>
            </w:tcBorders>
          </w:tcPr>
          <w:p>
            <w:pPr>
              <w:pStyle w:val="294"/>
            </w:pPr>
            <w:r>
              <w:t>III类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vMerge w:val="continue"/>
            <w:tcBorders>
              <w:left w:val="single" w:color="auto" w:sz="12" w:space="0"/>
              <w:tl2br w:val="single" w:color="auto" w:sz="4" w:space="0"/>
            </w:tcBorders>
            <w:vAlign w:val="center"/>
          </w:tcPr>
          <w:p>
            <w:pPr>
              <w:pStyle w:val="294"/>
            </w:pPr>
          </w:p>
        </w:tc>
        <w:tc>
          <w:tcPr>
            <w:tcW w:w="730" w:type="dxa"/>
            <w:vAlign w:val="center"/>
          </w:tcPr>
          <w:p>
            <w:pPr>
              <w:pStyle w:val="294"/>
            </w:pPr>
            <w:r>
              <w:t>大</w:t>
            </w:r>
          </w:p>
        </w:tc>
        <w:tc>
          <w:tcPr>
            <w:tcW w:w="730" w:type="dxa"/>
          </w:tcPr>
          <w:p>
            <w:pPr>
              <w:pStyle w:val="294"/>
            </w:pPr>
            <w:r>
              <w:t>中</w:t>
            </w:r>
          </w:p>
        </w:tc>
        <w:tc>
          <w:tcPr>
            <w:tcW w:w="731" w:type="dxa"/>
          </w:tcPr>
          <w:p>
            <w:pPr>
              <w:pStyle w:val="294"/>
            </w:pPr>
            <w:r>
              <w:t>小</w:t>
            </w:r>
          </w:p>
        </w:tc>
        <w:tc>
          <w:tcPr>
            <w:tcW w:w="731" w:type="dxa"/>
            <w:vAlign w:val="center"/>
          </w:tcPr>
          <w:p>
            <w:pPr>
              <w:pStyle w:val="294"/>
            </w:pPr>
            <w:r>
              <w:t>大</w:t>
            </w:r>
          </w:p>
        </w:tc>
        <w:tc>
          <w:tcPr>
            <w:tcW w:w="731" w:type="dxa"/>
          </w:tcPr>
          <w:p>
            <w:pPr>
              <w:pStyle w:val="294"/>
            </w:pPr>
            <w:r>
              <w:t>中</w:t>
            </w:r>
          </w:p>
        </w:tc>
        <w:tc>
          <w:tcPr>
            <w:tcW w:w="731" w:type="dxa"/>
          </w:tcPr>
          <w:p>
            <w:pPr>
              <w:pStyle w:val="294"/>
            </w:pPr>
            <w:r>
              <w:rPr>
                <w:shd w:val="pct10" w:color="auto" w:fill="FFFFFF"/>
              </w:rPr>
              <w:t>小</w:t>
            </w:r>
          </w:p>
        </w:tc>
        <w:tc>
          <w:tcPr>
            <w:tcW w:w="731" w:type="dxa"/>
            <w:vAlign w:val="center"/>
          </w:tcPr>
          <w:p>
            <w:pPr>
              <w:pStyle w:val="294"/>
            </w:pPr>
            <w:r>
              <w:t>大</w:t>
            </w:r>
          </w:p>
        </w:tc>
        <w:tc>
          <w:tcPr>
            <w:tcW w:w="731" w:type="dxa"/>
          </w:tcPr>
          <w:p>
            <w:pPr>
              <w:pStyle w:val="294"/>
            </w:pPr>
            <w:r>
              <w:t>中</w:t>
            </w:r>
          </w:p>
        </w:tc>
        <w:tc>
          <w:tcPr>
            <w:tcW w:w="731" w:type="dxa"/>
            <w:tcBorders>
              <w:right w:val="single" w:color="auto" w:sz="12" w:space="0"/>
            </w:tcBorders>
          </w:tcPr>
          <w:p>
            <w:pPr>
              <w:pStyle w:val="294"/>
            </w:pPr>
            <w: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tcBorders>
              <w:left w:val="single" w:color="auto" w:sz="12" w:space="0"/>
            </w:tcBorders>
            <w:vAlign w:val="center"/>
          </w:tcPr>
          <w:p>
            <w:pPr>
              <w:pStyle w:val="294"/>
            </w:pPr>
            <w:r>
              <w:rPr>
                <w:shd w:val="pct10" w:color="auto" w:fill="FFFFFF"/>
              </w:rPr>
              <w:t>敏感</w:t>
            </w:r>
          </w:p>
        </w:tc>
        <w:tc>
          <w:tcPr>
            <w:tcW w:w="730" w:type="dxa"/>
            <w:vAlign w:val="center"/>
          </w:tcPr>
          <w:p>
            <w:pPr>
              <w:pStyle w:val="294"/>
            </w:pPr>
            <w:r>
              <w:t>一级</w:t>
            </w:r>
          </w:p>
        </w:tc>
        <w:tc>
          <w:tcPr>
            <w:tcW w:w="730" w:type="dxa"/>
          </w:tcPr>
          <w:p>
            <w:pPr>
              <w:pStyle w:val="294"/>
            </w:pPr>
            <w:r>
              <w:t>一级</w:t>
            </w:r>
          </w:p>
        </w:tc>
        <w:tc>
          <w:tcPr>
            <w:tcW w:w="731" w:type="dxa"/>
          </w:tcPr>
          <w:p>
            <w:pPr>
              <w:pStyle w:val="294"/>
            </w:pPr>
            <w:r>
              <w:t>一级</w:t>
            </w:r>
          </w:p>
        </w:tc>
        <w:tc>
          <w:tcPr>
            <w:tcW w:w="731" w:type="dxa"/>
          </w:tcPr>
          <w:p>
            <w:pPr>
              <w:pStyle w:val="294"/>
            </w:pPr>
            <w:r>
              <w:t>二级</w:t>
            </w:r>
          </w:p>
        </w:tc>
        <w:tc>
          <w:tcPr>
            <w:tcW w:w="731" w:type="dxa"/>
          </w:tcPr>
          <w:p>
            <w:pPr>
              <w:pStyle w:val="294"/>
            </w:pPr>
            <w:r>
              <w:t>二级</w:t>
            </w:r>
          </w:p>
        </w:tc>
        <w:tc>
          <w:tcPr>
            <w:tcW w:w="731" w:type="dxa"/>
          </w:tcPr>
          <w:p>
            <w:pPr>
              <w:pStyle w:val="294"/>
            </w:pPr>
            <w:r>
              <w:rPr>
                <w:shd w:val="pct10" w:color="auto" w:fill="FFFFFF"/>
              </w:rPr>
              <w:t>二级</w:t>
            </w:r>
          </w:p>
        </w:tc>
        <w:tc>
          <w:tcPr>
            <w:tcW w:w="731" w:type="dxa"/>
          </w:tcPr>
          <w:p>
            <w:pPr>
              <w:pStyle w:val="294"/>
            </w:pPr>
            <w:r>
              <w:t>三级</w:t>
            </w:r>
          </w:p>
        </w:tc>
        <w:tc>
          <w:tcPr>
            <w:tcW w:w="731" w:type="dxa"/>
          </w:tcPr>
          <w:p>
            <w:pPr>
              <w:pStyle w:val="294"/>
            </w:pPr>
            <w:r>
              <w:t>三级</w:t>
            </w:r>
          </w:p>
        </w:tc>
        <w:tc>
          <w:tcPr>
            <w:tcW w:w="731" w:type="dxa"/>
            <w:tcBorders>
              <w:right w:val="single" w:color="auto" w:sz="12" w:space="0"/>
            </w:tcBorders>
          </w:tcPr>
          <w:p>
            <w:pPr>
              <w:pStyle w:val="294"/>
            </w:pPr>
            <w: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tcBorders>
              <w:left w:val="single" w:color="auto" w:sz="12" w:space="0"/>
            </w:tcBorders>
            <w:vAlign w:val="center"/>
          </w:tcPr>
          <w:p>
            <w:pPr>
              <w:pStyle w:val="294"/>
            </w:pPr>
            <w:r>
              <w:t>较敏感</w:t>
            </w:r>
          </w:p>
        </w:tc>
        <w:tc>
          <w:tcPr>
            <w:tcW w:w="730" w:type="dxa"/>
            <w:vAlign w:val="center"/>
          </w:tcPr>
          <w:p>
            <w:pPr>
              <w:pStyle w:val="294"/>
            </w:pPr>
            <w:r>
              <w:t>一级</w:t>
            </w:r>
          </w:p>
        </w:tc>
        <w:tc>
          <w:tcPr>
            <w:tcW w:w="730" w:type="dxa"/>
          </w:tcPr>
          <w:p>
            <w:pPr>
              <w:pStyle w:val="294"/>
            </w:pPr>
            <w:r>
              <w:t>一级</w:t>
            </w:r>
          </w:p>
        </w:tc>
        <w:tc>
          <w:tcPr>
            <w:tcW w:w="731" w:type="dxa"/>
          </w:tcPr>
          <w:p>
            <w:pPr>
              <w:pStyle w:val="294"/>
            </w:pPr>
            <w:r>
              <w:t>二级</w:t>
            </w:r>
          </w:p>
        </w:tc>
        <w:tc>
          <w:tcPr>
            <w:tcW w:w="731" w:type="dxa"/>
          </w:tcPr>
          <w:p>
            <w:pPr>
              <w:pStyle w:val="294"/>
            </w:pPr>
            <w:r>
              <w:t>二级</w:t>
            </w:r>
          </w:p>
        </w:tc>
        <w:tc>
          <w:tcPr>
            <w:tcW w:w="731" w:type="dxa"/>
          </w:tcPr>
          <w:p>
            <w:pPr>
              <w:pStyle w:val="294"/>
            </w:pPr>
            <w:r>
              <w:t>二级</w:t>
            </w:r>
          </w:p>
        </w:tc>
        <w:tc>
          <w:tcPr>
            <w:tcW w:w="731" w:type="dxa"/>
          </w:tcPr>
          <w:p>
            <w:pPr>
              <w:pStyle w:val="294"/>
            </w:pPr>
            <w:r>
              <w:t>三级</w:t>
            </w:r>
          </w:p>
        </w:tc>
        <w:tc>
          <w:tcPr>
            <w:tcW w:w="731" w:type="dxa"/>
          </w:tcPr>
          <w:p>
            <w:pPr>
              <w:pStyle w:val="294"/>
            </w:pPr>
            <w:r>
              <w:t>三级</w:t>
            </w:r>
          </w:p>
        </w:tc>
        <w:tc>
          <w:tcPr>
            <w:tcW w:w="731" w:type="dxa"/>
          </w:tcPr>
          <w:p>
            <w:pPr>
              <w:pStyle w:val="294"/>
            </w:pPr>
            <w:r>
              <w:t>三级</w:t>
            </w:r>
          </w:p>
        </w:tc>
        <w:tc>
          <w:tcPr>
            <w:tcW w:w="731" w:type="dxa"/>
            <w:tcBorders>
              <w:right w:val="single" w:color="auto" w:sz="12" w:space="0"/>
            </w:tcBorders>
          </w:tcPr>
          <w:p>
            <w:pPr>
              <w:pStyle w:val="294"/>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tcBorders>
              <w:left w:val="single" w:color="auto" w:sz="12" w:space="0"/>
            </w:tcBorders>
            <w:vAlign w:val="center"/>
          </w:tcPr>
          <w:p>
            <w:pPr>
              <w:pStyle w:val="294"/>
            </w:pPr>
            <w:r>
              <w:t>不敏感</w:t>
            </w:r>
          </w:p>
        </w:tc>
        <w:tc>
          <w:tcPr>
            <w:tcW w:w="730" w:type="dxa"/>
            <w:vAlign w:val="center"/>
          </w:tcPr>
          <w:p>
            <w:pPr>
              <w:pStyle w:val="294"/>
            </w:pPr>
            <w:r>
              <w:t>一级</w:t>
            </w:r>
          </w:p>
        </w:tc>
        <w:tc>
          <w:tcPr>
            <w:tcW w:w="730" w:type="dxa"/>
          </w:tcPr>
          <w:p>
            <w:pPr>
              <w:pStyle w:val="294"/>
            </w:pPr>
            <w:r>
              <w:t>一级</w:t>
            </w:r>
          </w:p>
        </w:tc>
        <w:tc>
          <w:tcPr>
            <w:tcW w:w="731" w:type="dxa"/>
          </w:tcPr>
          <w:p>
            <w:pPr>
              <w:pStyle w:val="294"/>
            </w:pPr>
            <w:r>
              <w:t>二级</w:t>
            </w:r>
          </w:p>
        </w:tc>
        <w:tc>
          <w:tcPr>
            <w:tcW w:w="731" w:type="dxa"/>
          </w:tcPr>
          <w:p>
            <w:pPr>
              <w:pStyle w:val="294"/>
            </w:pPr>
            <w:r>
              <w:t>二级</w:t>
            </w:r>
          </w:p>
        </w:tc>
        <w:tc>
          <w:tcPr>
            <w:tcW w:w="731" w:type="dxa"/>
          </w:tcPr>
          <w:p>
            <w:pPr>
              <w:pStyle w:val="294"/>
            </w:pPr>
            <w:r>
              <w:t>三级</w:t>
            </w:r>
          </w:p>
        </w:tc>
        <w:tc>
          <w:tcPr>
            <w:tcW w:w="731" w:type="dxa"/>
          </w:tcPr>
          <w:p>
            <w:pPr>
              <w:pStyle w:val="294"/>
            </w:pPr>
            <w:r>
              <w:t>三级</w:t>
            </w:r>
          </w:p>
        </w:tc>
        <w:tc>
          <w:tcPr>
            <w:tcW w:w="731" w:type="dxa"/>
          </w:tcPr>
          <w:p>
            <w:pPr>
              <w:pStyle w:val="294"/>
            </w:pPr>
            <w:r>
              <w:t>三级</w:t>
            </w:r>
          </w:p>
        </w:tc>
        <w:tc>
          <w:tcPr>
            <w:tcW w:w="731" w:type="dxa"/>
          </w:tcPr>
          <w:p>
            <w:pPr>
              <w:pStyle w:val="294"/>
            </w:pPr>
            <w:r>
              <w:t>-</w:t>
            </w:r>
          </w:p>
        </w:tc>
        <w:tc>
          <w:tcPr>
            <w:tcW w:w="731" w:type="dxa"/>
            <w:tcBorders>
              <w:right w:val="single" w:color="auto" w:sz="12" w:space="0"/>
            </w:tcBorders>
          </w:tcPr>
          <w:p>
            <w:pPr>
              <w:pStyle w:val="294"/>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2" w:type="dxa"/>
            <w:gridSpan w:val="10"/>
            <w:tcBorders>
              <w:left w:val="single" w:color="auto" w:sz="12" w:space="0"/>
              <w:bottom w:val="single" w:color="auto" w:sz="12" w:space="0"/>
              <w:right w:val="single" w:color="auto" w:sz="12" w:space="0"/>
            </w:tcBorders>
            <w:vAlign w:val="center"/>
          </w:tcPr>
          <w:p>
            <w:pPr>
              <w:pStyle w:val="294"/>
            </w:pPr>
            <w:r>
              <w:t>注：“-”表示可不开展土壤环境影响评价工作。</w:t>
            </w:r>
          </w:p>
        </w:tc>
      </w:tr>
    </w:tbl>
    <w:p>
      <w:pPr>
        <w:tabs>
          <w:tab w:val="left" w:pos="0"/>
        </w:tabs>
        <w:spacing w:before="163" w:beforeLines="5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根据现场调查和收集资料，项目及周边存在耕地等土壤环境敏感目标，土壤环境敏感；建设项目占地主要为临时占地。本项目站场和管线占地小于5hm</w:t>
      </w:r>
      <w:r>
        <w:rPr>
          <w:rFonts w:cs="Times New Roman"/>
          <w:color w:val="000000" w:themeColor="text1"/>
          <w:szCs w:val="24"/>
          <w:vertAlign w:val="superscript"/>
          <w14:textFill>
            <w14:solidFill>
              <w14:schemeClr w14:val="tx1"/>
            </w14:solidFill>
          </w14:textFill>
        </w:rPr>
        <w:t>2</w:t>
      </w:r>
      <w:r>
        <w:rPr>
          <w:rFonts w:cs="Times New Roman"/>
          <w:color w:val="000000" w:themeColor="text1"/>
          <w:szCs w:val="24"/>
          <w14:textFill>
            <w14:solidFill>
              <w14:schemeClr w14:val="tx1"/>
            </w14:solidFill>
          </w14:textFill>
        </w:rPr>
        <w:t>，因此占地规模为小型。因此，根据污染影响型评价工作等级划分表，本项目土壤环境影响评价等级为二级。</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（2）评价范围</w:t>
      </w:r>
    </w:p>
    <w:p>
      <w:pPr>
        <w:tabs>
          <w:tab w:val="left" w:pos="0"/>
        </w:tabs>
        <w:ind w:firstLine="480"/>
        <w:rPr>
          <w:rFonts w:cs="Times New Roman"/>
          <w:bCs/>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根据《环境影响评价技术导则 土壤环境（试行）》（HJ964-2018），本项目土壤环境评价范围为项目井场、放喷池外扩200m范围</w:t>
      </w:r>
      <w:r>
        <w:rPr>
          <w:rFonts w:cs="Times New Roman"/>
          <w:bCs/>
          <w:color w:val="000000" w:themeColor="text1"/>
          <w:szCs w:val="24"/>
          <w14:textFill>
            <w14:solidFill>
              <w14:schemeClr w14:val="tx1"/>
            </w14:solidFill>
          </w14:textFill>
        </w:rPr>
        <w:t>。</w:t>
      </w:r>
    </w:p>
    <w:p>
      <w:pPr>
        <w:pStyle w:val="92"/>
        <w:rPr>
          <w:color w:val="000000" w:themeColor="text1"/>
          <w14:textFill>
            <w14:solidFill>
              <w14:schemeClr w14:val="tx1"/>
            </w14:solidFill>
          </w14:textFill>
        </w:rPr>
      </w:pPr>
      <w:r>
        <w:rPr>
          <w:lang w:eastAsia="zh-CN"/>
        </w:rPr>
        <w:drawing>
          <wp:inline distT="0" distB="0" distL="114300" distR="114300">
            <wp:extent cx="5270500" cy="3800475"/>
            <wp:effectExtent l="0" t="0" r="6350" b="9525"/>
            <wp:docPr id="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
                    <pic:cNvPicPr>
                      <a:picLocks noChangeAspect="1"/>
                    </pic:cNvPicPr>
                  </pic:nvPicPr>
                  <pic:blipFill>
                    <a:blip r:embed="rId33"/>
                    <a:stretch>
                      <a:fillRect/>
                    </a:stretch>
                  </pic:blipFill>
                  <pic:spPr>
                    <a:xfrm>
                      <a:off x="0" y="0"/>
                      <a:ext cx="5270500" cy="3800475"/>
                    </a:xfrm>
                    <a:prstGeom prst="rect">
                      <a:avLst/>
                    </a:prstGeom>
                    <a:noFill/>
                    <a:ln>
                      <a:noFill/>
                    </a:ln>
                  </pic:spPr>
                </pic:pic>
              </a:graphicData>
            </a:graphic>
          </wp:inline>
        </w:drawing>
      </w:r>
    </w:p>
    <w:p>
      <w:pPr>
        <w:pStyle w:val="161"/>
        <w:rPr>
          <w:rFonts w:eastAsia="宋体"/>
          <w:color w:val="000000"/>
          <w:sz w:val="24"/>
          <w:szCs w:val="22"/>
        </w:rPr>
      </w:pPr>
      <w:r>
        <w:rPr>
          <w:rFonts w:eastAsia="宋体"/>
          <w:color w:val="000000"/>
          <w:sz w:val="24"/>
          <w:szCs w:val="22"/>
        </w:rPr>
        <w:t>图</w:t>
      </w:r>
      <w:r>
        <w:rPr>
          <w:rFonts w:eastAsia="宋体"/>
          <w:color w:val="000000"/>
          <w:sz w:val="24"/>
          <w:szCs w:val="22"/>
        </w:rPr>
        <w:fldChar w:fldCharType="begin"/>
      </w:r>
      <w:r>
        <w:rPr>
          <w:rFonts w:eastAsia="宋体"/>
          <w:color w:val="000000"/>
          <w:sz w:val="24"/>
          <w:szCs w:val="22"/>
        </w:rPr>
        <w:instrText xml:space="preserve"> STYLEREF 2 \s </w:instrText>
      </w:r>
      <w:r>
        <w:rPr>
          <w:rFonts w:eastAsia="宋体"/>
          <w:color w:val="000000"/>
          <w:sz w:val="24"/>
          <w:szCs w:val="22"/>
        </w:rPr>
        <w:fldChar w:fldCharType="separate"/>
      </w:r>
      <w:r>
        <w:rPr>
          <w:rFonts w:eastAsia="宋体"/>
          <w:color w:val="000000"/>
          <w:sz w:val="24"/>
          <w:szCs w:val="22"/>
        </w:rPr>
        <w:t>2.6</w:t>
      </w:r>
      <w:r>
        <w:rPr>
          <w:rFonts w:eastAsia="宋体"/>
          <w:color w:val="000000"/>
          <w:sz w:val="24"/>
          <w:szCs w:val="22"/>
        </w:rPr>
        <w:fldChar w:fldCharType="end"/>
      </w:r>
      <w:r>
        <w:rPr>
          <w:rFonts w:eastAsia="宋体"/>
          <w:color w:val="000000"/>
          <w:sz w:val="24"/>
          <w:szCs w:val="22"/>
        </w:rPr>
        <w:noBreakHyphen/>
      </w:r>
      <w:r>
        <w:rPr>
          <w:rFonts w:eastAsia="宋体"/>
          <w:color w:val="000000"/>
          <w:sz w:val="24"/>
          <w:szCs w:val="22"/>
        </w:rPr>
        <w:t>5土壤环境评价范围图</w:t>
      </w:r>
    </w:p>
    <w:p>
      <w:pPr>
        <w:pStyle w:val="4"/>
        <w:ind w:firstLine="241"/>
        <w:rPr>
          <w:b w:val="0"/>
        </w:rPr>
      </w:pPr>
      <w:bookmarkStart w:id="60" w:name="_Toc120173075"/>
      <w:r>
        <w:rPr>
          <w:rFonts w:hint="eastAsia"/>
        </w:rPr>
        <w:t>2.6.6</w:t>
      </w:r>
      <w:r>
        <w:t>生态环境</w:t>
      </w:r>
      <w:bookmarkEnd w:id="60"/>
    </w:p>
    <w:p>
      <w:pPr>
        <w:tabs>
          <w:tab w:val="left" w:pos="0"/>
        </w:tabs>
        <w:ind w:firstLine="480"/>
        <w:rPr>
          <w:rFonts w:cs="Times New Roman"/>
          <w:bCs/>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（1）</w:t>
      </w:r>
      <w:r>
        <w:rPr>
          <w:rFonts w:cs="Times New Roman"/>
          <w:bCs/>
          <w:color w:val="000000" w:themeColor="text1"/>
          <w:szCs w:val="24"/>
          <w14:textFill>
            <w14:solidFill>
              <w14:schemeClr w14:val="tx1"/>
            </w14:solidFill>
          </w14:textFill>
        </w:rPr>
        <w:t>评价工作等级</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hint="eastAsia" w:ascii="Times New Roman" w:hAnsi="Times New Roman"/>
          <w:color w:val="000000" w:themeColor="text1"/>
          <w:lang w:eastAsia="zh-CN"/>
          <w14:textFill>
            <w14:solidFill>
              <w14:schemeClr w14:val="tx1"/>
            </w14:solidFill>
          </w14:textFill>
        </w:rPr>
        <w:t>根据《环境影响评价技术导则 陆地石油天然气开发建设项目》（HJ349-2023）生态影响评价等级和评价范围依据HJ19的相关原则来确定。</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根据《环境影响评价技术导则</w:t>
      </w:r>
      <w:r>
        <w:rPr>
          <w:rFonts w:ascii="Times New Roman" w:hAnsi="Times New Roman"/>
          <w:color w:val="000000" w:themeColor="text1"/>
          <w:spacing w:val="-8"/>
          <w:lang w:eastAsia="zh-CN"/>
          <w14:textFill>
            <w14:solidFill>
              <w14:schemeClr w14:val="tx1"/>
            </w14:solidFill>
          </w14:textFill>
        </w:rPr>
        <w:t xml:space="preserve"> </w:t>
      </w:r>
      <w:r>
        <w:rPr>
          <w:rFonts w:ascii="Times New Roman" w:hAnsi="Times New Roman"/>
          <w:color w:val="000000" w:themeColor="text1"/>
          <w:lang w:eastAsia="zh-CN"/>
          <w14:textFill>
            <w14:solidFill>
              <w14:schemeClr w14:val="tx1"/>
            </w14:solidFill>
          </w14:textFill>
        </w:rPr>
        <w:t>生态影响》（HJ19-2022），判断本项目是否涉及下文a~f，以此来确定本项目生态环境评价工作等级：</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2.6</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t>9 生态影响评价工作等级判定表</w:t>
      </w:r>
    </w:p>
    <w:tbl>
      <w:tblPr>
        <w:tblStyle w:val="53"/>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87"/>
        <w:gridCol w:w="5775"/>
        <w:gridCol w:w="186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序号</w:t>
            </w:r>
          </w:p>
        </w:tc>
        <w:tc>
          <w:tcPr>
            <w:tcW w:w="3388" w:type="pc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导则规定</w:t>
            </w:r>
          </w:p>
        </w:tc>
        <w:tc>
          <w:tcPr>
            <w:tcW w:w="1091" w:type="pc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本项目情况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1</w:t>
            </w:r>
          </w:p>
        </w:tc>
        <w:tc>
          <w:tcPr>
            <w:tcW w:w="3388"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a）涉及国家公园、自然保护区、世界自然遗产、重要生境时，评价等级为一级</w:t>
            </w:r>
          </w:p>
        </w:tc>
        <w:tc>
          <w:tcPr>
            <w:tcW w:w="109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2</w:t>
            </w:r>
          </w:p>
        </w:tc>
        <w:tc>
          <w:tcPr>
            <w:tcW w:w="3388"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b）涉及自然公园时，评价等级为二级</w:t>
            </w:r>
          </w:p>
        </w:tc>
        <w:tc>
          <w:tcPr>
            <w:tcW w:w="109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3</w:t>
            </w:r>
          </w:p>
        </w:tc>
        <w:tc>
          <w:tcPr>
            <w:tcW w:w="3388"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c）涉及生态保护红线时，评价等级不低于二级</w:t>
            </w:r>
          </w:p>
        </w:tc>
        <w:tc>
          <w:tcPr>
            <w:tcW w:w="109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4</w:t>
            </w:r>
          </w:p>
        </w:tc>
        <w:tc>
          <w:tcPr>
            <w:tcW w:w="3388"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d）根据HJ2.3判断属于水文要素影响型且地表水评价等级不低于二级的建设项目，生态影响评价等级不低于二级</w:t>
            </w:r>
          </w:p>
        </w:tc>
        <w:tc>
          <w:tcPr>
            <w:tcW w:w="109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5</w:t>
            </w:r>
          </w:p>
        </w:tc>
        <w:tc>
          <w:tcPr>
            <w:tcW w:w="3388"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e）根据HJ610、HJ964判断地下水水位或土壤影响范围内分布有天然林、公益林、湿地等生态保护目标的建设项目，生态影响评价等级不低于二级</w:t>
            </w:r>
          </w:p>
        </w:tc>
        <w:tc>
          <w:tcPr>
            <w:tcW w:w="109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6</w:t>
            </w:r>
          </w:p>
        </w:tc>
        <w:tc>
          <w:tcPr>
            <w:tcW w:w="3388"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f）当工程占地规模大于20km</w:t>
            </w:r>
            <w:r>
              <w:rPr>
                <w:rFonts w:cs="Times New Roman"/>
                <w:bCs/>
                <w:color w:val="000000"/>
                <w:sz w:val="21"/>
                <w:szCs w:val="20"/>
                <w:vertAlign w:val="superscript"/>
              </w:rPr>
              <w:t>2</w:t>
            </w:r>
            <w:r>
              <w:rPr>
                <w:rFonts w:cs="Times New Roman"/>
                <w:bCs/>
                <w:color w:val="000000"/>
                <w:sz w:val="21"/>
                <w:szCs w:val="20"/>
              </w:rPr>
              <w:t>时（包括永久和临时占用陆域和水域），评价等级不低于二级；改扩建项目的占地范围以新增占地（包括陆域和水域）确定</w:t>
            </w:r>
          </w:p>
        </w:tc>
        <w:tc>
          <w:tcPr>
            <w:tcW w:w="109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本项目为扩建项目，新增占地面积约12593m</w:t>
            </w:r>
            <w:r>
              <w:rPr>
                <w:rFonts w:cs="Times New Roman"/>
                <w:bCs/>
                <w:color w:val="000000"/>
                <w:sz w:val="21"/>
                <w:szCs w:val="20"/>
                <w:vertAlign w:val="superscript"/>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7</w:t>
            </w:r>
          </w:p>
        </w:tc>
        <w:tc>
          <w:tcPr>
            <w:tcW w:w="3388"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g、除本条a）、b）、c）、d）、e）、f）以外的情况，评价等级为三级</w:t>
            </w:r>
          </w:p>
        </w:tc>
        <w:tc>
          <w:tcPr>
            <w:tcW w:w="109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8</w:t>
            </w:r>
          </w:p>
        </w:tc>
        <w:tc>
          <w:tcPr>
            <w:tcW w:w="3388"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h、当评价等级判定同时符合上述多种情况时，应采用其中最高的评价等级</w:t>
            </w:r>
          </w:p>
        </w:tc>
        <w:tc>
          <w:tcPr>
            <w:tcW w:w="109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9</w:t>
            </w:r>
          </w:p>
        </w:tc>
        <w:tc>
          <w:tcPr>
            <w:tcW w:w="3388"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建设项目涉及经论证对保护生物多样性具有重要意义的区域时，可适当上调评价等级</w:t>
            </w:r>
          </w:p>
        </w:tc>
        <w:tc>
          <w:tcPr>
            <w:tcW w:w="109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10</w:t>
            </w:r>
          </w:p>
        </w:tc>
        <w:tc>
          <w:tcPr>
            <w:tcW w:w="3388"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建设项目同时涉及陆生、水生生态影响时，可针对陆生生态、水生生态分别判定评价等级</w:t>
            </w:r>
          </w:p>
        </w:tc>
        <w:tc>
          <w:tcPr>
            <w:tcW w:w="109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项目不涉及水生生态影响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11</w:t>
            </w:r>
          </w:p>
        </w:tc>
        <w:tc>
          <w:tcPr>
            <w:tcW w:w="3388"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在矿山开采可能导致矿区土地利用类型明显改变，或拦河闸坝建设可能明显改变水文情势等情况下，评价等级应上调一级</w:t>
            </w:r>
          </w:p>
        </w:tc>
        <w:tc>
          <w:tcPr>
            <w:tcW w:w="109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12</w:t>
            </w:r>
          </w:p>
        </w:tc>
        <w:tc>
          <w:tcPr>
            <w:tcW w:w="3388"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线性工程可分段确定评价等级。线性工程地下穿越或地表跨越生态敏感区，在生态敏感区范围内无永久、临时占地时，评价等级可下调一级</w:t>
            </w:r>
          </w:p>
        </w:tc>
        <w:tc>
          <w:tcPr>
            <w:tcW w:w="109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不涉及生态敏感区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13</w:t>
            </w:r>
          </w:p>
        </w:tc>
        <w:tc>
          <w:tcPr>
            <w:tcW w:w="3388"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涉海工程评价等级判定参照GB/T19485</w:t>
            </w:r>
          </w:p>
        </w:tc>
        <w:tc>
          <w:tcPr>
            <w:tcW w:w="1091" w:type="pct"/>
            <w:vAlign w:val="center"/>
          </w:tcPr>
          <w:p>
            <w:pPr>
              <w:widowControl/>
              <w:spacing w:line="240" w:lineRule="auto"/>
              <w:ind w:firstLine="0" w:firstLineChars="0"/>
              <w:jc w:val="center"/>
              <w:textAlignment w:val="baseline"/>
              <w:rPr>
                <w:rFonts w:cs="Times New Roman"/>
                <w:bCs/>
                <w:color w:val="000000"/>
                <w:sz w:val="21"/>
                <w:szCs w:val="20"/>
              </w:rPr>
            </w:pPr>
            <w:r>
              <w:rPr>
                <w:rFonts w:cs="Times New Roman"/>
                <w:bCs/>
                <w:color w:val="000000"/>
                <w:sz w:val="21"/>
                <w:szCs w:val="20"/>
              </w:rPr>
              <w:t>不涉及</w:t>
            </w:r>
          </w:p>
        </w:tc>
      </w:tr>
    </w:tbl>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根据上表分析，本项目的生态环境影响评价工作等级定为三级。</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（2）评价范围</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根据《环境影响评价技术导则 生态影响》（HJ19-2022）、《环境影响评价技术导则</w:t>
      </w:r>
      <w:r>
        <w:rPr>
          <w:rFonts w:hint="eastAsia" w:cs="Times New Roman"/>
          <w:bCs/>
          <w:color w:val="000000" w:themeColor="text1"/>
          <w:szCs w:val="24"/>
          <w14:textFill>
            <w14:solidFill>
              <w14:schemeClr w14:val="tx1"/>
            </w14:solidFill>
          </w14:textFill>
        </w:rPr>
        <w:t xml:space="preserve"> </w:t>
      </w:r>
      <w:r>
        <w:rPr>
          <w:rFonts w:cs="Times New Roman"/>
          <w:bCs/>
          <w:color w:val="000000" w:themeColor="text1"/>
          <w:szCs w:val="24"/>
          <w14:textFill>
            <w14:solidFill>
              <w14:schemeClr w14:val="tx1"/>
            </w14:solidFill>
          </w14:textFill>
        </w:rPr>
        <w:t>陆地石油天然气开发建设项目》（HJ/T349-2023）关于评价范围的划分原则和本项目现场踏勘调查实际情况，确定本评价范围如下：</w:t>
      </w:r>
    </w:p>
    <w:p>
      <w:pPr>
        <w:ind w:firstLine="480"/>
        <w:rPr>
          <w:rFonts w:cs="Times New Roman"/>
          <w:color w:val="000000" w:themeColor="text1"/>
          <w14:textFill>
            <w14:solidFill>
              <w14:schemeClr w14:val="tx1"/>
            </w14:solidFill>
          </w14:textFill>
        </w:rPr>
      </w:pPr>
      <w:r>
        <w:rPr>
          <w:rFonts w:cs="Times New Roman"/>
          <w:bCs/>
          <w:color w:val="000000" w:themeColor="text1"/>
          <w:szCs w:val="24"/>
          <w14:textFill>
            <w14:solidFill>
              <w14:schemeClr w14:val="tx1"/>
            </w14:solidFill>
          </w14:textFill>
        </w:rPr>
        <w:t>项目占地范围外延300m范围的区域，面积约56.05hm</w:t>
      </w:r>
      <w:r>
        <w:rPr>
          <w:rFonts w:cs="Times New Roman"/>
          <w:bCs/>
          <w:color w:val="000000" w:themeColor="text1"/>
          <w:szCs w:val="24"/>
          <w:vertAlign w:val="superscript"/>
          <w14:textFill>
            <w14:solidFill>
              <w14:schemeClr w14:val="tx1"/>
            </w14:solidFill>
          </w14:textFill>
        </w:rPr>
        <w:t>2</w:t>
      </w:r>
      <w:r>
        <w:rPr>
          <w:rFonts w:cs="Times New Roman"/>
          <w:bCs/>
          <w:color w:val="000000" w:themeColor="text1"/>
          <w:szCs w:val="24"/>
          <w14:textFill>
            <w14:solidFill>
              <w14:schemeClr w14:val="tx1"/>
            </w14:solidFill>
          </w14:textFill>
        </w:rPr>
        <w:t>。</w:t>
      </w:r>
    </w:p>
    <w:p>
      <w:pPr>
        <w:pStyle w:val="4"/>
        <w:ind w:firstLine="241"/>
        <w:rPr>
          <w:b w:val="0"/>
        </w:rPr>
      </w:pPr>
      <w:bookmarkStart w:id="61" w:name="_Toc120173076"/>
      <w:r>
        <w:rPr>
          <w:rFonts w:hint="eastAsia"/>
        </w:rPr>
        <w:t>2.6.7</w:t>
      </w:r>
      <w:r>
        <w:t>环境风险</w:t>
      </w:r>
      <w:bookmarkEnd w:id="61"/>
    </w:p>
    <w:p>
      <w:pPr>
        <w:tabs>
          <w:tab w:val="left" w:pos="0"/>
        </w:tabs>
        <w:ind w:firstLine="480"/>
        <w:rPr>
          <w:rFonts w:cs="Times New Roman"/>
          <w:bCs/>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（1）</w:t>
      </w:r>
      <w:r>
        <w:rPr>
          <w:rFonts w:cs="Times New Roman"/>
          <w:bCs/>
          <w:color w:val="000000" w:themeColor="text1"/>
          <w:szCs w:val="24"/>
          <w14:textFill>
            <w14:solidFill>
              <w14:schemeClr w14:val="tx1"/>
            </w14:solidFill>
          </w14:textFill>
        </w:rPr>
        <w:t>评价工作等级</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建设项目环境风险评价技术导则》（HJ169-2018）中关于环境风险评价工作等级的划分方法，本工程输送的介质为含硫天然气，项目涉及的主要危险有害物质为甲烷、硫化氢、盐酸、柴油、白油、油基泥浆和气田水。气田水不属于《建设项目风险评价技术导则》（HJ169-2018），附录B中重点关注的危险物质，根据分析气田水属于危害水环境物质，但不属于急性毒性类别1中物质，本次评价仅对其在储存过程中的风险提出措施。钻井废水、洗井废水、压裂返排液等产生后即立即转运，不在井场内暂存，因此不纳入风险评价等级判定，仅提出收集与转运过程的风险防范措施。</w:t>
      </w:r>
    </w:p>
    <w:p>
      <w:pPr>
        <w:tabs>
          <w:tab w:val="left" w:pos="0"/>
        </w:tabs>
        <w:ind w:firstLine="480"/>
        <w:rPr>
          <w:rFonts w:cs="Times New Roman"/>
          <w:bCs/>
          <w:color w:val="000000" w:themeColor="text1"/>
          <w:szCs w:val="24"/>
          <w14:textFill>
            <w14:solidFill>
              <w14:schemeClr w14:val="tx1"/>
            </w14:solidFill>
          </w14:textFill>
        </w:rPr>
      </w:pPr>
      <w:r>
        <w:rPr>
          <w:rFonts w:cs="Times New Roman"/>
          <w:bCs/>
          <w:snapToGrid w:val="0"/>
          <w:color w:val="000000" w:themeColor="text1"/>
          <w14:textFill>
            <w14:solidFill>
              <w14:schemeClr w14:val="tx1"/>
            </w14:solidFill>
          </w14:textFill>
        </w:rPr>
        <w:t>施工期天然气所含的甲烷、硫化氢和油类物质的Q值计算结果为</w:t>
      </w:r>
      <w:r>
        <w:rPr>
          <w:rFonts w:hint="eastAsia" w:cs="Times New Roman"/>
          <w:bCs/>
          <w:snapToGrid w:val="0"/>
          <w:color w:val="000000" w:themeColor="text1"/>
          <w14:textFill>
            <w14:solidFill>
              <w14:schemeClr w14:val="tx1"/>
            </w14:solidFill>
          </w14:textFill>
        </w:rPr>
        <w:t>0.7119</w:t>
      </w:r>
      <w:r>
        <w:rPr>
          <w:rFonts w:cs="Times New Roman"/>
          <w:bCs/>
          <w:snapToGrid w:val="0"/>
          <w:color w:val="000000" w:themeColor="text1"/>
          <w14:textFill>
            <w14:solidFill>
              <w14:schemeClr w14:val="tx1"/>
            </w14:solidFill>
          </w14:textFill>
        </w:rPr>
        <w:t>，Q值＜1；压裂阶段的风险物质37%浓度盐酸和柴油的Q值计算结果为0.6064，Q值＜1；试采期天然气所含的甲烷和硫化氢的Q值计算结果为0.081，Q值＜1。因此，该项目环境风险潜势为</w:t>
      </w:r>
      <w:r>
        <w:rPr>
          <w:rFonts w:hint="eastAsia" w:ascii="宋体" w:hAnsi="宋体" w:cs="宋体"/>
          <w:bCs/>
          <w:snapToGrid w:val="0"/>
          <w:color w:val="000000" w:themeColor="text1"/>
          <w14:textFill>
            <w14:solidFill>
              <w14:schemeClr w14:val="tx1"/>
            </w14:solidFill>
          </w14:textFill>
        </w:rPr>
        <w:t>Ⅰ</w:t>
      </w:r>
      <w:r>
        <w:rPr>
          <w:rFonts w:cs="Times New Roman"/>
          <w:bCs/>
          <w:snapToGrid w:val="0"/>
          <w:color w:val="000000" w:themeColor="text1"/>
          <w14:textFill>
            <w14:solidFill>
              <w14:schemeClr w14:val="tx1"/>
            </w14:solidFill>
          </w14:textFill>
        </w:rPr>
        <w:t>。</w:t>
      </w:r>
    </w:p>
    <w:p>
      <w:pPr>
        <w:pStyle w:val="249"/>
        <w:ind w:firstLine="0" w:firstLineChars="0"/>
        <w:jc w:val="cente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2.6</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t>10</w:t>
      </w:r>
      <w:r>
        <w:t xml:space="preserve"> 环境风险评价工作等级划分</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555"/>
        <w:gridCol w:w="1586"/>
        <w:gridCol w:w="1601"/>
        <w:gridCol w:w="1916"/>
        <w:gridCol w:w="156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jc w:val="center"/>
        </w:trPr>
        <w:tc>
          <w:tcPr>
            <w:tcW w:w="1555" w:type="dxa"/>
            <w:vAlign w:val="center"/>
          </w:tcPr>
          <w:p>
            <w:pPr>
              <w:pStyle w:val="294"/>
            </w:pPr>
            <w:r>
              <w:t>环境风险潜势</w:t>
            </w:r>
          </w:p>
        </w:tc>
        <w:tc>
          <w:tcPr>
            <w:tcW w:w="1586" w:type="dxa"/>
            <w:vAlign w:val="center"/>
          </w:tcPr>
          <w:p>
            <w:pPr>
              <w:pStyle w:val="294"/>
            </w:pPr>
            <w:r>
              <w:rPr>
                <w:rFonts w:hint="eastAsia" w:ascii="宋体" w:hAnsi="宋体" w:cs="宋体"/>
              </w:rPr>
              <w:t>Ⅳ</w:t>
            </w:r>
            <w:r>
              <w:t>、</w:t>
            </w:r>
            <w:r>
              <w:rPr>
                <w:rFonts w:hint="eastAsia" w:ascii="宋体" w:hAnsi="宋体" w:cs="宋体"/>
              </w:rPr>
              <w:t>Ⅴ</w:t>
            </w:r>
            <w:r>
              <w:rPr>
                <w:vertAlign w:val="superscript"/>
              </w:rPr>
              <w:t>+</w:t>
            </w:r>
          </w:p>
        </w:tc>
        <w:tc>
          <w:tcPr>
            <w:tcW w:w="1601" w:type="dxa"/>
            <w:vAlign w:val="center"/>
          </w:tcPr>
          <w:p>
            <w:pPr>
              <w:pStyle w:val="294"/>
            </w:pPr>
            <w:r>
              <w:rPr>
                <w:rFonts w:hint="eastAsia"/>
              </w:rPr>
              <w:t>Ⅲ</w:t>
            </w:r>
          </w:p>
        </w:tc>
        <w:tc>
          <w:tcPr>
            <w:tcW w:w="1916" w:type="dxa"/>
            <w:vAlign w:val="center"/>
          </w:tcPr>
          <w:p>
            <w:pPr>
              <w:pStyle w:val="294"/>
            </w:pPr>
            <w:r>
              <w:rPr>
                <w:rFonts w:hint="eastAsia"/>
              </w:rPr>
              <w:t>Ⅱ</w:t>
            </w:r>
          </w:p>
        </w:tc>
        <w:tc>
          <w:tcPr>
            <w:tcW w:w="1564" w:type="dxa"/>
            <w:vAlign w:val="center"/>
          </w:tcPr>
          <w:p>
            <w:pPr>
              <w:pStyle w:val="294"/>
              <w:rPr>
                <w:shd w:val="pct10" w:color="auto" w:fill="FFFFFF"/>
              </w:rPr>
            </w:pPr>
            <w:r>
              <w:rPr>
                <w:rFonts w:hint="eastAsia"/>
                <w:shd w:val="pct10" w:color="auto" w:fill="FFFFFF"/>
              </w:rPr>
              <w:t>Ⅰ</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jc w:val="center"/>
        </w:trPr>
        <w:tc>
          <w:tcPr>
            <w:tcW w:w="1555" w:type="dxa"/>
            <w:vAlign w:val="center"/>
          </w:tcPr>
          <w:p>
            <w:pPr>
              <w:pStyle w:val="294"/>
            </w:pPr>
            <w:r>
              <w:t>评价工作等级</w:t>
            </w:r>
          </w:p>
        </w:tc>
        <w:tc>
          <w:tcPr>
            <w:tcW w:w="1586" w:type="dxa"/>
            <w:vAlign w:val="center"/>
          </w:tcPr>
          <w:p>
            <w:pPr>
              <w:pStyle w:val="294"/>
            </w:pPr>
            <w:r>
              <w:t>一</w:t>
            </w:r>
          </w:p>
        </w:tc>
        <w:tc>
          <w:tcPr>
            <w:tcW w:w="1601" w:type="dxa"/>
            <w:vAlign w:val="center"/>
          </w:tcPr>
          <w:p>
            <w:pPr>
              <w:pStyle w:val="294"/>
            </w:pPr>
            <w:r>
              <w:t>二</w:t>
            </w:r>
          </w:p>
        </w:tc>
        <w:tc>
          <w:tcPr>
            <w:tcW w:w="1916" w:type="dxa"/>
            <w:vAlign w:val="center"/>
          </w:tcPr>
          <w:p>
            <w:pPr>
              <w:pStyle w:val="294"/>
            </w:pPr>
            <w:r>
              <w:t>三</w:t>
            </w:r>
          </w:p>
        </w:tc>
        <w:tc>
          <w:tcPr>
            <w:tcW w:w="1564" w:type="dxa"/>
            <w:vAlign w:val="center"/>
          </w:tcPr>
          <w:p>
            <w:pPr>
              <w:pStyle w:val="294"/>
              <w:rPr>
                <w:shd w:val="pct10" w:color="auto" w:fill="FFFFFF"/>
              </w:rPr>
            </w:pPr>
            <w:r>
              <w:rPr>
                <w:shd w:val="pct10" w:color="auto" w:fill="FFFFFF"/>
              </w:rPr>
              <w:t>简单分析a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jc w:val="center"/>
        </w:trPr>
        <w:tc>
          <w:tcPr>
            <w:tcW w:w="8222" w:type="dxa"/>
            <w:gridSpan w:val="5"/>
            <w:vAlign w:val="center"/>
          </w:tcPr>
          <w:p>
            <w:pPr>
              <w:pStyle w:val="294"/>
            </w:pPr>
            <w:r>
              <w:t>a 是相对于详细评价工作内容而言，在描述危险物质、环境影响途径、环境危害后果、</w:t>
            </w:r>
          </w:p>
          <w:p>
            <w:pPr>
              <w:pStyle w:val="294"/>
              <w:rPr>
                <w:shd w:val="pct10" w:color="auto" w:fill="FFFFFF"/>
              </w:rPr>
            </w:pPr>
            <w:r>
              <w:t>风险防范措施等方面给出定性的说明。</w:t>
            </w:r>
          </w:p>
        </w:tc>
      </w:tr>
    </w:tbl>
    <w:p>
      <w:pPr>
        <w:spacing w:before="163" w:beforeLines="50"/>
        <w:ind w:firstLine="480"/>
        <w:rPr>
          <w:rFonts w:cs="Times New Roman"/>
          <w:szCs w:val="24"/>
        </w:rPr>
      </w:pPr>
      <w:r>
        <w:rPr>
          <w:rFonts w:cs="Times New Roman"/>
          <w:szCs w:val="24"/>
        </w:rPr>
        <w:t>根据上述环境风险潜势初判结果，本项目</w:t>
      </w:r>
      <w:r>
        <w:rPr>
          <w:rFonts w:hint="eastAsia" w:cs="Times New Roman"/>
          <w:szCs w:val="24"/>
        </w:rPr>
        <w:t>风险评价为</w:t>
      </w:r>
      <w:r>
        <w:rPr>
          <w:rFonts w:cs="Times New Roman"/>
          <w:szCs w:val="24"/>
        </w:rPr>
        <w:t>“简单分析”。</w:t>
      </w:r>
    </w:p>
    <w:p>
      <w:pPr>
        <w:ind w:firstLine="480"/>
        <w:rPr>
          <w:rFonts w:cs="Times New Roman"/>
          <w:szCs w:val="24"/>
        </w:rPr>
      </w:pPr>
      <w:r>
        <w:rPr>
          <w:rFonts w:cs="Times New Roman"/>
          <w:szCs w:val="24"/>
        </w:rPr>
        <w:t>但考虑到硫化氢毒性较大，一旦发生井喷事故后对环境空气影响较大，进而会对周边居民生命财产安全造成影响，因此本次环境风险评价</w:t>
      </w:r>
      <w:r>
        <w:rPr>
          <w:rFonts w:hint="eastAsia" w:cs="Times New Roman"/>
          <w:szCs w:val="24"/>
        </w:rPr>
        <w:t>中</w:t>
      </w:r>
      <w:r>
        <w:rPr>
          <w:rFonts w:cs="Times New Roman"/>
          <w:szCs w:val="24"/>
        </w:rPr>
        <w:t>大气环境</w:t>
      </w:r>
      <w:r>
        <w:rPr>
          <w:rFonts w:hint="eastAsia" w:cs="Times New Roman"/>
          <w:szCs w:val="24"/>
        </w:rPr>
        <w:t>按照</w:t>
      </w:r>
      <w:r>
        <w:rPr>
          <w:rFonts w:cs="Times New Roman"/>
          <w:szCs w:val="24"/>
        </w:rPr>
        <w:t>二级</w:t>
      </w:r>
      <w:r>
        <w:rPr>
          <w:rFonts w:hint="eastAsia" w:cs="Times New Roman"/>
          <w:szCs w:val="24"/>
        </w:rPr>
        <w:t>评价进行影响预测分析</w:t>
      </w:r>
      <w:r>
        <w:rPr>
          <w:rFonts w:cs="Times New Roman"/>
          <w:szCs w:val="24"/>
        </w:rPr>
        <w:t>，地下水环境、地表水环境</w:t>
      </w:r>
      <w:r>
        <w:rPr>
          <w:rFonts w:hint="eastAsia" w:cs="Times New Roman"/>
          <w:szCs w:val="24"/>
        </w:rPr>
        <w:t>等</w:t>
      </w:r>
      <w:r>
        <w:rPr>
          <w:rFonts w:cs="Times New Roman"/>
          <w:szCs w:val="24"/>
        </w:rPr>
        <w:t>仍为</w:t>
      </w:r>
      <w:r>
        <w:rPr>
          <w:rFonts w:hint="eastAsia" w:cs="Times New Roman"/>
          <w:szCs w:val="24"/>
        </w:rPr>
        <w:t>简单分析</w:t>
      </w:r>
      <w:r>
        <w:rPr>
          <w:rFonts w:cs="Times New Roman"/>
          <w:szCs w:val="24"/>
        </w:rPr>
        <w:t>。</w:t>
      </w:r>
    </w:p>
    <w:p>
      <w:pPr>
        <w:tabs>
          <w:tab w:val="left" w:pos="0"/>
        </w:tabs>
        <w:ind w:firstLine="480"/>
        <w:rPr>
          <w:rFonts w:cs="Times New Roman"/>
          <w:szCs w:val="24"/>
        </w:rPr>
      </w:pPr>
      <w:r>
        <w:rPr>
          <w:rFonts w:cs="Times New Roman"/>
          <w:szCs w:val="24"/>
        </w:rPr>
        <w:t>（2）评价范围</w:t>
      </w:r>
    </w:p>
    <w:p>
      <w:pPr>
        <w:tabs>
          <w:tab w:val="left" w:pos="0"/>
        </w:tabs>
        <w:ind w:firstLine="480"/>
        <w:rPr>
          <w:rFonts w:cs="Times New Roman"/>
          <w:szCs w:val="24"/>
        </w:rPr>
      </w:pPr>
      <w:r>
        <w:rPr>
          <w:rFonts w:cs="Times New Roman"/>
          <w:szCs w:val="24"/>
        </w:rPr>
        <w:t>根据《建设项目环境风险评价技术导则》（HJ169-2018）附录A简单分析基本内容，</w:t>
      </w:r>
      <w:r>
        <w:rPr>
          <w:rFonts w:hint="eastAsia" w:cs="Times New Roman"/>
          <w:szCs w:val="24"/>
        </w:rPr>
        <w:t>简单分析</w:t>
      </w:r>
      <w:r>
        <w:rPr>
          <w:rFonts w:cs="Times New Roman"/>
          <w:szCs w:val="24"/>
        </w:rPr>
        <w:t>无评价范围确定内容，因此，</w:t>
      </w:r>
      <w:r>
        <w:rPr>
          <w:rFonts w:hint="eastAsia" w:cs="Times New Roman"/>
          <w:szCs w:val="24"/>
        </w:rPr>
        <w:t>本次评价</w:t>
      </w:r>
      <w:r>
        <w:rPr>
          <w:rFonts w:cs="Times New Roman"/>
          <w:szCs w:val="24"/>
        </w:rPr>
        <w:t>地下水环境、地表水环境不设置环境风险评价范围，只对涉及的危险物质、环境影响途径、环境危害、风险防范措施等方面给出定性的说明；大气环境风险评价范围确定为井口周边5km范围。</w:t>
      </w:r>
    </w:p>
    <w:p>
      <w:pPr>
        <w:pStyle w:val="3"/>
        <w:rPr>
          <w:color w:val="auto"/>
        </w:rPr>
      </w:pPr>
      <w:bookmarkStart w:id="62" w:name="_Toc164667012"/>
      <w:r>
        <w:rPr>
          <w:rFonts w:hint="eastAsia"/>
          <w:color w:val="auto"/>
        </w:rPr>
        <w:t>2.7</w:t>
      </w:r>
      <w:r>
        <w:rPr>
          <w:color w:val="auto"/>
        </w:rPr>
        <w:t>相关政策、规范符合性分析</w:t>
      </w:r>
      <w:bookmarkEnd w:id="62"/>
    </w:p>
    <w:p>
      <w:pPr>
        <w:pStyle w:val="4"/>
        <w:ind w:firstLine="241"/>
        <w:rPr>
          <w:b w:val="0"/>
          <w:color w:val="auto"/>
        </w:rPr>
      </w:pPr>
      <w:bookmarkStart w:id="63" w:name="_Toc120173078"/>
      <w:r>
        <w:rPr>
          <w:rFonts w:hint="eastAsia"/>
          <w:color w:val="auto"/>
        </w:rPr>
        <w:t>2.7.1</w:t>
      </w:r>
      <w:r>
        <w:rPr>
          <w:color w:val="auto"/>
        </w:rPr>
        <w:t>产业政策及相关文件符合性分析</w:t>
      </w:r>
      <w:bookmarkEnd w:id="63"/>
    </w:p>
    <w:p>
      <w:pPr>
        <w:pStyle w:val="5"/>
        <w:spacing w:before="163"/>
      </w:pPr>
      <w:r>
        <w:rPr>
          <w:rFonts w:hint="eastAsia"/>
        </w:rPr>
        <w:t>2.7.1.1</w:t>
      </w:r>
      <w:r>
        <w:t>与《产业结构调整指导目录》的符合性分析</w:t>
      </w:r>
    </w:p>
    <w:p>
      <w:pPr>
        <w:tabs>
          <w:tab w:val="left" w:pos="0"/>
        </w:tabs>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根据《产业结构调整指导目录（2024年本）》，本项目属于鼓励类中第七条“石油、天然气”中的第一款：“常规石油、天然气勘探与开采”。</w:t>
      </w:r>
    </w:p>
    <w:p>
      <w:pPr>
        <w:tabs>
          <w:tab w:val="left" w:pos="0"/>
        </w:tabs>
        <w:ind w:firstLine="480"/>
        <w:rPr>
          <w:rFonts w:cs="Times New Roman"/>
          <w:bCs/>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因此本项目建设符合国家产业政策。</w:t>
      </w:r>
    </w:p>
    <w:p>
      <w:pPr>
        <w:pStyle w:val="5"/>
        <w:spacing w:before="163"/>
      </w:pPr>
      <w:r>
        <w:rPr>
          <w:rFonts w:hint="eastAsia"/>
        </w:rPr>
        <w:t>2.7.1.2</w:t>
      </w:r>
      <w:r>
        <w:t>与《石油天然气开采业污染防治技术政策》的符合性分析</w:t>
      </w:r>
    </w:p>
    <w:p>
      <w:pPr>
        <w:autoSpaceDE w:val="0"/>
        <w:autoSpaceDN w:val="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根据《石油天然气开采业污染防治技术政策》（〔2012〕18号），本项目与《石油天然气开采业污染防治技术政策》符合性分析见下表。</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与《石油天然气开采业污染防治技术政策》符合性分析表</w:t>
      </w:r>
    </w:p>
    <w:tbl>
      <w:tblPr>
        <w:tblStyle w:val="53"/>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39"/>
        <w:gridCol w:w="3545"/>
        <w:gridCol w:w="2873"/>
        <w:gridCol w:w="9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trPr>
        <w:tc>
          <w:tcPr>
            <w:tcW w:w="939" w:type="dxa"/>
            <w:vAlign w:val="center"/>
          </w:tcPr>
          <w:p>
            <w:pPr>
              <w:pStyle w:val="294"/>
            </w:pPr>
            <w:r>
              <w:t>序号</w:t>
            </w:r>
          </w:p>
        </w:tc>
        <w:tc>
          <w:tcPr>
            <w:tcW w:w="3545" w:type="dxa"/>
            <w:vAlign w:val="center"/>
          </w:tcPr>
          <w:p>
            <w:pPr>
              <w:pStyle w:val="294"/>
            </w:pPr>
            <w:r>
              <w:t>技术政策要求</w:t>
            </w:r>
          </w:p>
        </w:tc>
        <w:tc>
          <w:tcPr>
            <w:tcW w:w="2873" w:type="dxa"/>
            <w:vAlign w:val="center"/>
          </w:tcPr>
          <w:p>
            <w:pPr>
              <w:pStyle w:val="294"/>
            </w:pPr>
            <w:r>
              <w:t>本工程内容</w:t>
            </w:r>
          </w:p>
        </w:tc>
        <w:tc>
          <w:tcPr>
            <w:tcW w:w="939" w:type="dxa"/>
            <w:vAlign w:val="center"/>
          </w:tcPr>
          <w:p>
            <w:pPr>
              <w:pStyle w:val="294"/>
            </w:pPr>
            <w: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一</w:t>
            </w:r>
          </w:p>
        </w:tc>
        <w:tc>
          <w:tcPr>
            <w:tcW w:w="7357" w:type="dxa"/>
            <w:gridSpan w:val="3"/>
            <w:vAlign w:val="center"/>
          </w:tcPr>
          <w:p>
            <w:pPr>
              <w:pStyle w:val="294"/>
            </w:pPr>
            <w:r>
              <w:t>清洁生产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1</w:t>
            </w:r>
          </w:p>
        </w:tc>
        <w:tc>
          <w:tcPr>
            <w:tcW w:w="3545" w:type="dxa"/>
            <w:vAlign w:val="center"/>
          </w:tcPr>
          <w:p>
            <w:pPr>
              <w:pStyle w:val="294"/>
            </w:pPr>
            <w:r>
              <w:t>油气田建设应总体规划，优化布局，整体开发，减少占地和油气损失，实现油气和废物的集中收集、处理处置。</w:t>
            </w:r>
          </w:p>
        </w:tc>
        <w:tc>
          <w:tcPr>
            <w:tcW w:w="2873" w:type="dxa"/>
            <w:vAlign w:val="center"/>
          </w:tcPr>
          <w:p>
            <w:pPr>
              <w:pStyle w:val="294"/>
            </w:pPr>
            <w:r>
              <w:t>本项目属于气田的开发和管线建设，占地较少，废水收集集中处置，废物收集集中处置。</w:t>
            </w:r>
          </w:p>
        </w:tc>
        <w:tc>
          <w:tcPr>
            <w:tcW w:w="939" w:type="dxa"/>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2</w:t>
            </w:r>
          </w:p>
        </w:tc>
        <w:tc>
          <w:tcPr>
            <w:tcW w:w="3545" w:type="dxa"/>
            <w:vAlign w:val="center"/>
          </w:tcPr>
          <w:p>
            <w:pPr>
              <w:pStyle w:val="294"/>
            </w:pPr>
            <w:r>
              <w:t>油气田开发不得使用含有国际公约禁用化学物质的油气田化学剂，逐步淘汰微毒及以上油气田化学剂，鼓励使用无毒油气田化学剂。</w:t>
            </w:r>
          </w:p>
        </w:tc>
        <w:tc>
          <w:tcPr>
            <w:tcW w:w="2873" w:type="dxa"/>
            <w:vAlign w:val="center"/>
          </w:tcPr>
          <w:p>
            <w:pPr>
              <w:pStyle w:val="294"/>
            </w:pPr>
            <w:r>
              <w:t>本项目无国际公约禁用化学物质，符合要求。</w:t>
            </w:r>
          </w:p>
        </w:tc>
        <w:tc>
          <w:tcPr>
            <w:tcW w:w="939" w:type="dxa"/>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3</w:t>
            </w:r>
          </w:p>
        </w:tc>
        <w:tc>
          <w:tcPr>
            <w:tcW w:w="3545" w:type="dxa"/>
            <w:vAlign w:val="center"/>
          </w:tcPr>
          <w:p>
            <w:pPr>
              <w:pStyle w:val="294"/>
            </w:pPr>
            <w:r>
              <w:t>在油气勘探过程中，宜使用环保型炸药和可控震源，应采取防渗等措施预防燃料泄漏对环境的污染。</w:t>
            </w:r>
          </w:p>
        </w:tc>
        <w:tc>
          <w:tcPr>
            <w:tcW w:w="2873" w:type="dxa"/>
            <w:vAlign w:val="center"/>
          </w:tcPr>
          <w:p>
            <w:pPr>
              <w:pStyle w:val="294"/>
            </w:pPr>
            <w:r>
              <w:t>本项目无需炸药，油罐区设置地面硬化防渗和设置集油池，符合要求。</w:t>
            </w:r>
          </w:p>
        </w:tc>
        <w:tc>
          <w:tcPr>
            <w:tcW w:w="939" w:type="dxa"/>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4</w:t>
            </w:r>
          </w:p>
        </w:tc>
        <w:tc>
          <w:tcPr>
            <w:tcW w:w="3545" w:type="dxa"/>
            <w:vAlign w:val="center"/>
          </w:tcPr>
          <w:p>
            <w:pPr>
              <w:pStyle w:val="294"/>
            </w:pPr>
            <w:r>
              <w:t>在钻井过程中，鼓励采用环境友好的钻井液体系；配备完善的固控设备，钻井液循环率达到95%以上；钻井过程产生的废水应回用。</w:t>
            </w:r>
          </w:p>
        </w:tc>
        <w:tc>
          <w:tcPr>
            <w:tcW w:w="2873" w:type="dxa"/>
            <w:vAlign w:val="center"/>
          </w:tcPr>
          <w:p>
            <w:pPr>
              <w:pStyle w:val="294"/>
            </w:pPr>
            <w:r>
              <w:t>本项目采用水基钻井液（若遇特殊地层情况，三开段可能会转为油基钻井），固控设备完善，钻井液循环率达到95%以上，钻井废水处理回用，符合要求。</w:t>
            </w:r>
          </w:p>
        </w:tc>
        <w:tc>
          <w:tcPr>
            <w:tcW w:w="939" w:type="dxa"/>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5</w:t>
            </w:r>
          </w:p>
        </w:tc>
        <w:tc>
          <w:tcPr>
            <w:tcW w:w="3545" w:type="dxa"/>
            <w:vAlign w:val="center"/>
          </w:tcPr>
          <w:p>
            <w:pPr>
              <w:pStyle w:val="294"/>
            </w:pPr>
            <w:r>
              <w:t>在井下作业过程中，酸化液和压裂液宜集中配制，酸化残液、压裂残液和返排液应回收利用或进行无害化处置，压裂放喷返排入罐率应达到100%。酸化、压裂作业和试油（气）过程应采取防喷、地面管线防刺、防漏、防溢等措施。</w:t>
            </w:r>
          </w:p>
        </w:tc>
        <w:tc>
          <w:tcPr>
            <w:tcW w:w="2873" w:type="dxa"/>
            <w:vAlign w:val="center"/>
          </w:tcPr>
          <w:p>
            <w:pPr>
              <w:pStyle w:val="294"/>
            </w:pPr>
            <w:r>
              <w:t>本项目酸化残液、压裂残液和返排液暂存放喷池后外运处置，压裂放喷返排液收集率为100%，采取了防漏、防溢措施，全部外运处理，符合要求。</w:t>
            </w:r>
          </w:p>
        </w:tc>
        <w:tc>
          <w:tcPr>
            <w:tcW w:w="939" w:type="dxa"/>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二</w:t>
            </w:r>
          </w:p>
        </w:tc>
        <w:tc>
          <w:tcPr>
            <w:tcW w:w="7357" w:type="dxa"/>
            <w:gridSpan w:val="3"/>
            <w:vAlign w:val="center"/>
          </w:tcPr>
          <w:p>
            <w:pPr>
              <w:pStyle w:val="294"/>
            </w:pPr>
            <w:r>
              <w:t>生态保护</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1</w:t>
            </w:r>
          </w:p>
        </w:tc>
        <w:tc>
          <w:tcPr>
            <w:tcW w:w="3545" w:type="dxa"/>
            <w:vAlign w:val="center"/>
          </w:tcPr>
          <w:p>
            <w:pPr>
              <w:pStyle w:val="294"/>
            </w:pPr>
            <w:r>
              <w:t>在开发过程中，伴生气应回收利用，减少温室气体排放，不具备回收利用条件的，应充分燃烧，伴生气回收利用率应达到 80%以上；站场放空天然气应充分燃烧。燃烧放空设施应避开鸟类迁徙通道。</w:t>
            </w:r>
          </w:p>
        </w:tc>
        <w:tc>
          <w:tcPr>
            <w:tcW w:w="2873" w:type="dxa"/>
            <w:vAlign w:val="center"/>
          </w:tcPr>
          <w:p>
            <w:pPr>
              <w:pStyle w:val="294"/>
            </w:pPr>
            <w:r>
              <w:t>放喷过程中不具备利用条件，在放喷池进行充分燃烧。放喷池未位于鸟类迁徙通道上。</w:t>
            </w:r>
          </w:p>
        </w:tc>
        <w:tc>
          <w:tcPr>
            <w:tcW w:w="939" w:type="dxa"/>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三</w:t>
            </w:r>
          </w:p>
        </w:tc>
        <w:tc>
          <w:tcPr>
            <w:tcW w:w="7357" w:type="dxa"/>
            <w:gridSpan w:val="3"/>
            <w:vAlign w:val="center"/>
          </w:tcPr>
          <w:p>
            <w:pPr>
              <w:pStyle w:val="294"/>
            </w:pPr>
            <w:r>
              <w:t>污染治理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1</w:t>
            </w:r>
          </w:p>
        </w:tc>
        <w:tc>
          <w:tcPr>
            <w:tcW w:w="3545" w:type="dxa"/>
            <w:vAlign w:val="center"/>
          </w:tcPr>
          <w:p>
            <w:pPr>
              <w:pStyle w:val="294"/>
            </w:pPr>
            <w:r>
              <w:t>在钻井和井下作业过程中，鼓励污油、污水进入生产流程循环利用，未进入生产流程的污油、污水应采用固液分离、废水处理一体化装置等处理后达标外排。在油气开发过程中，未回注的油气田采出水宜采用混凝气浮和生化处理相结合的方式。</w:t>
            </w:r>
          </w:p>
        </w:tc>
        <w:tc>
          <w:tcPr>
            <w:tcW w:w="2873" w:type="dxa"/>
            <w:vAlign w:val="center"/>
          </w:tcPr>
          <w:p>
            <w:pPr>
              <w:pStyle w:val="294"/>
            </w:pPr>
            <w:r>
              <w:t>本项目钻井期间污水池收集的初期雨水、压裂返排液及洗井废水优先回用钻井工段，不能用回的用罐车拉运至赵家坝污水处理站处理达回注标准后管输至普光11井回注站回注。钻井废水预处理后，若达到回注标准则运至普光11井回注站回注，若预处理未达标，则由罐车拉运至赵家坝污水站处理达标后管输至普光11井回注站回注。</w:t>
            </w:r>
          </w:p>
        </w:tc>
        <w:tc>
          <w:tcPr>
            <w:tcW w:w="939" w:type="dxa"/>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2</w:t>
            </w:r>
          </w:p>
        </w:tc>
        <w:tc>
          <w:tcPr>
            <w:tcW w:w="3545" w:type="dxa"/>
            <w:vAlign w:val="center"/>
          </w:tcPr>
          <w:p>
            <w:pPr>
              <w:pStyle w:val="294"/>
            </w:pPr>
            <w:r>
              <w:t>固体废物收集、贮存、处理处置设施应按照标准要求采取防渗措施。试油（气）后应立即封闭废弃钻井液贮池。</w:t>
            </w:r>
          </w:p>
        </w:tc>
        <w:tc>
          <w:tcPr>
            <w:tcW w:w="2873" w:type="dxa"/>
            <w:vAlign w:val="center"/>
          </w:tcPr>
          <w:p>
            <w:pPr>
              <w:pStyle w:val="294"/>
            </w:pPr>
            <w:r>
              <w:t>钻井岩屑及泥浆采取资源化利用。完井后对泥浆不落地操作平台清理后复垦。</w:t>
            </w:r>
          </w:p>
        </w:tc>
        <w:tc>
          <w:tcPr>
            <w:tcW w:w="939" w:type="dxa"/>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3</w:t>
            </w:r>
          </w:p>
        </w:tc>
        <w:tc>
          <w:tcPr>
            <w:tcW w:w="3545" w:type="dxa"/>
            <w:vAlign w:val="center"/>
          </w:tcPr>
          <w:p>
            <w:pPr>
              <w:pStyle w:val="294"/>
            </w:pPr>
            <w:r>
              <w:t>应回收落地原油，以及原油处理、废水处理产生的油泥（砂）等中的油类物质，含油污泥资源化利用率应达到90%以上，残余固体废物应按照《国家危险废物名录》和危险废物鉴别标准识别，根据识别结果资源化利用或无害化处置。</w:t>
            </w:r>
          </w:p>
        </w:tc>
        <w:tc>
          <w:tcPr>
            <w:tcW w:w="2873" w:type="dxa"/>
            <w:vAlign w:val="center"/>
          </w:tcPr>
          <w:p>
            <w:pPr>
              <w:pStyle w:val="294"/>
            </w:pPr>
            <w:r>
              <w:t>不涉及原油，本工程在井口及易产生油污的生产设施底部进行防渗处理，收集可能产生的废油，完钻后统一收集交有资质单位处置。</w:t>
            </w:r>
          </w:p>
        </w:tc>
        <w:tc>
          <w:tcPr>
            <w:tcW w:w="939" w:type="dxa"/>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4</w:t>
            </w:r>
          </w:p>
        </w:tc>
        <w:tc>
          <w:tcPr>
            <w:tcW w:w="3545" w:type="dxa"/>
            <w:vAlign w:val="center"/>
          </w:tcPr>
          <w:p>
            <w:pPr>
              <w:pStyle w:val="294"/>
            </w:pPr>
            <w:r>
              <w:t>对受到油污染的土壤宜采取生物或物化方法进行修复。</w:t>
            </w:r>
          </w:p>
        </w:tc>
        <w:tc>
          <w:tcPr>
            <w:tcW w:w="2873" w:type="dxa"/>
            <w:vAlign w:val="center"/>
          </w:tcPr>
          <w:p>
            <w:pPr>
              <w:pStyle w:val="294"/>
            </w:pPr>
            <w:r>
              <w:t>不涉及原油，废油很少，通过采取防渗措施，总体不会造成土壤的油污染。</w:t>
            </w:r>
          </w:p>
        </w:tc>
        <w:tc>
          <w:tcPr>
            <w:tcW w:w="939" w:type="dxa"/>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四</w:t>
            </w:r>
          </w:p>
        </w:tc>
        <w:tc>
          <w:tcPr>
            <w:tcW w:w="7357" w:type="dxa"/>
            <w:gridSpan w:val="3"/>
            <w:vAlign w:val="center"/>
          </w:tcPr>
          <w:p>
            <w:pPr>
              <w:pStyle w:val="294"/>
            </w:pPr>
            <w:r>
              <w:t>运行风险和环境管理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1</w:t>
            </w:r>
          </w:p>
        </w:tc>
        <w:tc>
          <w:tcPr>
            <w:tcW w:w="3545" w:type="dxa"/>
            <w:vAlign w:val="center"/>
          </w:tcPr>
          <w:p>
            <w:pPr>
              <w:pStyle w:val="294"/>
            </w:pPr>
            <w:r>
              <w:t>油气田企业应制定环境保护管理规定，建立并运行健康、安全与环境管理体系。</w:t>
            </w:r>
          </w:p>
        </w:tc>
        <w:tc>
          <w:tcPr>
            <w:tcW w:w="2873" w:type="dxa"/>
            <w:vAlign w:val="center"/>
          </w:tcPr>
          <w:p>
            <w:pPr>
              <w:pStyle w:val="294"/>
            </w:pPr>
            <w:r>
              <w:t>本项目业主制定有完善的环境保护管理规定，并建立运行健康、安全与环境管理体系。</w:t>
            </w:r>
          </w:p>
        </w:tc>
        <w:tc>
          <w:tcPr>
            <w:tcW w:w="939" w:type="dxa"/>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2</w:t>
            </w:r>
          </w:p>
        </w:tc>
        <w:tc>
          <w:tcPr>
            <w:tcW w:w="3545" w:type="dxa"/>
            <w:vAlign w:val="center"/>
          </w:tcPr>
          <w:p>
            <w:pPr>
              <w:pStyle w:val="294"/>
            </w:pPr>
            <w:r>
              <w:t>加强油气田建设、开发过程的环境监督管理。油气田建设过程应开展工程环境监理。</w:t>
            </w:r>
          </w:p>
        </w:tc>
        <w:tc>
          <w:tcPr>
            <w:tcW w:w="2873" w:type="dxa"/>
            <w:vAlign w:val="center"/>
          </w:tcPr>
          <w:p>
            <w:pPr>
              <w:pStyle w:val="294"/>
            </w:pPr>
            <w:r>
              <w:t>本项目制定有环境监理计划。</w:t>
            </w:r>
          </w:p>
        </w:tc>
        <w:tc>
          <w:tcPr>
            <w:tcW w:w="939" w:type="dxa"/>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3</w:t>
            </w:r>
          </w:p>
        </w:tc>
        <w:tc>
          <w:tcPr>
            <w:tcW w:w="3545" w:type="dxa"/>
            <w:vAlign w:val="center"/>
          </w:tcPr>
          <w:p>
            <w:pPr>
              <w:pStyle w:val="294"/>
            </w:pPr>
            <w:r>
              <w:t>在开发过程中，企业应加强油气井套管的检测和维护，防止油气泄漏污染地下水。</w:t>
            </w:r>
          </w:p>
        </w:tc>
        <w:tc>
          <w:tcPr>
            <w:tcW w:w="2873" w:type="dxa"/>
            <w:vAlign w:val="center"/>
          </w:tcPr>
          <w:p>
            <w:pPr>
              <w:pStyle w:val="294"/>
            </w:pPr>
            <w:r>
              <w:t>本项目制定了套管检测和维护计划和制度，防止天然气泄露污染地下水。</w:t>
            </w:r>
          </w:p>
        </w:tc>
        <w:tc>
          <w:tcPr>
            <w:tcW w:w="939" w:type="dxa"/>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4</w:t>
            </w:r>
          </w:p>
        </w:tc>
        <w:tc>
          <w:tcPr>
            <w:tcW w:w="3545" w:type="dxa"/>
            <w:vAlign w:val="center"/>
          </w:tcPr>
          <w:p>
            <w:pPr>
              <w:pStyle w:val="294"/>
            </w:pPr>
            <w:r>
              <w:t>油气田企业应建立环境保护人员培训制度，环境监测人员、统计人员、污染治理设施操作人员应经培训合格后上岗。</w:t>
            </w:r>
          </w:p>
        </w:tc>
        <w:tc>
          <w:tcPr>
            <w:tcW w:w="2873" w:type="dxa"/>
            <w:vAlign w:val="center"/>
          </w:tcPr>
          <w:p>
            <w:pPr>
              <w:pStyle w:val="294"/>
            </w:pPr>
            <w:r>
              <w:t>本项目业主单位设置有专门的环境管理部门，并制定有完善的环境管理制度和培训制度。</w:t>
            </w:r>
          </w:p>
        </w:tc>
        <w:tc>
          <w:tcPr>
            <w:tcW w:w="939" w:type="dxa"/>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294"/>
            </w:pPr>
            <w:r>
              <w:t>5</w:t>
            </w:r>
          </w:p>
        </w:tc>
        <w:tc>
          <w:tcPr>
            <w:tcW w:w="3545" w:type="dxa"/>
            <w:vAlign w:val="center"/>
          </w:tcPr>
          <w:p>
            <w:pPr>
              <w:pStyle w:val="294"/>
            </w:pPr>
            <w:r>
              <w:t>油气田企业应对开发过程进行环境风险因素识别，制定突发环境事件应急预案并定期进行演练。应开展特征污染物监测工作，采取环境风险防范和应急措施，防止发生由突发性油气泄漏产生的环境事故。</w:t>
            </w:r>
          </w:p>
        </w:tc>
        <w:tc>
          <w:tcPr>
            <w:tcW w:w="2873" w:type="dxa"/>
            <w:vAlign w:val="center"/>
          </w:tcPr>
          <w:p>
            <w:pPr>
              <w:pStyle w:val="294"/>
            </w:pPr>
            <w:r>
              <w:t>建设单位严格按照要求设置突发环境事件应急预案，并定期举行演练。在井场周边设置有事故监测点，实时监测危险因子。</w:t>
            </w:r>
          </w:p>
        </w:tc>
        <w:tc>
          <w:tcPr>
            <w:tcW w:w="939" w:type="dxa"/>
            <w:vAlign w:val="center"/>
          </w:tcPr>
          <w:p>
            <w:pPr>
              <w:pStyle w:val="294"/>
            </w:pPr>
            <w:r>
              <w:t>符合</w:t>
            </w:r>
          </w:p>
        </w:tc>
      </w:tr>
    </w:tbl>
    <w:p>
      <w:pPr>
        <w:autoSpaceDE w:val="0"/>
        <w:autoSpaceDN w:val="0"/>
        <w:spacing w:before="163" w:beforeLines="5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由上表可见，本项目与《石油天然气开采业污染防治技术政策》符合。</w:t>
      </w:r>
    </w:p>
    <w:p>
      <w:pPr>
        <w:pStyle w:val="5"/>
        <w:spacing w:before="163"/>
      </w:pPr>
      <w:r>
        <w:rPr>
          <w:rFonts w:hint="eastAsia"/>
        </w:rPr>
        <w:t>2.7.1.3</w:t>
      </w:r>
      <w:r>
        <w:t>与《关于进一步加强石油天然气行业环境影响评价管理的通知》符合性分析</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根据《关于进一步加强石油天然气行业环境影响评价管理的通知》（环办环评函〔2019〕910号），本项目符合性分析如下。</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 xml:space="preserve">表 </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与《关于进一步加强石油天然气行业环境影响评价管理的通知》符合性分析表</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595"/>
        <w:gridCol w:w="4235"/>
        <w:gridCol w:w="2652"/>
        <w:gridCol w:w="8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08" w:hRule="atLeast"/>
          <w:tblHeader/>
          <w:jc w:val="center"/>
        </w:trPr>
        <w:tc>
          <w:tcPr>
            <w:tcW w:w="356" w:type="pct"/>
            <w:vAlign w:val="center"/>
          </w:tcPr>
          <w:p>
            <w:pPr>
              <w:pStyle w:val="294"/>
            </w:pPr>
            <w:r>
              <w:t>序号</w:t>
            </w:r>
          </w:p>
        </w:tc>
        <w:tc>
          <w:tcPr>
            <w:tcW w:w="2532" w:type="pct"/>
            <w:vAlign w:val="center"/>
          </w:tcPr>
          <w:p>
            <w:pPr>
              <w:pStyle w:val="294"/>
            </w:pPr>
            <w:r>
              <w:t>技术政策要求</w:t>
            </w:r>
          </w:p>
        </w:tc>
        <w:tc>
          <w:tcPr>
            <w:tcW w:w="1586" w:type="pct"/>
            <w:vAlign w:val="center"/>
          </w:tcPr>
          <w:p>
            <w:pPr>
              <w:pStyle w:val="294"/>
            </w:pPr>
            <w:r>
              <w:t>项目内容</w:t>
            </w:r>
          </w:p>
        </w:tc>
        <w:tc>
          <w:tcPr>
            <w:tcW w:w="527" w:type="pct"/>
            <w:vAlign w:val="center"/>
          </w:tcPr>
          <w:p>
            <w:pPr>
              <w:pStyle w:val="294"/>
            </w:pPr>
            <w: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一</w:t>
            </w:r>
          </w:p>
        </w:tc>
        <w:tc>
          <w:tcPr>
            <w:tcW w:w="4644" w:type="pct"/>
            <w:gridSpan w:val="3"/>
            <w:vAlign w:val="center"/>
          </w:tcPr>
          <w:p>
            <w:pPr>
              <w:pStyle w:val="294"/>
            </w:pPr>
            <w:r>
              <w:t>推进规划环境影响评价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（1）</w:t>
            </w:r>
          </w:p>
        </w:tc>
        <w:tc>
          <w:tcPr>
            <w:tcW w:w="2532" w:type="pct"/>
            <w:vAlign w:val="center"/>
          </w:tcPr>
          <w:p>
            <w:pPr>
              <w:pStyle w:val="294"/>
            </w:pPr>
            <w:r>
              <w:t>油气企业在编制内部相关油气开发专项规划时，鼓励同步编制规划环境影响报告书。</w:t>
            </w:r>
          </w:p>
        </w:tc>
        <w:tc>
          <w:tcPr>
            <w:tcW w:w="1586" w:type="pct"/>
            <w:vAlign w:val="center"/>
          </w:tcPr>
          <w:p>
            <w:pPr>
              <w:pStyle w:val="294"/>
            </w:pPr>
            <w:r>
              <w:t>未编制相</w:t>
            </w:r>
            <w:r>
              <w:rPr>
                <w:rFonts w:hint="eastAsia"/>
              </w:rPr>
              <w:t>关</w:t>
            </w:r>
            <w:r>
              <w:t>油气开发专项规划环境影响报告书。</w:t>
            </w:r>
          </w:p>
        </w:tc>
        <w:tc>
          <w:tcPr>
            <w:tcW w:w="527" w:type="pct"/>
            <w:vAlign w:val="center"/>
          </w:tcPr>
          <w:p>
            <w:pPr>
              <w:pStyle w:val="294"/>
            </w:pPr>
            <w:r>
              <w:t>非强制性要求，不违背。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二</w:t>
            </w:r>
          </w:p>
        </w:tc>
        <w:tc>
          <w:tcPr>
            <w:tcW w:w="4644" w:type="pct"/>
            <w:gridSpan w:val="3"/>
            <w:vAlign w:val="center"/>
          </w:tcPr>
          <w:p>
            <w:pPr>
              <w:pStyle w:val="294"/>
            </w:pPr>
            <w:r>
              <w:t>深化项目环评“放管服”改革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（1）</w:t>
            </w:r>
          </w:p>
        </w:tc>
        <w:tc>
          <w:tcPr>
            <w:tcW w:w="2532" w:type="pct"/>
            <w:vAlign w:val="center"/>
          </w:tcPr>
          <w:p>
            <w:pPr>
              <w:pStyle w:val="294"/>
            </w:pPr>
            <w:r>
              <w:t>油气开采项目（含新开发和滚动开发项目）原则上应当以区块为单位开展环评（以下简称区块环评），一般包括区块内拟建的新井、加密井、调整井、站场、设备、管道和电缆及其更换工程、弃置工程及配套工程等。项目环评应当深入评价项目建设、运营带来的环境影响和环境风险，提出有效的生态环境保护和环境风险防范措施。滚动开发区块产能建设项目环评文件中还应对现有工程环境影响进行回顾性评价，对存在的生态环境问题和环境风险隐患提出有效防治措施。依托其他防治设施的或者委托第三方处置的，应当论证其可行性和有效性。</w:t>
            </w:r>
          </w:p>
        </w:tc>
        <w:tc>
          <w:tcPr>
            <w:tcW w:w="1586" w:type="pct"/>
            <w:vAlign w:val="center"/>
          </w:tcPr>
          <w:p>
            <w:pPr>
              <w:pStyle w:val="294"/>
            </w:pPr>
            <w:r>
              <w:t>2007年，《中国石化普光气田开发及川气东送管道工程环境影响报告书》经原环保部审批，报告中已分析了普光气田主体区块相关内容。2018年6月，中原油田普光分公司组织开展了普光气田开发工程环境影响后评价，明确了普光气田主体区块的建设内容和建设进度，后评价报告在国家生态环境部进行备案，非含新开发和滚动开发项目。本项目为了进一步补充气田递减产量，保证普光气田稳产，为川气东送提供有效的气源保证。中国石油化工股份有限公司中原油田普光分公司拟实施P3011 采气站扩建项目，新建普光3011-6井钻井及试采工程。因此，本次扩建普光3011-6井钻井及试采工程单独开展环评，本次评价提出了有效的生态环境保护和环境风险防范措施。充分论证了施工期和试采期各污染物处置的可行性。</w:t>
            </w:r>
          </w:p>
        </w:tc>
        <w:tc>
          <w:tcPr>
            <w:tcW w:w="527"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三</w:t>
            </w:r>
          </w:p>
        </w:tc>
        <w:tc>
          <w:tcPr>
            <w:tcW w:w="4644" w:type="pct"/>
            <w:gridSpan w:val="3"/>
            <w:vAlign w:val="center"/>
          </w:tcPr>
          <w:p>
            <w:pPr>
              <w:pStyle w:val="294"/>
            </w:pPr>
            <w:r>
              <w:t>强化生态环境保护措施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（1）</w:t>
            </w:r>
          </w:p>
        </w:tc>
        <w:tc>
          <w:tcPr>
            <w:tcW w:w="2532" w:type="pct"/>
            <w:vAlign w:val="center"/>
          </w:tcPr>
          <w:p>
            <w:pPr>
              <w:pStyle w:val="294"/>
            </w:pPr>
            <w:r>
              <w:t>涉及向地表水体排放污染物的陆地油气开采项目，应当符合国家和地方污染物排放标准，满足重点污染物排放总量控制要求。</w:t>
            </w:r>
          </w:p>
        </w:tc>
        <w:tc>
          <w:tcPr>
            <w:tcW w:w="1586" w:type="pct"/>
            <w:vAlign w:val="center"/>
          </w:tcPr>
          <w:p>
            <w:pPr>
              <w:pStyle w:val="294"/>
            </w:pPr>
            <w:r>
              <w:t>本项目涉及施工期和试采期废水均回注处理，无废水外排。</w:t>
            </w:r>
          </w:p>
        </w:tc>
        <w:tc>
          <w:tcPr>
            <w:tcW w:w="527"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（2）</w:t>
            </w:r>
          </w:p>
        </w:tc>
        <w:tc>
          <w:tcPr>
            <w:tcW w:w="2532" w:type="pct"/>
            <w:vAlign w:val="center"/>
          </w:tcPr>
          <w:p>
            <w:pPr>
              <w:pStyle w:val="294"/>
            </w:pPr>
            <w:r>
              <w:t>涉及废水回注的，应当论证回注的环境可行性，采取切实可行的地下水污染防治和监控措施，不得回注与油气开采无关的废水，严禁造成地下水污染。在相关行业污染控制标准发布前，回注的开采废水应当经处理并符合《碎屑岩油藏注水水质推荐指标及分析方法》（SY/T5329）等相关标准要求后回注，同步采取切实可行措施防治污染。回注目的层应当为地质构造封闭地层，一般应当回注到现役油气藏或枯竭废弃油气藏。</w:t>
            </w:r>
          </w:p>
        </w:tc>
        <w:tc>
          <w:tcPr>
            <w:tcW w:w="1586" w:type="pct"/>
            <w:vAlign w:val="center"/>
          </w:tcPr>
          <w:p>
            <w:pPr>
              <w:pStyle w:val="294"/>
            </w:pPr>
            <w:r>
              <w:t>本项目属于天然气钻井及试采工程。钻井期间污水池收集的初期雨水、压裂返排液及洗井废水优先回用钻井工段，不能用回的用罐车拉运至赵家坝污水处理站处理达回注标准后管输至普光11井回注站回注。钻井废水预处理后，若达到回注标准则运至普光11井回注站回注，若预处理未达标，则由罐车拉运至赵家坝污水站处理达标后管输至普光11井回注站回注。赵家坝污水处理站和普光11井回注站已取得环评批复，并已开展竣工环保验收。</w:t>
            </w:r>
          </w:p>
        </w:tc>
        <w:tc>
          <w:tcPr>
            <w:tcW w:w="527"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（3）</w:t>
            </w:r>
          </w:p>
        </w:tc>
        <w:tc>
          <w:tcPr>
            <w:tcW w:w="2532" w:type="pct"/>
            <w:vAlign w:val="center"/>
          </w:tcPr>
          <w:p>
            <w:pPr>
              <w:pStyle w:val="294"/>
            </w:pPr>
            <w:r>
              <w:t>油气开采产生的废弃油基泥浆、含油钻屑及其他固体废物，应当遵循减量化、资源化、无害化原则，按照国家和地方有关固体废物的管理规定进行处置。鼓励企业自建含油污泥集中式处理和综合利用设施，提高废弃油基泥浆和含油钻屑及其处理产物的综合利用率。油气开采项目产生的危险废物，应当按照《建设项目危险废物环境影响评价指南》要求评价。</w:t>
            </w:r>
          </w:p>
        </w:tc>
        <w:tc>
          <w:tcPr>
            <w:tcW w:w="1586" w:type="pct"/>
            <w:vAlign w:val="center"/>
          </w:tcPr>
          <w:p>
            <w:pPr>
              <w:pStyle w:val="294"/>
            </w:pPr>
            <w:r>
              <w:t>本项目正常情况下不涉及油基钻井工艺，无废弃油基泥浆、含油钻屑产生。如遇特殊地层，本项目三开采用油基钻井泥浆，产生的废弃油基泥浆、含油钻屑及其他固体废物，遵循了减量化、资源化、无害化原则，并按照国家和地方有关固体废物的管理规定交由资质单位处置，本次评价已按照《建设项目危险废物环境影响评价指南》要求进行了评价。</w:t>
            </w:r>
          </w:p>
        </w:tc>
        <w:tc>
          <w:tcPr>
            <w:tcW w:w="527"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（4）</w:t>
            </w:r>
          </w:p>
        </w:tc>
        <w:tc>
          <w:tcPr>
            <w:tcW w:w="2532" w:type="pct"/>
            <w:vAlign w:val="center"/>
          </w:tcPr>
          <w:p>
            <w:pPr>
              <w:pStyle w:val="294"/>
            </w:pPr>
            <w:r>
              <w:t>陆地油气开采项目的建设单位应当对挥发性有机物液体储存和装载损失、废水液面逸散、设备与管线组件泄漏、非正常工况等挥发性有机物无组织排放源进行有效管控，通过采取设备密闭、废气有效收集及配套高效末端处理设施等措施，有效控制挥发性有机物和恶臭气体无组织排放。涉及高含硫天然气开采的，应当强化钻井、输送、净化等环节环境风险防范措施。含硫气田回注采出水，应当采取有效措施减少废水处理站和回注井场硫化氢的无组织排放。高含硫天然气净化厂应当采用先进高效硫磺回收工艺，减少二氧化硫排放。井场加热炉、锅炉、压缩机等排放大气污染物的设备，应当优先使用清洁燃料，废气排放应当满足国家和地方大气污染物排放标准要求。</w:t>
            </w:r>
          </w:p>
        </w:tc>
        <w:tc>
          <w:tcPr>
            <w:tcW w:w="1586" w:type="pct"/>
            <w:vAlign w:val="center"/>
          </w:tcPr>
          <w:p>
            <w:pPr>
              <w:pStyle w:val="294"/>
            </w:pPr>
            <w:r>
              <w:t>本项目废水等污染物均为罐装，天然气均密闭输送。不涉及天然气净化。本项目设计钻井液体系时，充分考虑防H</w:t>
            </w:r>
            <w:r>
              <w:rPr>
                <w:vertAlign w:val="subscript"/>
              </w:rPr>
              <w:t>2</w:t>
            </w:r>
            <w:r>
              <w:t>S措施，同时加强钻井期间钻井、试采等环节环境风险防范措施。</w:t>
            </w:r>
          </w:p>
        </w:tc>
        <w:tc>
          <w:tcPr>
            <w:tcW w:w="527"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（5）</w:t>
            </w:r>
          </w:p>
        </w:tc>
        <w:tc>
          <w:tcPr>
            <w:tcW w:w="2532" w:type="pct"/>
            <w:vAlign w:val="center"/>
          </w:tcPr>
          <w:p>
            <w:pPr>
              <w:pStyle w:val="294"/>
            </w:pPr>
            <w:r>
              <w:t>施工期应当尽量减少施工占地、缩短施工时间、选择合理施工方式、落实环境敏感区管控要求以及其他生态环境保护措施，降低生态环境影响。钻井和压裂设备应当优先使用网电、高标准清洁燃油，减少废气排放。选用低噪声设备，避免噪声扰民。施工结束后，应当及时落实环评提出的生态 保护措施。</w:t>
            </w:r>
          </w:p>
        </w:tc>
        <w:tc>
          <w:tcPr>
            <w:tcW w:w="1586" w:type="pct"/>
            <w:vAlign w:val="center"/>
          </w:tcPr>
          <w:p>
            <w:pPr>
              <w:pStyle w:val="294"/>
            </w:pPr>
            <w:r>
              <w:t>项目按标准化井场进行建设，试采井站在原钻井平台占地范围内实施。本次评价已提出施工结束后，应当及时落实生态保护措施。</w:t>
            </w:r>
          </w:p>
        </w:tc>
        <w:tc>
          <w:tcPr>
            <w:tcW w:w="527" w:type="pct"/>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（6）</w:t>
            </w:r>
          </w:p>
        </w:tc>
        <w:tc>
          <w:tcPr>
            <w:tcW w:w="2532" w:type="pct"/>
            <w:vAlign w:val="center"/>
          </w:tcPr>
          <w:p>
            <w:pPr>
              <w:pStyle w:val="294"/>
            </w:pPr>
            <w:r>
              <w:t>陆地油气长输管道项目，原则上应当单独编制环评文件。</w:t>
            </w:r>
          </w:p>
        </w:tc>
        <w:tc>
          <w:tcPr>
            <w:tcW w:w="1586" w:type="pct"/>
            <w:vAlign w:val="center"/>
          </w:tcPr>
          <w:p>
            <w:pPr>
              <w:pStyle w:val="294"/>
            </w:pPr>
            <w:r>
              <w:t>本项目不涉及油气长输管道。</w:t>
            </w:r>
          </w:p>
        </w:tc>
        <w:tc>
          <w:tcPr>
            <w:tcW w:w="527"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（7）</w:t>
            </w:r>
          </w:p>
        </w:tc>
        <w:tc>
          <w:tcPr>
            <w:tcW w:w="2532" w:type="pct"/>
            <w:vAlign w:val="center"/>
          </w:tcPr>
          <w:p>
            <w:pPr>
              <w:pStyle w:val="294"/>
            </w:pPr>
            <w:r>
              <w:t>油气储存项目，选址尽量远离环境敏感区。加强甲烷及挥发性有机物的泄漏检测，落实地下水污染防治和跟踪监测要求，采取有效措施做好环境风险防范与环境应急管理；盐穴储气库项目还应当严格落实采卤造腔期和管道施工期的生态环境保护措施，妥善处理采出水。</w:t>
            </w:r>
          </w:p>
        </w:tc>
        <w:tc>
          <w:tcPr>
            <w:tcW w:w="1586" w:type="pct"/>
            <w:vAlign w:val="center"/>
          </w:tcPr>
          <w:p>
            <w:pPr>
              <w:pStyle w:val="294"/>
            </w:pPr>
            <w:r>
              <w:t>本项目不涉及油气储存。本项目进行了非甲烷总烃和硫化氢监测，同时站场内设置了可燃气体报警仪、硫化氢气体检测仪、硫化氢气体报警仪。本次评价落实了地下水污染防治和跟踪监测要求。</w:t>
            </w:r>
          </w:p>
        </w:tc>
        <w:tc>
          <w:tcPr>
            <w:tcW w:w="527"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（8）</w:t>
            </w:r>
          </w:p>
        </w:tc>
        <w:tc>
          <w:tcPr>
            <w:tcW w:w="2532" w:type="pct"/>
            <w:vAlign w:val="center"/>
          </w:tcPr>
          <w:p>
            <w:pPr>
              <w:pStyle w:val="294"/>
            </w:pPr>
            <w:r>
              <w:t>油气企业应当加强风险防控，按规定编制突发环境事件应急预案，报所在地生态环境主管部门备案。海洋油气勘探开发溢油应急计划报相关海域生态环境监督管理局备案。</w:t>
            </w:r>
          </w:p>
        </w:tc>
        <w:tc>
          <w:tcPr>
            <w:tcW w:w="1586" w:type="pct"/>
            <w:vAlign w:val="center"/>
          </w:tcPr>
          <w:p>
            <w:pPr>
              <w:pStyle w:val="294"/>
            </w:pPr>
            <w:r>
              <w:t>建设单位制定了突发环境事件应急预案，项目建成后，纳入预案进行统一管理，并根据项目情况对现有预案进行修订，报所在地生态环境主管部门备案。</w:t>
            </w:r>
          </w:p>
        </w:tc>
        <w:tc>
          <w:tcPr>
            <w:tcW w:w="527" w:type="pct"/>
            <w:vAlign w:val="center"/>
          </w:tcPr>
          <w:p>
            <w:pPr>
              <w:pStyle w:val="294"/>
            </w:pPr>
            <w:r>
              <w:t>符合</w:t>
            </w:r>
          </w:p>
        </w:tc>
      </w:tr>
    </w:tbl>
    <w:p>
      <w:pPr>
        <w:tabs>
          <w:tab w:val="left" w:pos="0"/>
        </w:tabs>
        <w:spacing w:before="163" w:beforeLines="5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综上所述，本项目符合《关于进一步加强石油天然气行业环境影响评价管理的通知》（环办环评函〔2019〕910号）的相关要求。</w:t>
      </w:r>
    </w:p>
    <w:p>
      <w:pPr>
        <w:pStyle w:val="5"/>
        <w:spacing w:before="163"/>
      </w:pPr>
      <w:r>
        <w:rPr>
          <w:rFonts w:hint="eastAsia"/>
        </w:rPr>
        <w:t>2.7.1.4</w:t>
      </w:r>
      <w:r>
        <w:t>与其他环保政策及规定的符合性分析</w:t>
      </w:r>
    </w:p>
    <w:p>
      <w:pPr>
        <w:tabs>
          <w:tab w:val="left" w:pos="0"/>
        </w:tabs>
        <w:ind w:firstLine="480"/>
        <w:rPr>
          <w:rFonts w:cs="Times New Roman"/>
          <w:color w:val="000000" w:themeColor="text1"/>
          <w14:textFill>
            <w14:solidFill>
              <w14:schemeClr w14:val="tx1"/>
            </w14:solidFill>
          </w14:textFill>
        </w:rPr>
      </w:pPr>
      <w:r>
        <w:rPr>
          <w:rFonts w:cs="Times New Roman"/>
          <w:bCs/>
          <w:color w:val="000000" w:themeColor="text1"/>
          <w:szCs w:val="24"/>
          <w14:textFill>
            <w14:solidFill>
              <w14:schemeClr w14:val="tx1"/>
            </w14:solidFill>
          </w14:textFill>
        </w:rPr>
        <w:t>本项目涉及行业和地方的一些油气开发和环境保护政策，包括《关于贯彻实施国家主体功能区环境政策的若干意见》（环发〔2015〕92号）、《大气污染防治行动计划》（国发〔2013〕37号）、《土壤污染防治行动计划</w:t>
      </w:r>
      <w:r>
        <w:rPr>
          <w:rFonts w:hint="eastAsia" w:cs="Times New Roman"/>
          <w:bCs/>
          <w:color w:val="000000" w:themeColor="text1"/>
          <w:szCs w:val="24"/>
          <w:lang w:eastAsia="zh-CN"/>
          <w14:textFill>
            <w14:solidFill>
              <w14:schemeClr w14:val="tx1"/>
            </w14:solidFill>
          </w14:textFill>
        </w:rPr>
        <w:t>》《</w:t>
      </w:r>
      <w:r>
        <w:rPr>
          <w:rFonts w:cs="Times New Roman"/>
          <w:bCs/>
          <w:color w:val="000000" w:themeColor="text1"/>
          <w:szCs w:val="24"/>
          <w14:textFill>
            <w14:solidFill>
              <w14:schemeClr w14:val="tx1"/>
            </w14:solidFill>
          </w14:textFill>
        </w:rPr>
        <w:t>水污染防治行动计划》等，与其相关内容符合性分析如下。</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与其他环保政策符合性分析</w:t>
      </w:r>
    </w:p>
    <w:tbl>
      <w:tblPr>
        <w:tblStyle w:val="52"/>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465"/>
        <w:gridCol w:w="969"/>
        <w:gridCol w:w="4283"/>
        <w:gridCol w:w="2095"/>
        <w:gridCol w:w="60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blHeader/>
          <w:jc w:val="center"/>
        </w:trPr>
        <w:tc>
          <w:tcPr>
            <w:tcW w:w="276" w:type="pct"/>
            <w:tcMar>
              <w:left w:w="57" w:type="dxa"/>
              <w:right w:w="57" w:type="dxa"/>
            </w:tcMar>
            <w:vAlign w:val="center"/>
          </w:tcPr>
          <w:p>
            <w:pPr>
              <w:pStyle w:val="294"/>
            </w:pPr>
            <w:r>
              <w:t>序号</w:t>
            </w:r>
          </w:p>
        </w:tc>
        <w:tc>
          <w:tcPr>
            <w:tcW w:w="575" w:type="pct"/>
            <w:tcMar>
              <w:left w:w="57" w:type="dxa"/>
              <w:right w:w="57" w:type="dxa"/>
            </w:tcMar>
            <w:vAlign w:val="center"/>
          </w:tcPr>
          <w:p>
            <w:pPr>
              <w:pStyle w:val="294"/>
            </w:pPr>
            <w:r>
              <w:t>文件名称</w:t>
            </w:r>
          </w:p>
        </w:tc>
        <w:tc>
          <w:tcPr>
            <w:tcW w:w="2543" w:type="pct"/>
            <w:tcMar>
              <w:left w:w="57" w:type="dxa"/>
              <w:right w:w="57" w:type="dxa"/>
            </w:tcMar>
            <w:vAlign w:val="center"/>
          </w:tcPr>
          <w:p>
            <w:pPr>
              <w:pStyle w:val="294"/>
            </w:pPr>
            <w:r>
              <w:t>相关环保政策及规定</w:t>
            </w:r>
          </w:p>
        </w:tc>
        <w:tc>
          <w:tcPr>
            <w:tcW w:w="1245" w:type="pct"/>
            <w:tcMar>
              <w:left w:w="57" w:type="dxa"/>
              <w:right w:w="57" w:type="dxa"/>
            </w:tcMar>
            <w:vAlign w:val="center"/>
          </w:tcPr>
          <w:p>
            <w:pPr>
              <w:pStyle w:val="294"/>
            </w:pPr>
            <w:r>
              <w:t>本项目情况</w:t>
            </w:r>
          </w:p>
        </w:tc>
        <w:tc>
          <w:tcPr>
            <w:tcW w:w="359" w:type="pct"/>
            <w:tcMar>
              <w:left w:w="57" w:type="dxa"/>
              <w:right w:w="57" w:type="dxa"/>
            </w:tcMar>
            <w:vAlign w:val="center"/>
          </w:tcPr>
          <w:p>
            <w:pPr>
              <w:pStyle w:val="294"/>
            </w:pPr>
            <w: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76" w:type="pct"/>
            <w:tcMar>
              <w:left w:w="57" w:type="dxa"/>
              <w:right w:w="57" w:type="dxa"/>
            </w:tcMar>
            <w:vAlign w:val="center"/>
          </w:tcPr>
          <w:p>
            <w:pPr>
              <w:pStyle w:val="294"/>
            </w:pPr>
            <w:r>
              <w:t>1</w:t>
            </w:r>
          </w:p>
        </w:tc>
        <w:tc>
          <w:tcPr>
            <w:tcW w:w="575" w:type="pct"/>
            <w:tcMar>
              <w:left w:w="57" w:type="dxa"/>
              <w:right w:w="57" w:type="dxa"/>
            </w:tcMar>
            <w:vAlign w:val="center"/>
          </w:tcPr>
          <w:p>
            <w:pPr>
              <w:pStyle w:val="294"/>
            </w:pPr>
            <w:r>
              <w:t>《关于贯彻实施国家主体功能区环境政策的若干意见环发》〔2015〕92号</w:t>
            </w:r>
          </w:p>
          <w:p>
            <w:pPr>
              <w:pStyle w:val="294"/>
            </w:pPr>
          </w:p>
        </w:tc>
        <w:tc>
          <w:tcPr>
            <w:tcW w:w="2543" w:type="pct"/>
            <w:tcMar>
              <w:left w:w="57" w:type="dxa"/>
              <w:right w:w="57" w:type="dxa"/>
            </w:tcMar>
            <w:vAlign w:val="center"/>
          </w:tcPr>
          <w:p>
            <w:pPr>
              <w:pStyle w:val="294"/>
            </w:pPr>
            <w:r>
              <w:t>重点开发区域环境政策：成渝、黔中、滇中、藏中南等区域需严控有色金属产业项目审批，积极推动有色金属采冶的环境健康风险评估。要重视饮用水安全及水污染产生的环境健康问题和矿产资源开发带来的人群健康风险问题。</w:t>
            </w:r>
          </w:p>
          <w:p>
            <w:pPr>
              <w:pStyle w:val="294"/>
            </w:pPr>
            <w:r>
              <w:t>成渝、黔中、滇中、藏中南等区域要强化酸雨污染防治，加强流域水土流失和水污染防治，加强石漠化治理、高原湖泊保护、大江大河防护林建设，保护和增强藏中南地区生态系统多样性及适应气候变化能力，优化并合理布局水电开发，开展有色金属采冶的环境健康风险评估。</w:t>
            </w:r>
          </w:p>
        </w:tc>
        <w:tc>
          <w:tcPr>
            <w:tcW w:w="1245" w:type="pct"/>
            <w:tcMar>
              <w:left w:w="57" w:type="dxa"/>
              <w:right w:w="57" w:type="dxa"/>
            </w:tcMar>
            <w:vAlign w:val="center"/>
          </w:tcPr>
          <w:p>
            <w:pPr>
              <w:pStyle w:val="294"/>
            </w:pPr>
            <w:r>
              <w:t>本项目为陆地天然气勘探开发项目，实施总体对水环境影响很小，不涉及重金属污染，施工期加强水土保持措施、生态防护措施和各项污染物治理措施，以减少水土流失和生态影响，符合政策要求。</w:t>
            </w:r>
          </w:p>
        </w:tc>
        <w:tc>
          <w:tcPr>
            <w:tcW w:w="359" w:type="pct"/>
            <w:tcMar>
              <w:left w:w="57" w:type="dxa"/>
              <w:right w:w="57" w:type="dxa"/>
            </w:tcMar>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76" w:type="pct"/>
            <w:tcMar>
              <w:left w:w="57" w:type="dxa"/>
              <w:right w:w="57" w:type="dxa"/>
            </w:tcMar>
            <w:vAlign w:val="center"/>
          </w:tcPr>
          <w:p>
            <w:pPr>
              <w:pStyle w:val="294"/>
            </w:pPr>
            <w:r>
              <w:t>2</w:t>
            </w:r>
          </w:p>
        </w:tc>
        <w:tc>
          <w:tcPr>
            <w:tcW w:w="575" w:type="pct"/>
            <w:tcMar>
              <w:left w:w="57" w:type="dxa"/>
              <w:right w:w="57" w:type="dxa"/>
            </w:tcMar>
            <w:vAlign w:val="center"/>
          </w:tcPr>
          <w:p>
            <w:pPr>
              <w:pStyle w:val="294"/>
            </w:pPr>
            <w:r>
              <w:t>《大气污染防治行动计划》（国发〔2013〕37）号）</w:t>
            </w:r>
          </w:p>
          <w:p>
            <w:pPr>
              <w:pStyle w:val="294"/>
            </w:pPr>
          </w:p>
        </w:tc>
        <w:tc>
          <w:tcPr>
            <w:tcW w:w="2543" w:type="pct"/>
            <w:tcMar>
              <w:left w:w="57" w:type="dxa"/>
              <w:right w:w="57" w:type="dxa"/>
            </w:tcMar>
            <w:vAlign w:val="center"/>
          </w:tcPr>
          <w:p>
            <w:pPr>
              <w:pStyle w:val="294"/>
            </w:pPr>
            <w:r>
              <w:t>加快清洁能源替代利用。加大天然气、煤制天然气、煤层气供应。到2015 年，新增天然气干线管输能力1500亿立方米以上，覆盖京津冀、长三角、珠三角等区域。</w:t>
            </w:r>
          </w:p>
          <w:p>
            <w:pPr>
              <w:pStyle w:val="294"/>
            </w:pPr>
            <w:r>
              <w:t>优化天然气使用方式，新增天然气应优先保障居民生活或用于替代燃煤；鼓励发展天然气分布式能源等高效利用项目，限制发展天然气化工项目；有序发展天然气调峰电站，原则上不再新建天然气发电项目。扩大城市高污染燃料禁燃区范围，逐步由城市建成区扩展到近郊。结合城中村、</w:t>
            </w:r>
            <w:r>
              <w:rPr>
                <w:rFonts w:hint="eastAsia"/>
                <w:lang w:eastAsia="zh-CN"/>
              </w:rPr>
              <w:t>城乡接合部</w:t>
            </w:r>
            <w:r>
              <w:t>、棚户区改造，通过政策补偿和实施峰谷电价、季节性电价、阶梯电价、调峰电价等措施，逐步推行以天然气或电替代煤炭。</w:t>
            </w:r>
          </w:p>
        </w:tc>
        <w:tc>
          <w:tcPr>
            <w:tcW w:w="1245" w:type="pct"/>
            <w:tcMar>
              <w:left w:w="57" w:type="dxa"/>
              <w:right w:w="57" w:type="dxa"/>
            </w:tcMar>
            <w:vAlign w:val="center"/>
          </w:tcPr>
          <w:p>
            <w:pPr>
              <w:pStyle w:val="294"/>
            </w:pPr>
            <w:r>
              <w:t>本项目实施有利于加大天然气供应，总体符合文件要求。</w:t>
            </w:r>
          </w:p>
        </w:tc>
        <w:tc>
          <w:tcPr>
            <w:tcW w:w="359" w:type="pct"/>
            <w:tcMar>
              <w:left w:w="57" w:type="dxa"/>
              <w:right w:w="57" w:type="dxa"/>
            </w:tcMar>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76" w:type="pct"/>
            <w:tcMar>
              <w:left w:w="57" w:type="dxa"/>
              <w:right w:w="57" w:type="dxa"/>
            </w:tcMar>
            <w:vAlign w:val="center"/>
          </w:tcPr>
          <w:p>
            <w:pPr>
              <w:pStyle w:val="294"/>
            </w:pPr>
            <w:r>
              <w:t>3</w:t>
            </w:r>
          </w:p>
        </w:tc>
        <w:tc>
          <w:tcPr>
            <w:tcW w:w="575" w:type="pct"/>
            <w:tcMar>
              <w:left w:w="57" w:type="dxa"/>
              <w:right w:w="57" w:type="dxa"/>
            </w:tcMar>
            <w:vAlign w:val="center"/>
          </w:tcPr>
          <w:p>
            <w:pPr>
              <w:pStyle w:val="294"/>
            </w:pPr>
            <w:r>
              <w:t>《土壤污染防治行动计划》</w:t>
            </w:r>
          </w:p>
          <w:p>
            <w:pPr>
              <w:pStyle w:val="294"/>
            </w:pPr>
          </w:p>
        </w:tc>
        <w:tc>
          <w:tcPr>
            <w:tcW w:w="2543" w:type="pct"/>
            <w:tcMar>
              <w:left w:w="57" w:type="dxa"/>
              <w:right w:w="57" w:type="dxa"/>
            </w:tcMar>
            <w:vAlign w:val="center"/>
          </w:tcPr>
          <w:p>
            <w:pPr>
              <w:pStyle w:val="294"/>
            </w:pPr>
            <w:r>
              <w:t>加强工业废物处理处置。全面整治尾矿、煤矸石、工业副产石膏、粉煤灰、赤泥、冶炼渣、电石渣、铬渣、砷渣以及脱硫、脱硝、除尘产生固体废物的堆存场所，完善防扬散、防流失、防渗漏等设施，制定整治方案并有序实施。加强工业固体废物综合利用。</w:t>
            </w:r>
          </w:p>
        </w:tc>
        <w:tc>
          <w:tcPr>
            <w:tcW w:w="1245" w:type="pct"/>
            <w:tcMar>
              <w:left w:w="57" w:type="dxa"/>
              <w:right w:w="57" w:type="dxa"/>
            </w:tcMar>
            <w:vAlign w:val="center"/>
          </w:tcPr>
          <w:p>
            <w:pPr>
              <w:pStyle w:val="294"/>
            </w:pPr>
            <w:r>
              <w:t>本项目水基钻井固废经泥浆不落地工艺固液分离后在泥浆不落地装置附近设置钻井固废暂存区由废渣收集罐收集后临时暂存，及时转运至</w:t>
            </w:r>
            <w:r>
              <w:rPr>
                <w:szCs w:val="24"/>
              </w:rPr>
              <w:t>达州地区环保手续齐全、环保设施稳定运行固废烧结厂进行烧结后综合利用</w:t>
            </w:r>
            <w:r>
              <w:t>。如遇特殊情况三开段涉及油基钻井，产生的油基钻井废泥浆及岩屑由危废暂存场所（采取必要的防风、防晒、防雨、防漏、防渗、防腐以及其他环境污染防治措施，不得露天堆放危险废物）暂存，定期交由资质单位处置。</w:t>
            </w:r>
          </w:p>
        </w:tc>
        <w:tc>
          <w:tcPr>
            <w:tcW w:w="359" w:type="pct"/>
            <w:tcMar>
              <w:left w:w="57" w:type="dxa"/>
              <w:right w:w="57" w:type="dxa"/>
            </w:tcMar>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76" w:type="pct"/>
            <w:tcMar>
              <w:left w:w="57" w:type="dxa"/>
              <w:right w:w="57" w:type="dxa"/>
            </w:tcMar>
            <w:vAlign w:val="center"/>
          </w:tcPr>
          <w:p>
            <w:pPr>
              <w:pStyle w:val="294"/>
            </w:pPr>
            <w:r>
              <w:t>4</w:t>
            </w:r>
          </w:p>
        </w:tc>
        <w:tc>
          <w:tcPr>
            <w:tcW w:w="575" w:type="pct"/>
            <w:tcMar>
              <w:left w:w="57" w:type="dxa"/>
              <w:right w:w="57" w:type="dxa"/>
            </w:tcMar>
            <w:vAlign w:val="center"/>
          </w:tcPr>
          <w:p>
            <w:pPr>
              <w:pStyle w:val="294"/>
            </w:pPr>
            <w:r>
              <w:t>《水污染防治行动计划》</w:t>
            </w:r>
          </w:p>
          <w:p>
            <w:pPr>
              <w:pStyle w:val="294"/>
            </w:pPr>
          </w:p>
        </w:tc>
        <w:tc>
          <w:tcPr>
            <w:tcW w:w="2543" w:type="pct"/>
            <w:tcMar>
              <w:left w:w="57" w:type="dxa"/>
              <w:right w:w="57" w:type="dxa"/>
            </w:tcMar>
            <w:vAlign w:val="center"/>
          </w:tcPr>
          <w:p>
            <w:pPr>
              <w:pStyle w:val="294"/>
            </w:pPr>
            <w:r>
              <w:t>防治地下水污染。石化生产存贮销售企业和工业园区、矿山开采区、垃圾填埋场等区域应进行必要的防渗处理。报废矿井、钻井、取水井应实施封井回填</w:t>
            </w:r>
          </w:p>
        </w:tc>
        <w:tc>
          <w:tcPr>
            <w:tcW w:w="1245" w:type="pct"/>
            <w:tcMar>
              <w:left w:w="57" w:type="dxa"/>
              <w:right w:w="57" w:type="dxa"/>
            </w:tcMar>
            <w:vAlign w:val="center"/>
          </w:tcPr>
          <w:p>
            <w:pPr>
              <w:pStyle w:val="294"/>
            </w:pPr>
            <w:r>
              <w:t>本项目提出了钻井及采气井场的防渗要求，对废弃井提出封井要求，符合要求。</w:t>
            </w:r>
          </w:p>
        </w:tc>
        <w:tc>
          <w:tcPr>
            <w:tcW w:w="359" w:type="pct"/>
            <w:tcMar>
              <w:left w:w="57" w:type="dxa"/>
              <w:right w:w="57" w:type="dxa"/>
            </w:tcMar>
            <w:vAlign w:val="center"/>
          </w:tcPr>
          <w:p>
            <w:pPr>
              <w:pStyle w:val="294"/>
            </w:pPr>
            <w:r>
              <w:t>符合</w:t>
            </w:r>
          </w:p>
        </w:tc>
      </w:tr>
    </w:tbl>
    <w:p>
      <w:pPr>
        <w:pStyle w:val="5"/>
        <w:spacing w:before="163"/>
      </w:pPr>
      <w:bookmarkStart w:id="64" w:name="_Toc120173079"/>
      <w:r>
        <w:rPr>
          <w:rFonts w:hint="eastAsia"/>
        </w:rPr>
        <w:t>2.7.1.5</w:t>
      </w:r>
      <w:r>
        <w:t>与《四川省嘉陵江流域生态环境保护条例》的符合性分析</w:t>
      </w:r>
    </w:p>
    <w:p>
      <w:pPr>
        <w:autoSpaceDE w:val="0"/>
        <w:autoSpaceDN w:val="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本项目与《四川省嘉陵江流域生态环境保护条例》的符合性分析见下表：</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与《四川省嘉陵江流域生态环境保护条例》的符合性分析一览表</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595"/>
        <w:gridCol w:w="4235"/>
        <w:gridCol w:w="2652"/>
        <w:gridCol w:w="8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08" w:hRule="atLeast"/>
          <w:tblHeader/>
          <w:jc w:val="center"/>
        </w:trPr>
        <w:tc>
          <w:tcPr>
            <w:tcW w:w="356" w:type="pct"/>
            <w:vAlign w:val="center"/>
          </w:tcPr>
          <w:p>
            <w:pPr>
              <w:pStyle w:val="294"/>
            </w:pPr>
            <w:r>
              <w:t>序号</w:t>
            </w:r>
          </w:p>
        </w:tc>
        <w:tc>
          <w:tcPr>
            <w:tcW w:w="2532" w:type="pct"/>
            <w:vAlign w:val="center"/>
          </w:tcPr>
          <w:p>
            <w:pPr>
              <w:pStyle w:val="294"/>
            </w:pPr>
            <w:r>
              <w:t>条例要求</w:t>
            </w:r>
          </w:p>
        </w:tc>
        <w:tc>
          <w:tcPr>
            <w:tcW w:w="1586" w:type="pct"/>
            <w:vAlign w:val="center"/>
          </w:tcPr>
          <w:p>
            <w:pPr>
              <w:pStyle w:val="294"/>
            </w:pPr>
            <w:r>
              <w:t>项目内容</w:t>
            </w:r>
          </w:p>
        </w:tc>
        <w:tc>
          <w:tcPr>
            <w:tcW w:w="526" w:type="pct"/>
            <w:vAlign w:val="center"/>
          </w:tcPr>
          <w:p>
            <w:pPr>
              <w:pStyle w:val="294"/>
            </w:pPr>
            <w: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（1）</w:t>
            </w:r>
          </w:p>
        </w:tc>
        <w:tc>
          <w:tcPr>
            <w:tcW w:w="2532" w:type="pct"/>
            <w:vAlign w:val="center"/>
          </w:tcPr>
          <w:p>
            <w:pPr>
              <w:pStyle w:val="294"/>
            </w:pPr>
            <w:r>
              <w:t>第九十九条：违反本条例规定，未按照规定设置下泄生态流量在线监控、监测装置，未按照规定与水行政主管部门的监管平台联网的，由县级以上地方人民政府水行政主管部门责令限期改正，处二万元以上二十万元以下罚款；逾期不改正的，责令停产整治。</w:t>
            </w:r>
          </w:p>
        </w:tc>
        <w:tc>
          <w:tcPr>
            <w:tcW w:w="1586" w:type="pct"/>
            <w:vAlign w:val="center"/>
          </w:tcPr>
          <w:p>
            <w:pPr>
              <w:pStyle w:val="294"/>
            </w:pPr>
            <w:r>
              <w:t>本项目不属于需设置下泄生态流量在线监控、监测装置的项目。</w:t>
            </w:r>
          </w:p>
        </w:tc>
        <w:tc>
          <w:tcPr>
            <w:tcW w:w="526"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（2）</w:t>
            </w:r>
          </w:p>
        </w:tc>
        <w:tc>
          <w:tcPr>
            <w:tcW w:w="2532" w:type="pct"/>
            <w:vAlign w:val="center"/>
          </w:tcPr>
          <w:p>
            <w:pPr>
              <w:pStyle w:val="294"/>
            </w:pPr>
            <w:r>
              <w:t>第一百条：违反本条例规定，在嘉陵江流域未依法取得许可从事采砂活动，或者在禁止采砂区和禁止采砂期从事采砂活动的，由县级以上地方人民政府水行政主管部门责令停止违法行为，没收违法所得以及用于违法活动的船舶、设备、工具，并处货值金额二倍以上二十倍以下罚款；货值金额不足十万元的，并处二十万元以上二百万元以下罚款；已经取得河道采砂许可证的，吊销河道采砂许可证。</w:t>
            </w:r>
          </w:p>
        </w:tc>
        <w:tc>
          <w:tcPr>
            <w:tcW w:w="1586" w:type="pct"/>
            <w:vAlign w:val="center"/>
          </w:tcPr>
          <w:p>
            <w:pPr>
              <w:pStyle w:val="294"/>
            </w:pPr>
            <w:r>
              <w:t>本项目不属于采砂项目，不涉及采砂。</w:t>
            </w:r>
          </w:p>
        </w:tc>
        <w:tc>
          <w:tcPr>
            <w:tcW w:w="526"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（3）</w:t>
            </w:r>
          </w:p>
        </w:tc>
        <w:tc>
          <w:tcPr>
            <w:tcW w:w="2532" w:type="pct"/>
            <w:vAlign w:val="center"/>
          </w:tcPr>
          <w:p>
            <w:pPr>
              <w:pStyle w:val="294"/>
            </w:pPr>
            <w:r>
              <w:t>第一百零一条：违反本条例规定，未按照规定对医疗卫生机构、传染病疫情防控期间集中医学观察点产生的污水、传染病病人或者疑似传染病病人的排泄物，进行严格消毒，或者未达到国家规定的排放标准，排入污水处理系统的，由卫生健康主管部门或者生态环境主管部门按照各自的职责责令限期改正，给予警告，并处五千元以上一万元以下罚款；逾期不改正的，处一万元以上三万元以下罚款；造成传染病传播或者环境污染事故的，由原发证部门暂扣或者吊销执业许可证件或者经营许可证件；构成犯罪的，依法追究刑事责任。</w:t>
            </w:r>
          </w:p>
        </w:tc>
        <w:tc>
          <w:tcPr>
            <w:tcW w:w="1586" w:type="pct"/>
            <w:vAlign w:val="center"/>
          </w:tcPr>
          <w:p>
            <w:pPr>
              <w:pStyle w:val="294"/>
            </w:pPr>
            <w:r>
              <w:t>本项目不属于医疗企业。</w:t>
            </w:r>
          </w:p>
        </w:tc>
        <w:tc>
          <w:tcPr>
            <w:tcW w:w="526"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（4）</w:t>
            </w:r>
          </w:p>
        </w:tc>
        <w:tc>
          <w:tcPr>
            <w:tcW w:w="2532" w:type="pct"/>
            <w:vAlign w:val="center"/>
          </w:tcPr>
          <w:p>
            <w:pPr>
              <w:pStyle w:val="294"/>
            </w:pPr>
            <w:r>
              <w:t>第一百零二条：违反本条例规定，向水体以投放化肥、粪便、动物尸体（肢体、内脏）、动物源性饲料等污染水体的方式从事水产养殖的，由县级以上地方人民政府生态环境主管部门责令停止违法行为，处一万元以上十万元以下罚款。</w:t>
            </w:r>
          </w:p>
        </w:tc>
        <w:tc>
          <w:tcPr>
            <w:tcW w:w="1586" w:type="pct"/>
            <w:vAlign w:val="center"/>
          </w:tcPr>
          <w:p>
            <w:pPr>
              <w:pStyle w:val="294"/>
            </w:pPr>
            <w:r>
              <w:t>本项目所产生的生产废水均回用或预处理后回注，生活污水经收集后均由密闭罐车定期拉运至当地污水处理厂处理，不属于水产养殖业项目。</w:t>
            </w:r>
          </w:p>
        </w:tc>
        <w:tc>
          <w:tcPr>
            <w:tcW w:w="526"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（5）</w:t>
            </w:r>
          </w:p>
        </w:tc>
        <w:tc>
          <w:tcPr>
            <w:tcW w:w="2532" w:type="pct"/>
            <w:vAlign w:val="center"/>
          </w:tcPr>
          <w:p>
            <w:pPr>
              <w:pStyle w:val="294"/>
            </w:pPr>
            <w:r>
              <w:t>第一百零三条：违反本条例规定，有下列行为之一的，由负责海事管理的机构按下列规定处罚：</w:t>
            </w:r>
          </w:p>
          <w:p>
            <w:pPr>
              <w:pStyle w:val="294"/>
            </w:pPr>
            <w:r>
              <w:t>（一）船舶装载运输油类或者有毒货物，未制定防止船舶溢漏应急预案的，或者未采取防溢流、防渗漏、防坠落等措施的；发生海损事故或者货物落水事故未立即采取措施控制和消除污染以及迟报、谎报、漏报、瞒报的，责令停止违法行为，处一万元以上十万元以下罚款；造成水污染的，责令限期采取治理措施，消除污染，处二万元以上二十万元以下罚款；逾期不采取治理措施的，可以指定有治理能力的单位代为治理，所需费用由船舶经营者承担；</w:t>
            </w:r>
          </w:p>
          <w:p>
            <w:pPr>
              <w:pStyle w:val="294"/>
            </w:pPr>
            <w:r>
              <w:t>（二）船舶经营者未将餐厨垃圾贮存在专门的容器中，收集上岸集中处置的，或者未如实记录处置情况的，责令改正，处二千元以上二万元以下罚款。</w:t>
            </w:r>
          </w:p>
        </w:tc>
        <w:tc>
          <w:tcPr>
            <w:tcW w:w="1586" w:type="pct"/>
            <w:vAlign w:val="center"/>
          </w:tcPr>
          <w:p>
            <w:pPr>
              <w:pStyle w:val="294"/>
            </w:pPr>
            <w:r>
              <w:t>本项目不涉及船舶运输。</w:t>
            </w:r>
          </w:p>
        </w:tc>
        <w:tc>
          <w:tcPr>
            <w:tcW w:w="526"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（6）</w:t>
            </w:r>
          </w:p>
        </w:tc>
        <w:tc>
          <w:tcPr>
            <w:tcW w:w="2532" w:type="pct"/>
            <w:vAlign w:val="center"/>
          </w:tcPr>
          <w:p>
            <w:pPr>
              <w:pStyle w:val="294"/>
            </w:pPr>
            <w:r>
              <w:t>一百零四条：因污染嘉陵江流域环境、破坏嘉陵江流域生态造成他人损害的，侵权人应当承担侵权责任。</w:t>
            </w:r>
          </w:p>
          <w:p>
            <w:pPr>
              <w:pStyle w:val="294"/>
            </w:pPr>
            <w:r>
              <w:t>违反国家和本省规定造成嘉陵江流域生态环境损害的，国家规定的机关或者法律规定的组织有权请求侵权人承担修复责任、赔偿损失和有关费用。</w:t>
            </w:r>
          </w:p>
        </w:tc>
        <w:tc>
          <w:tcPr>
            <w:tcW w:w="1586" w:type="pct"/>
            <w:vAlign w:val="center"/>
          </w:tcPr>
          <w:p>
            <w:pPr>
              <w:pStyle w:val="294"/>
            </w:pPr>
            <w:r>
              <w:t>本项目不属于污染损害嘉陵江流域环境、破坏嘉陵江流域生态造成他人损害的建设项目。</w:t>
            </w:r>
          </w:p>
        </w:tc>
        <w:tc>
          <w:tcPr>
            <w:tcW w:w="526"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（7）</w:t>
            </w:r>
          </w:p>
        </w:tc>
        <w:tc>
          <w:tcPr>
            <w:tcW w:w="2532" w:type="pct"/>
            <w:vAlign w:val="center"/>
          </w:tcPr>
          <w:p>
            <w:pPr>
              <w:pStyle w:val="294"/>
            </w:pPr>
            <w:r>
              <w:t>第一百零五条：对嘉陵江流域污染环境、破坏生态，损害公共利益的行为，法律规定的机关和符合条件的社会组织可以依法向人民法院提起诉讼。</w:t>
            </w:r>
          </w:p>
        </w:tc>
        <w:tc>
          <w:tcPr>
            <w:tcW w:w="1586" w:type="pct"/>
            <w:vAlign w:val="center"/>
          </w:tcPr>
          <w:p>
            <w:pPr>
              <w:pStyle w:val="294"/>
            </w:pPr>
            <w:r>
              <w:t>本项目采取对应的环境保护措施，不会对嘉陵江流域污染环境、破坏生态。</w:t>
            </w:r>
          </w:p>
        </w:tc>
        <w:tc>
          <w:tcPr>
            <w:tcW w:w="526" w:type="pct"/>
            <w:vAlign w:val="center"/>
          </w:tcPr>
          <w:p>
            <w:pPr>
              <w:pStyle w:val="294"/>
            </w:pPr>
            <w:r>
              <w:t>符合</w:t>
            </w:r>
          </w:p>
        </w:tc>
      </w:tr>
    </w:tbl>
    <w:p>
      <w:pPr>
        <w:tabs>
          <w:tab w:val="left" w:pos="0"/>
        </w:tabs>
        <w:spacing w:before="163" w:beforeLines="5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综上所述，本项目与《四川省嘉陵江流域生态环境保护条例》相符。</w:t>
      </w:r>
    </w:p>
    <w:p>
      <w:pPr>
        <w:pStyle w:val="5"/>
        <w:spacing w:before="163"/>
      </w:pPr>
      <w:r>
        <w:rPr>
          <w:rFonts w:hint="eastAsia"/>
        </w:rPr>
        <w:t>2.7.1.6</w:t>
      </w:r>
      <w:r>
        <w:t>与《达州市“十四五”生态环境保护规划》的符合性分析</w:t>
      </w:r>
    </w:p>
    <w:p>
      <w:pPr>
        <w:autoSpaceDE w:val="0"/>
        <w:autoSpaceDN w:val="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本项目与《达州市“十四五”生态环境保护规划》的符合性分析见下表：</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与《达州市“十四五”生态环境保护规划》的符合性分析一览表</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595"/>
        <w:gridCol w:w="4235"/>
        <w:gridCol w:w="2652"/>
        <w:gridCol w:w="8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08" w:hRule="atLeast"/>
          <w:tblHeader/>
          <w:jc w:val="center"/>
        </w:trPr>
        <w:tc>
          <w:tcPr>
            <w:tcW w:w="356" w:type="pct"/>
            <w:vAlign w:val="center"/>
          </w:tcPr>
          <w:p>
            <w:pPr>
              <w:pStyle w:val="294"/>
            </w:pPr>
            <w:r>
              <w:t>序号</w:t>
            </w:r>
          </w:p>
        </w:tc>
        <w:tc>
          <w:tcPr>
            <w:tcW w:w="2532" w:type="pct"/>
            <w:vAlign w:val="center"/>
          </w:tcPr>
          <w:p>
            <w:pPr>
              <w:pStyle w:val="294"/>
            </w:pPr>
            <w:r>
              <w:t>规划要求</w:t>
            </w:r>
          </w:p>
        </w:tc>
        <w:tc>
          <w:tcPr>
            <w:tcW w:w="1586" w:type="pct"/>
            <w:vAlign w:val="center"/>
          </w:tcPr>
          <w:p>
            <w:pPr>
              <w:pStyle w:val="294"/>
            </w:pPr>
            <w:r>
              <w:t>项目内容</w:t>
            </w:r>
          </w:p>
        </w:tc>
        <w:tc>
          <w:tcPr>
            <w:tcW w:w="526" w:type="pct"/>
            <w:vAlign w:val="center"/>
          </w:tcPr>
          <w:p>
            <w:pPr>
              <w:pStyle w:val="294"/>
            </w:pPr>
            <w: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（1）</w:t>
            </w:r>
          </w:p>
        </w:tc>
        <w:tc>
          <w:tcPr>
            <w:tcW w:w="2532" w:type="pct"/>
            <w:vAlign w:val="center"/>
          </w:tcPr>
          <w:p>
            <w:pPr>
              <w:pStyle w:val="294"/>
            </w:pPr>
            <w:r>
              <w:t>···落实国土空间开发保护格局。以达川区、通川区、大竹县为重点开发区域，加快推进中心城市发展，优化城市空间布局，重点发展清洁能源、天然气化工、农产品加工业，加强生态环境保护和流域综合整治···</w:t>
            </w:r>
          </w:p>
        </w:tc>
        <w:tc>
          <w:tcPr>
            <w:tcW w:w="1586" w:type="pct"/>
            <w:vAlign w:val="center"/>
          </w:tcPr>
          <w:p>
            <w:pPr>
              <w:pStyle w:val="294"/>
            </w:pPr>
            <w:r>
              <w:t>本项目属于天然气试采项目。</w:t>
            </w:r>
          </w:p>
        </w:tc>
        <w:tc>
          <w:tcPr>
            <w:tcW w:w="526"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（2）</w:t>
            </w:r>
          </w:p>
        </w:tc>
        <w:tc>
          <w:tcPr>
            <w:tcW w:w="2532" w:type="pct"/>
            <w:vAlign w:val="center"/>
          </w:tcPr>
          <w:p>
            <w:pPr>
              <w:pStyle w:val="294"/>
            </w:pPr>
            <w:r>
              <w:t>···加强清洁能源示范建设，实施中国“气大庆”建设行动，推进国家天然气综合开发利用示范区建设，提高天然气就地转化效率，进一步提高非化石能源供给及其在能源消费结构中的比例···</w:t>
            </w:r>
          </w:p>
        </w:tc>
        <w:tc>
          <w:tcPr>
            <w:tcW w:w="1586" w:type="pct"/>
            <w:vAlign w:val="center"/>
          </w:tcPr>
          <w:p>
            <w:pPr>
              <w:pStyle w:val="294"/>
            </w:pPr>
            <w:r>
              <w:t>本项目属于天然气试采项目。</w:t>
            </w:r>
          </w:p>
        </w:tc>
        <w:tc>
          <w:tcPr>
            <w:tcW w:w="526"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（3）</w:t>
            </w:r>
          </w:p>
        </w:tc>
        <w:tc>
          <w:tcPr>
            <w:tcW w:w="2532" w:type="pct"/>
            <w:vAlign w:val="center"/>
          </w:tcPr>
          <w:p>
            <w:pPr>
              <w:pStyle w:val="294"/>
            </w:pPr>
            <w:r>
              <w:t>···加强矿产资源综合利用，合理开发利用煤炭、天然气、页岩气、卤水等矿产资源···</w:t>
            </w:r>
          </w:p>
        </w:tc>
        <w:tc>
          <w:tcPr>
            <w:tcW w:w="1586" w:type="pct"/>
            <w:vAlign w:val="center"/>
          </w:tcPr>
          <w:p>
            <w:pPr>
              <w:pStyle w:val="294"/>
            </w:pPr>
            <w:r>
              <w:t>本项目属于天然气试采项目。</w:t>
            </w:r>
          </w:p>
        </w:tc>
        <w:tc>
          <w:tcPr>
            <w:tcW w:w="526"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（4）</w:t>
            </w:r>
          </w:p>
        </w:tc>
        <w:tc>
          <w:tcPr>
            <w:tcW w:w="2532" w:type="pct"/>
            <w:vAlign w:val="center"/>
          </w:tcPr>
          <w:p>
            <w:pPr>
              <w:pStyle w:val="294"/>
            </w:pPr>
            <w:r>
              <w:t>···加强矿山开采、天然气勘探开发全过程环境管理···</w:t>
            </w:r>
          </w:p>
        </w:tc>
        <w:tc>
          <w:tcPr>
            <w:tcW w:w="1586" w:type="pct"/>
            <w:vAlign w:val="center"/>
          </w:tcPr>
          <w:p>
            <w:pPr>
              <w:pStyle w:val="294"/>
            </w:pPr>
            <w:r>
              <w:t>本项目在施工及运营期均严格落实各项环境保护措施，全过程加强对环境的管理。</w:t>
            </w:r>
          </w:p>
        </w:tc>
        <w:tc>
          <w:tcPr>
            <w:tcW w:w="526"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4"/>
            </w:pPr>
            <w:r>
              <w:t>5</w:t>
            </w:r>
          </w:p>
        </w:tc>
        <w:tc>
          <w:tcPr>
            <w:tcW w:w="2532" w:type="pct"/>
            <w:vAlign w:val="center"/>
          </w:tcPr>
          <w:p>
            <w:pPr>
              <w:pStyle w:val="294"/>
            </w:pPr>
            <w:r>
              <w:t>···重点支持普光经济开发区开展天然气钻井岩屑资源化利用···</w:t>
            </w:r>
          </w:p>
        </w:tc>
        <w:tc>
          <w:tcPr>
            <w:tcW w:w="1586" w:type="pct"/>
            <w:vAlign w:val="center"/>
          </w:tcPr>
          <w:p>
            <w:pPr>
              <w:pStyle w:val="294"/>
            </w:pPr>
            <w:r>
              <w:t>本项目所产生的钻井岩屑均得到妥善的资源化利用</w:t>
            </w:r>
          </w:p>
        </w:tc>
        <w:tc>
          <w:tcPr>
            <w:tcW w:w="526" w:type="pct"/>
            <w:vAlign w:val="center"/>
          </w:tcPr>
          <w:p>
            <w:pPr>
              <w:pStyle w:val="294"/>
            </w:pPr>
            <w:r>
              <w:t>符合</w:t>
            </w:r>
          </w:p>
        </w:tc>
      </w:tr>
    </w:tbl>
    <w:p>
      <w:pPr>
        <w:tabs>
          <w:tab w:val="left" w:pos="0"/>
        </w:tabs>
        <w:spacing w:before="163" w:beforeLines="5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综上所述，本项目与</w:t>
      </w:r>
      <w:r>
        <w:rPr>
          <w:rFonts w:cs="Times New Roman"/>
          <w:bCs/>
          <w:color w:val="000000" w:themeColor="text1"/>
          <w:szCs w:val="24"/>
          <w14:textFill>
            <w14:solidFill>
              <w14:schemeClr w14:val="tx1"/>
            </w14:solidFill>
          </w14:textFill>
        </w:rPr>
        <w:t>《达州市“十四五”生态环境保护规划》</w:t>
      </w:r>
      <w:r>
        <w:rPr>
          <w:rFonts w:cs="Times New Roman"/>
          <w:color w:val="000000" w:themeColor="text1"/>
          <w14:textFill>
            <w14:solidFill>
              <w14:schemeClr w14:val="tx1"/>
            </w14:solidFill>
          </w14:textFill>
        </w:rPr>
        <w:t>相符。</w:t>
      </w:r>
    </w:p>
    <w:p>
      <w:pPr>
        <w:pStyle w:val="5"/>
        <w:spacing w:before="163"/>
      </w:pPr>
      <w:r>
        <w:rPr>
          <w:rFonts w:hint="eastAsia"/>
        </w:rPr>
        <w:t>2.7.1.7</w:t>
      </w:r>
      <w:r>
        <w:t>与《地下水管理条例》的符合性分析</w:t>
      </w:r>
    </w:p>
    <w:p>
      <w:pPr>
        <w:pStyle w:val="293"/>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2021年9月15日国务院第149次常务会议通过，2021年10月29日公布，自2021年12月1日起施行的《地下水管理条例》，本项目与其符合性分析见表2.7-6。通过对比分析，本项目符合该条例的相关要求。</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与《地下水管理条例》符合性分析</w:t>
      </w:r>
    </w:p>
    <w:tbl>
      <w:tblPr>
        <w:tblStyle w:val="53"/>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00"/>
        <w:gridCol w:w="4421"/>
        <w:gridCol w:w="3123"/>
        <w:gridCol w:w="4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trPr>
        <w:tc>
          <w:tcPr>
            <w:tcW w:w="0" w:type="auto"/>
            <w:tcMar>
              <w:left w:w="57" w:type="dxa"/>
              <w:right w:w="57" w:type="dxa"/>
            </w:tcMar>
            <w:vAlign w:val="center"/>
          </w:tcPr>
          <w:p>
            <w:pPr>
              <w:pStyle w:val="294"/>
            </w:pPr>
            <w:bookmarkStart w:id="65" w:name="_Hlk95470983"/>
            <w:r>
              <w:t>序号</w:t>
            </w:r>
          </w:p>
        </w:tc>
        <w:tc>
          <w:tcPr>
            <w:tcW w:w="4421" w:type="dxa"/>
            <w:tcMar>
              <w:left w:w="57" w:type="dxa"/>
              <w:right w:w="57" w:type="dxa"/>
            </w:tcMar>
            <w:vAlign w:val="center"/>
          </w:tcPr>
          <w:p>
            <w:pPr>
              <w:pStyle w:val="294"/>
            </w:pPr>
            <w:r>
              <w:t>相关要求（摘录）</w:t>
            </w:r>
          </w:p>
        </w:tc>
        <w:tc>
          <w:tcPr>
            <w:tcW w:w="3123" w:type="dxa"/>
            <w:tcMar>
              <w:left w:w="57" w:type="dxa"/>
              <w:right w:w="57" w:type="dxa"/>
            </w:tcMar>
            <w:vAlign w:val="center"/>
          </w:tcPr>
          <w:p>
            <w:pPr>
              <w:pStyle w:val="294"/>
            </w:pPr>
            <w:r>
              <w:t>本项目情况</w:t>
            </w:r>
          </w:p>
        </w:tc>
        <w:tc>
          <w:tcPr>
            <w:tcW w:w="0" w:type="auto"/>
            <w:tcMar>
              <w:left w:w="57" w:type="dxa"/>
              <w:right w:w="57" w:type="dxa"/>
            </w:tcMar>
            <w:vAlign w:val="center"/>
          </w:tcPr>
          <w:p>
            <w:pPr>
              <w:pStyle w:val="294"/>
            </w:pPr>
            <w: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294"/>
            </w:pPr>
            <w:r>
              <w:t>1</w:t>
            </w:r>
          </w:p>
        </w:tc>
        <w:tc>
          <w:tcPr>
            <w:tcW w:w="4421" w:type="dxa"/>
            <w:tcMar>
              <w:left w:w="57" w:type="dxa"/>
              <w:right w:w="57" w:type="dxa"/>
            </w:tcMar>
            <w:vAlign w:val="center"/>
          </w:tcPr>
          <w:p>
            <w:pPr>
              <w:pStyle w:val="294"/>
            </w:pPr>
            <w:r>
              <w:t>建设单位和个人应当采取措施防止地下工程建设对地下水补给、径流、排泄等造成重大不利影响。对开挖达到一定深度或者达到一定排水规模的地下工程，建设单位和个人应当于工程开工前，将工程建设方案和防止对地下水产生不利影响的措施方案报有管理权限的水行政主管部门备案。开挖深度和排水规模由省、自治区、直辖市人民政府制定、公布。</w:t>
            </w:r>
          </w:p>
        </w:tc>
        <w:tc>
          <w:tcPr>
            <w:tcW w:w="3123" w:type="dxa"/>
            <w:tcMar>
              <w:left w:w="57" w:type="dxa"/>
              <w:right w:w="57" w:type="dxa"/>
            </w:tcMar>
            <w:vAlign w:val="center"/>
          </w:tcPr>
          <w:p>
            <w:pPr>
              <w:pStyle w:val="294"/>
            </w:pPr>
            <w:r>
              <w:t>本项目采取了严格措施（不涉及浅层钻、分区防渗等）防止地下工程建设对地下水补给、径流、排泄等造成重大不利影响</w:t>
            </w:r>
          </w:p>
        </w:tc>
        <w:tc>
          <w:tcPr>
            <w:tcW w:w="0" w:type="auto"/>
            <w:tcMar>
              <w:left w:w="57" w:type="dxa"/>
              <w:right w:w="57" w:type="dxa"/>
            </w:tcMar>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294"/>
            </w:pPr>
            <w:r>
              <w:t>2</w:t>
            </w:r>
          </w:p>
        </w:tc>
        <w:tc>
          <w:tcPr>
            <w:tcW w:w="4421" w:type="dxa"/>
            <w:tcMar>
              <w:left w:w="57" w:type="dxa"/>
              <w:right w:w="57" w:type="dxa"/>
            </w:tcMar>
            <w:vAlign w:val="center"/>
          </w:tcPr>
          <w:p>
            <w:pPr>
              <w:pStyle w:val="294"/>
            </w:pPr>
            <w:r>
              <w:t>禁止下列污染或者可能污染地下水的行为：</w:t>
            </w:r>
          </w:p>
          <w:p>
            <w:pPr>
              <w:pStyle w:val="294"/>
            </w:pPr>
            <w:r>
              <w:t>（一）利用渗井、渗坑、裂隙、溶洞以及私设暗管等逃避监管的方式排放水污染物；</w:t>
            </w:r>
          </w:p>
          <w:p>
            <w:pPr>
              <w:pStyle w:val="294"/>
            </w:pPr>
            <w:r>
              <w:t>（二）利用岩层孔隙、裂隙、溶洞、废弃矿坑等贮存石化原料及产品、农药、危险废物、城镇污水处理设施产生的污泥和处理后的污泥或者其他有毒有害物质；</w:t>
            </w:r>
          </w:p>
          <w:p>
            <w:pPr>
              <w:pStyle w:val="294"/>
            </w:pPr>
            <w:r>
              <w:t>（三）利用无防渗漏措施的沟渠、坑塘等输送或者贮存含有毒污染物的废水、含病原体的污水和其他废弃物；</w:t>
            </w:r>
          </w:p>
          <w:p>
            <w:pPr>
              <w:pStyle w:val="294"/>
            </w:pPr>
            <w:r>
              <w:t>（四）法律、法规禁止的其他污染或者可能污染地下水的行为</w:t>
            </w:r>
          </w:p>
        </w:tc>
        <w:tc>
          <w:tcPr>
            <w:tcW w:w="3123" w:type="dxa"/>
            <w:tcMar>
              <w:left w:w="57" w:type="dxa"/>
              <w:right w:w="57" w:type="dxa"/>
            </w:tcMar>
            <w:vAlign w:val="center"/>
          </w:tcPr>
          <w:p>
            <w:pPr>
              <w:pStyle w:val="294"/>
            </w:pPr>
            <w:r>
              <w:t>本项目制定了严格措施防止项目建设运营对地下水造成污染</w:t>
            </w:r>
          </w:p>
        </w:tc>
        <w:tc>
          <w:tcPr>
            <w:tcW w:w="0" w:type="auto"/>
            <w:tcMar>
              <w:left w:w="57" w:type="dxa"/>
              <w:right w:w="57" w:type="dxa"/>
            </w:tcMar>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294"/>
            </w:pPr>
            <w:r>
              <w:t>3</w:t>
            </w:r>
          </w:p>
        </w:tc>
        <w:tc>
          <w:tcPr>
            <w:tcW w:w="4421" w:type="dxa"/>
            <w:tcMar>
              <w:left w:w="57" w:type="dxa"/>
              <w:right w:w="57" w:type="dxa"/>
            </w:tcMar>
            <w:vAlign w:val="center"/>
          </w:tcPr>
          <w:p>
            <w:pPr>
              <w:pStyle w:val="294"/>
            </w:pPr>
            <w:r>
              <w:t>企业事业单位和其他生产经营者应当采取下列措施，防止地下水污染：</w:t>
            </w:r>
          </w:p>
          <w:p>
            <w:pPr>
              <w:pStyle w:val="294"/>
            </w:pPr>
            <w:r>
              <w:t>（一）兴建地下工程设施或者进行地下勘探、采矿等活动，依法编制的环境影响评价文件中，应当包括地下水污染防治的内容，并采取防护性措施；</w:t>
            </w:r>
          </w:p>
          <w:p>
            <w:pPr>
              <w:pStyle w:val="294"/>
            </w:pPr>
            <w:r>
              <w:t>（二）化学品生产企业以及工业集聚区、矿山开采区、尾矿库、危险废物处置场、垃圾填埋场等的运营、管理单位，应当采取防渗漏等措施，并建设地下水水质监测井进行监测；</w:t>
            </w:r>
          </w:p>
          <w:p>
            <w:pPr>
              <w:pStyle w:val="294"/>
            </w:pPr>
            <w:r>
              <w:t>（三）加油站等的地下油罐应当使用双层罐或者采取建造防渗池等其他有效措施，并进行防渗漏监测；</w:t>
            </w:r>
          </w:p>
          <w:p>
            <w:pPr>
              <w:pStyle w:val="294"/>
            </w:pPr>
            <w:r>
              <w:t>（四）存放可溶性剧毒废渣的场所，应当采取防水、防渗漏、防流失的措施；</w:t>
            </w:r>
          </w:p>
          <w:p>
            <w:pPr>
              <w:pStyle w:val="294"/>
            </w:pPr>
            <w:r>
              <w:t>（五）法律、法规规定应当采取的其他防止地下水污染的措施</w:t>
            </w:r>
          </w:p>
        </w:tc>
        <w:tc>
          <w:tcPr>
            <w:tcW w:w="3123" w:type="dxa"/>
            <w:tcMar>
              <w:left w:w="57" w:type="dxa"/>
              <w:right w:w="57" w:type="dxa"/>
            </w:tcMar>
            <w:vAlign w:val="center"/>
          </w:tcPr>
          <w:p>
            <w:pPr>
              <w:pStyle w:val="294"/>
            </w:pPr>
            <w:r>
              <w:t>（一）本项目依法编制的环境影响评价文件中，包括了地下水污染防治的内容，并采了取防护性措施；</w:t>
            </w:r>
          </w:p>
          <w:p>
            <w:pPr>
              <w:pStyle w:val="294"/>
            </w:pPr>
            <w:r>
              <w:t>（二）本项目不属于化学品生产企业以及工业集聚区、矿山开采区、尾矿库、危险废物处置场、垃圾填埋场等的运营、管理单位；</w:t>
            </w:r>
          </w:p>
          <w:p>
            <w:pPr>
              <w:pStyle w:val="294"/>
            </w:pPr>
            <w:r>
              <w:t>（三）本项目没有地下油罐，同时项目采取了分区防渗措施；</w:t>
            </w:r>
          </w:p>
          <w:p>
            <w:pPr>
              <w:pStyle w:val="294"/>
            </w:pPr>
            <w:r>
              <w:t>（四）本项目设置的危险废物暂存区采取了重点防渗措施，满足防水、防渗漏、防流失的要求；</w:t>
            </w:r>
          </w:p>
          <w:p>
            <w:pPr>
              <w:pStyle w:val="294"/>
            </w:pPr>
            <w:r>
              <w:t>（五）本项目落实了法律、法规规定的应当采取的其他防止地下水污染的措施</w:t>
            </w:r>
          </w:p>
        </w:tc>
        <w:tc>
          <w:tcPr>
            <w:tcW w:w="0" w:type="auto"/>
            <w:tcMar>
              <w:left w:w="57" w:type="dxa"/>
              <w:right w:w="57" w:type="dxa"/>
            </w:tcMar>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294"/>
            </w:pPr>
            <w:r>
              <w:t>4</w:t>
            </w:r>
          </w:p>
        </w:tc>
        <w:tc>
          <w:tcPr>
            <w:tcW w:w="4421" w:type="dxa"/>
            <w:tcMar>
              <w:left w:w="57" w:type="dxa"/>
              <w:right w:w="57" w:type="dxa"/>
            </w:tcMar>
            <w:vAlign w:val="center"/>
          </w:tcPr>
          <w:p>
            <w:pPr>
              <w:pStyle w:val="294"/>
            </w:pPr>
            <w:r>
              <w:t>在泉域保护范围以及岩溶强发育、存在较多落水洞和岩溶漏斗的区域内，不得新建、改建、扩建可能造成地下水污染的建设项目</w:t>
            </w:r>
          </w:p>
        </w:tc>
        <w:tc>
          <w:tcPr>
            <w:tcW w:w="3123" w:type="dxa"/>
            <w:tcMar>
              <w:left w:w="57" w:type="dxa"/>
              <w:right w:w="57" w:type="dxa"/>
            </w:tcMar>
            <w:vAlign w:val="center"/>
          </w:tcPr>
          <w:p>
            <w:pPr>
              <w:pStyle w:val="294"/>
            </w:pPr>
            <w:r>
              <w:t>本项目不在泉域保护范围以及岩溶强发育、存在较多落水洞和岩溶漏斗的区域</w:t>
            </w:r>
          </w:p>
        </w:tc>
        <w:tc>
          <w:tcPr>
            <w:tcW w:w="0" w:type="auto"/>
            <w:tcMar>
              <w:left w:w="57" w:type="dxa"/>
              <w:right w:w="57" w:type="dxa"/>
            </w:tcMar>
            <w:vAlign w:val="center"/>
          </w:tcPr>
          <w:p>
            <w:pPr>
              <w:pStyle w:val="294"/>
            </w:pPr>
            <w:r>
              <w:t>符合</w:t>
            </w:r>
          </w:p>
        </w:tc>
      </w:tr>
      <w:bookmarkEnd w:id="65"/>
    </w:tbl>
    <w:p>
      <w:pPr>
        <w:tabs>
          <w:tab w:val="left" w:pos="0"/>
        </w:tabs>
        <w:spacing w:before="163" w:beforeLines="5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综上所述，本项目的</w:t>
      </w:r>
      <w:r>
        <w:rPr>
          <w:rFonts w:cs="Times New Roman"/>
          <w:bCs/>
          <w:color w:val="000000" w:themeColor="text1"/>
          <w:szCs w:val="24"/>
          <w14:textFill>
            <w14:solidFill>
              <w14:schemeClr w14:val="tx1"/>
            </w14:solidFill>
          </w14:textFill>
        </w:rPr>
        <w:t>建设</w:t>
      </w:r>
      <w:r>
        <w:rPr>
          <w:rFonts w:cs="Times New Roman"/>
          <w:color w:val="000000" w:themeColor="text1"/>
          <w14:textFill>
            <w14:solidFill>
              <w14:schemeClr w14:val="tx1"/>
            </w14:solidFill>
          </w14:textFill>
        </w:rPr>
        <w:t>与《地下水管理条例》相符。</w:t>
      </w:r>
    </w:p>
    <w:p>
      <w:pPr>
        <w:pStyle w:val="5"/>
        <w:spacing w:before="163"/>
      </w:pPr>
      <w:r>
        <w:rPr>
          <w:rFonts w:hint="eastAsia"/>
        </w:rPr>
        <w:t>2.7.1.8</w:t>
      </w:r>
      <w:r>
        <w:t>与达州市“三区三线”的符合性分析</w:t>
      </w:r>
    </w:p>
    <w:p>
      <w:pPr>
        <w:pStyle w:val="21"/>
        <w:tabs>
          <w:tab w:val="left" w:pos="863"/>
        </w:tabs>
        <w:spacing w:before="0"/>
        <w:ind w:left="0" w:firstLine="480"/>
        <w:rPr>
          <w:rFonts w:ascii="Times New Roman" w:hAnsi="Times New Roman"/>
          <w:color w:val="000000" w:themeColor="text1"/>
          <w:kern w:val="2"/>
          <w:szCs w:val="22"/>
          <w:lang w:eastAsia="zh-CN"/>
          <w14:textFill>
            <w14:solidFill>
              <w14:schemeClr w14:val="tx1"/>
            </w14:solidFill>
          </w14:textFill>
        </w:rPr>
      </w:pPr>
      <w:r>
        <w:rPr>
          <w:rFonts w:ascii="Times New Roman" w:hAnsi="Times New Roman"/>
          <w:color w:val="000000" w:themeColor="text1"/>
          <w:kern w:val="2"/>
          <w:szCs w:val="22"/>
          <w:lang w:eastAsia="zh-CN"/>
          <w14:textFill>
            <w14:solidFill>
              <w14:schemeClr w14:val="tx1"/>
            </w14:solidFill>
          </w14:textFill>
        </w:rPr>
        <w:t>（1）与达州市《达州市国土空间总体规划（2021-2035）》的符合性分析</w:t>
      </w:r>
    </w:p>
    <w:p>
      <w:pPr>
        <w:pStyle w:val="21"/>
        <w:tabs>
          <w:tab w:val="left" w:pos="863"/>
        </w:tabs>
        <w:spacing w:before="0"/>
        <w:ind w:left="0" w:firstLine="480"/>
        <w:rPr>
          <w:rFonts w:ascii="Times New Roman" w:hAnsi="Times New Roman"/>
          <w:color w:val="000000" w:themeColor="text1"/>
          <w:kern w:val="2"/>
          <w:szCs w:val="22"/>
          <w:lang w:eastAsia="zh-CN"/>
          <w14:textFill>
            <w14:solidFill>
              <w14:schemeClr w14:val="tx1"/>
            </w14:solidFill>
          </w14:textFill>
        </w:rPr>
      </w:pPr>
      <w:r>
        <w:rPr>
          <w:rFonts w:ascii="Times New Roman" w:hAnsi="Times New Roman"/>
          <w:color w:val="000000" w:themeColor="text1"/>
          <w:kern w:val="2"/>
          <w:szCs w:val="22"/>
          <w:lang w:eastAsia="zh-CN"/>
          <w14:textFill>
            <w14:solidFill>
              <w14:schemeClr w14:val="tx1"/>
            </w14:solidFill>
          </w14:textFill>
        </w:rPr>
        <w:t>根据《达州市国土空间总体规划（2021-2035）》中的要求的：“强化底线约束，严格管控“三线”。优化市域空间总体格局，形成“北特中都南粮，一屏两廊三带、一核两翼六轴”的市域总体格局”。本项目位于达州市中部区域的宣汉县，属于《达州市国土空间总体规划（2021-2035）》中的北部生态农业产业区内，本项目为天然气实验性探井工程项目，工程建设将会涉及一部分基本农田，总体上项目占地面积较小，建设单位将按相关要求办理用地手续并采取基本农田占用补偿措施，并且施工结束后将对临时占地区域进行复垦。从总体而言，项目的建设不会对达州市国土空间总体规划造成较大影响。因此，项目的建设符合《达州市国土空间总体规划（2021-2035）》。本项目与达州市国土空间规划位置关系见下图：</w:t>
      </w:r>
    </w:p>
    <w:p>
      <w:pPr>
        <w:pStyle w:val="92"/>
        <w:keepNext/>
        <w:rPr>
          <w:color w:val="000000" w:themeColor="text1"/>
          <w14:textFill>
            <w14:solidFill>
              <w14:schemeClr w14:val="tx1"/>
            </w14:solidFill>
          </w14:textFill>
        </w:rPr>
      </w:pPr>
      <w:r>
        <w:rPr>
          <w:rFonts w:eastAsia="黑体"/>
          <w:color w:val="000000" w:themeColor="text1"/>
          <w:lang w:eastAsia="zh-CN"/>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4364990</wp:posOffset>
                </wp:positionH>
                <wp:positionV relativeFrom="paragraph">
                  <wp:posOffset>1318895</wp:posOffset>
                </wp:positionV>
                <wp:extent cx="853440" cy="260350"/>
                <wp:effectExtent l="495300" t="0" r="22860" b="25400"/>
                <wp:wrapNone/>
                <wp:docPr id="14" name="对话气泡: 矩形 14"/>
                <wp:cNvGraphicFramePr/>
                <a:graphic xmlns:a="http://schemas.openxmlformats.org/drawingml/2006/main">
                  <a:graphicData uri="http://schemas.microsoft.com/office/word/2010/wordprocessingShape">
                    <wps:wsp>
                      <wps:cNvSpPr/>
                      <wps:spPr>
                        <a:xfrm>
                          <a:off x="0" y="0"/>
                          <a:ext cx="853440" cy="260350"/>
                        </a:xfrm>
                        <a:prstGeom prst="wedgeRectCallout">
                          <a:avLst>
                            <a:gd name="adj1" fmla="val -102506"/>
                            <a:gd name="adj2" fmla="val -3390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firstLine="0" w:firstLineChars="0"/>
                              <w:jc w:val="center"/>
                              <w:rPr>
                                <w:b/>
                                <w:bCs/>
                                <w:color w:val="000000" w:themeColor="text1"/>
                                <w14:textOutline w14:w="9525" w14:cap="rnd" w14:cmpd="sng" w14:algn="ctr">
                                  <w14:solidFill>
                                    <w14:srgbClr w14:val="000000"/>
                                  </w14:solidFill>
                                  <w14:prstDash w14:val="solid"/>
                                  <w14:bevel/>
                                </w14:textOutline>
                                <w14:textFill>
                                  <w14:solidFill>
                                    <w14:schemeClr w14:val="tx1"/>
                                  </w14:solidFill>
                                </w14:textFill>
                              </w:rPr>
                            </w:pPr>
                            <w:r>
                              <w:rPr>
                                <w:rFonts w:hint="eastAsia"/>
                                <w:b/>
                                <w:bCs/>
                                <w:color w:val="000000" w:themeColor="text1"/>
                                <w14:textOutline w14:w="9525" w14:cap="rnd" w14:cmpd="sng" w14:algn="ctr">
                                  <w14:solidFill>
                                    <w14:srgbClr w14:val="000000"/>
                                  </w14:solidFill>
                                  <w14:prstDash w14:val="solid"/>
                                  <w14:bevel/>
                                </w14:textOutline>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4" o:spid="_x0000_s1026" o:spt="61" type="#_x0000_t61" style="position:absolute;left:0pt;margin-left:343.7pt;margin-top:103.85pt;height:20.5pt;width:67.2pt;z-index:251661312;v-text-anchor:middle;mso-width-relative:page;mso-height-relative:page;" filled="f" stroked="t" coordsize="21600,21600" o:gfxdata="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&#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EckZ7zYAAAACwEAAA8AAAAAAAAAAQAgAAAAIgAAAGRy&#10;cy9kb3ducmV2LnhtbFBLAQIUABQAAAAIAIdO4kBzrYowsAIAAEUFAAAOAAAAAAAAAAEAIAAAACcB&#10;AABkcnMvZTJvRG9jLnhtbFBLBQYAAAAABgAGAFkBAABJBgAAAAA=&#10;" adj="-11341,3477">
                <v:fill on="f" focussize="0,0"/>
                <v:stroke weight="1pt" color="#000000 [3213]" miterlimit="8" joinstyle="miter"/>
                <v:imagedata o:title=""/>
                <o:lock v:ext="edit" aspectratio="f"/>
                <v:textbox>
                  <w:txbxContent>
                    <w:p>
                      <w:pPr>
                        <w:spacing w:line="240" w:lineRule="auto"/>
                        <w:ind w:firstLine="0" w:firstLineChars="0"/>
                        <w:jc w:val="center"/>
                        <w:rPr>
                          <w:b/>
                          <w:bCs/>
                          <w:color w:val="000000" w:themeColor="text1"/>
                          <w14:textOutline w14:w="9525" w14:cap="rnd" w14:cmpd="sng" w14:algn="ctr">
                            <w14:solidFill>
                              <w14:srgbClr w14:val="000000"/>
                            </w14:solidFill>
                            <w14:prstDash w14:val="solid"/>
                            <w14:bevel/>
                          </w14:textOutline>
                          <w14:textFill>
                            <w14:solidFill>
                              <w14:schemeClr w14:val="tx1"/>
                            </w14:solidFill>
                          </w14:textFill>
                        </w:rPr>
                      </w:pPr>
                      <w:r>
                        <w:rPr>
                          <w:rFonts w:hint="eastAsia"/>
                          <w:b/>
                          <w:bCs/>
                          <w:color w:val="000000" w:themeColor="text1"/>
                          <w14:textOutline w14:w="9525" w14:cap="rnd" w14:cmpd="sng" w14:algn="ctr">
                            <w14:solidFill>
                              <w14:srgbClr w14:val="000000"/>
                            </w14:solidFill>
                            <w14:prstDash w14:val="solid"/>
                            <w14:bevel/>
                          </w14:textOutline>
                          <w14:textFill>
                            <w14:solidFill>
                              <w14:schemeClr w14:val="tx1"/>
                            </w14:solidFill>
                          </w14:textFill>
                        </w:rPr>
                        <w:t>本项目</w:t>
                      </w:r>
                    </w:p>
                  </w:txbxContent>
                </v:textbox>
              </v:shape>
            </w:pict>
          </mc:Fallback>
        </mc:AlternateContent>
      </w:r>
      <w:r>
        <w:rPr>
          <w:rFonts w:eastAsia="黑体"/>
          <w:color w:val="000000" w:themeColor="text1"/>
          <w:lang w:eastAsia="zh-CN"/>
          <w14:textFill>
            <w14:solidFill>
              <w14:schemeClr w14:val="tx1"/>
            </w14:solidFill>
          </w14:textFill>
        </w:rPr>
        <w:drawing>
          <wp:inline distT="0" distB="0" distL="0" distR="0">
            <wp:extent cx="5274310" cy="423799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274310" cy="4237990"/>
                    </a:xfrm>
                    <a:prstGeom prst="rect">
                      <a:avLst/>
                    </a:prstGeom>
                    <a:noFill/>
                    <a:ln>
                      <a:noFill/>
                    </a:ln>
                  </pic:spPr>
                </pic:pic>
              </a:graphicData>
            </a:graphic>
          </wp:inline>
        </w:drawing>
      </w:r>
    </w:p>
    <w:p>
      <w:pPr>
        <w:pStyle w:val="161"/>
        <w:rPr>
          <w:color w:val="000000" w:themeColor="text1"/>
          <w14:textFill>
            <w14:solidFill>
              <w14:schemeClr w14:val="tx1"/>
            </w14:solidFill>
          </w14:textFill>
        </w:rPr>
      </w:pPr>
      <w:r>
        <w:rPr>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图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项目与达州市国土空间规划位置关系示意图</w:t>
      </w:r>
    </w:p>
    <w:p>
      <w:pPr>
        <w:pStyle w:val="21"/>
        <w:tabs>
          <w:tab w:val="left" w:pos="863"/>
        </w:tabs>
        <w:spacing w:before="0"/>
        <w:ind w:left="0" w:firstLine="480"/>
        <w:rPr>
          <w:rFonts w:ascii="Times New Roman" w:hAnsi="Times New Roman"/>
          <w:color w:val="000000" w:themeColor="text1"/>
          <w:kern w:val="2"/>
          <w:szCs w:val="22"/>
          <w:lang w:eastAsia="zh-CN"/>
          <w14:textFill>
            <w14:solidFill>
              <w14:schemeClr w14:val="tx1"/>
            </w14:solidFill>
          </w14:textFill>
        </w:rPr>
      </w:pPr>
      <w:r>
        <w:rPr>
          <w:rFonts w:ascii="Times New Roman" w:hAnsi="Times New Roman"/>
          <w:color w:val="000000" w:themeColor="text1"/>
          <w:kern w:val="2"/>
          <w:szCs w:val="22"/>
          <w:lang w:eastAsia="zh-CN"/>
          <w14:textFill>
            <w14:solidFill>
              <w14:schemeClr w14:val="tx1"/>
            </w14:solidFill>
          </w14:textFill>
        </w:rPr>
        <w:t>（2）与达州市“三区三线”的符合性分析</w:t>
      </w:r>
    </w:p>
    <w:p>
      <w:pPr>
        <w:pStyle w:val="21"/>
        <w:tabs>
          <w:tab w:val="left" w:pos="863"/>
        </w:tabs>
        <w:spacing w:before="0"/>
        <w:ind w:left="0" w:firstLine="480"/>
        <w:rPr>
          <w:rFonts w:ascii="Times New Roman" w:hAnsi="Times New Roman"/>
          <w:color w:val="000000" w:themeColor="text1"/>
          <w:kern w:val="2"/>
          <w:szCs w:val="22"/>
          <w:lang w:eastAsia="zh-CN"/>
          <w14:textFill>
            <w14:solidFill>
              <w14:schemeClr w14:val="tx1"/>
            </w14:solidFill>
          </w14:textFill>
        </w:rPr>
      </w:pPr>
      <w:r>
        <w:rPr>
          <w:rFonts w:ascii="Times New Roman" w:hAnsi="Times New Roman"/>
          <w:color w:val="000000" w:themeColor="text1"/>
          <w:kern w:val="2"/>
          <w:szCs w:val="22"/>
          <w:lang w:eastAsia="zh-CN"/>
          <w14:textFill>
            <w14:solidFill>
              <w14:schemeClr w14:val="tx1"/>
            </w14:solidFill>
          </w14:textFill>
        </w:rPr>
        <w:t>根据达州市“三区三线”的管控要求，项目与达州市“三区三线”的符合性分析如下：</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 xml:space="preserve">表 </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与达州市“三区三线”符合性分析</w:t>
      </w:r>
    </w:p>
    <w:tbl>
      <w:tblPr>
        <w:tblStyle w:val="53"/>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3974"/>
        <w:gridCol w:w="2834"/>
        <w:gridCol w:w="74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trPr>
        <w:tc>
          <w:tcPr>
            <w:tcW w:w="0" w:type="auto"/>
            <w:tcMar>
              <w:left w:w="57" w:type="dxa"/>
              <w:right w:w="57" w:type="dxa"/>
            </w:tcMar>
            <w:vAlign w:val="center"/>
          </w:tcPr>
          <w:p>
            <w:pPr>
              <w:pStyle w:val="294"/>
            </w:pPr>
            <w:r>
              <w:t>序号</w:t>
            </w:r>
          </w:p>
        </w:tc>
        <w:tc>
          <w:tcPr>
            <w:tcW w:w="3974" w:type="dxa"/>
            <w:tcMar>
              <w:left w:w="57" w:type="dxa"/>
              <w:right w:w="57" w:type="dxa"/>
            </w:tcMar>
            <w:vAlign w:val="center"/>
          </w:tcPr>
          <w:p>
            <w:pPr>
              <w:pStyle w:val="294"/>
            </w:pPr>
            <w:r>
              <w:t>相关要求</w:t>
            </w:r>
          </w:p>
        </w:tc>
        <w:tc>
          <w:tcPr>
            <w:tcW w:w="2834" w:type="dxa"/>
            <w:tcMar>
              <w:left w:w="57" w:type="dxa"/>
              <w:right w:w="57" w:type="dxa"/>
            </w:tcMar>
            <w:vAlign w:val="center"/>
          </w:tcPr>
          <w:p>
            <w:pPr>
              <w:pStyle w:val="294"/>
            </w:pPr>
            <w:r>
              <w:t>本项目情况</w:t>
            </w:r>
          </w:p>
        </w:tc>
        <w:tc>
          <w:tcPr>
            <w:tcW w:w="0" w:type="auto"/>
            <w:tcMar>
              <w:left w:w="57" w:type="dxa"/>
              <w:right w:w="57" w:type="dxa"/>
            </w:tcMar>
            <w:vAlign w:val="center"/>
          </w:tcPr>
          <w:p>
            <w:pPr>
              <w:pStyle w:val="294"/>
            </w:pPr>
            <w: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294"/>
            </w:pPr>
            <w:r>
              <w:t>1</w:t>
            </w:r>
          </w:p>
        </w:tc>
        <w:tc>
          <w:tcPr>
            <w:tcW w:w="3974" w:type="dxa"/>
            <w:tcMar>
              <w:left w:w="57" w:type="dxa"/>
              <w:right w:w="57" w:type="dxa"/>
            </w:tcMar>
            <w:vAlign w:val="center"/>
          </w:tcPr>
          <w:p>
            <w:pPr>
              <w:pStyle w:val="294"/>
            </w:pPr>
            <w:r>
              <w:t>城镇空间：以城镇居民生产、生活为主体功能的国土空间，包括城镇建设空间、工矿建设空间以及部分乡级政府驻地的开发建设空间。</w:t>
            </w:r>
          </w:p>
        </w:tc>
        <w:tc>
          <w:tcPr>
            <w:tcW w:w="2834" w:type="dxa"/>
            <w:tcMar>
              <w:left w:w="57" w:type="dxa"/>
              <w:right w:w="57" w:type="dxa"/>
            </w:tcMar>
            <w:vAlign w:val="center"/>
          </w:tcPr>
          <w:p>
            <w:pPr>
              <w:pStyle w:val="294"/>
            </w:pPr>
            <w:r>
              <w:t>本项目为新增占地建设，占地范围为林地和耕地，不涉及城镇建设用地</w:t>
            </w:r>
          </w:p>
        </w:tc>
        <w:tc>
          <w:tcPr>
            <w:tcW w:w="0" w:type="auto"/>
            <w:tcMar>
              <w:left w:w="57" w:type="dxa"/>
              <w:right w:w="57" w:type="dxa"/>
            </w:tcMar>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294"/>
            </w:pPr>
            <w:r>
              <w:t>2</w:t>
            </w:r>
          </w:p>
        </w:tc>
        <w:tc>
          <w:tcPr>
            <w:tcW w:w="3974" w:type="dxa"/>
            <w:tcMar>
              <w:left w:w="57" w:type="dxa"/>
              <w:right w:w="57" w:type="dxa"/>
            </w:tcMar>
            <w:vAlign w:val="center"/>
          </w:tcPr>
          <w:p>
            <w:pPr>
              <w:pStyle w:val="294"/>
            </w:pPr>
            <w:r>
              <w:t>农业空间：以农业生产和农村居民生活为主体功能，承担农产品生产和农村生活功能的国土空间，主要包括永久基本农田、一般农田等农业生产用地以及村庄等农村生活用地。</w:t>
            </w:r>
          </w:p>
        </w:tc>
        <w:tc>
          <w:tcPr>
            <w:tcW w:w="2834" w:type="dxa"/>
            <w:vMerge w:val="restart"/>
            <w:tcMar>
              <w:left w:w="57" w:type="dxa"/>
              <w:right w:w="57" w:type="dxa"/>
            </w:tcMar>
            <w:vAlign w:val="center"/>
          </w:tcPr>
          <w:p>
            <w:pPr>
              <w:pStyle w:val="294"/>
            </w:pPr>
            <w:r>
              <w:t>本项目为新增占地建设，工程建设将会涉及一部分基本农田，建设单位将按相关要求办理用地手续并采取基本农田占用补偿措施，并且施工结束后将对临时占地区域进行复垦。</w:t>
            </w:r>
          </w:p>
        </w:tc>
        <w:tc>
          <w:tcPr>
            <w:tcW w:w="0" w:type="auto"/>
            <w:tcMar>
              <w:left w:w="57" w:type="dxa"/>
              <w:right w:w="57" w:type="dxa"/>
            </w:tcMar>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294"/>
            </w:pPr>
            <w:r>
              <w:t>3</w:t>
            </w:r>
          </w:p>
        </w:tc>
        <w:tc>
          <w:tcPr>
            <w:tcW w:w="3974" w:type="dxa"/>
            <w:tcMar>
              <w:left w:w="57" w:type="dxa"/>
              <w:right w:w="57" w:type="dxa"/>
            </w:tcMar>
            <w:vAlign w:val="center"/>
          </w:tcPr>
          <w:p>
            <w:pPr>
              <w:pStyle w:val="294"/>
            </w:pPr>
            <w:r>
              <w:t>生态空间：具有自然属性的，以提供生态服务或生态产品为主体功能的国土空间，包括森林、草原、湿地、河流、湖泊、滩涂、荒地、荒漠等。</w:t>
            </w:r>
          </w:p>
        </w:tc>
        <w:tc>
          <w:tcPr>
            <w:tcW w:w="2834" w:type="dxa"/>
            <w:vMerge w:val="continue"/>
            <w:tcMar>
              <w:left w:w="57" w:type="dxa"/>
              <w:right w:w="57" w:type="dxa"/>
            </w:tcMar>
            <w:vAlign w:val="center"/>
          </w:tcPr>
          <w:p>
            <w:pPr>
              <w:pStyle w:val="294"/>
            </w:pPr>
          </w:p>
        </w:tc>
        <w:tc>
          <w:tcPr>
            <w:tcW w:w="0" w:type="auto"/>
            <w:tcMar>
              <w:left w:w="57" w:type="dxa"/>
              <w:right w:w="57" w:type="dxa"/>
            </w:tcMar>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294"/>
            </w:pPr>
            <w:r>
              <w:t>4</w:t>
            </w:r>
          </w:p>
        </w:tc>
        <w:tc>
          <w:tcPr>
            <w:tcW w:w="3974" w:type="dxa"/>
            <w:tcMar>
              <w:left w:w="57" w:type="dxa"/>
              <w:right w:w="57" w:type="dxa"/>
            </w:tcMar>
            <w:vAlign w:val="center"/>
          </w:tcPr>
          <w:p>
            <w:pPr>
              <w:pStyle w:val="294"/>
            </w:pPr>
            <w:r>
              <w:t>生态保护红线：是在生态空间范围内具有特殊重要的生态功能、必须强制性严格保护的区域，是保障和维护国家生态安全的底线和生命线。</w:t>
            </w:r>
          </w:p>
        </w:tc>
        <w:tc>
          <w:tcPr>
            <w:tcW w:w="2834" w:type="dxa"/>
            <w:tcMar>
              <w:left w:w="57" w:type="dxa"/>
              <w:right w:w="57" w:type="dxa"/>
            </w:tcMar>
            <w:vAlign w:val="center"/>
          </w:tcPr>
          <w:p>
            <w:pPr>
              <w:pStyle w:val="294"/>
            </w:pPr>
            <w:r>
              <w:t>本项目不涉及生态保护红线。（见附图14）</w:t>
            </w:r>
          </w:p>
        </w:tc>
        <w:tc>
          <w:tcPr>
            <w:tcW w:w="0" w:type="auto"/>
            <w:tcMar>
              <w:left w:w="57" w:type="dxa"/>
              <w:right w:w="57" w:type="dxa"/>
            </w:tcMar>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294"/>
            </w:pPr>
            <w:r>
              <w:t>5</w:t>
            </w:r>
          </w:p>
        </w:tc>
        <w:tc>
          <w:tcPr>
            <w:tcW w:w="3974" w:type="dxa"/>
            <w:tcMar>
              <w:left w:w="57" w:type="dxa"/>
              <w:right w:w="57" w:type="dxa"/>
            </w:tcMar>
            <w:vAlign w:val="center"/>
          </w:tcPr>
          <w:p>
            <w:pPr>
              <w:pStyle w:val="294"/>
            </w:pPr>
            <w:r>
              <w:t>永久基本农田保护红线：是按照一定时期人口和社会经济发展对农产品的需求，依法确定的不得占用、不得开发、需要永久性保护的耕地空间边界。</w:t>
            </w:r>
          </w:p>
        </w:tc>
        <w:tc>
          <w:tcPr>
            <w:tcW w:w="2834" w:type="dxa"/>
            <w:tcMar>
              <w:left w:w="57" w:type="dxa"/>
              <w:right w:w="57" w:type="dxa"/>
            </w:tcMar>
            <w:vAlign w:val="center"/>
          </w:tcPr>
          <w:p>
            <w:pPr>
              <w:pStyle w:val="294"/>
            </w:pPr>
            <w:r>
              <w:t>本项目为新增占地建设，工程建设将会涉及一部分基本农田，建设单位将按相关要求办理用地手续并采取基本农田占用补偿措施，并且施工结束后将对临时占地区域进行复垦。</w:t>
            </w:r>
          </w:p>
        </w:tc>
        <w:tc>
          <w:tcPr>
            <w:tcW w:w="0" w:type="auto"/>
            <w:tcMar>
              <w:left w:w="57" w:type="dxa"/>
              <w:right w:w="57" w:type="dxa"/>
            </w:tcMar>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294"/>
            </w:pPr>
            <w:r>
              <w:t>6</w:t>
            </w:r>
          </w:p>
        </w:tc>
        <w:tc>
          <w:tcPr>
            <w:tcW w:w="3974" w:type="dxa"/>
            <w:tcMar>
              <w:left w:w="57" w:type="dxa"/>
              <w:right w:w="57" w:type="dxa"/>
            </w:tcMar>
            <w:vAlign w:val="center"/>
          </w:tcPr>
          <w:p>
            <w:pPr>
              <w:pStyle w:val="294"/>
            </w:pPr>
            <w:r>
              <w:t>城镇开发边界：在一定时期内，可以进行城镇开发和集中建设的地域空间边界，包括城镇现状建成区、优化发展区，以及因城镇建设发展需要必须实行规划控制的区域。</w:t>
            </w:r>
          </w:p>
        </w:tc>
        <w:tc>
          <w:tcPr>
            <w:tcW w:w="2834" w:type="dxa"/>
            <w:tcMar>
              <w:left w:w="57" w:type="dxa"/>
              <w:right w:w="57" w:type="dxa"/>
            </w:tcMar>
            <w:vAlign w:val="center"/>
          </w:tcPr>
          <w:p>
            <w:pPr>
              <w:pStyle w:val="294"/>
            </w:pPr>
            <w:r>
              <w:t>本项目不涉及城镇开发区。（见附图</w:t>
            </w:r>
            <w:r>
              <w:rPr>
                <w:rFonts w:hint="eastAsia"/>
              </w:rPr>
              <w:t>1</w:t>
            </w:r>
            <w:r>
              <w:t>3）</w:t>
            </w:r>
          </w:p>
        </w:tc>
        <w:tc>
          <w:tcPr>
            <w:tcW w:w="0" w:type="auto"/>
            <w:tcMar>
              <w:left w:w="57" w:type="dxa"/>
              <w:right w:w="57" w:type="dxa"/>
            </w:tcMar>
            <w:vAlign w:val="center"/>
          </w:tcPr>
          <w:p>
            <w:pPr>
              <w:pStyle w:val="294"/>
            </w:pPr>
            <w:r>
              <w:t>符合</w:t>
            </w:r>
          </w:p>
        </w:tc>
      </w:tr>
    </w:tbl>
    <w:p>
      <w:pPr>
        <w:tabs>
          <w:tab w:val="left" w:pos="0"/>
        </w:tabs>
        <w:spacing w:before="163" w:beforeLines="5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综上所述，本项目与</w:t>
      </w:r>
      <w:r>
        <w:rPr>
          <w:rFonts w:cs="Times New Roman"/>
          <w:bCs/>
          <w:color w:val="000000" w:themeColor="text1"/>
          <w:szCs w:val="24"/>
          <w14:textFill>
            <w14:solidFill>
              <w14:schemeClr w14:val="tx1"/>
            </w14:solidFill>
          </w14:textFill>
        </w:rPr>
        <w:t>区域</w:t>
      </w:r>
      <w:r>
        <w:rPr>
          <w:rFonts w:cs="Times New Roman"/>
          <w:color w:val="000000" w:themeColor="text1"/>
          <w14:textFill>
            <w14:solidFill>
              <w14:schemeClr w14:val="tx1"/>
            </w14:solidFill>
          </w14:textFill>
        </w:rPr>
        <w:t>“三区三线”相符。</w:t>
      </w:r>
    </w:p>
    <w:p>
      <w:pPr>
        <w:pStyle w:val="4"/>
        <w:ind w:firstLine="241"/>
        <w:rPr>
          <w:b w:val="0"/>
        </w:rPr>
      </w:pPr>
      <w:r>
        <w:rPr>
          <w:rFonts w:hint="eastAsia"/>
        </w:rPr>
        <w:t>2.7.2</w:t>
      </w:r>
      <w:r>
        <w:t>规划符合性分析</w:t>
      </w:r>
      <w:bookmarkEnd w:id="64"/>
    </w:p>
    <w:p>
      <w:pPr>
        <w:tabs>
          <w:tab w:val="left" w:pos="0"/>
        </w:tabs>
        <w:ind w:firstLine="480"/>
        <w:rPr>
          <w:rFonts w:eastAsia="黑体" w:cs="Times New Roman"/>
          <w:color w:val="000000" w:themeColor="text1"/>
          <w14:textFill>
            <w14:solidFill>
              <w14:schemeClr w14:val="tx1"/>
            </w14:solidFill>
          </w14:textFill>
        </w:rPr>
      </w:pPr>
      <w:r>
        <w:rPr>
          <w:rFonts w:eastAsia="黑体" w:cs="Times New Roman"/>
          <w:color w:val="000000" w:themeColor="text1"/>
          <w14:textFill>
            <w14:solidFill>
              <w14:schemeClr w14:val="tx1"/>
            </w14:solidFill>
          </w14:textFill>
        </w:rPr>
        <w:t>1、生态功能区划符合性分析</w:t>
      </w:r>
    </w:p>
    <w:p>
      <w:pPr>
        <w:pStyle w:val="249"/>
        <w:adjustRightInd w:val="0"/>
        <w:snapToGrid w:val="0"/>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评价区域为农林生态系统，生态系统单一，结构简单，环境异质性差。区域以自然生境为主，易于恢复。</w:t>
      </w:r>
    </w:p>
    <w:p>
      <w:pPr>
        <w:pStyle w:val="249"/>
        <w:adjustRightInd w:val="0"/>
        <w:snapToGrid w:val="0"/>
        <w:ind w:firstLine="480"/>
        <w:rPr>
          <w:color w:val="000000" w:themeColor="text1"/>
          <w14:textFill>
            <w14:solidFill>
              <w14:schemeClr w14:val="tx1"/>
            </w14:solidFill>
          </w14:textFill>
        </w:rPr>
      </w:pPr>
      <w:r>
        <w:rPr>
          <w:color w:val="000000" w:themeColor="text1"/>
          <w:szCs w:val="24"/>
          <w14:textFill>
            <w14:solidFill>
              <w14:schemeClr w14:val="tx1"/>
            </w14:solidFill>
          </w14:textFill>
        </w:rPr>
        <w:t>根据《四川省生态功能区划》，项目所在地达州市宣汉县</w:t>
      </w:r>
      <w:r>
        <w:rPr>
          <w:rFonts w:hint="eastAsia"/>
          <w:color w:val="000000" w:themeColor="text1"/>
          <w:szCs w:val="24"/>
          <w14:textFill>
            <w14:solidFill>
              <w14:schemeClr w14:val="tx1"/>
            </w14:solidFill>
          </w14:textFill>
        </w:rPr>
        <w:t>普光</w:t>
      </w:r>
      <w:r>
        <w:rPr>
          <w:color w:val="000000" w:themeColor="text1"/>
          <w:szCs w:val="24"/>
          <w14:textFill>
            <w14:solidFill>
              <w14:schemeClr w14:val="tx1"/>
            </w14:solidFill>
          </w14:textFill>
        </w:rPr>
        <w:t>镇位于位于</w:t>
      </w:r>
      <w:r>
        <w:rPr>
          <w:rFonts w:hint="eastAsia" w:ascii="宋体" w:hAnsi="宋体" w:cs="宋体"/>
          <w:color w:val="000000" w:themeColor="text1"/>
          <w:szCs w:val="24"/>
          <w14:textFill>
            <w14:solidFill>
              <w14:schemeClr w14:val="tx1"/>
            </w14:solidFill>
          </w14:textFill>
        </w:rPr>
        <w:t>Ⅰ</w:t>
      </w:r>
      <w:r>
        <w:rPr>
          <w:color w:val="000000" w:themeColor="text1"/>
          <w:szCs w:val="24"/>
          <w14:textFill>
            <w14:solidFill>
              <w14:schemeClr w14:val="tx1"/>
            </w14:solidFill>
          </w14:textFill>
        </w:rPr>
        <w:t>四川盆地亚热带农林生态区——</w:t>
      </w:r>
      <w:r>
        <w:rPr>
          <w:rFonts w:hint="eastAsia" w:ascii="宋体" w:hAnsi="宋体" w:cs="宋体"/>
          <w:color w:val="000000" w:themeColor="text1"/>
          <w:szCs w:val="24"/>
          <w14:textFill>
            <w14:solidFill>
              <w14:schemeClr w14:val="tx1"/>
            </w14:solidFill>
          </w14:textFill>
        </w:rPr>
        <w:t>Ⅰ</w:t>
      </w:r>
      <w:r>
        <w:rPr>
          <w:color w:val="000000" w:themeColor="text1"/>
          <w:szCs w:val="24"/>
          <w14:textFill>
            <w14:solidFill>
              <w14:schemeClr w14:val="tx1"/>
            </w14:solidFill>
          </w14:textFill>
        </w:rPr>
        <w:t>-2盆中丘陵农林复合生态亚区——</w:t>
      </w:r>
      <w:r>
        <w:rPr>
          <w:rFonts w:hint="eastAsia" w:ascii="宋体" w:hAnsi="宋体" w:cs="宋体"/>
          <w:color w:val="000000" w:themeColor="text1"/>
          <w:szCs w:val="24"/>
          <w14:textFill>
            <w14:solidFill>
              <w14:schemeClr w14:val="tx1"/>
            </w14:solidFill>
          </w14:textFill>
        </w:rPr>
        <w:t>Ⅰ</w:t>
      </w:r>
      <w:r>
        <w:rPr>
          <w:color w:val="000000" w:themeColor="text1"/>
          <w:szCs w:val="24"/>
          <w14:textFill>
            <w14:solidFill>
              <w14:schemeClr w14:val="tx1"/>
            </w14:solidFill>
          </w14:textFill>
        </w:rPr>
        <w:t>-2-1盆北深丘农林与土壤保持生态功能区，其生态建设与发展方向为：发掘历史文化财富，开发人文景观资源，发展旅游观光业及相关产业链。维护森林生态系统和农田生态系统的良性循环，改善水土流失现状；发展中药材产业，做好野生资源保护工作。拟建项目区不占用自然保护区、森林公园、地质公园和风景名胜区等环境敏感区，占地面积占区域土地面积的比例很小，严格按照水保要求采取水土流失防治措施，项目建设不会明显加剧区域的水土流失和地质灾害，对天然林资源、动植物资源影响小，因此，项目建设对该生态功能区的生态功能影响很小，符合《四川省生态功能区划》要求。</w:t>
      </w:r>
    </w:p>
    <w:p>
      <w:pPr>
        <w:pStyle w:val="5"/>
        <w:spacing w:before="163"/>
      </w:pPr>
      <w:r>
        <w:t>2.7.2.1与四川省主体功能区规划的符合性分析</w:t>
      </w:r>
    </w:p>
    <w:p>
      <w:pPr>
        <w:pStyle w:val="249"/>
        <w:ind w:firstLine="482"/>
        <w:rPr>
          <w:b/>
          <w:bCs/>
          <w:color w:val="000000" w:themeColor="text1"/>
          <w14:textFill>
            <w14:solidFill>
              <w14:schemeClr w14:val="tx1"/>
            </w14:solidFill>
          </w14:textFill>
        </w:rPr>
      </w:pPr>
      <w:bookmarkStart w:id="66" w:name="_Hlk100174112"/>
      <w:r>
        <w:rPr>
          <w:b/>
          <w:bCs/>
          <w:color w:val="000000" w:themeColor="text1"/>
          <w14:textFill>
            <w14:solidFill>
              <w14:schemeClr w14:val="tx1"/>
            </w14:solidFill>
          </w14:textFill>
        </w:rPr>
        <w:t>（1）四川省主体功能区规划</w:t>
      </w:r>
      <w:bookmarkEnd w:id="66"/>
      <w:r>
        <w:rPr>
          <w:b/>
          <w:bCs/>
          <w:color w:val="000000" w:themeColor="text1"/>
          <w14:textFill>
            <w14:solidFill>
              <w14:schemeClr w14:val="tx1"/>
            </w14:solidFill>
          </w14:textFill>
        </w:rPr>
        <w:t>概述</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根据《四川省主体功能区规划》（川府发〔2013〕16号文）（以下简称《规划》），全省主体功能区分为以下四个大类：</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1）重点开发区域</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主要包括成都平原、川南、川东北和攀西地区19市（州）中的89个县（市、区），以及与之相连的50个点状开发城镇，该区域面积10.3万平方公里，占全省</w:t>
      </w:r>
      <w:r>
        <w:rPr>
          <w:rFonts w:hint="eastAsia"/>
          <w:color w:val="000000" w:themeColor="text1"/>
          <w:lang w:eastAsia="zh-CN"/>
          <w14:textFill>
            <w14:solidFill>
              <w14:schemeClr w14:val="tx1"/>
            </w14:solidFill>
          </w14:textFill>
        </w:rPr>
        <w:t>辖区面积</w:t>
      </w:r>
      <w:r>
        <w:rPr>
          <w:color w:val="000000" w:themeColor="text1"/>
          <w14:textFill>
            <w14:solidFill>
              <w14:schemeClr w14:val="tx1"/>
            </w14:solidFill>
          </w14:textFill>
        </w:rPr>
        <w:t>21.2%；分为国家层面重点开发区域和省级层面重点开发区域。</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该功能区是全省经济增长的重要支撑区，实施加快推进新型工业化新型城镇化的主要承载区，是全省经济和人口密集区。</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2）限制开发区域（农产品主产区）</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限制开发的农产品主产区是指具备较好的农业生产条件，以提供农产品为主体功能，以提供生态产品、服务产品和工业品为其他功能，需要在国土空间开发中限制进行大规模高强度工业化城镇化开发，以保持并提高农产品生产能力的区域。</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全省农产品主产区包括盆地中部平原浅丘区、川南低中山区和盆地东部丘陵低山区、盆地西缘山区和安宁河流域5大农产品主产区，共35个县（市），面积6.7万平方公里，扣除其中重点开发的县城镇及重点镇规划面积1750平方公里，占全省</w:t>
      </w:r>
      <w:r>
        <w:rPr>
          <w:rFonts w:hint="eastAsia"/>
          <w:color w:val="000000" w:themeColor="text1"/>
          <w:lang w:eastAsia="zh-CN"/>
          <w14:textFill>
            <w14:solidFill>
              <w14:schemeClr w14:val="tx1"/>
            </w14:solidFill>
          </w14:textFill>
        </w:rPr>
        <w:t>辖区面积</w:t>
      </w:r>
      <w:r>
        <w:rPr>
          <w:color w:val="000000" w:themeColor="text1"/>
          <w14:textFill>
            <w14:solidFill>
              <w14:schemeClr w14:val="tx1"/>
            </w14:solidFill>
          </w14:textFill>
        </w:rPr>
        <w:t>13.4%。</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该功能区是国家优质商品猪战略保障基地，现代农业示范区，现代林业产业基地，优势特色农产品加工业发展的重点区域，农民安居乐业的美好家园。区域应着力保护耕地，加强农业基础设施建设，稳定粮食生产，发展现代农业，增强农业综合生产能力，保障全省主要农产品有效供给，增加农民收入，加快社会主义新农村建设。</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3）限制开发区域（重点生态功能区）</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限制开发的重点生态功能区是指生态系统十分重要，关系较大范围区域的生态安全，目前生态系统有所退化，需要在国土空间开发中限制进行大规模高强度工业化城镇化开发，以保持并提高生态产品供给能力的区域。</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重点生态功能区共57个县（市），总面积31.8万平方公里，扣除其中省级重点生态功能区中重点开发的县城镇及重点镇规划面积，占全省</w:t>
      </w:r>
      <w:r>
        <w:rPr>
          <w:rFonts w:hint="eastAsia"/>
          <w:color w:val="000000" w:themeColor="text1"/>
          <w:lang w:eastAsia="zh-CN"/>
          <w14:textFill>
            <w14:solidFill>
              <w14:schemeClr w14:val="tx1"/>
            </w14:solidFill>
          </w14:textFill>
        </w:rPr>
        <w:t>辖区面积</w:t>
      </w:r>
      <w:r>
        <w:rPr>
          <w:color w:val="000000" w:themeColor="text1"/>
          <w14:textFill>
            <w14:solidFill>
              <w14:schemeClr w14:val="tx1"/>
            </w14:solidFill>
          </w14:textFill>
        </w:rPr>
        <w:t>65.4%；分为国家层面的重点生态功能区和省级层面的重点生态功能区。</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国家青藏高原生态屏障和长江上游生态屏障的重要组成部分，国家重要的水源涵养、水土保持与生物多样性保护区域，全省提供生态产品的主体区域与生态财富富集区，保障国家生态安全的重要区域，生态文明建设、人与自然和谐相处的示范区。</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4）禁止开发区域</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禁止开发区域是指依法设立的各级各类自然文化资源保护区域，以及其他禁止进行工业化城镇化开发、需要特殊保护的重点生态功能区。主要包括国家级自然保护区、世界文化自然遗产、国家级风景名胜区、国家森林公园、国家重要湿地、国家湿地公园和国家地质公园；省级及以下各级各类自然文化资源保护区域、重要饮用水水源地以及其他省级人民政府根据需要确定的禁止开发区域。</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该区域是四川省自然文化资源的重要区域，森林、湿地生态、生物多样性和珍稀动植物基因资源保护地，重要水土保持区域与重要饮用水水源保护地。</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禁止开发区域要严格控制人为因素对自然生态的干扰，严禁不符合主体功能区定位的开发活动，引导人口逐步有序转移，实现污染物“零排放”，提高环境质量，提高可持续发展能力。自然保护区、文化自然遗产、风景名胜区、森林公园、湿地公园、地质公园，要逐步达到各类区域规定执行标准。</w:t>
      </w:r>
    </w:p>
    <w:p>
      <w:pPr>
        <w:pStyle w:val="249"/>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（2）与四川省主体功能区规划的符合性分析</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根据《四川省人民政府关于印发四川省主体功能区规划的通知》（川府发〔2013〕16号），本项目所在地属限制开发区域（农产品主产区），不属于重点生态功能区，该地区无国家级自然保护区、世界文化遗产、国家风景名胜区、国家森林公园和国家地质公园。项目不在禁止开发区，不在重点保护区内，符合《四川省主体功能区规划》要求。</w:t>
      </w:r>
    </w:p>
    <w:tbl>
      <w:tblPr>
        <w:tblStyle w:val="52"/>
        <w:tblW w:w="0" w:type="auto"/>
        <w:tblInd w:w="0" w:type="dxa"/>
        <w:tblLayout w:type="autofit"/>
        <w:tblCellMar>
          <w:top w:w="0" w:type="dxa"/>
          <w:left w:w="108" w:type="dxa"/>
          <w:bottom w:w="0" w:type="dxa"/>
          <w:right w:w="108" w:type="dxa"/>
        </w:tblCellMar>
      </w:tblPr>
      <w:tblGrid>
        <w:gridCol w:w="8306"/>
      </w:tblGrid>
      <w:tr>
        <w:tblPrEx>
          <w:tblCellMar>
            <w:top w:w="0" w:type="dxa"/>
            <w:left w:w="108" w:type="dxa"/>
            <w:bottom w:w="0" w:type="dxa"/>
            <w:right w:w="108" w:type="dxa"/>
          </w:tblCellMar>
        </w:tblPrEx>
        <w:tc>
          <w:tcPr>
            <w:tcW w:w="8306" w:type="dxa"/>
            <w:shd w:val="clear" w:color="auto" w:fill="auto"/>
          </w:tcPr>
          <w:p>
            <w:pPr>
              <w:pStyle w:val="609"/>
              <w:adjustRightInd w:val="0"/>
              <w:snapToGrid w:val="0"/>
              <w:spacing w:line="240" w:lineRule="auto"/>
              <w:ind w:firstLine="0" w:firstLineChars="0"/>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3439160</wp:posOffset>
                      </wp:positionH>
                      <wp:positionV relativeFrom="paragraph">
                        <wp:posOffset>945515</wp:posOffset>
                      </wp:positionV>
                      <wp:extent cx="727710" cy="292100"/>
                      <wp:effectExtent l="9525" t="5715" r="5715" b="6985"/>
                      <wp:wrapNone/>
                      <wp:docPr id="793856168" name="文本框 3"/>
                      <wp:cNvGraphicFramePr/>
                      <a:graphic xmlns:a="http://schemas.openxmlformats.org/drawingml/2006/main">
                        <a:graphicData uri="http://schemas.microsoft.com/office/word/2010/wordprocessingShape">
                          <wps:wsp>
                            <wps:cNvSpPr txBox="1">
                              <a:spLocks noChangeArrowheads="1"/>
                            </wps:cNvSpPr>
                            <wps:spPr bwMode="auto">
                              <a:xfrm>
                                <a:off x="0" y="0"/>
                                <a:ext cx="727710" cy="292100"/>
                              </a:xfrm>
                              <a:prstGeom prst="rect">
                                <a:avLst/>
                              </a:prstGeom>
                              <a:solidFill>
                                <a:srgbClr val="FFFFFF"/>
                              </a:solidFill>
                              <a:ln w="9525">
                                <a:solidFill>
                                  <a:srgbClr val="000000"/>
                                </a:solidFill>
                                <a:miter lim="800000"/>
                              </a:ln>
                            </wps:spPr>
                            <wps:txbx>
                              <w:txbxContent>
                                <w:p>
                                  <w:pPr>
                                    <w:ind w:firstLine="0" w:firstLineChars="0"/>
                                  </w:pPr>
                                  <w:r>
                                    <w:rPr>
                                      <w:rFonts w:hint="eastAsia"/>
                                    </w:rPr>
                                    <w:t>本项目</w:t>
                                  </w:r>
                                </w:p>
                              </w:txbxContent>
                            </wps:txbx>
                            <wps:bodyPr rot="0" vert="horz" wrap="square" lIns="91440" tIns="45720" rIns="91440" bIns="45720" anchor="t" anchorCtr="0" upright="1">
                              <a:noAutofit/>
                            </wps:bodyPr>
                          </wps:wsp>
                        </a:graphicData>
                      </a:graphic>
                    </wp:anchor>
                  </w:drawing>
                </mc:Choice>
                <mc:Fallback>
                  <w:pict>
                    <v:shape id="文本框 3" o:spid="_x0000_s1026" o:spt="202" type="#_x0000_t202" style="position:absolute;left:0pt;margin-left:270.8pt;margin-top:74.45pt;height:23pt;width:57.3pt;z-index:251665408;mso-width-relative:page;mso-height-relative:page;" fillcolor="#FFFFFF" filled="t" stroked="t" coordsize="21600,21600" o:gfxdata="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lInFe9oAAAALAQAADwAAAAAAAAAB&#10;ACAAAAAiAAAAZHJzL2Rvd25yZXYueG1sUEsBAhQAFAAAAAgAh07iQDDcPotHAgAAjgQAAA4AAAAA&#10;AAAAAQAgAAAAKQEAAGRycy9lMm9Eb2MueG1sUEsFBgAAAAAGAAYAWQEAAOIFAAAAAA==&#10;">
                      <v:fill on="t" focussize="0,0"/>
                      <v:stroke color="#000000" miterlimit="8" joinstyle="miter"/>
                      <v:imagedata o:title=""/>
                      <o:lock v:ext="edit" aspectratio="f"/>
                      <v:textbox>
                        <w:txbxContent>
                          <w:p>
                            <w:pPr>
                              <w:ind w:firstLine="0" w:firstLineChars="0"/>
                            </w:pPr>
                            <w:r>
                              <w:rPr>
                                <w:rFonts w:hint="eastAsia"/>
                              </w:rPr>
                              <w:t>本项目</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4165600</wp:posOffset>
                      </wp:positionH>
                      <wp:positionV relativeFrom="paragraph">
                        <wp:posOffset>1095375</wp:posOffset>
                      </wp:positionV>
                      <wp:extent cx="277495" cy="306070"/>
                      <wp:effectExtent l="0" t="0" r="84455" b="55880"/>
                      <wp:wrapNone/>
                      <wp:docPr id="917533131" name="直接箭头连接符 4"/>
                      <wp:cNvGraphicFramePr/>
                      <a:graphic xmlns:a="http://schemas.openxmlformats.org/drawingml/2006/main">
                        <a:graphicData uri="http://schemas.microsoft.com/office/word/2010/wordprocessingShape">
                          <wps:wsp>
                            <wps:cNvCnPr>
                              <a:cxnSpLocks noChangeShapeType="1"/>
                            </wps:cNvCnPr>
                            <wps:spPr bwMode="auto">
                              <a:xfrm>
                                <a:off x="0" y="0"/>
                                <a:ext cx="277728" cy="306121"/>
                              </a:xfrm>
                              <a:prstGeom prst="straightConnector1">
                                <a:avLst/>
                              </a:prstGeom>
                              <a:noFill/>
                              <a:ln w="9525">
                                <a:solidFill>
                                  <a:srgbClr val="000000"/>
                                </a:solidFill>
                                <a:round/>
                                <a:tailEnd type="triangle" w="med" len="med"/>
                              </a:ln>
                            </wps:spPr>
                            <wps:bodyPr/>
                          </wps:wsp>
                        </a:graphicData>
                      </a:graphic>
                    </wp:anchor>
                  </w:drawing>
                </mc:Choice>
                <mc:Fallback>
                  <w:pict>
                    <v:shape id="直接箭头连接符 4" o:spid="_x0000_s1026" o:spt="32" type="#_x0000_t32" style="position:absolute;left:0pt;margin-left:328pt;margin-top:86.25pt;height:24.1pt;width:21.85pt;z-index:251664384;mso-width-relative:page;mso-height-relative:page;" filled="f" stroked="t" coordsize="21600,21600" o:gfxdata="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TAT0XbAAAA&#10;CwEAAA8AAAAAAAAAAQAgAAAAIgAAAGRycy9kb3ducmV2LnhtbFBLAQIUABQAAAAIAIdO4kBdkQXm&#10;GgIAAPgDAAAOAAAAAAAAAAEAIAAAACoBAABkcnMvZTJvRG9jLnhtbFBLBQYAAAAABgAGAFkBAAC2&#10;BQAAAAA=&#10;">
                      <v:fill on="f" focussize="0,0"/>
                      <v:stroke color="#000000" joinstyle="round" endarrow="block"/>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4395470</wp:posOffset>
                      </wp:positionH>
                      <wp:positionV relativeFrom="paragraph">
                        <wp:posOffset>1355090</wp:posOffset>
                      </wp:positionV>
                      <wp:extent cx="147320" cy="158750"/>
                      <wp:effectExtent l="34290" t="36830" r="27940" b="33020"/>
                      <wp:wrapNone/>
                      <wp:docPr id="1654838072" name="星形: 四角 2"/>
                      <wp:cNvGraphicFramePr/>
                      <a:graphic xmlns:a="http://schemas.openxmlformats.org/drawingml/2006/main">
                        <a:graphicData uri="http://schemas.microsoft.com/office/word/2010/wordprocessingShape">
                          <wps:wsp>
                            <wps:cNvSpPr>
                              <a:spLocks noChangeArrowheads="1"/>
                            </wps:cNvSpPr>
                            <wps:spPr bwMode="auto">
                              <a:xfrm>
                                <a:off x="0" y="0"/>
                                <a:ext cx="147320" cy="158750"/>
                              </a:xfrm>
                              <a:prstGeom prst="star4">
                                <a:avLst>
                                  <a:gd name="adj" fmla="val 12500"/>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星形: 四角 2" o:spid="_x0000_s1026" o:spt="187" type="#_x0000_t187" style="position:absolute;left:0pt;margin-left:346.1pt;margin-top:106.7pt;height:12.5pt;width:11.6pt;z-index:251663360;mso-width-relative:page;mso-height-relative:page;" fillcolor="#FFFFFF" filled="t" stroked="t" coordsize="21600,21600" o:gfxdata="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I+2&#10;VtXbAAAACwEAAA8AAAAAAAAAAQAgAAAAIgAAAGRycy9kb3ducmV2LnhtbFBLAQIUABQAAAAIAIdO&#10;4kB9Wei2WQIAAKwEAAAOAAAAAAAAAAEAIAAAACoBAABkcnMvZTJvRG9jLnhtbFBLBQYAAAAABgAG&#10;AFkBAAD1BQAAAAA=&#10;" adj="8100">
                      <v:fill on="t" focussize="0,0"/>
                      <v:stroke color="#000000" miterlimit="8" joinstyle="miter"/>
                      <v:imagedata o:title=""/>
                      <o:lock v:ext="edit" aspectratio="f"/>
                    </v:shape>
                  </w:pict>
                </mc:Fallback>
              </mc:AlternateContent>
            </w:r>
            <w:r>
              <w:rPr>
                <w:color w:val="000000" w:themeColor="text1"/>
                <w14:textFill>
                  <w14:solidFill>
                    <w14:schemeClr w14:val="tx1"/>
                  </w14:solidFill>
                </w14:textFill>
              </w:rPr>
              <w:drawing>
                <wp:anchor distT="0" distB="0" distL="114300" distR="114300" simplePos="0" relativeHeight="251662336" behindDoc="0" locked="0" layoutInCell="1" allowOverlap="1">
                  <wp:simplePos x="0" y="0"/>
                  <wp:positionH relativeFrom="column">
                    <wp:posOffset>343535</wp:posOffset>
                  </wp:positionH>
                  <wp:positionV relativeFrom="paragraph">
                    <wp:posOffset>44450</wp:posOffset>
                  </wp:positionV>
                  <wp:extent cx="4750435" cy="3524250"/>
                  <wp:effectExtent l="0" t="0" r="0" b="0"/>
                  <wp:wrapTopAndBottom/>
                  <wp:docPr id="435197355" name="图片 1"/>
                  <wp:cNvGraphicFramePr/>
                  <a:graphic xmlns:a="http://schemas.openxmlformats.org/drawingml/2006/main">
                    <a:graphicData uri="http://schemas.openxmlformats.org/drawingml/2006/picture">
                      <pic:pic xmlns:pic="http://schemas.openxmlformats.org/drawingml/2006/picture">
                        <pic:nvPicPr>
                          <pic:cNvPr id="435197355" name="图片 1"/>
                          <pic:cNvPicPr>
                            <a:picLocks noChangeArrowheads="1"/>
                          </pic:cNvPicPr>
                        </pic:nvPicPr>
                        <pic:blipFill>
                          <a:blip r:embed="rId35" cstate="print">
                            <a:extLst>
                              <a:ext uri="{28A0092B-C50C-407E-A947-70E740481C1C}">
                                <a14:useLocalDpi xmlns:a14="http://schemas.microsoft.com/office/drawing/2010/main" val="0"/>
                              </a:ext>
                            </a:extLst>
                          </a:blip>
                          <a:srcRect l="14778" r="13237"/>
                          <a:stretch>
                            <a:fillRect/>
                          </a:stretch>
                        </pic:blipFill>
                        <pic:spPr>
                          <a:xfrm>
                            <a:off x="0" y="0"/>
                            <a:ext cx="4750435" cy="3524250"/>
                          </a:xfrm>
                          <a:prstGeom prst="rect">
                            <a:avLst/>
                          </a:prstGeom>
                          <a:noFill/>
                          <a:ln>
                            <a:noFill/>
                          </a:ln>
                        </pic:spPr>
                      </pic:pic>
                    </a:graphicData>
                  </a:graphic>
                </wp:anchor>
              </w:drawing>
            </w:r>
          </w:p>
        </w:tc>
      </w:tr>
      <w:tr>
        <w:tblPrEx>
          <w:tblCellMar>
            <w:top w:w="0" w:type="dxa"/>
            <w:left w:w="108" w:type="dxa"/>
            <w:bottom w:w="0" w:type="dxa"/>
            <w:right w:w="108" w:type="dxa"/>
          </w:tblCellMar>
        </w:tblPrEx>
        <w:tc>
          <w:tcPr>
            <w:tcW w:w="8306" w:type="dxa"/>
            <w:shd w:val="clear" w:color="auto" w:fill="auto"/>
          </w:tcPr>
          <w:p>
            <w:pPr>
              <w:ind w:firstLine="480"/>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图2.7-2   本项目与四川省主体功能区划位置关系图</w:t>
            </w:r>
          </w:p>
        </w:tc>
      </w:tr>
    </w:tbl>
    <w:p>
      <w:pPr>
        <w:pStyle w:val="5"/>
        <w:spacing w:before="163"/>
      </w:pPr>
      <w:r>
        <w:t>2.7.2.2与长江经济带生态保护要求的相关规划符合性</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（1）与《中华人民共和国长江保护法》（中华人民共和国主席令 第六十五号）的符合性分析</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中华人民共和国长江保护法》，“禁止在长江干支流岸线一公里范围内新建、扩建化工园区和化工项目。禁止在长江干流岸线三公里范围内和重要支流岸线一公里范围内新建、改建、扩建尾矿库；但是以提升安全、生态环境保护水平为目的的改建除外。”本项目位于宣汉县，距离最近的河流后河、中河不属于长江干流、重要支流，且项目为天然气试采项目，不设置尾矿库，不属于化工项目、尾矿库项目，故项目建设不违背《中华人民共和国长江保护法》的要求。</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（2）与《长江经济带生态环境保护规划》（环规财〔2017〕88号）符合性</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长江经济带生态环境保护规划》中第六条指出：“全面推进环境污染治理，建设宜居城乡环境专栏”，该条要求中提出改善城市环境质量，推进成渝城市大气污染防治。增加天然气的开发程度，提供天然气供应量，有利于加速产业升级和能源结构的调整，本项目属于天然气勘探开发项目，项目的建设能够改善川渝地区区域大气环境质量，符合《长江经济带生态环境保护规划》要求。</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（3）与《长江经济带发展负面清单指南（试行，2022年版）》及《四川省、重庆市长江经济带发展负面清单实施细则（试行，2022年版）》的符合性</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项目与《长江经济带发展负面清单指南（试行 2022年版）》（长江办〔2022〕7号）、《四川省、重庆市长江经济带发展负面清单实施细则（试行，2022年版）》（川长江办〔2022〕 17号）符合性分析的规定符合性分析见下表。</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8</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本项目与长江经济带发展负面清单实施细则符合性分析表</w:t>
      </w:r>
    </w:p>
    <w:tbl>
      <w:tblPr>
        <w:tblStyle w:val="52"/>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719"/>
        <w:gridCol w:w="4085"/>
        <w:gridCol w:w="2570"/>
        <w:gridCol w:w="104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Align w:val="center"/>
          </w:tcPr>
          <w:p>
            <w:pPr>
              <w:autoSpaceDE w:val="0"/>
              <w:autoSpaceDN w:val="0"/>
              <w:spacing w:line="240" w:lineRule="auto"/>
              <w:ind w:firstLine="0" w:firstLineChars="0"/>
              <w:jc w:val="center"/>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清单</w:t>
            </w:r>
          </w:p>
        </w:tc>
        <w:tc>
          <w:tcPr>
            <w:tcW w:w="2426" w:type="pct"/>
            <w:vAlign w:val="center"/>
          </w:tcPr>
          <w:p>
            <w:pPr>
              <w:autoSpaceDE w:val="0"/>
              <w:autoSpaceDN w:val="0"/>
              <w:spacing w:line="240" w:lineRule="auto"/>
              <w:ind w:firstLine="0" w:firstLineChars="0"/>
              <w:jc w:val="center"/>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清单实施细则</w:t>
            </w:r>
          </w:p>
        </w:tc>
        <w:tc>
          <w:tcPr>
            <w:tcW w:w="1526" w:type="pct"/>
            <w:vAlign w:val="center"/>
          </w:tcPr>
          <w:p>
            <w:pPr>
              <w:autoSpaceDE w:val="0"/>
              <w:autoSpaceDN w:val="0"/>
              <w:spacing w:line="240" w:lineRule="auto"/>
              <w:ind w:firstLine="0" w:firstLineChars="0"/>
              <w:jc w:val="center"/>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本项目情况</w:t>
            </w:r>
          </w:p>
        </w:tc>
        <w:tc>
          <w:tcPr>
            <w:tcW w:w="621" w:type="pct"/>
            <w:vAlign w:val="center"/>
          </w:tcPr>
          <w:p>
            <w:pPr>
              <w:autoSpaceDE w:val="0"/>
              <w:autoSpaceDN w:val="0"/>
              <w:spacing w:line="240" w:lineRule="auto"/>
              <w:ind w:firstLine="0" w:firstLineChars="0"/>
              <w:jc w:val="center"/>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restar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长江经济带发展负面清单指南</w:t>
            </w: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1.禁止建设不符合全国和省级港口布局规划以及港口总体规划的码头项目，禁止建设不符合《长江干线过江通道布局规划》的过长江通道项目。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本项目不属于码头、过长江通道项目。</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2．禁止在自然保护区核心区、缓冲区的岸线和河段范围内投资建设旅游和生产经营项目。禁止在风景名胜区核心景区的岸线和河段范围内投资建设与风景名胜资源保护无关的项目。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本项目不在自然保护区核心区、缓冲区的岸线和河段范围内，不在风景名胜区核心景区的岸线和河段范围内。</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3．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本项目不在饮用水水源一级保护区的岸线和河段范围内，不在饮用水水源二级保护区的岸线和河段范围。</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4．禁止在水产种质资源保护区的岸线和河段范围内新建围湖造田、围海造地或围填海等投资建设项目。禁止在国家湿地公园的岸线和河段范围内挖沙、采矿，以及任何不符合主体功能定位的投资建设项目。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本项目不在水产种质资源保护区的岸线和河段范围内，不在国家湿地公园的岸线和河段范围内。</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本项目不占用长江流域河湖岸线，不在《长江岸线保护和开发利用总体规划》划定的岸线保护区内，不在岸线保留区内，不在《全国重要江河湖泊水功能区划》划定的河段保护区、保留区内。</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6．禁止未经许可在长江干支流及湖泊新设、改设或扩大排污口。</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本项目不在长江干支流新设排污口</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7．禁止在“一江一口两湖七河”和332个水生生物保护区开展生产性捕捞。</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本项目不涉及捕捞。</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8．禁止在长江干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本项目不属于化工项目、无尾矿库、冶炼渣库和磷石膏库。</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9．禁止在合规园区外新建、扩建钢铁、石化、化工、焦化、建材、有色、制浆造纸等高污染项目。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本项目不属于钢铁、石化、化工、焦化、建材、有色、制浆造纸等高污染项目。</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10．禁止新建、扩建不符合国家石化、现代煤化工等产业布局规划的项目。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本项目不属于石化、现代煤化工等产业。</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11．禁止新建、扩建法律法规和相关政策明令禁止的落后产能项目。禁止新建、扩建不符合国家产能置换要求的严重过剩产能行业的项目。禁止新建、扩建不符合要求的高耗能高排放项目。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本项目不属于法律法规和相关政策明令禁止的落后产能项目。</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restar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四川省、重庆市长江经济带发展负面清单实施细则</w:t>
            </w:r>
          </w:p>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第五条 禁止新建、改建和扩建不符合全国港口布局规划，以及《四川省内河水运发展规划》《泸州—宜宾—乐山港口群布局规划》《重庆港总体规划( 2035年)》等省级港口布局规划及市级港口总体规划的码头项目。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本项目不属于港口、码头项目。</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第六条 禁止新建、改建和扩建不符合《长江干线过江通道布局规划（2020——2035年)》的过长江通道项目(含桥梁、隧道)，国家发展改革委同意过长江通道线位调整的除外。</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本项目不属于过长江通道项目。</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第七条 禁止在自然保护区核心区、缓冲区的岸线和河段范围内投资建设旅游和生产经营项目。自然保护区的内部未分区的，依照核心区和缓冲区的规定管控。</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本项目不在自然保护区各区范围内。</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第八条 禁止违反风景名胜区规划，在风景名胜区内设立各类开发区。禁止在风景名胜区核心景区的岸线和河段范围内建设宾馆、招待所、培训中心、疗养院以及与风景名胜资源保护无关的项目。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本项目不在风景名胜区规划范围内。</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第九条 禁止在饮用水水源准保护区的岸线和河段范围内新建、扩建对水体污染严重的建设项目，禁止改建增加排污量的建设项目。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本项目不涉及饮用水源保护区。</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第十条 饮用水水源二级保护区的岸线和河段范围内，除遵守准保护区规定外，禁止新建、改建、扩建排放污染物的投资建设项目;禁止从事对水体有污染的水产养殖等活动。</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本项目不涉及饮用水源二级保护区。</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第十一条 饮用水水源一级保护区的岸线和河段范围内，除遵守二级保护区规定外，禁止新建、改建、扩建与供水设施和保护水源无关的项目，以及网箱养殖、畜禽养殖、旅游等可能污染饮用水水体的投资建设项目。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本项目不涉及饮用水源保护区。</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第十二条 禁止在水产种质资源保护区岸线和河段范围内新建围湖造田、围湖造地或挖沙采石等投资建设项目。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本项目不在水产种质资源保护区岸线和河段范围。</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第十三条 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洹游通道。</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本项目不在国家湿地公园的岸线和河段。</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第十四 条禁止违法利用、占用长江流域河湖岸线。禁止在《长江岸线保护和开发利用总体规划》划定的岸线保护区和岸线保留区内投资建设除事关公共安全及公众利益的防洪护岸、河道治理、供水、生态环境保护、航道整治、国家重要基础设施以外的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本项目不占用长江流域河湖岸线，不在《长江岸线保护和开发利用总体规划》划定的岸线保护区内，不在岸线保留区内。</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第十五条 禁止在《全国重要江河湖泊水功能区划》划定的河段及湖泊保护区、保留区内投资建设不利于水资源及自然生态保护的项目。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本项目不在《全国重要江河湖泊水功能区划》划定的河段保护区、保留区内</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第十六条 禁止在长江流域江河、湖泊新设、改设或者扩大排污口，经有管辖权的生态环境主管部门或者长江流域生态环境监督管理机构同意的除外。</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本项目不在长江干支流新设排污口</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第十七条 禁止在长江干流、大渡河、岷江、赤水河、沱江、嘉陵江、乌江、汉江和51个（四川省45个、重庆市6个）水生生物保护区开展生产性捕捞。</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本项目不产生捕捞。</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第十八条 禁止在长江干支流、重要湖泊岸线一公里范围内新建、扩建化工园区和化工项目。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本项目不属于化工园区和化工项目</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第十九条 禁止在长江干流岸线三公里范围内和重要支流岸线一公里范围内新建、改建、扩建尾矿库、冶炼渣库、磷石膏库，以提升安全、生态环境保护水平为目的的改建除外。</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本项目不涉及尾矿库﹑冶炼渣库、磷石膏库。</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第二十条 禁止在生态保护红线区域、永久基本农田集中区域和其他需要特别保护的区域内选址建设尾矿库﹑冶炼渣库、磷石膏库。</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本项目不涉及尾矿库﹑冶炼渣库、磷石膏库。</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第二十一条 禁止在合规园区外新建、扩建钢铁、石化、化工、焦化、建材、有色、制浆造纸等高污染项目。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本项目不属于钢铁、石化、化工、焦化、建材、有色、制浆造纸等高污染项目。</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第二十二条禁止新建、扩建不符合国家石化、现代煤化工等产业布局规划的项目。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本项目不属于石化、现代煤化项目。</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1"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二十三条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本项目不属于落后产能项目。为《产业结构调整指导目录》中鼓励类项目。</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第二十四条禁止新建、扩建不符合国家产能置换要求的严重过剩产能行业的项目。对于不符合国家产能置换要求的严重过剩产能行业，不得以其他任何名义、任何方式备案新增产能项目。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本项目不属于过剩产能行业的项目。</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第二十五条禁止建设以下燃油汽车投资项目（不在中国境内销售产品的投资项目除外）</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本项目不属于燃油汽车项目</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427" w:type="pct"/>
            <w:vMerge w:val="continue"/>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24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第二十六条禁止新建、扩建不符合要求的高耗能、高排放、低水平项目。</w:t>
            </w:r>
          </w:p>
        </w:tc>
        <w:tc>
          <w:tcPr>
            <w:tcW w:w="1526"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本项目不属于高耗能、高排放、低水平项目。</w:t>
            </w:r>
          </w:p>
        </w:tc>
        <w:tc>
          <w:tcPr>
            <w:tcW w:w="621" w:type="pct"/>
            <w:vAlign w:val="center"/>
          </w:tcPr>
          <w:p>
            <w:pPr>
              <w:autoSpaceDE w:val="0"/>
              <w:autoSpaceDN w:val="0"/>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bl>
    <w:p>
      <w:pPr>
        <w:autoSpaceDE w:val="0"/>
        <w:autoSpaceDN w:val="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通过本项目内容与</w:t>
      </w:r>
      <w:r>
        <w:rPr>
          <w:rFonts w:cs="Times New Roman"/>
          <w:bCs/>
          <w:color w:val="000000" w:themeColor="text1"/>
          <w:szCs w:val="24"/>
          <w14:textFill>
            <w14:solidFill>
              <w14:schemeClr w14:val="tx1"/>
            </w14:solidFill>
          </w14:textFill>
        </w:rPr>
        <w:t>《四川省、重庆市长江经济带发展负面清单实施细则（试行，2022年版）》</w:t>
      </w:r>
      <w:r>
        <w:rPr>
          <w:rFonts w:cs="Times New Roman"/>
          <w:color w:val="000000" w:themeColor="text1"/>
          <w:szCs w:val="24"/>
          <w14:textFill>
            <w14:solidFill>
              <w14:schemeClr w14:val="tx1"/>
            </w14:solidFill>
          </w14:textFill>
        </w:rPr>
        <w:t>中各项内容进行对比分析，本项目建设符合</w:t>
      </w:r>
      <w:r>
        <w:rPr>
          <w:rFonts w:cs="Times New Roman"/>
          <w:bCs/>
          <w:color w:val="000000" w:themeColor="text1"/>
          <w:szCs w:val="24"/>
          <w14:textFill>
            <w14:solidFill>
              <w14:schemeClr w14:val="tx1"/>
            </w14:solidFill>
          </w14:textFill>
        </w:rPr>
        <w:t>《四川省、重庆市长江经济带发展负面清单实施细则（试行，2022年版）》</w:t>
      </w:r>
      <w:r>
        <w:rPr>
          <w:rFonts w:cs="Times New Roman"/>
          <w:color w:val="000000" w:themeColor="text1"/>
          <w:szCs w:val="24"/>
          <w14:textFill>
            <w14:solidFill>
              <w14:schemeClr w14:val="tx1"/>
            </w14:solidFill>
          </w14:textFill>
        </w:rPr>
        <w:t>要求。</w:t>
      </w:r>
    </w:p>
    <w:p>
      <w:pPr>
        <w:pStyle w:val="5"/>
        <w:spacing w:before="163"/>
      </w:pPr>
      <w:r>
        <w:rPr>
          <w:rFonts w:hint="eastAsia"/>
        </w:rPr>
        <w:t>2.7.2.3</w:t>
      </w:r>
      <w:r>
        <w:t>项目与相关大气污染防治规范符合性分析</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本项目与相关大气污染防治相关法规、规范符合性分析见下表。</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本项目与相关大气污染物防治规范符合性分析表</w:t>
      </w:r>
    </w:p>
    <w:tbl>
      <w:tblPr>
        <w:tblStyle w:val="52"/>
        <w:tblW w:w="822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3" w:type="dxa"/>
          <w:bottom w:w="0" w:type="dxa"/>
          <w:right w:w="23" w:type="dxa"/>
        </w:tblCellMar>
      </w:tblPr>
      <w:tblGrid>
        <w:gridCol w:w="1592"/>
        <w:gridCol w:w="4113"/>
        <w:gridCol w:w="1760"/>
        <w:gridCol w:w="75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b/>
                <w:bCs/>
                <w:color w:val="000000" w:themeColor="text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法规、规范</w:t>
            </w:r>
          </w:p>
        </w:tc>
        <w:tc>
          <w:tcPr>
            <w:tcW w:w="4113" w:type="dxa"/>
            <w:vAlign w:val="center"/>
          </w:tcPr>
          <w:p>
            <w:pPr>
              <w:spacing w:line="240" w:lineRule="auto"/>
              <w:ind w:firstLine="0" w:firstLineChars="0"/>
              <w:jc w:val="center"/>
              <w:rPr>
                <w:rFonts w:cs="Times New Roman"/>
                <w:b/>
                <w:bCs/>
                <w:color w:val="000000" w:themeColor="text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相关要求</w:t>
            </w:r>
          </w:p>
        </w:tc>
        <w:tc>
          <w:tcPr>
            <w:tcW w:w="1760" w:type="dxa"/>
            <w:vAlign w:val="center"/>
          </w:tcPr>
          <w:p>
            <w:pPr>
              <w:spacing w:line="240" w:lineRule="auto"/>
              <w:ind w:firstLine="0" w:firstLineChars="0"/>
              <w:jc w:val="center"/>
              <w:rPr>
                <w:rFonts w:cs="Times New Roman"/>
                <w:b/>
                <w:bCs/>
                <w:color w:val="000000" w:themeColor="text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对照分析</w:t>
            </w:r>
          </w:p>
        </w:tc>
        <w:tc>
          <w:tcPr>
            <w:tcW w:w="755" w:type="dxa"/>
            <w:vAlign w:val="center"/>
          </w:tcPr>
          <w:p>
            <w:pPr>
              <w:spacing w:line="240" w:lineRule="auto"/>
              <w:ind w:firstLine="0" w:firstLineChars="0"/>
              <w:jc w:val="center"/>
              <w:rPr>
                <w:rFonts w:cs="Times New Roman"/>
                <w:b/>
                <w:bCs/>
                <w:color w:val="000000" w:themeColor="text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是否符合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1592"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《中华人民共和国大气污染防治法》</w:t>
            </w:r>
          </w:p>
        </w:tc>
        <w:tc>
          <w:tcPr>
            <w:tcW w:w="4113" w:type="dxa"/>
            <w:vAlign w:val="center"/>
          </w:tcPr>
          <w:p>
            <w:pPr>
              <w:spacing w:line="240" w:lineRule="auto"/>
              <w:ind w:firstLine="0" w:firstLineChars="0"/>
              <w:jc w:val="left"/>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施工单位应当在施工工地设置硬质围挡，并采取覆盖、分段作业、择时施工、洒水抑尘、冲洗地面和车辆等有效防尘降尘措施。建筑土方、工程渣土、建筑垃圾应当及时清运；在场地内堆存的，应当采用密闭式防尘网遮盖。工程渣土、建筑垃圾应当进行资源化处理。</w:t>
            </w:r>
          </w:p>
          <w:p>
            <w:pPr>
              <w:spacing w:line="240" w:lineRule="auto"/>
              <w:ind w:firstLine="0" w:firstLineChars="0"/>
              <w:jc w:val="left"/>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钢铁、建材、有色金属、石油、化工、制药、矿产开采等企业，应当加强精细化管理，采取集中收集处理等措施，严格控制粉尘和气态污染物的排放</w:t>
            </w:r>
          </w:p>
        </w:tc>
        <w:tc>
          <w:tcPr>
            <w:tcW w:w="1760" w:type="dxa"/>
            <w:vMerge w:val="restart"/>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本项目钻前作业采取洒水降尘等措施，备用柴油发电机采用清洁柴油，废气能达标排放</w:t>
            </w:r>
          </w:p>
        </w:tc>
        <w:tc>
          <w:tcPr>
            <w:tcW w:w="755"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1592"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大气污染防治行动计划</w:t>
            </w:r>
          </w:p>
        </w:tc>
        <w:tc>
          <w:tcPr>
            <w:tcW w:w="4113" w:type="dxa"/>
            <w:vAlign w:val="center"/>
          </w:tcPr>
          <w:p>
            <w:pPr>
              <w:spacing w:line="240" w:lineRule="auto"/>
              <w:ind w:firstLine="0" w:firstLineChars="0"/>
              <w:jc w:val="left"/>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加强施工扬尘监管，积极推进绿色施工，建设工程施工现场应全封闭设置围挡墙，严禁敞开式作业，施工现场道路应进行地面硬化。渣土运输车辆应采取密闭措施，并逐步安装卫星定位系统。推行道路机械化清扫等低尘作业方式。</w:t>
            </w:r>
          </w:p>
          <w:p>
            <w:pPr>
              <w:spacing w:line="240" w:lineRule="auto"/>
              <w:ind w:firstLine="0" w:firstLineChars="0"/>
              <w:jc w:val="left"/>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开展餐饮油烟污染治理。城区餐饮服务经营场所应安装高效油烟净化设施，推广使用高效净化型家用</w:t>
            </w:r>
            <w:r>
              <w:fldChar w:fldCharType="begin"/>
            </w:r>
            <w:r>
              <w:instrText xml:space="preserve"> HYPERLINK "https://baike.baidu.com/item/%E5%90%B8%E6%B2%B9%E7%83%9F%E6%9C%BA/5803775?fromModule=lemma_inlink" \t "https://baike.baidu.com/item/_blank" </w:instrText>
            </w:r>
            <w:r>
              <w:fldChar w:fldCharType="separate"/>
            </w:r>
            <w:r>
              <w:rPr>
                <w:rFonts w:cs="Times New Roman"/>
                <w:color w:val="000000" w:themeColor="text1"/>
                <w:sz w:val="21"/>
                <w:szCs w:val="21"/>
                <w14:textFill>
                  <w14:solidFill>
                    <w14:schemeClr w14:val="tx1"/>
                  </w14:solidFill>
                </w14:textFill>
              </w:rPr>
              <w:t>吸油烟机</w:t>
            </w:r>
            <w:r>
              <w:rPr>
                <w:rFonts w:cs="Times New Roman"/>
                <w:color w:val="000000" w:themeColor="text1"/>
                <w:sz w:val="21"/>
                <w:szCs w:val="21"/>
                <w14:textFill>
                  <w14:solidFill>
                    <w14:schemeClr w14:val="tx1"/>
                  </w14:solidFill>
                </w14:textFill>
              </w:rPr>
              <w:fldChar w:fldCharType="end"/>
            </w:r>
          </w:p>
        </w:tc>
        <w:tc>
          <w:tcPr>
            <w:tcW w:w="1760"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c>
          <w:tcPr>
            <w:tcW w:w="755"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bl>
    <w:p>
      <w:pPr>
        <w:tabs>
          <w:tab w:val="left" w:pos="0"/>
        </w:tabs>
        <w:spacing w:before="163" w:beforeLines="5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从以上分析可以看出，本项目的建设符合大气污染防治相关法规、规范相关要求。</w:t>
      </w:r>
    </w:p>
    <w:p>
      <w:pPr>
        <w:pStyle w:val="5"/>
        <w:spacing w:before="163"/>
      </w:pPr>
      <w:r>
        <w:rPr>
          <w:rFonts w:hint="eastAsia"/>
        </w:rPr>
        <w:t>2.7.2.4</w:t>
      </w:r>
      <w:r>
        <w:t>与相关土壤污染防治行动计划符合性</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项目与土壤污染防治行动计划“国发〔2016〕31号”及《土壤污染防治行动计划四川省工作方案》符合性如下表：</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与土壤污染防治行动计划符合性</w:t>
      </w:r>
    </w:p>
    <w:tbl>
      <w:tblPr>
        <w:tblStyle w:val="52"/>
        <w:tblW w:w="822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435"/>
        <w:gridCol w:w="5370"/>
        <w:gridCol w:w="885"/>
        <w:gridCol w:w="53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3" w:hRule="atLeast"/>
          <w:tblHeader/>
          <w:jc w:val="center"/>
        </w:trPr>
        <w:tc>
          <w:tcPr>
            <w:tcW w:w="1435" w:type="dxa"/>
            <w:vAlign w:val="center"/>
          </w:tcPr>
          <w:p>
            <w:pPr>
              <w:spacing w:line="240" w:lineRule="auto"/>
              <w:ind w:firstLine="0" w:firstLineChars="0"/>
              <w:jc w:val="center"/>
              <w:rPr>
                <w:rFonts w:cs="Times New Roman"/>
                <w:b/>
                <w:color w:val="000000" w:themeColor="text1"/>
                <w:szCs w:val="21"/>
                <w14:textFill>
                  <w14:solidFill>
                    <w14:schemeClr w14:val="tx1"/>
                  </w14:solidFill>
                </w14:textFill>
              </w:rPr>
            </w:pPr>
            <w:r>
              <w:rPr>
                <w:rFonts w:cs="Times New Roman"/>
                <w:b/>
                <w:color w:val="000000" w:themeColor="text1"/>
                <w:sz w:val="21"/>
                <w:szCs w:val="21"/>
                <w14:textFill>
                  <w14:solidFill>
                    <w14:schemeClr w14:val="tx1"/>
                  </w14:solidFill>
                </w14:textFill>
              </w:rPr>
              <w:t>土壤污染防治行动计划</w:t>
            </w:r>
          </w:p>
        </w:tc>
        <w:tc>
          <w:tcPr>
            <w:tcW w:w="5370" w:type="dxa"/>
            <w:vAlign w:val="center"/>
          </w:tcPr>
          <w:p>
            <w:pPr>
              <w:spacing w:line="240" w:lineRule="auto"/>
              <w:ind w:firstLine="0" w:firstLineChars="0"/>
              <w:jc w:val="center"/>
              <w:rPr>
                <w:rFonts w:cs="Times New Roman"/>
                <w:b/>
                <w:color w:val="000000" w:themeColor="text1"/>
                <w:szCs w:val="21"/>
                <w14:textFill>
                  <w14:solidFill>
                    <w14:schemeClr w14:val="tx1"/>
                  </w14:solidFill>
                </w14:textFill>
              </w:rPr>
            </w:pPr>
            <w:r>
              <w:rPr>
                <w:rFonts w:cs="Times New Roman"/>
                <w:b/>
                <w:color w:val="000000" w:themeColor="text1"/>
                <w:sz w:val="21"/>
                <w:szCs w:val="21"/>
                <w14:textFill>
                  <w14:solidFill>
                    <w14:schemeClr w14:val="tx1"/>
                  </w14:solidFill>
                </w14:textFill>
              </w:rPr>
              <w:t>相关要求</w:t>
            </w:r>
          </w:p>
        </w:tc>
        <w:tc>
          <w:tcPr>
            <w:tcW w:w="885" w:type="dxa"/>
            <w:vAlign w:val="center"/>
          </w:tcPr>
          <w:p>
            <w:pPr>
              <w:spacing w:line="240" w:lineRule="auto"/>
              <w:ind w:firstLine="0" w:firstLineChars="0"/>
              <w:jc w:val="center"/>
              <w:rPr>
                <w:rFonts w:cs="Times New Roman"/>
                <w:b/>
                <w:color w:val="000000" w:themeColor="text1"/>
                <w:szCs w:val="21"/>
                <w14:textFill>
                  <w14:solidFill>
                    <w14:schemeClr w14:val="tx1"/>
                  </w14:solidFill>
                </w14:textFill>
              </w:rPr>
            </w:pPr>
            <w:r>
              <w:rPr>
                <w:rFonts w:cs="Times New Roman"/>
                <w:b/>
                <w:color w:val="000000" w:themeColor="text1"/>
                <w:sz w:val="21"/>
                <w:szCs w:val="21"/>
                <w14:textFill>
                  <w14:solidFill>
                    <w14:schemeClr w14:val="tx1"/>
                  </w14:solidFill>
                </w14:textFill>
              </w:rPr>
              <w:t>本项目情况</w:t>
            </w:r>
          </w:p>
        </w:tc>
        <w:tc>
          <w:tcPr>
            <w:tcW w:w="530" w:type="dxa"/>
            <w:vAlign w:val="center"/>
          </w:tcPr>
          <w:p>
            <w:pPr>
              <w:spacing w:line="240" w:lineRule="auto"/>
              <w:ind w:firstLine="0" w:firstLineChars="0"/>
              <w:jc w:val="center"/>
              <w:rPr>
                <w:rFonts w:cs="Times New Roman"/>
                <w:b/>
                <w:color w:val="000000" w:themeColor="text1"/>
                <w:szCs w:val="21"/>
                <w14:textFill>
                  <w14:solidFill>
                    <w14:schemeClr w14:val="tx1"/>
                  </w14:solidFill>
                </w14:textFill>
              </w:rPr>
            </w:pPr>
            <w:r>
              <w:rPr>
                <w:rFonts w:cs="Times New Roman"/>
                <w:b/>
                <w:color w:val="000000" w:themeColor="text1"/>
                <w:sz w:val="21"/>
                <w:szCs w:val="21"/>
                <w14:textFill>
                  <w14:solidFill>
                    <w14:schemeClr w14:val="tx1"/>
                  </w14:solidFill>
                </w14:textFill>
              </w:rP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1435" w:type="dxa"/>
            <w:vMerge w:val="restart"/>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《土壤污染防治行动计划》（国发〔2016〕31号）</w:t>
            </w:r>
          </w:p>
        </w:tc>
        <w:tc>
          <w:tcPr>
            <w:tcW w:w="5370" w:type="dxa"/>
            <w:vAlign w:val="center"/>
          </w:tcPr>
          <w:p>
            <w:pPr>
              <w:spacing w:line="240" w:lineRule="auto"/>
              <w:ind w:firstLine="0" w:firstLineChars="0"/>
              <w:jc w:val="left"/>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自2017年起，对拟收回土地使用权的有色金属冶炼、石油加工、化工、焦化、电镀、制革等行业企业用地，以及用途拟变更为居住和商业、学校、医疗、养老机构等公共设施的上述企业用地，由土地使用权人负责开展土壤环境状况调查评估</w:t>
            </w:r>
          </w:p>
        </w:tc>
        <w:tc>
          <w:tcPr>
            <w:tcW w:w="885"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不属于回收土地使用权的项目</w:t>
            </w:r>
          </w:p>
        </w:tc>
        <w:tc>
          <w:tcPr>
            <w:tcW w:w="530"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9" w:hRule="atLeast"/>
          <w:jc w:val="center"/>
        </w:trPr>
        <w:tc>
          <w:tcPr>
            <w:tcW w:w="1435"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c>
          <w:tcPr>
            <w:tcW w:w="5370" w:type="dxa"/>
            <w:vAlign w:val="center"/>
          </w:tcPr>
          <w:p>
            <w:pPr>
              <w:spacing w:line="240" w:lineRule="auto"/>
              <w:ind w:firstLine="0" w:firstLineChars="0"/>
              <w:jc w:val="left"/>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排放重点污染物的建设项目，在开展环境影响评价时，要增加对土壤环境影响的评价内容，并提出防范土壤污染的具体措施；需要建设的土壤污染防治设施，要与主体工程同时设计、同时施工、同时投产使用</w:t>
            </w:r>
          </w:p>
        </w:tc>
        <w:tc>
          <w:tcPr>
            <w:tcW w:w="885"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不涉及重点污染物的排放</w:t>
            </w:r>
          </w:p>
        </w:tc>
        <w:tc>
          <w:tcPr>
            <w:tcW w:w="530"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88" w:hRule="atLeast"/>
          <w:jc w:val="center"/>
        </w:trPr>
        <w:tc>
          <w:tcPr>
            <w:tcW w:w="1435"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c>
          <w:tcPr>
            <w:tcW w:w="5370" w:type="dxa"/>
            <w:vAlign w:val="center"/>
          </w:tcPr>
          <w:p>
            <w:pPr>
              <w:spacing w:line="240" w:lineRule="auto"/>
              <w:ind w:firstLine="0" w:firstLineChars="0"/>
              <w:jc w:val="left"/>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严格执行相关行业企业布局选址要求，禁止在居民区、学校、医疗和养老机构等周边新建有色金属冶炼、焦化等行业企业</w:t>
            </w:r>
          </w:p>
        </w:tc>
        <w:tc>
          <w:tcPr>
            <w:tcW w:w="885"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不涉及</w:t>
            </w:r>
          </w:p>
        </w:tc>
        <w:tc>
          <w:tcPr>
            <w:tcW w:w="530"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48" w:hRule="atLeast"/>
          <w:jc w:val="center"/>
        </w:trPr>
        <w:tc>
          <w:tcPr>
            <w:tcW w:w="1435"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c>
          <w:tcPr>
            <w:tcW w:w="5370" w:type="dxa"/>
            <w:vAlign w:val="center"/>
          </w:tcPr>
          <w:p>
            <w:pPr>
              <w:spacing w:line="240" w:lineRule="auto"/>
              <w:ind w:firstLine="0" w:firstLineChars="0"/>
              <w:jc w:val="left"/>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加强电器电子、汽车等工业产品中有害物质控制。有色金属冶炼、石油加工、化工、焦化、电镀、制革等行业企业拆除生产设施设备、构筑物和污染治理设施，要事先制定残留污染物清理和安全处置方案，并报所在地县级环境保护、工业和信息化部门备案；要严格按照有关规定实施安全处理处置，防范拆除活动污染土壤。</w:t>
            </w:r>
          </w:p>
        </w:tc>
        <w:tc>
          <w:tcPr>
            <w:tcW w:w="885" w:type="dxa"/>
            <w:vAlign w:val="center"/>
          </w:tcPr>
          <w:p>
            <w:pPr>
              <w:pStyle w:val="255"/>
              <w:spacing w:line="240" w:lineRule="auto"/>
              <w:ind w:firstLine="0" w:firstLineChars="0"/>
              <w:rPr>
                <w:color w:val="000000" w:themeColor="text1"/>
                <w:szCs w:val="21"/>
                <w14:textFill>
                  <w14:solidFill>
                    <w14:schemeClr w14:val="tx1"/>
                  </w14:solidFill>
                </w14:textFill>
              </w:rPr>
            </w:pPr>
            <w:r>
              <w:rPr>
                <w:color w:val="000000" w:themeColor="text1"/>
                <w:sz w:val="21"/>
                <w:szCs w:val="21"/>
                <w14:textFill>
                  <w14:solidFill>
                    <w14:schemeClr w14:val="tx1"/>
                  </w14:solidFill>
                </w14:textFill>
              </w:rPr>
              <w:t>不属于电器电子、汽车等行业</w:t>
            </w:r>
          </w:p>
        </w:tc>
        <w:tc>
          <w:tcPr>
            <w:tcW w:w="530"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3" w:hRule="atLeast"/>
          <w:jc w:val="center"/>
        </w:trPr>
        <w:tc>
          <w:tcPr>
            <w:tcW w:w="1435"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c>
          <w:tcPr>
            <w:tcW w:w="5370" w:type="dxa"/>
            <w:vAlign w:val="center"/>
          </w:tcPr>
          <w:p>
            <w:pPr>
              <w:spacing w:line="240" w:lineRule="auto"/>
              <w:ind w:firstLine="0" w:firstLineChars="0"/>
              <w:jc w:val="left"/>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继续淘汰涉重金属重点行业落后产能，完善重金属相关行业准入条件，禁止新建落后产能或产能严重过剩行业的建设项目</w:t>
            </w:r>
          </w:p>
        </w:tc>
        <w:tc>
          <w:tcPr>
            <w:tcW w:w="885"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不属于涉重企业</w:t>
            </w:r>
          </w:p>
        </w:tc>
        <w:tc>
          <w:tcPr>
            <w:tcW w:w="530"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3" w:hRule="atLeast"/>
          <w:jc w:val="center"/>
        </w:trPr>
        <w:tc>
          <w:tcPr>
            <w:tcW w:w="1435"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土壤污染防治行动计划四川省工作方案</w:t>
            </w:r>
          </w:p>
        </w:tc>
        <w:tc>
          <w:tcPr>
            <w:tcW w:w="5370" w:type="dxa"/>
            <w:vAlign w:val="center"/>
          </w:tcPr>
          <w:p>
            <w:pPr>
              <w:spacing w:line="240" w:lineRule="auto"/>
              <w:ind w:firstLine="0" w:firstLineChars="0"/>
              <w:jc w:val="left"/>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严格控制在优先保护类耕地集中区域新建有色金属矿采选、有色金属冶炼、石油加工、化工、焦化、电镀、制革、天然（页岩）气开采、铅蓄电池、汽车制造、农药、危废处置、电子拆解、涉重等行业企业。</w:t>
            </w:r>
          </w:p>
        </w:tc>
        <w:tc>
          <w:tcPr>
            <w:tcW w:w="885"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不涉及</w:t>
            </w:r>
          </w:p>
        </w:tc>
        <w:tc>
          <w:tcPr>
            <w:tcW w:w="530"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bl>
    <w:p>
      <w:pPr>
        <w:tabs>
          <w:tab w:val="left" w:pos="0"/>
        </w:tabs>
        <w:spacing w:before="163" w:beforeLines="5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经上表分析，项目建设与《国务院关于印发土壤污染防治行动计划的通知》（国发〔2016〕31号）相符。</w:t>
      </w:r>
    </w:p>
    <w:p>
      <w:pPr>
        <w:pStyle w:val="5"/>
        <w:spacing w:before="163"/>
      </w:pPr>
      <w:r>
        <w:rPr>
          <w:rFonts w:hint="eastAsia"/>
        </w:rPr>
        <w:t>2.7.2.5</w:t>
      </w:r>
      <w:r>
        <w:t>项目与相关水污染防治行动计划符合性分析</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本项目与水污染防治行动计划符合性分析见下表。</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本项目与相关水污染物防治规范符合性分析表</w:t>
      </w:r>
    </w:p>
    <w:tbl>
      <w:tblPr>
        <w:tblStyle w:val="52"/>
        <w:tblW w:w="822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3" w:type="dxa"/>
          <w:bottom w:w="0" w:type="dxa"/>
          <w:right w:w="23" w:type="dxa"/>
        </w:tblCellMar>
      </w:tblPr>
      <w:tblGrid>
        <w:gridCol w:w="1592"/>
        <w:gridCol w:w="4114"/>
        <w:gridCol w:w="1760"/>
        <w:gridCol w:w="75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b/>
                <w:bCs/>
                <w:color w:val="000000" w:themeColor="text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法规、规范</w:t>
            </w:r>
          </w:p>
        </w:tc>
        <w:tc>
          <w:tcPr>
            <w:tcW w:w="4114" w:type="dxa"/>
            <w:vAlign w:val="center"/>
          </w:tcPr>
          <w:p>
            <w:pPr>
              <w:spacing w:line="240" w:lineRule="auto"/>
              <w:ind w:firstLine="0" w:firstLineChars="0"/>
              <w:jc w:val="center"/>
              <w:rPr>
                <w:rFonts w:cs="Times New Roman"/>
                <w:b/>
                <w:bCs/>
                <w:color w:val="000000" w:themeColor="text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相关要求</w:t>
            </w:r>
          </w:p>
        </w:tc>
        <w:tc>
          <w:tcPr>
            <w:tcW w:w="1760" w:type="dxa"/>
            <w:vAlign w:val="center"/>
          </w:tcPr>
          <w:p>
            <w:pPr>
              <w:spacing w:line="240" w:lineRule="auto"/>
              <w:ind w:firstLine="0" w:firstLineChars="0"/>
              <w:jc w:val="center"/>
              <w:rPr>
                <w:rFonts w:cs="Times New Roman"/>
                <w:b/>
                <w:bCs/>
                <w:color w:val="000000" w:themeColor="text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对照分析</w:t>
            </w:r>
          </w:p>
        </w:tc>
        <w:tc>
          <w:tcPr>
            <w:tcW w:w="754" w:type="dxa"/>
            <w:vAlign w:val="center"/>
          </w:tcPr>
          <w:p>
            <w:pPr>
              <w:spacing w:line="240" w:lineRule="auto"/>
              <w:ind w:firstLine="0" w:firstLineChars="0"/>
              <w:jc w:val="center"/>
              <w:rPr>
                <w:rFonts w:cs="Times New Roman"/>
                <w:b/>
                <w:bCs/>
                <w:color w:val="000000" w:themeColor="text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是否符合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水污染防治行动计划</w:t>
            </w:r>
          </w:p>
        </w:tc>
        <w:tc>
          <w:tcPr>
            <w:tcW w:w="4114" w:type="dxa"/>
            <w:vAlign w:val="center"/>
          </w:tcPr>
          <w:p>
            <w:pPr>
              <w:spacing w:line="240" w:lineRule="auto"/>
              <w:ind w:firstLine="0" w:firstLineChars="0"/>
              <w:jc w:val="left"/>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全面排查装备水平低、环保设施差的小型工业企业。2016年底前，按照水污染防治法律法规要求，全部取缔不符合国家产业政策的小型造纸、制革、印染、染料、炼焦、炼硫、炼砷、炼油、电镀、农药等严重污染水环境的生产项目。</w:t>
            </w:r>
          </w:p>
          <w:p>
            <w:pPr>
              <w:spacing w:line="240" w:lineRule="auto"/>
              <w:ind w:firstLine="0" w:firstLineChars="0"/>
              <w:jc w:val="left"/>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制定造纸、焦化、氮肥、有色金属、印染、农副食品加工、原料药制造、制革、农药、电镀等行业专项治理方案，实施清洁化改造。新建、改建、扩建上述行业建设项目实行主要污染物排放等量或减量置换。</w:t>
            </w:r>
          </w:p>
        </w:tc>
        <w:tc>
          <w:tcPr>
            <w:tcW w:w="1760" w:type="dxa"/>
            <w:vMerge w:val="restart"/>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本项目为天然气勘探试采项目，不属于上述严重污染水环境的生产项目，本项目废水处理后处理后大部分回用，少部分回注处理或达标外排</w:t>
            </w:r>
          </w:p>
        </w:tc>
        <w:tc>
          <w:tcPr>
            <w:tcW w:w="754"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水污染防治行动计划四川省工作方案</w:t>
            </w:r>
          </w:p>
        </w:tc>
        <w:tc>
          <w:tcPr>
            <w:tcW w:w="4114" w:type="dxa"/>
            <w:vAlign w:val="center"/>
          </w:tcPr>
          <w:p>
            <w:pPr>
              <w:spacing w:line="240" w:lineRule="auto"/>
              <w:ind w:firstLine="0" w:firstLineChars="0"/>
              <w:jc w:val="left"/>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环境保护、经济和信息化部门联合制定造纸、焦化、氮肥、有色金属、印染、农副食品加工、原料药制造、制革、农药、电镀和磷化工等行业专项治理方案并组织实施；新建、改建、扩建上述行业的建设项目执行氨氮、化学需氧量等量或减量置换。</w:t>
            </w:r>
          </w:p>
          <w:p>
            <w:pPr>
              <w:spacing w:line="240" w:lineRule="auto"/>
              <w:ind w:firstLine="0" w:firstLineChars="0"/>
              <w:jc w:val="left"/>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从严控制新建、改建、扩建涉磷行业的项目建设，总磷超标地方执行总磷排放减量置换，2017 年底前，所有涉磷重点工业企业应完善厂区冲洗水和初期雨水收集系统，落实涉磷矿山渣场和尾矿库的防渗、防风、防洪措施，建设规范的雨水收集池、回水池、渗滤液收集池和应急污水处理系统，并推进安装总磷在线监控装置。</w:t>
            </w:r>
          </w:p>
        </w:tc>
        <w:tc>
          <w:tcPr>
            <w:tcW w:w="1760"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c>
          <w:tcPr>
            <w:tcW w:w="754"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关于加强长江黄金水道环境污染防控治理的指导意见</w:t>
            </w:r>
          </w:p>
        </w:tc>
        <w:tc>
          <w:tcPr>
            <w:tcW w:w="4114" w:type="dxa"/>
            <w:vAlign w:val="center"/>
          </w:tcPr>
          <w:p>
            <w:pPr>
              <w:spacing w:line="240" w:lineRule="auto"/>
              <w:ind w:firstLine="0" w:firstLineChars="0"/>
              <w:jc w:val="left"/>
              <w:rPr>
                <w:rFonts w:cs="Times New Roman"/>
                <w:color w:val="000000" w:themeColor="text1"/>
                <w:szCs w:val="21"/>
                <w14:textFill>
                  <w14:solidFill>
                    <w14:schemeClr w14:val="tx1"/>
                  </w14:solidFill>
                </w14:textFill>
              </w:rPr>
            </w:pPr>
            <w:r>
              <w:rPr>
                <w:rFonts w:cs="Times New Roman"/>
                <w:color w:val="000000" w:themeColor="text1"/>
                <w:sz w:val="21"/>
                <w:szCs w:val="21"/>
                <w14:textFill>
                  <w14:solidFill>
                    <w14:schemeClr w14:val="tx1"/>
                  </w14:solidFill>
                </w14:textFill>
              </w:rPr>
              <w:t>落实主体功能区战略，实施差别化的区域产业政策。科学划定岸线功能分区边界，严格分区管理和用途管制。坚持“以水定发展”，统筹规划沿江岸线资源，严控下游高污染、高排放企业向上游转移。除在建项目外，严禁在干流及主要支流岸线1公里范围内新建布局重化工园区，严控在中上游沿岸地区新建石油化工和煤化工项目。</w:t>
            </w:r>
          </w:p>
        </w:tc>
        <w:tc>
          <w:tcPr>
            <w:tcW w:w="1760" w:type="dxa"/>
            <w:vMerge w:val="continue"/>
            <w:vAlign w:val="center"/>
          </w:tcPr>
          <w:p>
            <w:pPr>
              <w:widowControl/>
              <w:spacing w:line="240" w:lineRule="auto"/>
              <w:ind w:firstLine="0" w:firstLineChars="0"/>
              <w:jc w:val="center"/>
              <w:rPr>
                <w:rFonts w:cs="Times New Roman"/>
                <w:color w:val="000000" w:themeColor="text1"/>
                <w:szCs w:val="21"/>
                <w14:textFill>
                  <w14:solidFill>
                    <w14:schemeClr w14:val="tx1"/>
                  </w14:solidFill>
                </w14:textFill>
              </w:rPr>
            </w:pPr>
          </w:p>
        </w:tc>
        <w:tc>
          <w:tcPr>
            <w:tcW w:w="754"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符合</w:t>
            </w:r>
          </w:p>
        </w:tc>
      </w:tr>
    </w:tbl>
    <w:p>
      <w:pPr>
        <w:tabs>
          <w:tab w:val="left" w:pos="0"/>
        </w:tabs>
        <w:spacing w:before="163" w:beforeLines="5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综上，项目建设符合《水污染防治行动计划</w:t>
      </w:r>
      <w:r>
        <w:rPr>
          <w:rFonts w:hint="eastAsia" w:cs="Times New Roman"/>
          <w:color w:val="000000" w:themeColor="text1"/>
          <w:szCs w:val="24"/>
          <w:lang w:eastAsia="zh-CN"/>
          <w14:textFill>
            <w14:solidFill>
              <w14:schemeClr w14:val="tx1"/>
            </w14:solidFill>
          </w14:textFill>
        </w:rPr>
        <w:t>》《</w:t>
      </w:r>
      <w:r>
        <w:rPr>
          <w:rFonts w:cs="Times New Roman"/>
          <w:color w:val="000000" w:themeColor="text1"/>
          <w:szCs w:val="24"/>
          <w14:textFill>
            <w14:solidFill>
              <w14:schemeClr w14:val="tx1"/>
            </w14:solidFill>
          </w14:textFill>
        </w:rPr>
        <w:t>&lt;水污染防治行动计划&gt;四川省工作方案</w:t>
      </w:r>
      <w:r>
        <w:rPr>
          <w:rFonts w:hint="eastAsia" w:cs="Times New Roman"/>
          <w:color w:val="000000" w:themeColor="text1"/>
          <w:szCs w:val="24"/>
          <w:lang w:eastAsia="zh-CN"/>
          <w14:textFill>
            <w14:solidFill>
              <w14:schemeClr w14:val="tx1"/>
            </w14:solidFill>
          </w14:textFill>
        </w:rPr>
        <w:t>》《</w:t>
      </w:r>
      <w:r>
        <w:rPr>
          <w:rFonts w:cs="Times New Roman"/>
          <w:color w:val="000000" w:themeColor="text1"/>
          <w:szCs w:val="24"/>
          <w14:textFill>
            <w14:solidFill>
              <w14:schemeClr w14:val="tx1"/>
            </w14:solidFill>
          </w14:textFill>
        </w:rPr>
        <w:t>关于加强长江黄金水道环境污染防控治理的指导意见》的要求。</w:t>
      </w:r>
    </w:p>
    <w:p>
      <w:pPr>
        <w:pStyle w:val="5"/>
        <w:spacing w:before="163"/>
      </w:pPr>
      <w:r>
        <w:rPr>
          <w:rFonts w:hint="eastAsia"/>
        </w:rPr>
        <w:t>2.7</w:t>
      </w:r>
      <w:r>
        <w:t>.</w:t>
      </w:r>
      <w:r>
        <w:rPr>
          <w:rFonts w:hint="eastAsia"/>
        </w:rPr>
        <w:t>2.6</w:t>
      </w:r>
      <w:r>
        <w:t>与《“十四五”噪声污染防治行动计划》的符合性分析</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本项目与噪声污染防治行动计划符合性分析见下表。</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与《“十四五”噪声污染防治行动计划》符合性分析表</w:t>
      </w:r>
    </w:p>
    <w:tbl>
      <w:tblPr>
        <w:tblStyle w:val="52"/>
        <w:tblW w:w="85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3" w:type="dxa"/>
          <w:bottom w:w="0" w:type="dxa"/>
          <w:right w:w="23" w:type="dxa"/>
        </w:tblCellMar>
      </w:tblPr>
      <w:tblGrid>
        <w:gridCol w:w="1339"/>
        <w:gridCol w:w="4566"/>
        <w:gridCol w:w="1820"/>
        <w:gridCol w:w="77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法规、规范</w:t>
            </w:r>
          </w:p>
        </w:tc>
        <w:tc>
          <w:tcPr>
            <w:tcW w:w="4566"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相关要求</w:t>
            </w:r>
          </w:p>
        </w:tc>
        <w:tc>
          <w:tcPr>
            <w:tcW w:w="1820"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对照分析</w:t>
            </w:r>
          </w:p>
        </w:tc>
        <w:tc>
          <w:tcPr>
            <w:tcW w:w="779"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是否符合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噪声污染防治行动计划</w:t>
            </w:r>
          </w:p>
        </w:tc>
        <w:tc>
          <w:tcPr>
            <w:tcW w:w="4566"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优化噪声敏感建筑物建设布局。在交通干线两侧、工业企业周边等地方建设噪声敏感建筑物，应间隔一定距离，提出相应规划设计要求。科学规划住宅、学校等噪声敏感建筑物位置，避免受到周边噪声的影响；中小学校合理布置操场等课外活动场地，加强校内广播管理，降低对周边环境的影响。噪声敏感建筑物隔声设计、检测、验收等应符合建筑环境通用规范、民用建筑隔声设计规范等相关标准要求。</w:t>
            </w:r>
          </w:p>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树立工业噪声污染治理标杆。排放噪声的工业企业应切实采取减振降噪措施，加强厂区内固定设备、运输工具、货物装卸等噪声源管理，同时避免突发噪声扰民。鼓励企业采用先进治理技术，打造行业噪声污染治理示范典型。中央企业要主动承担社会责任，切实发挥模范带头和引领示范作用，创建一批行业标杆</w:t>
            </w:r>
          </w:p>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推广低噪声施工设备。制定房屋建筑和市政基础设施工程禁止和限制使用技术目录，限制或禁用易产生噪声污染的落后施工工艺和设备。2023年5月底前，发布低噪声施工设备指导目录。</w:t>
            </w:r>
          </w:p>
        </w:tc>
        <w:tc>
          <w:tcPr>
            <w:tcW w:w="1820" w:type="dxa"/>
            <w:vMerge w:val="restar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本项目周边无学校、住宅等噪声敏感建筑物，钻井优先使用网电，施工和运营期均采用符合要求的低噪声设备和工艺。</w:t>
            </w:r>
          </w:p>
        </w:tc>
        <w:tc>
          <w:tcPr>
            <w:tcW w:w="779"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四川省噪声污染防治行动计划实施方案</w:t>
            </w:r>
          </w:p>
        </w:tc>
        <w:tc>
          <w:tcPr>
            <w:tcW w:w="4566"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优化噪声敏感建筑物建设布局。优化社区周边配套设施建设布局，防止、减轻噪声污染对周边敏感建筑物的影响。新建噪声敏感建筑物时，建设单位应全面执行绿色建筑标准，合理确定建筑物与交通干线等的防噪声距离，落实隔声减噪措施。中小学合理布置操场等课外活动场地，加强校内广播管理，降低对周边环境的影响。噪声敏感建筑物室内噪声和隔声设计、检测、验收等应符合建筑环境通用规范、民用建筑隔声设计规范等相关标准要求。</w:t>
            </w:r>
          </w:p>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加强重点企业噪声监管。严格落实国家关于工业噪声排污许可管理要求，依法核发排污许可证或进行排污登记，并加强监管。市（州）生态环境主管部门编制本行政区域噪声重点排污单位名录，并按要求发布和更新。噪声重点排污单位应制定噪声削减计划，减少对周边噪声敏感建筑物集中区域的影响；依法开展噪声自动监测，及时与生态环境主管部门的监控设备联网。</w:t>
            </w:r>
          </w:p>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打造工业企业噪声污染治理标杆。鼓励工业企业采用先进治理技术，打造行业噪声污染治理典型示范。中央企业、国有企业、行业龙头企业要主动承担社会责任，切实发挥模范带头和引领示范作用，创建一批行业标杆。</w:t>
            </w:r>
          </w:p>
        </w:tc>
        <w:tc>
          <w:tcPr>
            <w:tcW w:w="1820" w:type="dxa"/>
            <w:vMerge w:val="continue"/>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779"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Merge w:val="restar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《“十四五”噪声污染防治行动计划》</w:t>
            </w:r>
          </w:p>
        </w:tc>
        <w:tc>
          <w:tcPr>
            <w:tcW w:w="4566"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严格落实噪声污染防治要求。制定修改相关规划、建设对环境有影响的项目时，应依法开展环评，对可能产生噪声与振动的影响进行分析、预测和评估，积极采取噪声污染防治对策措施。建设项目的噪声污染防治设施应当与主体工程同时设计、同时施工、同时投产使用。督促建设单位依法开展竣工环境保护验收，加大事中事后监管力度，确保各项措施落地见效。</w:t>
            </w:r>
          </w:p>
        </w:tc>
        <w:tc>
          <w:tcPr>
            <w:tcW w:w="1820"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依法开展环评，对可能产生的噪声进行了影响预测与评估，并提出了相应的防治措施。建设单位在建设时将落实噪声污染防治设施应当与主体工程同时设计、同时施工、同时投产使用的要求，同时在施工期与运营期将开展定期监测，确保措施落地见效</w:t>
            </w:r>
          </w:p>
        </w:tc>
        <w:tc>
          <w:tcPr>
            <w:tcW w:w="779"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lang w:eastAsia="en-US"/>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Merge w:val="continue"/>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4566"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推广低噪声施工设备。制定房屋建筑和市政基础设施工程禁止和限制使用技术目录，限制或禁用易产生噪声污染的落后施工工艺和设备。</w:t>
            </w:r>
          </w:p>
        </w:tc>
        <w:tc>
          <w:tcPr>
            <w:tcW w:w="1820"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本项目所使用的设备及施工工艺均不属于限制或禁用易产生噪声污染的落后施工工艺和设备</w:t>
            </w:r>
          </w:p>
        </w:tc>
        <w:tc>
          <w:tcPr>
            <w:tcW w:w="779"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lang w:eastAsia="en-US"/>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Merge w:val="continue"/>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4566"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落实管控责任。修订建设工程施工合同示范文本，明确建设单位、施工单位噪声污染防治责任和任务措施等要求。施工单位编制并落实噪声污染防治工作方案，采取有效隔声降噪设备、设施或施工工艺。鼓励噪声污染防治示范工地分类分级管理，探索从评优评先、资金补贴等方面，推动建筑施工企业加强噪声污染防治。</w:t>
            </w:r>
          </w:p>
        </w:tc>
        <w:tc>
          <w:tcPr>
            <w:tcW w:w="1820"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评价要求施工单位编制并落实噪声污染防治工作方案，采取有效隔声降噪设备、设施或施工工艺，确保项目施工不扰民</w:t>
            </w:r>
          </w:p>
        </w:tc>
        <w:tc>
          <w:tcPr>
            <w:tcW w:w="779"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lang w:eastAsia="en-US"/>
                <w14:textFill>
                  <w14:solidFill>
                    <w14:schemeClr w14:val="tx1"/>
                  </w14:solidFill>
                </w14:textFill>
              </w:rPr>
              <w:t>符合</w:t>
            </w:r>
          </w:p>
        </w:tc>
      </w:tr>
    </w:tbl>
    <w:p>
      <w:pPr>
        <w:tabs>
          <w:tab w:val="left" w:pos="0"/>
        </w:tabs>
        <w:spacing w:before="163" w:beforeLines="5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综上所述，本项目的建设与《“十四五”噪声污染防治行动计划》相符。</w:t>
      </w:r>
    </w:p>
    <w:p>
      <w:pPr>
        <w:pStyle w:val="5"/>
        <w:spacing w:before="163"/>
        <w:rPr>
          <w:b/>
        </w:rPr>
      </w:pPr>
      <w:r>
        <w:rPr>
          <w:rFonts w:hint="eastAsia"/>
        </w:rPr>
        <w:t>2.7.2.7</w:t>
      </w:r>
      <w:r>
        <w:t>与能源发展规划符合性分析</w:t>
      </w:r>
    </w:p>
    <w:p>
      <w:pPr>
        <w:tabs>
          <w:tab w:val="left" w:pos="0"/>
        </w:tabs>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（2）与《四川省矿产资源总体规划（2021-2025年）》的符合性分析</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四川省矿产资源总体规划（2021-2025年）》是在自然资源部工作要求和省委、省政府工作部署下，依据《矿产资源规划编制实施办法》《全国矿产资源规划（2021—2025年）》《四川省国民经济和社会发展第十四个五年规划和二〇三五年远景目标纲要》等，结合四川省实际，由省厅会同省发展改革委、经济和信息化厅、财政厅、生态环境厅、商务厅制定，本项目与之符合性分析见下表。</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表2.7-13  与《四川省矿产资源总体规划（2021-2025年）》符合性分析表</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5240"/>
        <w:gridCol w:w="2124"/>
        <w:gridCol w:w="85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5240" w:type="dxa"/>
            <w:tcMar>
              <w:left w:w="57" w:type="dxa"/>
              <w:right w:w="57" w:type="dxa"/>
            </w:tcMar>
            <w:vAlign w:val="center"/>
          </w:tcPr>
          <w:p>
            <w:pPr>
              <w:spacing w:line="240" w:lineRule="auto"/>
              <w:ind w:firstLine="0" w:firstLineChars="0"/>
              <w:jc w:val="center"/>
              <w:rPr>
                <w:rFonts w:eastAsia="等线" w:cs="Times New Roman"/>
                <w:color w:val="000000" w:themeColor="text1"/>
                <w:sz w:val="21"/>
                <w:szCs w:val="21"/>
                <w14:textFill>
                  <w14:solidFill>
                    <w14:schemeClr w14:val="tx1"/>
                  </w14:solidFill>
                </w14:textFill>
              </w:rPr>
            </w:pPr>
            <w:r>
              <w:rPr>
                <w:rFonts w:eastAsia="等线" w:cs="Times New Roman"/>
                <w:color w:val="000000" w:themeColor="text1"/>
                <w:sz w:val="21"/>
                <w:szCs w:val="21"/>
                <w14:textFill>
                  <w14:solidFill>
                    <w14:schemeClr w14:val="tx1"/>
                  </w14:solidFill>
                </w14:textFill>
              </w:rPr>
              <w:t>文件内容</w:t>
            </w:r>
          </w:p>
        </w:tc>
        <w:tc>
          <w:tcPr>
            <w:tcW w:w="2124" w:type="dxa"/>
            <w:tcMar>
              <w:left w:w="57" w:type="dxa"/>
              <w:right w:w="57" w:type="dxa"/>
            </w:tcMar>
            <w:vAlign w:val="center"/>
          </w:tcPr>
          <w:p>
            <w:pPr>
              <w:spacing w:line="240" w:lineRule="auto"/>
              <w:ind w:firstLine="0" w:firstLineChars="0"/>
              <w:jc w:val="center"/>
              <w:rPr>
                <w:rFonts w:eastAsia="等线" w:cs="Times New Roman"/>
                <w:color w:val="000000" w:themeColor="text1"/>
                <w:sz w:val="21"/>
                <w:szCs w:val="21"/>
                <w14:textFill>
                  <w14:solidFill>
                    <w14:schemeClr w14:val="tx1"/>
                  </w14:solidFill>
                </w14:textFill>
              </w:rPr>
            </w:pPr>
            <w:r>
              <w:rPr>
                <w:rFonts w:eastAsia="等线" w:cs="Times New Roman"/>
                <w:color w:val="000000" w:themeColor="text1"/>
                <w:sz w:val="21"/>
                <w:szCs w:val="21"/>
                <w14:textFill>
                  <w14:solidFill>
                    <w14:schemeClr w14:val="tx1"/>
                  </w14:solidFill>
                </w14:textFill>
              </w:rPr>
              <w:t>本项目情况</w:t>
            </w:r>
          </w:p>
        </w:tc>
        <w:tc>
          <w:tcPr>
            <w:tcW w:w="858" w:type="dxa"/>
            <w:tcMar>
              <w:left w:w="57" w:type="dxa"/>
              <w:right w:w="57" w:type="dxa"/>
            </w:tcMar>
            <w:vAlign w:val="center"/>
          </w:tcPr>
          <w:p>
            <w:pPr>
              <w:spacing w:line="240" w:lineRule="auto"/>
              <w:ind w:firstLine="0" w:firstLineChars="0"/>
              <w:jc w:val="center"/>
              <w:rPr>
                <w:rFonts w:eastAsia="等线" w:cs="Times New Roman"/>
                <w:color w:val="000000" w:themeColor="text1"/>
                <w:sz w:val="21"/>
                <w:szCs w:val="21"/>
                <w14:textFill>
                  <w14:solidFill>
                    <w14:schemeClr w14:val="tx1"/>
                  </w14:solidFill>
                </w14:textFill>
              </w:rPr>
            </w:pPr>
            <w:r>
              <w:rPr>
                <w:rFonts w:eastAsia="等线" w:cs="Times New Roman"/>
                <w:color w:val="000000" w:themeColor="text1"/>
                <w:sz w:val="21"/>
                <w:szCs w:val="21"/>
                <w14:textFill>
                  <w14:solidFill>
                    <w14:schemeClr w14:val="tx1"/>
                  </w14:solidFill>
                </w14:textFill>
              </w:rP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5240" w:type="dxa"/>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第二章、第三节：一、2025年目标：</w:t>
            </w:r>
          </w:p>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重要矿产实现找矿新突破。加大财政投资矿产勘查力度，提高重要矿产资源综合勘查水平和保障程度，新发现战略性矿产资源大中型矿产地10至15处。国家天然气（页岩气）千亿立方米级产能基地、攀西战略资源创新开发试验区建设得到有力支撑</w:t>
            </w:r>
          </w:p>
        </w:tc>
        <w:tc>
          <w:tcPr>
            <w:tcW w:w="2124" w:type="dxa"/>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本项目属于天然气勘探项目</w:t>
            </w:r>
          </w:p>
        </w:tc>
        <w:tc>
          <w:tcPr>
            <w:tcW w:w="858" w:type="dxa"/>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5240" w:type="dxa"/>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第三章、第一节：···</w:t>
            </w:r>
            <w:r>
              <w:rPr>
                <w:rFonts w:cs="Times New Roman"/>
                <w:b/>
                <w:bCs/>
                <w:color w:val="000000" w:themeColor="text1"/>
                <w:sz w:val="21"/>
                <w:szCs w:val="21"/>
                <w14:textFill>
                  <w14:solidFill>
                    <w14:schemeClr w14:val="tx1"/>
                  </w14:solidFill>
                </w14:textFill>
              </w:rPr>
              <w:t>川东北能源建材勘查开发区</w:t>
            </w:r>
            <w:r>
              <w:rPr>
                <w:rFonts w:cs="Times New Roman"/>
                <w:color w:val="000000" w:themeColor="text1"/>
                <w:sz w:val="21"/>
                <w:szCs w:val="21"/>
                <w14:textFill>
                  <w14:solidFill>
                    <w14:schemeClr w14:val="tx1"/>
                  </w14:solidFill>
                </w14:textFill>
              </w:rPr>
              <w:t>。包括南充、</w:t>
            </w:r>
            <w:r>
              <w:rPr>
                <w:rFonts w:cs="Times New Roman"/>
                <w:b/>
                <w:bCs/>
                <w:color w:val="000000" w:themeColor="text1"/>
                <w:sz w:val="21"/>
                <w:szCs w:val="21"/>
                <w14:textFill>
                  <w14:solidFill>
                    <w14:schemeClr w14:val="tx1"/>
                  </w14:solidFill>
                </w14:textFill>
              </w:rPr>
              <w:t>达州</w:t>
            </w:r>
            <w:r>
              <w:rPr>
                <w:rFonts w:cs="Times New Roman"/>
                <w:color w:val="000000" w:themeColor="text1"/>
                <w:sz w:val="21"/>
                <w:szCs w:val="21"/>
                <w14:textFill>
                  <w14:solidFill>
                    <w14:schemeClr w14:val="tx1"/>
                  </w14:solidFill>
                </w14:textFill>
              </w:rPr>
              <w:t>、广安、巴中、广元5市，大力发展清洁能源化工、特色矿产品精深加工，推动川东北经济区振兴发展。</w:t>
            </w:r>
            <w:r>
              <w:rPr>
                <w:rFonts w:cs="Times New Roman"/>
                <w:b/>
                <w:bCs/>
                <w:color w:val="000000" w:themeColor="text1"/>
                <w:sz w:val="21"/>
                <w:szCs w:val="21"/>
                <w14:textFill>
                  <w14:solidFill>
                    <w14:schemeClr w14:val="tx1"/>
                  </w14:solidFill>
                </w14:textFill>
              </w:rPr>
              <w:t>重点加强达州、广元、广安、巴中地区天然气、页岩油、致密气勘探开发</w:t>
            </w:r>
          </w:p>
        </w:tc>
        <w:tc>
          <w:tcPr>
            <w:tcW w:w="2124" w:type="dxa"/>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本项目位于达州，属于天然气勘探试采项目</w:t>
            </w:r>
          </w:p>
        </w:tc>
        <w:tc>
          <w:tcPr>
            <w:tcW w:w="858" w:type="dxa"/>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5240" w:type="dxa"/>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第五章、第一节：···大力支持天然气、页岩气开采，2025年底全省天然气（页岩气）产量达到630亿立方米/年，2035年建成国家天然气（页岩气）千亿立方米级产能基地</w:t>
            </w:r>
          </w:p>
        </w:tc>
        <w:tc>
          <w:tcPr>
            <w:tcW w:w="2124" w:type="dxa"/>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本项目属于天然气勘探项目，运营期将对天然气进行试采，有利于提高全省天然气产量</w:t>
            </w:r>
          </w:p>
        </w:tc>
        <w:tc>
          <w:tcPr>
            <w:tcW w:w="858" w:type="dxa"/>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bl>
    <w:p>
      <w:pPr>
        <w:tabs>
          <w:tab w:val="left" w:pos="0"/>
        </w:tabs>
        <w:spacing w:before="163" w:beforeLines="5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为天然气勘探试采工程，不属于限制开采的矿产资源，项目位于达州市宣汉县，所在区域属于川东北能源建材勘查开发区，不属于国家和省的规划矿区、储备和保护矿区、限制开采区和禁止开采区，同时也不涉及自然保护区、饮用水水源保护区、风景名胜区等环境敏感区及四川省生态保护红线。拟建项目属于天然气勘探试采，符合《四川省矿产资源总体规划（2021-2025年）》要求。</w:t>
      </w:r>
    </w:p>
    <w:p>
      <w:pPr>
        <w:tabs>
          <w:tab w:val="left" w:pos="0"/>
        </w:tabs>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（3）与《四川省矿产资源总体规划（2021-2025年）环境影响报告书》符合性分析</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生态环境部出具了《关于〈四川省矿产资源总体规划（2021-2025年）环境影响报告书〉的审查意见》（环审〔2022〕105号），该规划提出规划目标：到2025年，主要矿产资源量稳步增长，战略性矿产资源安全保障能力明显提高，勘查开发利用与保护空间布局进一步优化，资源节约集约和高效利用水平进一步提升，绿色矿业发展取得积极成效，全面落实构筑长江黄河上游生态安全屏障要求，基本形成矿产资源勘查开发与生态环境保护协调发展新格局。新增天然气资源量</w:t>
      </w:r>
      <w:r>
        <w:rPr>
          <w:rFonts w:cs="Times New Roman"/>
          <w:color w:val="000000" w:themeColor="text1"/>
          <w:szCs w:val="20"/>
          <w:lang w:bidi="ar"/>
          <w14:textFill>
            <w14:solidFill>
              <w14:schemeClr w14:val="tx1"/>
            </w14:solidFill>
          </w14:textFill>
        </w:rPr>
        <w:t>≥10000亿立方米。</w:t>
      </w:r>
    </w:p>
    <w:p>
      <w:pPr>
        <w:tabs>
          <w:tab w:val="left" w:pos="0"/>
        </w:tabs>
        <w:ind w:firstLine="480"/>
        <w:rPr>
          <w:rFonts w:cs="Times New Roman"/>
          <w:color w:val="000000" w:themeColor="text1"/>
          <w:szCs w:val="20"/>
          <w:lang w:bidi="ar"/>
          <w14:textFill>
            <w14:solidFill>
              <w14:schemeClr w14:val="tx1"/>
            </w14:solidFill>
          </w14:textFill>
        </w:rPr>
      </w:pPr>
      <w:r>
        <w:rPr>
          <w:rFonts w:cs="Times New Roman"/>
          <w:color w:val="000000" w:themeColor="text1"/>
          <w:szCs w:val="20"/>
          <w:lang w:bidi="ar"/>
          <w14:textFill>
            <w14:solidFill>
              <w14:schemeClr w14:val="tx1"/>
            </w14:solidFill>
          </w14:textFill>
        </w:rPr>
        <w:t>到2035年，</w:t>
      </w:r>
      <w:r>
        <w:rPr>
          <w:rFonts w:cs="Times New Roman"/>
          <w:b/>
          <w:bCs/>
          <w:color w:val="000000" w:themeColor="text1"/>
          <w:szCs w:val="20"/>
          <w:lang w:bidi="ar"/>
          <w14:textFill>
            <w14:solidFill>
              <w14:schemeClr w14:val="tx1"/>
            </w14:solidFill>
          </w14:textFill>
        </w:rPr>
        <w:t>建设完成国家天然气（页岩气）千亿立方米级产能基地</w:t>
      </w:r>
      <w:r>
        <w:rPr>
          <w:rFonts w:cs="Times New Roman"/>
          <w:color w:val="000000" w:themeColor="text1"/>
          <w:szCs w:val="20"/>
          <w:lang w:bidi="ar"/>
          <w14:textFill>
            <w14:solidFill>
              <w14:schemeClr w14:val="tx1"/>
            </w14:solidFill>
          </w14:textFill>
        </w:rPr>
        <w:t>，形成攀西钒钛磁铁矿、川南煤炭煤层气和川西锂矿资源产业集群。全省重要矿产资源量明显增加，矿业空间布局更加科学，矿山规模结构更趋合理，基本实现重要矿产资源稳定供应。矿产资源利用技术实现新突破，资源利用效率显著提升。矿政管理机制更加完善，基本实现矿产资源领域</w:t>
      </w:r>
      <w:r>
        <w:rPr>
          <w:rFonts w:hint="eastAsia" w:cs="Times New Roman"/>
          <w:color w:val="000000" w:themeColor="text1"/>
          <w:szCs w:val="20"/>
          <w:lang w:eastAsia="zh-CN" w:bidi="ar"/>
          <w14:textFill>
            <w14:solidFill>
              <w14:schemeClr w14:val="tx1"/>
            </w14:solidFill>
          </w14:textFill>
        </w:rPr>
        <w:t>治理体系和治理能力现代化</w:t>
      </w:r>
      <w:r>
        <w:rPr>
          <w:rFonts w:cs="Times New Roman"/>
          <w:color w:val="000000" w:themeColor="text1"/>
          <w:szCs w:val="20"/>
          <w:lang w:bidi="ar"/>
          <w14:textFill>
            <w14:solidFill>
              <w14:schemeClr w14:val="tx1"/>
            </w14:solidFill>
          </w14:textFill>
        </w:rPr>
        <w:t>。生态保护、资源开发与民生改善协调发展，矿业走上内涵式、集约型、绿色化的高质量发展新路子，有力支撑“碳达峰、碳中和”战略目标的实施。</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属于石油天然气行业的勘探试采项目，本项目的建设有利于评价下一步天然气清洁能源的开采供应，保障资源储量的稳定增长。因此，本项目建设符合《四川省矿产资源总体规划（2021-2025年）环境影响报告书》的相关要求。</w:t>
      </w:r>
    </w:p>
    <w:p>
      <w:pPr>
        <w:tabs>
          <w:tab w:val="left" w:pos="0"/>
        </w:tabs>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（4）与《达州市矿产资源总体规划（2021-2025年）》的符合性分析</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本项目与《达州市矿产资源总体规划（2021-2025年）》符合性分析见下表。</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表2.7-14  与《达州市矿产资源总体规划（2021-2025年）》符合性分析表</w:t>
      </w:r>
    </w:p>
    <w:tbl>
      <w:tblPr>
        <w:tblStyle w:val="52"/>
        <w:tblW w:w="822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5239"/>
        <w:gridCol w:w="2124"/>
        <w:gridCol w:w="8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文件内容</w:t>
            </w:r>
          </w:p>
        </w:tc>
        <w:tc>
          <w:tcPr>
            <w:tcW w:w="1292" w:type="pct"/>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本项目情况</w:t>
            </w:r>
          </w:p>
        </w:tc>
        <w:tc>
          <w:tcPr>
            <w:tcW w:w="521" w:type="pct"/>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···到2025年，实现天然气、煤、石灰岩、地热等矿产资源储量稳步增长···</w:t>
            </w:r>
          </w:p>
        </w:tc>
        <w:tc>
          <w:tcPr>
            <w:tcW w:w="1292" w:type="pct"/>
            <w:vMerge w:val="restart"/>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本项目属于天然气勘探试采项目，位于宣汉县</w:t>
            </w:r>
          </w:p>
        </w:tc>
        <w:tc>
          <w:tcPr>
            <w:tcW w:w="521" w:type="pct"/>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到2035年，实现天然气（页岩气）找矿取得重大突破，加快建设万达开天然气锂钾综合利用集聚区，打造天然气、锂钾等千亿级特色产业集群，推进砂石资源基地建设</w:t>
            </w:r>
          </w:p>
        </w:tc>
        <w:tc>
          <w:tcPr>
            <w:tcW w:w="1292" w:type="pct"/>
            <w:vMerge w:val="continue"/>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521" w:type="pct"/>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重点开采矿种：天然气、炼焦用煤、地热、石灰岩、砂岩及钾盐。在符合准入条件的前提下，优先出让采矿权，适度扩大开发规模，提高资源供应能力</w:t>
            </w:r>
          </w:p>
        </w:tc>
        <w:tc>
          <w:tcPr>
            <w:tcW w:w="1292" w:type="pct"/>
            <w:vMerge w:val="continue"/>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521" w:type="pct"/>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中部能源化工勘查开发区。包括宣汉县、开江县。加强天然气、页岩气勘探开发，提升天然气资源综合利用水平</w:t>
            </w:r>
          </w:p>
        </w:tc>
        <w:tc>
          <w:tcPr>
            <w:tcW w:w="1292" w:type="pct"/>
            <w:vMerge w:val="continue"/>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521" w:type="pct"/>
            <w:tcMar>
              <w:left w:w="57" w:type="dxa"/>
              <w:right w:w="57" w:type="dxa"/>
            </w:tcMar>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bl>
    <w:p>
      <w:pPr>
        <w:tabs>
          <w:tab w:val="left" w:pos="0"/>
        </w:tabs>
        <w:spacing w:before="163" w:beforeLines="5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综上所述，本项目符合《达州市矿产资源总体规划（2021-2025年）》要求。</w:t>
      </w:r>
    </w:p>
    <w:p>
      <w:pPr>
        <w:tabs>
          <w:tab w:val="left" w:pos="0"/>
        </w:tabs>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（5）与《宣汉县矿产资源总体规划（2021-2025年）》的符合性分析</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本项目与《宣汉县矿产资源总体规划（2021-2025年）》符合性分析见下表。</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color w:val="000000" w:themeColor="text1"/>
          <w14:textFill>
            <w14:solidFill>
              <w14:schemeClr w14:val="tx1"/>
            </w14:solidFill>
          </w14:textFill>
        </w:rPr>
        <w:t>5 与《宣汉县矿产资源总体规划（2021-2025年）》符合性分析表</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5367"/>
        <w:gridCol w:w="2176"/>
        <w:gridCol w:w="87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center"/>
              <w:rPr>
                <w:rFonts w:cs="Times New Roman"/>
                <w:b/>
                <w:bCs/>
                <w:color w:val="000000" w:themeColor="text1"/>
                <w:sz w:val="21"/>
                <w:szCs w:val="20"/>
                <w14:textFill>
                  <w14:solidFill>
                    <w14:schemeClr w14:val="tx1"/>
                  </w14:solidFill>
                </w14:textFill>
              </w:rPr>
            </w:pPr>
            <w:r>
              <w:rPr>
                <w:rFonts w:cs="Times New Roman"/>
                <w:b/>
                <w:bCs/>
                <w:color w:val="000000" w:themeColor="text1"/>
                <w:sz w:val="21"/>
                <w:szCs w:val="20"/>
                <w14:textFill>
                  <w14:solidFill>
                    <w14:schemeClr w14:val="tx1"/>
                  </w14:solidFill>
                </w14:textFill>
              </w:rPr>
              <w:t>文件内容</w:t>
            </w:r>
          </w:p>
        </w:tc>
        <w:tc>
          <w:tcPr>
            <w:tcW w:w="1292" w:type="pct"/>
            <w:tcMar>
              <w:left w:w="57" w:type="dxa"/>
              <w:right w:w="57" w:type="dxa"/>
            </w:tcMar>
            <w:vAlign w:val="center"/>
          </w:tcPr>
          <w:p>
            <w:pPr>
              <w:widowControl/>
              <w:spacing w:line="240" w:lineRule="auto"/>
              <w:ind w:firstLine="0" w:firstLineChars="0"/>
              <w:jc w:val="center"/>
              <w:rPr>
                <w:rFonts w:cs="Times New Roman"/>
                <w:b/>
                <w:bCs/>
                <w:color w:val="000000" w:themeColor="text1"/>
                <w:sz w:val="21"/>
                <w:szCs w:val="20"/>
                <w14:textFill>
                  <w14:solidFill>
                    <w14:schemeClr w14:val="tx1"/>
                  </w14:solidFill>
                </w14:textFill>
              </w:rPr>
            </w:pPr>
            <w:r>
              <w:rPr>
                <w:rFonts w:cs="Times New Roman"/>
                <w:b/>
                <w:bCs/>
                <w:color w:val="000000" w:themeColor="text1"/>
                <w:sz w:val="21"/>
                <w:szCs w:val="20"/>
                <w14:textFill>
                  <w14:solidFill>
                    <w14:schemeClr w14:val="tx1"/>
                  </w14:solidFill>
                </w14:textFill>
              </w:rPr>
              <w:t>本项目情况</w:t>
            </w:r>
          </w:p>
        </w:tc>
        <w:tc>
          <w:tcPr>
            <w:tcW w:w="521" w:type="pct"/>
            <w:tcMar>
              <w:left w:w="57" w:type="dxa"/>
              <w:right w:w="57" w:type="dxa"/>
            </w:tcMar>
            <w:vAlign w:val="center"/>
          </w:tcPr>
          <w:p>
            <w:pPr>
              <w:widowControl/>
              <w:spacing w:line="240" w:lineRule="auto"/>
              <w:ind w:firstLine="0" w:firstLineChars="0"/>
              <w:jc w:val="center"/>
              <w:rPr>
                <w:rFonts w:cs="Times New Roman"/>
                <w:b/>
                <w:bCs/>
                <w:color w:val="000000" w:themeColor="text1"/>
                <w:sz w:val="21"/>
                <w:szCs w:val="20"/>
                <w14:textFill>
                  <w14:solidFill>
                    <w14:schemeClr w14:val="tx1"/>
                  </w14:solidFill>
                </w14:textFill>
              </w:rPr>
            </w:pPr>
            <w:r>
              <w:rPr>
                <w:rFonts w:cs="Times New Roman"/>
                <w:b/>
                <w:bCs/>
                <w:color w:val="000000" w:themeColor="text1"/>
                <w:sz w:val="21"/>
                <w:szCs w:val="20"/>
                <w14:textFill>
                  <w14:solidFill>
                    <w14:schemeClr w14:val="tx1"/>
                  </w14:solidFill>
                </w14:textFill>
              </w:rP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2035年，实现页岩气找矿重大突破，建成全国首个深部卤水锂钾综合开发示范产业园，打造天然气、锂钾等千亿级特色产业集群。</w:t>
            </w:r>
          </w:p>
        </w:tc>
        <w:tc>
          <w:tcPr>
            <w:tcW w:w="1292" w:type="pct"/>
            <w:vMerge w:val="restart"/>
            <w:tcMar>
              <w:left w:w="57" w:type="dxa"/>
              <w:right w:w="57" w:type="dxa"/>
            </w:tcMar>
            <w:vAlign w:val="center"/>
          </w:tcPr>
          <w:p>
            <w:pPr>
              <w:widowControl/>
              <w:spacing w:line="240" w:lineRule="auto"/>
              <w:ind w:firstLine="0" w:firstLineChars="0"/>
              <w:jc w:val="center"/>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本项目属于天然气勘探试采项目，位于宣汉县</w:t>
            </w:r>
          </w:p>
        </w:tc>
        <w:tc>
          <w:tcPr>
            <w:tcW w:w="521" w:type="pct"/>
            <w:tcMar>
              <w:left w:w="57" w:type="dxa"/>
              <w:right w:w="57" w:type="dxa"/>
            </w:tcMar>
            <w:vAlign w:val="center"/>
          </w:tcPr>
          <w:p>
            <w:pPr>
              <w:widowControl/>
              <w:spacing w:line="240" w:lineRule="auto"/>
              <w:ind w:firstLine="0" w:firstLineChars="0"/>
              <w:jc w:val="center"/>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重点勘查矿种：天然气、钾盐和地热。争取财政投资勘查的同时，引导社会资金投入，争取实现找矿突破。</w:t>
            </w:r>
          </w:p>
        </w:tc>
        <w:tc>
          <w:tcPr>
            <w:tcW w:w="1292" w:type="pct"/>
            <w:vMerge w:val="continue"/>
            <w:tcMar>
              <w:left w:w="57" w:type="dxa"/>
              <w:right w:w="57" w:type="dxa"/>
            </w:tcMar>
            <w:vAlign w:val="center"/>
          </w:tcPr>
          <w:p>
            <w:pPr>
              <w:widowControl/>
              <w:spacing w:line="240" w:lineRule="auto"/>
              <w:ind w:firstLine="0" w:firstLineChars="0"/>
              <w:jc w:val="center"/>
              <w:rPr>
                <w:rFonts w:cs="Times New Roman"/>
                <w:color w:val="000000" w:themeColor="text1"/>
                <w:sz w:val="21"/>
                <w:szCs w:val="20"/>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充分发挥服务和监督管理职能，积极落实省、市安排宣汉县的矿产地质调查和资源潜力评价工作，主攻矿种为天然气、杂卤石型钾盐和地热，圈定找矿靶区和新发现矿产地。</w:t>
            </w:r>
          </w:p>
        </w:tc>
        <w:tc>
          <w:tcPr>
            <w:tcW w:w="1292" w:type="pct"/>
            <w:vMerge w:val="continue"/>
            <w:tcMar>
              <w:left w:w="57" w:type="dxa"/>
              <w:right w:w="57" w:type="dxa"/>
            </w:tcMar>
            <w:vAlign w:val="center"/>
          </w:tcPr>
          <w:p>
            <w:pPr>
              <w:widowControl/>
              <w:spacing w:line="240" w:lineRule="auto"/>
              <w:ind w:firstLine="0" w:firstLineChars="0"/>
              <w:jc w:val="center"/>
              <w:rPr>
                <w:rFonts w:cs="Times New Roman"/>
                <w:color w:val="000000" w:themeColor="text1"/>
                <w:sz w:val="21"/>
                <w:szCs w:val="20"/>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重点开采矿种：天然气、地热及钾盐。在符合准入条件下，优先出让采矿权，适度扩大开发规模，提高资源供应能力。天然气采矿权出让及开采应符合国家相关管控要求。</w:t>
            </w:r>
          </w:p>
        </w:tc>
        <w:tc>
          <w:tcPr>
            <w:tcW w:w="1292" w:type="pct"/>
            <w:vMerge w:val="continue"/>
            <w:tcMar>
              <w:left w:w="57" w:type="dxa"/>
              <w:right w:w="57" w:type="dxa"/>
            </w:tcMar>
            <w:vAlign w:val="center"/>
          </w:tcPr>
          <w:p>
            <w:pPr>
              <w:widowControl/>
              <w:spacing w:line="240" w:lineRule="auto"/>
              <w:ind w:firstLine="0" w:firstLineChars="0"/>
              <w:jc w:val="center"/>
              <w:rPr>
                <w:rFonts w:cs="Times New Roman"/>
                <w:color w:val="000000" w:themeColor="text1"/>
                <w:sz w:val="21"/>
                <w:szCs w:val="20"/>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cs="Times New Roman"/>
                <w:color w:val="000000" w:themeColor="text1"/>
                <w:sz w:val="21"/>
                <w:szCs w:val="20"/>
                <w14:textFill>
                  <w14:solidFill>
                    <w14:schemeClr w14:val="tx1"/>
                  </w14:solidFill>
                </w14:textFill>
              </w:rPr>
            </w:pPr>
            <w:bookmarkStart w:id="67" w:name="_Hlk90924525"/>
            <w:r>
              <w:rPr>
                <w:rFonts w:cs="Times New Roman"/>
                <w:color w:val="000000" w:themeColor="text1"/>
                <w:sz w:val="21"/>
                <w:szCs w:val="20"/>
                <w14:textFill>
                  <w14:solidFill>
                    <w14:schemeClr w14:val="tx1"/>
                  </w14:solidFill>
                </w14:textFill>
              </w:rPr>
              <w:t>规划期内，落实四川省安排宣汉县的重点矿种矿产资源调查工程：川南、川东北煤层气调查评价</w:t>
            </w:r>
            <w:bookmarkEnd w:id="67"/>
          </w:p>
        </w:tc>
        <w:tc>
          <w:tcPr>
            <w:tcW w:w="1292" w:type="pct"/>
            <w:vMerge w:val="continue"/>
            <w:tcMar>
              <w:left w:w="57" w:type="dxa"/>
              <w:right w:w="57" w:type="dxa"/>
            </w:tcMar>
            <w:vAlign w:val="center"/>
          </w:tcPr>
          <w:p>
            <w:pPr>
              <w:widowControl/>
              <w:spacing w:line="240" w:lineRule="auto"/>
              <w:ind w:firstLine="0" w:firstLineChars="0"/>
              <w:jc w:val="center"/>
              <w:rPr>
                <w:rFonts w:cs="Times New Roman"/>
                <w:color w:val="000000" w:themeColor="text1"/>
                <w:sz w:val="21"/>
                <w:szCs w:val="20"/>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稳定推进天然气、钾盐矿产资源勘查，加强矿区外围及深部找矿工作，加强富锂卤水综合利用攻关，提升共伴生矿产综合利用水平。</w:t>
            </w:r>
          </w:p>
        </w:tc>
        <w:tc>
          <w:tcPr>
            <w:tcW w:w="1292" w:type="pct"/>
            <w:vMerge w:val="continue"/>
            <w:tcMar>
              <w:left w:w="57" w:type="dxa"/>
              <w:right w:w="57" w:type="dxa"/>
            </w:tcMar>
            <w:vAlign w:val="center"/>
          </w:tcPr>
          <w:p>
            <w:pPr>
              <w:widowControl/>
              <w:spacing w:line="240" w:lineRule="auto"/>
              <w:ind w:firstLine="0" w:firstLineChars="0"/>
              <w:jc w:val="center"/>
              <w:rPr>
                <w:rFonts w:cs="Times New Roman"/>
                <w:color w:val="000000" w:themeColor="text1"/>
                <w:sz w:val="21"/>
                <w:szCs w:val="20"/>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实施上级落实宣汉县油气资源调查评价，对区域内天然气成因、物性、分布、规模、质量、演化规律、开发利用条件、经济价值及其在国民经济、社会公益事业中的地位和作用等方面进行的全方位分析、评估和预测。</w:t>
            </w:r>
          </w:p>
        </w:tc>
        <w:tc>
          <w:tcPr>
            <w:tcW w:w="1292" w:type="pct"/>
            <w:vMerge w:val="continue"/>
            <w:tcMar>
              <w:left w:w="57" w:type="dxa"/>
              <w:right w:w="57" w:type="dxa"/>
            </w:tcMar>
            <w:vAlign w:val="center"/>
          </w:tcPr>
          <w:p>
            <w:pPr>
              <w:widowControl/>
              <w:spacing w:line="240" w:lineRule="auto"/>
              <w:ind w:firstLine="0" w:firstLineChars="0"/>
              <w:jc w:val="center"/>
              <w:rPr>
                <w:rFonts w:cs="Times New Roman"/>
                <w:color w:val="000000" w:themeColor="text1"/>
                <w:sz w:val="21"/>
                <w:szCs w:val="20"/>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中部能源化工勘查开发区。包括宣汉县、开江县。加强天然气、页岩气勘探开发，提升天然气资源综合利用水平</w:t>
            </w:r>
          </w:p>
        </w:tc>
        <w:tc>
          <w:tcPr>
            <w:tcW w:w="1292" w:type="pct"/>
            <w:vMerge w:val="continue"/>
            <w:tcMar>
              <w:left w:w="57" w:type="dxa"/>
              <w:right w:w="57" w:type="dxa"/>
            </w:tcMar>
            <w:vAlign w:val="center"/>
          </w:tcPr>
          <w:p>
            <w:pPr>
              <w:widowControl/>
              <w:spacing w:line="240" w:lineRule="auto"/>
              <w:ind w:firstLine="0" w:firstLineChars="0"/>
              <w:jc w:val="center"/>
              <w:rPr>
                <w:rFonts w:cs="Times New Roman"/>
                <w:color w:val="000000" w:themeColor="text1"/>
                <w:sz w:val="21"/>
                <w:szCs w:val="20"/>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符合</w:t>
            </w:r>
          </w:p>
        </w:tc>
      </w:tr>
    </w:tbl>
    <w:p>
      <w:pPr>
        <w:pStyle w:val="5"/>
        <w:spacing w:before="163"/>
      </w:pPr>
      <w:r>
        <w:rPr>
          <w:rFonts w:hint="eastAsia"/>
        </w:rPr>
        <w:t>2.7.2.8</w:t>
      </w:r>
      <w:r>
        <w:t>与《达州市国民经济和社会发展第十四个五年规划和二〇三五年远景目标纲要》的符合性分析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达州市国民经济和社会发展第十四个五年规划和二〇三五年远景目标纲要》中，强调要打造中国“气大庆”，实施中国“气大庆”建设行动，加强天然气产供储销体系建设，建成全国最大天然气（页岩气）生产基地，天然气年产量力争达到630亿推进中国“气大庆”建设。对接国有油气企业混合所有制改革，探索央（企）地资源开发利益共享共赢发展模式。</w:t>
      </w:r>
      <w:r>
        <w:rPr>
          <w:rFonts w:cs="Times New Roman"/>
          <w:b/>
          <w:bCs/>
          <w:color w:val="000000" w:themeColor="text1"/>
          <w14:textFill>
            <w14:solidFill>
              <w14:schemeClr w14:val="tx1"/>
            </w14:solidFill>
          </w14:textFill>
        </w:rPr>
        <w:t>加大勘探开发力度，重点实施中石油川东北高含硫天然气开发项目（二期）、达州致密气勘探开发项目等天然气开发项目，统筹加强中石化普光气田新井和中石油其他区块产能建设，服务国家能源战略、保障天然气供应安全</w:t>
      </w:r>
      <w:r>
        <w:rPr>
          <w:rFonts w:cs="Times New Roman"/>
          <w:color w:val="000000" w:themeColor="text1"/>
          <w14:textFill>
            <w14:solidFill>
              <w14:schemeClr w14:val="tx1"/>
            </w14:solidFill>
          </w14:textFill>
        </w:rPr>
        <w:t>。全面规范提升天然气供应水平，完善天然气管网公平接入机制，推进市域输气管网与国家干网的互联互通，不断扩大天然气“直供”范围。努力提升天然气综合利用水平，因地制宜发展天然气分布式能源，支持建设四川省天然气调峰发电基地，建设川投气电清洁能源发电项目。有序发展天然气（LNG）车船，加快清洁汽车、船舶推广及加气（注）站建设步伐，提高LNG在长途公共交通、货运物流、内河船舶燃料中的比重，大力提升城市公共交通清洁能源（含新能源）使用率。</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本项目属于中石化普光气田新井勘探试采发项目，因此本项目符合达州市国民经济和社会发展规划纲要。</w:t>
      </w:r>
    </w:p>
    <w:p>
      <w:pPr>
        <w:pStyle w:val="5"/>
        <w:spacing w:before="163"/>
      </w:pPr>
      <w:r>
        <w:rPr>
          <w:rFonts w:hint="eastAsia"/>
        </w:rPr>
        <w:t>2.7.2.9</w:t>
      </w:r>
      <w:r>
        <w:t>与《中国石化普光气田开发及川气东送管道工程环境影响报告书》的符性析</w:t>
      </w:r>
    </w:p>
    <w:p>
      <w:pPr>
        <w:pStyle w:val="249"/>
        <w:adjustRightInd w:val="0"/>
        <w:snapToGrid w:val="0"/>
        <w:ind w:firstLine="480"/>
        <w:rPr>
          <w:color w:val="000000" w:themeColor="text1"/>
          <w:szCs w:val="24"/>
          <w14:textFill>
            <w14:solidFill>
              <w14:schemeClr w14:val="tx1"/>
            </w14:solidFill>
          </w14:textFill>
        </w:rPr>
      </w:pPr>
      <w:r>
        <w:rPr>
          <w:color w:val="000000" w:themeColor="text1"/>
          <w14:textFill>
            <w14:solidFill>
              <w14:schemeClr w14:val="tx1"/>
            </w14:solidFill>
          </w14:textFill>
        </w:rPr>
        <w:t>007年中国石油化工股份有限公司中原油田分公司委托北京师范大学环境科学研究所编制完成了《中国石化普光气田开发及川气东送管道工程环境影响报告书》，2007年12月14日取得原国家环境保护总局《关于中国石化普光气田开发及川气东送管道工程环境影响报告书的批复》（环审〔2007〕376号），查阅了《中国石化普光气田开发及川气东送管道工程环境影响报告书》（以下称“报告书”），要求“气田后续开发过程中，如新增加建设项目，应当按照国家的有关规定开展相应的环境影响评价工作”，本项目拟建的1口井在《报告书》中尚未进行评价，按照《报告书》要求，需开展相应的环境影响评价工作。</w:t>
      </w:r>
      <w:r>
        <w:rPr>
          <w:color w:val="000000" w:themeColor="text1"/>
          <w:szCs w:val="24"/>
          <w14:textFill>
            <w14:solidFill>
              <w14:schemeClr w14:val="tx1"/>
            </w14:solidFill>
          </w14:textFill>
        </w:rPr>
        <w:t>本项目天然气外输的P302集气站为原国家环境保护总局出具的《关于中国石化普光气田开发及川气东送管道工程环境影响报告书的批复》（环审〔2007〕76号）中批复的建设内容，并在2015年环境保护部以环验〔2015〕124号文《关于中国石化普光气田开发工程竣工环境保护验收合格的函》通过竣工环保验收。</w:t>
      </w:r>
    </w:p>
    <w:p>
      <w:pPr>
        <w:pStyle w:val="5"/>
        <w:spacing w:before="163"/>
      </w:pPr>
      <w:r>
        <w:rPr>
          <w:rFonts w:hint="eastAsia"/>
        </w:rPr>
        <w:t>2.7.2.10</w:t>
      </w:r>
      <w:r>
        <w:t>本项目与水源地合理性分析</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根据达州市人民政府《关于划定万源市、宣汉县和大竹县乡镇及以下集中式饮用水水源地保护区的批复》（达市府发</w:t>
      </w:r>
      <w:r>
        <w:rPr>
          <w:color w:val="000000" w:themeColor="text1"/>
          <w:kern w:val="2"/>
          <w14:textFill>
            <w14:solidFill>
              <w14:schemeClr w14:val="tx1"/>
            </w14:solidFill>
          </w14:textFill>
        </w:rPr>
        <w:t>〔2020〕</w:t>
      </w:r>
      <w:r>
        <w:rPr>
          <w:color w:val="000000" w:themeColor="text1"/>
          <w14:textFill>
            <w14:solidFill>
              <w14:schemeClr w14:val="tx1"/>
            </w14:solidFill>
          </w14:textFill>
        </w:rPr>
        <w:t>124号）结合现场调查，项目所在地不涉及水源地保护区。</w:t>
      </w:r>
    </w:p>
    <w:p>
      <w:pPr>
        <w:pStyle w:val="4"/>
        <w:ind w:firstLine="241"/>
      </w:pPr>
      <w:bookmarkStart w:id="68" w:name="_Toc120173080"/>
      <w:r>
        <w:t>2.7.3“三线一单”符合性分析</w:t>
      </w:r>
      <w:bookmarkEnd w:id="68"/>
    </w:p>
    <w:p>
      <w:pPr>
        <w:tabs>
          <w:tab w:val="left" w:pos="0"/>
        </w:tabs>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1、项目与“三线一单”符合性</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本次评价根据《项目环评“三线一单”符合性分析技术要点（试行）》（川环办函〔2021〕469号）相关要求对项目“三线一单”进行了符合性分析，具体如下。</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14</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项目与“三线一单”符合性分析</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1430"/>
        <w:gridCol w:w="6150"/>
        <w:gridCol w:w="84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blHeader/>
          <w:jc w:val="center"/>
        </w:trPr>
        <w:tc>
          <w:tcPr>
            <w:tcW w:w="849" w:type="pct"/>
            <w:vAlign w:val="center"/>
          </w:tcPr>
          <w:p>
            <w:pPr>
              <w:pStyle w:val="294"/>
            </w:pPr>
            <w:r>
              <w:t>类别</w:t>
            </w:r>
          </w:p>
        </w:tc>
        <w:tc>
          <w:tcPr>
            <w:tcW w:w="3652" w:type="pct"/>
            <w:vAlign w:val="center"/>
          </w:tcPr>
          <w:p>
            <w:pPr>
              <w:pStyle w:val="294"/>
            </w:pPr>
            <w:r>
              <w:t>项目与“三线一单”符合性分析</w:t>
            </w:r>
          </w:p>
        </w:tc>
        <w:tc>
          <w:tcPr>
            <w:tcW w:w="499" w:type="pct"/>
            <w:vAlign w:val="center"/>
          </w:tcPr>
          <w:p>
            <w:pPr>
              <w:pStyle w:val="294"/>
            </w:pPr>
            <w: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17" w:hRule="atLeast"/>
          <w:jc w:val="center"/>
        </w:trPr>
        <w:tc>
          <w:tcPr>
            <w:tcW w:w="849" w:type="pct"/>
            <w:vAlign w:val="center"/>
          </w:tcPr>
          <w:p>
            <w:pPr>
              <w:pStyle w:val="294"/>
            </w:pPr>
            <w:r>
              <w:t>生态保护红线</w:t>
            </w:r>
          </w:p>
        </w:tc>
        <w:tc>
          <w:tcPr>
            <w:tcW w:w="3652" w:type="pct"/>
            <w:vAlign w:val="center"/>
          </w:tcPr>
          <w:p>
            <w:pPr>
              <w:pStyle w:val="294"/>
            </w:pPr>
            <w:r>
              <w:t>根据《四川省生态保护红线方案》（川府发〔2018〕24号）和达州市人民政府《关于落实生态保护红线、环境质量底线、资源利用上线制定生态环境准入清单实施生态环境分区管控的通知》（达市府发〔2021〕17号）项目所在地不在达州市生态保护红线范围内。</w:t>
            </w:r>
          </w:p>
        </w:tc>
        <w:tc>
          <w:tcPr>
            <w:tcW w:w="499"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699" w:hRule="atLeast"/>
          <w:jc w:val="center"/>
        </w:trPr>
        <w:tc>
          <w:tcPr>
            <w:tcW w:w="849" w:type="pct"/>
            <w:vAlign w:val="center"/>
          </w:tcPr>
          <w:p>
            <w:pPr>
              <w:pStyle w:val="294"/>
            </w:pPr>
            <w:r>
              <w:t>环境质量底线</w:t>
            </w:r>
          </w:p>
        </w:tc>
        <w:tc>
          <w:tcPr>
            <w:tcW w:w="3652" w:type="pct"/>
            <w:vAlign w:val="center"/>
          </w:tcPr>
          <w:p>
            <w:pPr>
              <w:pStyle w:val="294"/>
            </w:pPr>
            <w:r>
              <w:t>项目所在区域的环境质量底线为：环境空气质量目标为《环境空气质量标准》（GB3095-2012）二级标准，水环境质量目标为《地表水环境质量标准》（GB3838-2002）III类标准和《地下水质量标准》（GB/T14848-2017）III类标准，声环境质量目标为《声环境质量标准》（GB3096-2008）2类，土壤环境质量目标为《土壤环境质量 建设用地土壤污染风险管控标准（试行）》（GB36600-2018）中风险筛选值。项目地环境质量现状较好，在严格执行环评提出的相关污染防治措施后，本项目对区域环境影响较小，环境质量可保持现有水平。因此本项目不触及区域环境质量底线。</w:t>
            </w:r>
          </w:p>
        </w:tc>
        <w:tc>
          <w:tcPr>
            <w:tcW w:w="499"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57" w:hRule="atLeast"/>
          <w:jc w:val="center"/>
        </w:trPr>
        <w:tc>
          <w:tcPr>
            <w:tcW w:w="849" w:type="pct"/>
            <w:vAlign w:val="center"/>
          </w:tcPr>
          <w:p>
            <w:pPr>
              <w:pStyle w:val="294"/>
            </w:pPr>
            <w:r>
              <w:t>资源利用上线</w:t>
            </w:r>
          </w:p>
        </w:tc>
        <w:tc>
          <w:tcPr>
            <w:tcW w:w="3652" w:type="pct"/>
            <w:vAlign w:val="center"/>
          </w:tcPr>
          <w:p>
            <w:pPr>
              <w:pStyle w:val="294"/>
            </w:pPr>
            <w:r>
              <w:t>本项目为天然气井建设及天然气试采工程，主要为地区产业发展提供可靠的基础能源设施。本项目通过内部管理、设备选择、原辅材料的选用和管理、废物回收利用、污染治理等多方面采取合理可行的防治措施，以“节能、降耗、减污”为目标，有效地控制污染，资源消耗未达到区域资源利用上限。</w:t>
            </w:r>
          </w:p>
        </w:tc>
        <w:tc>
          <w:tcPr>
            <w:tcW w:w="499"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718" w:hRule="atLeast"/>
          <w:jc w:val="center"/>
        </w:trPr>
        <w:tc>
          <w:tcPr>
            <w:tcW w:w="849" w:type="pct"/>
            <w:vAlign w:val="center"/>
          </w:tcPr>
          <w:p>
            <w:pPr>
              <w:pStyle w:val="294"/>
            </w:pPr>
            <w:r>
              <w:t>环境准入负面清单</w:t>
            </w:r>
          </w:p>
        </w:tc>
        <w:tc>
          <w:tcPr>
            <w:tcW w:w="3652" w:type="pct"/>
            <w:vAlign w:val="center"/>
          </w:tcPr>
          <w:p>
            <w:pPr>
              <w:pStyle w:val="294"/>
            </w:pPr>
            <w:r>
              <w:t>本项目符合国家产业政策，项目采取有效的三废治理措施，具备污染物控制处理的条件，符合当地环保规划的要求。根据四川省政府常务会议2019年8月19日审议通过的相关实施细则，对长江经济带发展实行负面清单管控，明确列出了禁止投资建设的项目类别，管控重点为污染物排放量大、产能过剩严重、环境问题突出的产业，本项目为天然气井建设及天然气试采工程，不属于环境准入负面清单中的项目。</w:t>
            </w:r>
          </w:p>
        </w:tc>
        <w:tc>
          <w:tcPr>
            <w:tcW w:w="499" w:type="pct"/>
            <w:vAlign w:val="center"/>
          </w:tcPr>
          <w:p>
            <w:pPr>
              <w:pStyle w:val="294"/>
            </w:pPr>
            <w:r>
              <w:t>符合</w:t>
            </w:r>
          </w:p>
        </w:tc>
      </w:tr>
    </w:tbl>
    <w:p>
      <w:pPr>
        <w:pStyle w:val="552"/>
        <w:spacing w:before="163" w:beforeLines="50"/>
        <w:ind w:firstLine="480"/>
        <w:rPr>
          <w:color w:val="000000" w:themeColor="text1"/>
          <w14:textFill>
            <w14:solidFill>
              <w14:schemeClr w14:val="tx1"/>
            </w14:solidFill>
          </w14:textFill>
        </w:rPr>
      </w:pPr>
      <w:r>
        <w:rPr>
          <w:color w:val="000000" w:themeColor="text1"/>
          <w14:textFill>
            <w14:solidFill>
              <w14:schemeClr w14:val="tx1"/>
            </w14:solidFill>
          </w14:textFill>
        </w:rPr>
        <w:t>根据四川省发展和改革委员会关于印发《四川省国家重点生态功能区产业准人负面清单（第一批）（试行）》及《四川省重点生态功能区产业准人负面清单（第二批）（试行）》的通知，本项目不在四川省重点生态功能区产业准入负面清单中。同时，根据</w:t>
      </w:r>
      <w:r>
        <w:rPr>
          <w:bCs/>
          <w:color w:val="000000" w:themeColor="text1"/>
          <w14:textFill>
            <w14:solidFill>
              <w14:schemeClr w14:val="tx1"/>
            </w14:solidFill>
          </w14:textFill>
        </w:rPr>
        <w:t>《四川省、重庆市长江经济带发展负面清单实施细则（试行，2022年版）》（川长江办〔2022〕17号）</w:t>
      </w:r>
      <w:r>
        <w:rPr>
          <w:color w:val="000000" w:themeColor="text1"/>
          <w14:textFill>
            <w14:solidFill>
              <w14:schemeClr w14:val="tx1"/>
            </w14:solidFill>
          </w14:textFill>
        </w:rPr>
        <w:t>，本项目不涉及自然保护区、风景名胜区、湿地公园、水产种质资源保护区、饮用水源一级保护区、饮用水源一级保护区等。</w:t>
      </w:r>
    </w:p>
    <w:p>
      <w:pPr>
        <w:pStyle w:val="552"/>
        <w:spacing w:before="163" w:beforeLines="50"/>
        <w:ind w:firstLine="482"/>
        <w:rPr>
          <w:color w:val="000000" w:themeColor="text1"/>
          <w14:textFill>
            <w14:solidFill>
              <w14:schemeClr w14:val="tx1"/>
            </w14:solidFill>
          </w14:textFill>
        </w:rPr>
      </w:pPr>
      <w:r>
        <w:rPr>
          <w:b/>
          <w:color w:val="000000" w:themeColor="text1"/>
          <w14:textFill>
            <w14:solidFill>
              <w14:schemeClr w14:val="tx1"/>
            </w14:solidFill>
          </w14:textFill>
        </w:rPr>
        <w:t>综上所述，本项目不在生态保护红线内、未超出环境质量底线及资源利用上线、不属于当地环境准入负面清单所列项目，不在四川省、重庆市长江经济带发展负面清单内。</w:t>
      </w:r>
    </w:p>
    <w:p>
      <w:pPr>
        <w:adjustRightInd/>
        <w:snapToGrid/>
        <w:ind w:firstLine="480"/>
        <w:rPr>
          <w:rFonts w:cs="Times New Roman"/>
          <w:color w:val="000000" w:themeColor="text1"/>
          <w:kern w:val="0"/>
          <w:szCs w:val="24"/>
          <w14:textFill>
            <w14:solidFill>
              <w14:schemeClr w14:val="tx1"/>
            </w14:solidFill>
          </w14:textFill>
        </w:rPr>
      </w:pPr>
      <w:r>
        <w:rPr>
          <w:rFonts w:cs="Times New Roman"/>
          <w:color w:val="000000" w:themeColor="text1"/>
          <w:kern w:val="0"/>
          <w:szCs w:val="24"/>
          <w14:textFill>
            <w14:solidFill>
              <w14:schemeClr w14:val="tx1"/>
            </w14:solidFill>
          </w14:textFill>
        </w:rPr>
        <w:t>本项目与达州市环境管控单元位置关系见下图。</w:t>
      </w:r>
    </w:p>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2287270</wp:posOffset>
                </wp:positionH>
                <wp:positionV relativeFrom="paragraph">
                  <wp:posOffset>951230</wp:posOffset>
                </wp:positionV>
                <wp:extent cx="995045" cy="356235"/>
                <wp:effectExtent l="133350" t="0" r="14605" b="272415"/>
                <wp:wrapNone/>
                <wp:docPr id="10" name="对话气泡: 圆角矩形 10"/>
                <wp:cNvGraphicFramePr/>
                <a:graphic xmlns:a="http://schemas.openxmlformats.org/drawingml/2006/main">
                  <a:graphicData uri="http://schemas.microsoft.com/office/word/2010/wordprocessingShape">
                    <wps:wsp>
                      <wps:cNvSpPr>
                        <a:spLocks noChangeArrowheads="1"/>
                      </wps:cNvSpPr>
                      <wps:spPr bwMode="auto">
                        <a:xfrm>
                          <a:off x="0" y="0"/>
                          <a:ext cx="995045" cy="356235"/>
                        </a:xfrm>
                        <a:prstGeom prst="wedgeRoundRectCallout">
                          <a:avLst>
                            <a:gd name="adj1" fmla="val -58861"/>
                            <a:gd name="adj2" fmla="val 108227"/>
                            <a:gd name="adj3" fmla="val 16667"/>
                          </a:avLst>
                        </a:prstGeom>
                        <a:solidFill>
                          <a:srgbClr val="FFFFFF"/>
                        </a:solidFill>
                        <a:ln w="9525" cmpd="sng">
                          <a:solidFill>
                            <a:srgbClr val="000000"/>
                          </a:solidFill>
                          <a:miter lim="800000"/>
                        </a:ln>
                      </wps:spPr>
                      <wps:txbx>
                        <w:txbxContent>
                          <w:p>
                            <w:pPr>
                              <w:ind w:firstLine="0" w:firstLineChars="0"/>
                              <w:rPr>
                                <w:sz w:val="22"/>
                                <w:szCs w:val="21"/>
                              </w:rPr>
                            </w:pPr>
                            <w:r>
                              <w:rPr>
                                <w:rFonts w:hint="eastAsia"/>
                                <w:sz w:val="22"/>
                                <w:szCs w:val="21"/>
                              </w:rPr>
                              <w:t>项目所在地</w:t>
                            </w:r>
                          </w:p>
                        </w:txbxContent>
                      </wps:txbx>
                      <wps:bodyPr rot="0" vert="horz" wrap="square" lIns="91440" tIns="45720" rIns="91440" bIns="45720" anchor="t" anchorCtr="0" upright="1">
                        <a:noAutofit/>
                      </wps:bodyPr>
                    </wps:wsp>
                  </a:graphicData>
                </a:graphic>
              </wp:anchor>
            </w:drawing>
          </mc:Choice>
          <mc:Fallback>
            <w:pict>
              <v:shape id="对话气泡: 圆角矩形 10" o:spid="_x0000_s1026" o:spt="62" type="#_x0000_t62" style="position:absolute;left:0pt;margin-left:180.1pt;margin-top:74.9pt;height:28.05pt;width:78.35pt;z-index:251666432;mso-width-relative:page;mso-height-relative:page;" fillcolor="#FFFFFF" filled="t" stroked="t" coordsize="21600,21600" o:gfxdata="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iJ6+ndkAAAALAQAADwAAAAAAAAABACAAAAAiAAAAZHJzL2Rvd25yZXYueG1sUEsBAhQAFAAA&#10;AAgAh07iQDw9FWSZAgAAIgUAAA4AAAAAAAAAAQAgAAAAKAEAAGRycy9lMm9Eb2MueG1sUEsFBgAA&#10;AAAGAAYAWQEAADMGAAAAAA==&#10;" adj="-1914,34177,14400">
                <v:fill on="t" focussize="0,0"/>
                <v:stroke color="#000000" miterlimit="8" joinstyle="miter"/>
                <v:imagedata o:title=""/>
                <o:lock v:ext="edit" aspectratio="f"/>
                <v:textbox>
                  <w:txbxContent>
                    <w:p>
                      <w:pPr>
                        <w:ind w:firstLine="0" w:firstLineChars="0"/>
                        <w:rPr>
                          <w:sz w:val="22"/>
                          <w:szCs w:val="21"/>
                        </w:rPr>
                      </w:pPr>
                      <w:r>
                        <w:rPr>
                          <w:rFonts w:hint="eastAsia"/>
                          <w:sz w:val="22"/>
                          <w:szCs w:val="21"/>
                        </w:rPr>
                        <w:t>项目所在地</w:t>
                      </w:r>
                    </w:p>
                  </w:txbxContent>
                </v:textbox>
              </v:shape>
            </w:pict>
          </mc:Fallback>
        </mc:AlternateContent>
      </w:r>
      <w:r>
        <w:rPr>
          <w:rFonts w:cs="Times New Roman"/>
          <w:bCs/>
          <w:color w:val="000000" w:themeColor="text1"/>
          <w:sz w:val="21"/>
          <w:szCs w:val="18"/>
          <w14:textFill>
            <w14:solidFill>
              <w14:schemeClr w14:val="tx1"/>
            </w14:solidFill>
          </w14:textFill>
        </w:rPr>
        <w:drawing>
          <wp:inline distT="0" distB="0" distL="0" distR="0">
            <wp:extent cx="5024120" cy="3275330"/>
            <wp:effectExtent l="0" t="0" r="5080" b="1270"/>
            <wp:docPr id="1792" name="图片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图片 1792"/>
                    <pic:cNvPicPr>
                      <a:picLocks noChangeAspect="1" noChangeArrowheads="1"/>
                    </pic:cNvPicPr>
                  </pic:nvPicPr>
                  <pic:blipFill>
                    <a:blip r:embed="rId36" cstate="print">
                      <a:extLst>
                        <a:ext uri="{28A0092B-C50C-407E-A947-70E740481C1C}">
                          <a14:useLocalDpi xmlns:a14="http://schemas.microsoft.com/office/drawing/2010/main" val="0"/>
                        </a:ext>
                      </a:extLst>
                    </a:blip>
                    <a:srcRect t="4350" b="3275"/>
                    <a:stretch>
                      <a:fillRect/>
                    </a:stretch>
                  </pic:blipFill>
                  <pic:spPr>
                    <a:xfrm>
                      <a:off x="0" y="0"/>
                      <a:ext cx="5037977" cy="3284450"/>
                    </a:xfrm>
                    <a:prstGeom prst="rect">
                      <a:avLst/>
                    </a:prstGeom>
                    <a:noFill/>
                    <a:ln>
                      <a:noFill/>
                    </a:ln>
                  </pic:spPr>
                </pic:pic>
              </a:graphicData>
            </a:graphic>
          </wp:inline>
        </w:drawing>
      </w:r>
    </w:p>
    <w:p>
      <w:pPr>
        <w:widowControl/>
        <w:tabs>
          <w:tab w:val="left" w:pos="3864"/>
        </w:tabs>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图2.7-2  项目与达州市环境管控单元位置关系图</w:t>
      </w:r>
    </w:p>
    <w:p>
      <w:pPr>
        <w:spacing w:line="240" w:lineRule="auto"/>
        <w:ind w:firstLine="0" w:firstLineChars="0"/>
        <w:jc w:val="center"/>
        <w:rPr>
          <w:rFonts w:cs="Times New Roman"/>
          <w:bCs/>
          <w:color w:val="000000" w:themeColor="text1"/>
          <w:sz w:val="21"/>
          <w:szCs w:val="18"/>
          <w14:textFill>
            <w14:solidFill>
              <w14:schemeClr w14:val="tx1"/>
            </w14:solidFill>
          </w14:textFill>
        </w:rPr>
      </w:pPr>
    </w:p>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
          <w:color w:val="000000" w:themeColor="text1"/>
          <w:sz w:val="21"/>
          <w:szCs w:val="18"/>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2133600</wp:posOffset>
                </wp:positionH>
                <wp:positionV relativeFrom="paragraph">
                  <wp:posOffset>1657350</wp:posOffset>
                </wp:positionV>
                <wp:extent cx="45085" cy="45085"/>
                <wp:effectExtent l="6350" t="13970" r="5715" b="7620"/>
                <wp:wrapNone/>
                <wp:docPr id="358887444" name="椭圆 2"/>
                <wp:cNvGraphicFramePr/>
                <a:graphic xmlns:a="http://schemas.openxmlformats.org/drawingml/2006/main">
                  <a:graphicData uri="http://schemas.microsoft.com/office/word/2010/wordprocessingShape">
                    <wps:wsp>
                      <wps:cNvSpPr>
                        <a:spLocks noChangeArrowheads="1"/>
                      </wps:cNvSpPr>
                      <wps:spPr bwMode="auto">
                        <a:xfrm>
                          <a:off x="0" y="0"/>
                          <a:ext cx="45085" cy="45085"/>
                        </a:xfrm>
                        <a:prstGeom prst="ellipse">
                          <a:avLst/>
                        </a:prstGeom>
                        <a:solidFill>
                          <a:srgbClr val="FF0000"/>
                        </a:solidFill>
                        <a:ln w="9525">
                          <a:solidFill>
                            <a:srgbClr val="FF0000"/>
                          </a:solidFill>
                          <a:round/>
                        </a:ln>
                      </wps:spPr>
                      <wps:bodyPr rot="0" vert="horz" wrap="square" lIns="91440" tIns="45720" rIns="91440" bIns="45720" anchor="t" anchorCtr="0" upright="1">
                        <a:noAutofit/>
                      </wps:bodyPr>
                    </wps:wsp>
                  </a:graphicData>
                </a:graphic>
              </wp:anchor>
            </w:drawing>
          </mc:Choice>
          <mc:Fallback>
            <w:pict>
              <v:shape id="椭圆 2" o:spid="_x0000_s1026" o:spt="3" type="#_x0000_t3" style="position:absolute;left:0pt;margin-left:168pt;margin-top:130.5pt;height:3.55pt;width:3.55pt;z-index:251668480;mso-width-relative:page;mso-height-relative:page;" fillcolor="#FF0000" filled="t" stroked="t" coordsize="21600,21600" o:gfxdata="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Iikb3YAAAACwEAAA8AAAAAAAAAAQAgAAAAIgAAAGRycy9kb3ducmV2LnhtbFBL&#10;AQIUABQAAAAIAIdO4kBVSgKyLwIAAGoEAAAOAAAAAAAAAAEAIAAAACcBAABkcnMvZTJvRG9jLnht&#10;bFBLBQYAAAAABgAGAFkBAADIBQAAAAA=&#10;">
                <v:fill on="t" focussize="0,0"/>
                <v:stroke color="#FF0000" joinstyle="round"/>
                <v:imagedata o:title=""/>
                <o:lock v:ext="edit" aspectratio="f"/>
              </v:shape>
            </w:pict>
          </mc:Fallback>
        </mc:AlternateContent>
      </w:r>
      <w:r>
        <w:rPr>
          <w:rFonts w:cs="Times New Roman"/>
          <w:b/>
          <w:color w:val="000000" w:themeColor="text1"/>
          <w:sz w:val="21"/>
          <w:szCs w:val="18"/>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926465</wp:posOffset>
                </wp:positionH>
                <wp:positionV relativeFrom="paragraph">
                  <wp:posOffset>908685</wp:posOffset>
                </wp:positionV>
                <wp:extent cx="1218565" cy="317500"/>
                <wp:effectExtent l="0" t="0" r="57785" b="520700"/>
                <wp:wrapNone/>
                <wp:docPr id="2703" name="对话气泡: 矩形 3"/>
                <wp:cNvGraphicFramePr/>
                <a:graphic xmlns:a="http://schemas.openxmlformats.org/drawingml/2006/main">
                  <a:graphicData uri="http://schemas.microsoft.com/office/word/2010/wordprocessingShape">
                    <wps:wsp>
                      <wps:cNvSpPr>
                        <a:spLocks noChangeArrowheads="1"/>
                      </wps:cNvSpPr>
                      <wps:spPr bwMode="auto">
                        <a:xfrm>
                          <a:off x="0" y="0"/>
                          <a:ext cx="1218565" cy="317500"/>
                        </a:xfrm>
                        <a:prstGeom prst="wedgeRectCallout">
                          <a:avLst>
                            <a:gd name="adj1" fmla="val 50157"/>
                            <a:gd name="adj2" fmla="val 191000"/>
                          </a:avLst>
                        </a:prstGeom>
                        <a:solidFill>
                          <a:srgbClr val="FFFFFF"/>
                        </a:solidFill>
                        <a:ln w="9525">
                          <a:solidFill>
                            <a:srgbClr val="000000"/>
                          </a:solidFill>
                          <a:miter lim="800000"/>
                        </a:ln>
                      </wps:spPr>
                      <wps:txbx>
                        <w:txbxContent>
                          <w:p>
                            <w:pPr>
                              <w:ind w:firstLine="0" w:firstLineChars="0"/>
                              <w:rPr>
                                <w:sz w:val="21"/>
                                <w:szCs w:val="20"/>
                              </w:rPr>
                            </w:pPr>
                            <w:r>
                              <w:rPr>
                                <w:rFonts w:hint="eastAsia"/>
                                <w:sz w:val="21"/>
                                <w:szCs w:val="20"/>
                              </w:rPr>
                              <w:t>本项目所在位置</w:t>
                            </w:r>
                          </w:p>
                        </w:txbxContent>
                      </wps:txbx>
                      <wps:bodyPr rot="0" vert="horz" wrap="square" lIns="91440" tIns="45720" rIns="91440" bIns="45720" anchor="t" anchorCtr="0" upright="1">
                        <a:noAutofit/>
                      </wps:bodyPr>
                    </wps:wsp>
                  </a:graphicData>
                </a:graphic>
              </wp:anchor>
            </w:drawing>
          </mc:Choice>
          <mc:Fallback>
            <w:pict>
              <v:shape id="对话气泡: 矩形 3" o:spid="_x0000_s1026" o:spt="61" type="#_x0000_t61" style="position:absolute;left:0pt;margin-left:72.95pt;margin-top:71.55pt;height:25pt;width:95.95pt;z-index:251667456;mso-width-relative:page;mso-height-relative:page;" fillcolor="#FFFFFF" filled="t" stroked="t" coordsize="21600,21600" o:gfxdata="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v43ie0wAAAAsBAAAPAAAAAAAAAAEAIAAAACIAAABkcnMv&#10;ZG93bnJldi54bWxQSwECFAAUAAAACACHTuJA0dA6Z3oCAADpBAAADgAAAAAAAAABACAAAAAiAQAA&#10;ZHJzL2Uyb0RvYy54bWxQSwUGAAAAAAYABgBZAQAADgYAAAAA&#10;" adj="21634,52056">
                <v:fill on="t" focussize="0,0"/>
                <v:stroke color="#000000" miterlimit="8" joinstyle="miter"/>
                <v:imagedata o:title=""/>
                <o:lock v:ext="edit" aspectratio="f"/>
                <v:textbox>
                  <w:txbxContent>
                    <w:p>
                      <w:pPr>
                        <w:ind w:firstLine="0" w:firstLineChars="0"/>
                        <w:rPr>
                          <w:sz w:val="21"/>
                          <w:szCs w:val="20"/>
                        </w:rPr>
                      </w:pPr>
                      <w:r>
                        <w:rPr>
                          <w:rFonts w:hint="eastAsia"/>
                          <w:sz w:val="21"/>
                          <w:szCs w:val="20"/>
                        </w:rPr>
                        <w:t>本项目所在位置</w:t>
                      </w:r>
                    </w:p>
                  </w:txbxContent>
                </v:textbox>
              </v:shape>
            </w:pict>
          </mc:Fallback>
        </mc:AlternateContent>
      </w:r>
      <w:r>
        <w:rPr>
          <w:rFonts w:cs="Times New Roman"/>
          <w:bCs/>
          <w:color w:val="000000" w:themeColor="text1"/>
          <w:sz w:val="21"/>
          <w:szCs w:val="18"/>
          <w14:textFill>
            <w14:solidFill>
              <w14:schemeClr w14:val="tx1"/>
            </w14:solidFill>
          </w14:textFill>
        </w:rPr>
        <w:drawing>
          <wp:inline distT="0" distB="0" distL="0" distR="0">
            <wp:extent cx="5039995" cy="3452495"/>
            <wp:effectExtent l="0" t="0" r="8255" b="0"/>
            <wp:docPr id="19322769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276999" name="图片 1"/>
                    <pic:cNvPicPr>
                      <a:picLocks noChangeAspect="1" noChangeArrowheads="1"/>
                    </pic:cNvPicPr>
                  </pic:nvPicPr>
                  <pic:blipFill>
                    <a:blip r:embed="rId37" cstate="print">
                      <a:extLst>
                        <a:ext uri="{28A0092B-C50C-407E-A947-70E740481C1C}">
                          <a14:useLocalDpi xmlns:a14="http://schemas.microsoft.com/office/drawing/2010/main" val="0"/>
                        </a:ext>
                      </a:extLst>
                    </a:blip>
                    <a:srcRect b="2856"/>
                    <a:stretch>
                      <a:fillRect/>
                    </a:stretch>
                  </pic:blipFill>
                  <pic:spPr>
                    <a:xfrm>
                      <a:off x="0" y="0"/>
                      <a:ext cx="5039995" cy="3452495"/>
                    </a:xfrm>
                    <a:prstGeom prst="rect">
                      <a:avLst/>
                    </a:prstGeom>
                    <a:noFill/>
                    <a:ln>
                      <a:noFill/>
                    </a:ln>
                  </pic:spPr>
                </pic:pic>
              </a:graphicData>
            </a:graphic>
          </wp:inline>
        </w:drawing>
      </w:r>
    </w:p>
    <w:p>
      <w:pPr>
        <w:widowControl/>
        <w:tabs>
          <w:tab w:val="left" w:pos="3864"/>
        </w:tabs>
        <w:spacing w:line="240" w:lineRule="auto"/>
        <w:ind w:firstLine="0" w:firstLineChars="0"/>
        <w:jc w:val="center"/>
        <w:rPr>
          <w:rFonts w:eastAsia="黑体" w:cs="Times New Roman"/>
          <w:color w:val="000000" w:themeColor="text1"/>
          <w:kern w:val="0"/>
          <w:sz w:val="21"/>
          <w:szCs w:val="21"/>
          <w14:textFill>
            <w14:solidFill>
              <w14:schemeClr w14:val="tx1"/>
            </w14:solidFill>
          </w14:textFill>
        </w:rPr>
      </w:pPr>
      <w:r>
        <w:rPr>
          <w:rFonts w:eastAsia="黑体" w:cs="Times New Roman"/>
          <w:color w:val="000000" w:themeColor="text1"/>
          <w:kern w:val="0"/>
          <w:sz w:val="21"/>
          <w:szCs w:val="21"/>
          <w14:textFill>
            <w14:solidFill>
              <w14:schemeClr w14:val="tx1"/>
            </w14:solidFill>
          </w14:textFill>
        </w:rPr>
        <w:t>图2.7-3  项目在生态红线图的位置示意图</w:t>
      </w:r>
    </w:p>
    <w:p>
      <w:pPr>
        <w:tabs>
          <w:tab w:val="left" w:pos="0"/>
        </w:tabs>
        <w:ind w:firstLine="480"/>
        <w:rPr>
          <w:rFonts w:eastAsia="黑体" w:cs="Times New Roman"/>
          <w:color w:val="000000" w:themeColor="text1"/>
          <w14:textFill>
            <w14:solidFill>
              <w14:schemeClr w14:val="tx1"/>
            </w14:solidFill>
          </w14:textFill>
        </w:rPr>
      </w:pPr>
      <w:r>
        <w:rPr>
          <w:rFonts w:eastAsia="黑体" w:cs="Times New Roman"/>
          <w:color w:val="000000" w:themeColor="text1"/>
          <w14:textFill>
            <w14:solidFill>
              <w14:schemeClr w14:val="tx1"/>
            </w14:solidFill>
          </w14:textFill>
        </w:rPr>
        <w:t>2、与环境管控单元符合性分析</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项目位于一般管控单元区域，本项目不在达州市生态保护红线范围内，也不在四川省其他生态空间范围内。</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项目涉及环境管控单元如下。</w:t>
      </w:r>
    </w:p>
    <w:p>
      <w:pPr>
        <w:pStyle w:val="249"/>
        <w:ind w:firstLine="0" w:firstLineChars="0"/>
        <w:jc w:val="center"/>
        <w:rPr>
          <w:color w:val="000000" w:themeColor="text1"/>
          <w:highlight w:val="yellow"/>
          <w14:textFill>
            <w14:solidFill>
              <w14:schemeClr w14:val="tx1"/>
            </w14:solidFill>
          </w14:textFill>
        </w:rPr>
      </w:pPr>
      <w:r>
        <w:rPr>
          <w:color w:val="000000" w:themeColor="text1"/>
          <w14:textFill>
            <w14:solidFill>
              <w14:schemeClr w14:val="tx1"/>
            </w14:solidFill>
          </w14:textFill>
        </w:rPr>
        <w:t>表2.7-16  项目涉及环境管控单元表</w:t>
      </w:r>
    </w:p>
    <w:tbl>
      <w:tblPr>
        <w:tblStyle w:val="52"/>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891"/>
        <w:gridCol w:w="1553"/>
        <w:gridCol w:w="1137"/>
        <w:gridCol w:w="873"/>
        <w:gridCol w:w="1475"/>
        <w:gridCol w:w="159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09" w:type="pct"/>
            <w:vAlign w:val="center"/>
          </w:tcPr>
          <w:p>
            <w:pPr>
              <w:spacing w:line="240" w:lineRule="auto"/>
              <w:ind w:firstLine="0" w:firstLineChars="0"/>
              <w:jc w:val="center"/>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环境管控单元编码</w:t>
            </w:r>
          </w:p>
        </w:tc>
        <w:tc>
          <w:tcPr>
            <w:tcW w:w="911" w:type="pct"/>
            <w:vAlign w:val="center"/>
          </w:tcPr>
          <w:p>
            <w:pPr>
              <w:spacing w:line="240" w:lineRule="auto"/>
              <w:ind w:firstLine="0" w:firstLineChars="0"/>
              <w:jc w:val="center"/>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环境管控单元名称</w:t>
            </w:r>
          </w:p>
        </w:tc>
        <w:tc>
          <w:tcPr>
            <w:tcW w:w="667" w:type="pct"/>
            <w:vAlign w:val="center"/>
          </w:tcPr>
          <w:p>
            <w:pPr>
              <w:spacing w:line="240" w:lineRule="auto"/>
              <w:ind w:firstLine="0" w:firstLineChars="0"/>
              <w:jc w:val="center"/>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所属市（州）</w:t>
            </w:r>
          </w:p>
        </w:tc>
        <w:tc>
          <w:tcPr>
            <w:tcW w:w="512" w:type="pct"/>
            <w:vAlign w:val="center"/>
          </w:tcPr>
          <w:p>
            <w:pPr>
              <w:spacing w:line="240" w:lineRule="auto"/>
              <w:ind w:firstLine="0" w:firstLineChars="0"/>
              <w:jc w:val="center"/>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所属区县</w:t>
            </w:r>
          </w:p>
        </w:tc>
        <w:tc>
          <w:tcPr>
            <w:tcW w:w="865" w:type="pct"/>
            <w:vAlign w:val="center"/>
          </w:tcPr>
          <w:p>
            <w:pPr>
              <w:spacing w:line="240" w:lineRule="auto"/>
              <w:ind w:firstLine="0" w:firstLineChars="0"/>
              <w:jc w:val="center"/>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准入清单类型</w:t>
            </w:r>
          </w:p>
        </w:tc>
        <w:tc>
          <w:tcPr>
            <w:tcW w:w="934" w:type="pct"/>
            <w:vAlign w:val="center"/>
          </w:tcPr>
          <w:p>
            <w:pPr>
              <w:spacing w:line="240" w:lineRule="auto"/>
              <w:ind w:firstLine="0" w:firstLineChars="0"/>
              <w:jc w:val="center"/>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管控类型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09"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YS5117223210002</w:t>
            </w:r>
          </w:p>
        </w:tc>
        <w:tc>
          <w:tcPr>
            <w:tcW w:w="911"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州河-宣汉县-张鼓坪-控制单元</w:t>
            </w:r>
          </w:p>
        </w:tc>
        <w:tc>
          <w:tcPr>
            <w:tcW w:w="667"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达州市</w:t>
            </w:r>
          </w:p>
        </w:tc>
        <w:tc>
          <w:tcPr>
            <w:tcW w:w="512"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宣汉县</w:t>
            </w:r>
          </w:p>
        </w:tc>
        <w:tc>
          <w:tcPr>
            <w:tcW w:w="865"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土壤污染风险管控分区</w:t>
            </w:r>
          </w:p>
        </w:tc>
        <w:tc>
          <w:tcPr>
            <w:tcW w:w="934"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水环境一般管控区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09"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YS5117223310001</w:t>
            </w:r>
          </w:p>
        </w:tc>
        <w:tc>
          <w:tcPr>
            <w:tcW w:w="911"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宣汉县大气环境一般管控区</w:t>
            </w:r>
          </w:p>
        </w:tc>
        <w:tc>
          <w:tcPr>
            <w:tcW w:w="667"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达州市</w:t>
            </w:r>
          </w:p>
        </w:tc>
        <w:tc>
          <w:tcPr>
            <w:tcW w:w="512"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宣汉县</w:t>
            </w:r>
          </w:p>
        </w:tc>
        <w:tc>
          <w:tcPr>
            <w:tcW w:w="865"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土壤污染风险管控分区</w:t>
            </w:r>
          </w:p>
        </w:tc>
        <w:tc>
          <w:tcPr>
            <w:tcW w:w="934"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大气环境一般管控区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09"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ZH51172230001</w:t>
            </w:r>
          </w:p>
        </w:tc>
        <w:tc>
          <w:tcPr>
            <w:tcW w:w="911"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宣汉县一般管控单元</w:t>
            </w:r>
          </w:p>
        </w:tc>
        <w:tc>
          <w:tcPr>
            <w:tcW w:w="667"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达州市</w:t>
            </w:r>
          </w:p>
        </w:tc>
        <w:tc>
          <w:tcPr>
            <w:tcW w:w="512"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宣汉县</w:t>
            </w:r>
          </w:p>
        </w:tc>
        <w:tc>
          <w:tcPr>
            <w:tcW w:w="865"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土壤污染风险管控分区</w:t>
            </w:r>
          </w:p>
        </w:tc>
        <w:tc>
          <w:tcPr>
            <w:tcW w:w="934" w:type="pct"/>
            <w:vAlign w:val="center"/>
          </w:tcPr>
          <w:p>
            <w:pPr>
              <w:pStyle w:val="258"/>
              <w:widowControl/>
              <w:spacing w:line="240" w:lineRule="auto"/>
              <w:ind w:firstLine="0" w:firstLineChars="0"/>
              <w:jc w:val="center"/>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环境综合管控单元一般管控单元</w:t>
            </w:r>
          </w:p>
        </w:tc>
      </w:tr>
    </w:tbl>
    <w:p>
      <w:pPr>
        <w:pStyle w:val="92"/>
        <w:rPr>
          <w:snapToGrid w:val="0"/>
          <w:color w:val="000000" w:themeColor="text1"/>
          <w:w w:val="0"/>
          <w:sz w:val="0"/>
          <w:szCs w:val="0"/>
          <w:highlight w:val="yellow"/>
          <w:u w:color="000000"/>
          <w:shd w:val="clear" w:color="000000" w:fill="000000"/>
          <w:lang w:val="zh-CN" w:eastAsia="zh-CN" w:bidi="zh-CN"/>
          <w14:textFill>
            <w14:solidFill>
              <w14:schemeClr w14:val="tx1"/>
            </w14:solidFill>
          </w14:textFill>
        </w:rPr>
      </w:pPr>
      <w:r>
        <w:rPr>
          <w:snapToGrid w:val="0"/>
          <w:color w:val="000000" w:themeColor="text1"/>
          <w:w w:val="0"/>
          <w:sz w:val="0"/>
          <w:szCs w:val="0"/>
          <w:highlight w:val="yellow"/>
          <w:u w:color="000000"/>
          <w:shd w:val="clear" w:color="000000" w:fill="000000"/>
          <w:lang w:val="zh-CN" w:eastAsia="zh-CN" w:bidi="zh-CN"/>
          <w14:textFill>
            <w14:solidFill>
              <w14:schemeClr w14:val="tx1"/>
            </w14:solidFill>
          </w14:textFill>
        </w:rPr>
        <w:t xml:space="preserve"> </w:t>
      </w:r>
    </w:p>
    <w:p>
      <w:pPr>
        <w:pStyle w:val="92"/>
        <w:rPr>
          <w:color w:val="000000" w:themeColor="text1"/>
          <w:highlight w:val="yellow"/>
          <w14:textFill>
            <w14:solidFill>
              <w14:schemeClr w14:val="tx1"/>
            </w14:solidFill>
          </w14:textFill>
        </w:rPr>
      </w:pPr>
      <w:r>
        <w:rPr>
          <w:color w:val="000000" w:themeColor="text1"/>
          <w:highlight w:val="yellow"/>
          <w:lang w:eastAsia="zh-CN"/>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2104390</wp:posOffset>
                </wp:positionH>
                <wp:positionV relativeFrom="paragraph">
                  <wp:posOffset>4313555</wp:posOffset>
                </wp:positionV>
                <wp:extent cx="1260475" cy="360045"/>
                <wp:effectExtent l="304800" t="0" r="15875" b="421005"/>
                <wp:wrapNone/>
                <wp:docPr id="80" name="对话气泡: 圆角矩形 80"/>
                <wp:cNvGraphicFramePr/>
                <a:graphic xmlns:a="http://schemas.openxmlformats.org/drawingml/2006/main">
                  <a:graphicData uri="http://schemas.microsoft.com/office/word/2010/wordprocessingShape">
                    <wps:wsp>
                      <wps:cNvSpPr/>
                      <wps:spPr>
                        <a:xfrm>
                          <a:off x="0" y="0"/>
                          <a:ext cx="1260475" cy="360045"/>
                        </a:xfrm>
                        <a:prstGeom prst="wedgeRoundRectCallout">
                          <a:avLst>
                            <a:gd name="adj1" fmla="val -70943"/>
                            <a:gd name="adj2" fmla="val 151004"/>
                            <a:gd name="adj3" fmla="val 16667"/>
                          </a:avLst>
                        </a:prstGeom>
                        <a:solidFill>
                          <a:srgbClr val="4472C4"/>
                        </a:solidFill>
                        <a:ln w="12700" cap="flat" cmpd="sng" algn="ctr">
                          <a:solidFill>
                            <a:srgbClr val="4472C4">
                              <a:shade val="50000"/>
                            </a:srgbClr>
                          </a:solidFill>
                          <a:prstDash val="solid"/>
                          <a:miter lim="800000"/>
                        </a:ln>
                        <a:effectLst/>
                      </wps:spPr>
                      <wps:txbx>
                        <w:txbxContent>
                          <w:p>
                            <w:pPr>
                              <w:spacing w:line="240" w:lineRule="auto"/>
                              <w:ind w:firstLine="0" w:firstLineChars="0"/>
                              <w:jc w:val="center"/>
                              <w:rPr>
                                <w:b/>
                                <w:bCs/>
                              </w:rPr>
                            </w:pPr>
                            <w:r>
                              <w:rPr>
                                <w:rFonts w:hint="eastAsia"/>
                                <w:b/>
                                <w:bCs/>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80" o:spid="_x0000_s1026" o:spt="62" type="#_x0000_t62" style="position:absolute;left:0pt;margin-left:165.7pt;margin-top:339.65pt;height:28.35pt;width:99.25pt;z-index:251709440;v-text-anchor:middle;mso-width-relative:page;mso-height-relative:page;" fillcolor="#4472C4" filled="t" stroked="t" coordsize="21600,21600" o:gfxdata="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&#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" adj="-4524,43417,14400">
                <v:fill on="t" focussize="0,0"/>
                <v:stroke weight="1pt" color="#2F528F" miterlimit="8" joinstyle="miter"/>
                <v:imagedata o:title=""/>
                <o:lock v:ext="edit" aspectratio="f"/>
                <v:textbox>
                  <w:txbxContent>
                    <w:p>
                      <w:pPr>
                        <w:spacing w:line="240" w:lineRule="auto"/>
                        <w:ind w:firstLine="0" w:firstLineChars="0"/>
                        <w:jc w:val="center"/>
                        <w:rPr>
                          <w:b/>
                          <w:bCs/>
                        </w:rPr>
                      </w:pPr>
                      <w:r>
                        <w:rPr>
                          <w:rFonts w:hint="eastAsia"/>
                          <w:b/>
                          <w:bCs/>
                        </w:rPr>
                        <w:t>项目所在地</w:t>
                      </w:r>
                    </w:p>
                  </w:txbxContent>
                </v:textbox>
              </v:shape>
            </w:pict>
          </mc:Fallback>
        </mc:AlternateContent>
      </w:r>
      <w:r>
        <w:rPr>
          <w:highlight w:val="yellow"/>
          <w:lang w:eastAsia="zh-CN"/>
        </w:rPr>
        <w:drawing>
          <wp:inline distT="0" distB="0" distL="114300" distR="114300">
            <wp:extent cx="5268595" cy="3746500"/>
            <wp:effectExtent l="0" t="0" r="8255" b="6350"/>
            <wp:docPr id="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
                    <pic:cNvPicPr>
                      <a:picLocks noChangeAspect="1"/>
                    </pic:cNvPicPr>
                  </pic:nvPicPr>
                  <pic:blipFill>
                    <a:blip r:embed="rId38"/>
                    <a:stretch>
                      <a:fillRect/>
                    </a:stretch>
                  </pic:blipFill>
                  <pic:spPr>
                    <a:xfrm>
                      <a:off x="0" y="0"/>
                      <a:ext cx="5268595" cy="3746500"/>
                    </a:xfrm>
                    <a:prstGeom prst="rect">
                      <a:avLst/>
                    </a:prstGeom>
                    <a:noFill/>
                    <a:ln>
                      <a:noFill/>
                    </a:ln>
                  </pic:spPr>
                </pic:pic>
              </a:graphicData>
            </a:graphic>
          </wp:inline>
        </w:drawing>
      </w:r>
      <w:r>
        <w:rPr>
          <w:color w:val="000000" w:themeColor="text1"/>
          <w:highlight w:val="yellow"/>
          <w:lang w:eastAsia="zh-CN"/>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1982470</wp:posOffset>
                </wp:positionH>
                <wp:positionV relativeFrom="paragraph">
                  <wp:posOffset>1395095</wp:posOffset>
                </wp:positionV>
                <wp:extent cx="20320" cy="9525"/>
                <wp:effectExtent l="0" t="0" r="36830" b="28575"/>
                <wp:wrapNone/>
                <wp:docPr id="2136420146" name="直接连接符 6"/>
                <wp:cNvGraphicFramePr/>
                <a:graphic xmlns:a="http://schemas.openxmlformats.org/drawingml/2006/main">
                  <a:graphicData uri="http://schemas.microsoft.com/office/word/2010/wordprocessingShape">
                    <wps:wsp>
                      <wps:cNvCnPr/>
                      <wps:spPr>
                        <a:xfrm>
                          <a:off x="0" y="0"/>
                          <a:ext cx="20527" cy="9745"/>
                        </a:xfrm>
                        <a:prstGeom prst="line">
                          <a:avLst/>
                        </a:prstGeom>
                        <a:noFill/>
                        <a:ln w="6350" cap="flat" cmpd="sng" algn="ctr">
                          <a:solidFill>
                            <a:srgbClr val="4472C4"/>
                          </a:solidFill>
                          <a:prstDash val="solid"/>
                          <a:miter lim="800000"/>
                        </a:ln>
                        <a:effectLst/>
                      </wps:spPr>
                      <wps:bodyPr/>
                    </wps:wsp>
                  </a:graphicData>
                </a:graphic>
              </wp:anchor>
            </w:drawing>
          </mc:Choice>
          <mc:Fallback>
            <w:pict>
              <v:line id="直接连接符 6" o:spid="_x0000_s1026" o:spt="20" style="position:absolute;left:0pt;margin-left:156.1pt;margin-top:109.85pt;height:0.75pt;width:1.6pt;z-index:251711488;mso-width-relative:page;mso-height-relative:page;" filled="f" stroked="t" coordsize="21600,21600" o:gfxdata="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kNyEU9sAAAALAQAADwAAAAAAAAABACAAAAAiAAAAZHJzL2Rvd25yZXYu&#10;eG1sUEsBAhQAFAAAAAgAh07iQP2lAAH4AQAAyQMAAA4AAAAAAAAAAQAgAAAAKgEAAGRycy9lMm9E&#10;b2MueG1sUEsFBgAAAAAGAAYAWQEAAJQFAAAAAA==&#10;">
                <v:fill on="f" focussize="0,0"/>
                <v:stroke weight="0.5pt" color="#4472C4" miterlimit="8" joinstyle="miter"/>
                <v:imagedata o:title=""/>
                <o:lock v:ext="edit" aspectratio="f"/>
              </v:line>
            </w:pict>
          </mc:Fallback>
        </mc:AlternateContent>
      </w:r>
      <w:r>
        <w:rPr>
          <w:color w:val="000000" w:themeColor="text1"/>
          <w:highlight w:val="yellow"/>
          <w:lang w:eastAsia="zh-CN"/>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1983105</wp:posOffset>
                </wp:positionH>
                <wp:positionV relativeFrom="paragraph">
                  <wp:posOffset>1353820</wp:posOffset>
                </wp:positionV>
                <wp:extent cx="33655" cy="50800"/>
                <wp:effectExtent l="0" t="0" r="23495" b="25400"/>
                <wp:wrapNone/>
                <wp:docPr id="1532793354" name="直接连接符 6"/>
                <wp:cNvGraphicFramePr/>
                <a:graphic xmlns:a="http://schemas.openxmlformats.org/drawingml/2006/main">
                  <a:graphicData uri="http://schemas.microsoft.com/office/word/2010/wordprocessingShape">
                    <wps:wsp>
                      <wps:cNvCnPr/>
                      <wps:spPr>
                        <a:xfrm flipH="1">
                          <a:off x="0" y="0"/>
                          <a:ext cx="33866" cy="50800"/>
                        </a:xfrm>
                        <a:prstGeom prst="line">
                          <a:avLst/>
                        </a:prstGeom>
                        <a:noFill/>
                        <a:ln w="6350" cap="flat" cmpd="sng" algn="ctr">
                          <a:solidFill>
                            <a:srgbClr val="4472C4"/>
                          </a:solidFill>
                          <a:prstDash val="solid"/>
                          <a:miter lim="800000"/>
                        </a:ln>
                        <a:effectLst/>
                      </wps:spPr>
                      <wps:bodyPr/>
                    </wps:wsp>
                  </a:graphicData>
                </a:graphic>
              </wp:anchor>
            </w:drawing>
          </mc:Choice>
          <mc:Fallback>
            <w:pict>
              <v:line id="直接连接符 6" o:spid="_x0000_s1026" o:spt="20" style="position:absolute;left:0pt;flip:x;margin-left:156.15pt;margin-top:106.6pt;height:4pt;width:2.65pt;z-index:251710464;mso-width-relative:page;mso-height-relative:page;" filled="f" stroked="t" coordsize="21600,21600" o:gfxdata="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DcbX3YAAAACwEAAA8AAAAAAAAAAQAgAAAAIgAAAGRycy9k&#10;b3ducmV2LnhtbFBLAQIUABQAAAAIAIdO4kDDBckcAgIAANQDAAAOAAAAAAAAAAEAIAAAACcBAABk&#10;cnMvZTJvRG9jLnhtbFBLBQYAAAAABgAGAFkBAACbBQAAAAA=&#10;">
                <v:fill on="f" focussize="0,0"/>
                <v:stroke weight="0.5pt" color="#4472C4" miterlimit="8" joinstyle="miter"/>
                <v:imagedata o:title=""/>
                <o:lock v:ext="edit" aspectratio="f"/>
              </v:line>
            </w:pict>
          </mc:Fallback>
        </mc:AlternateContent>
      </w:r>
      <w:r>
        <w:rPr>
          <w:highlight w:val="yellow"/>
          <w:lang w:eastAsia="zh-CN"/>
        </w:rPr>
        <w:drawing>
          <wp:inline distT="0" distB="0" distL="114300" distR="114300">
            <wp:extent cx="5269865" cy="3174365"/>
            <wp:effectExtent l="0" t="0" r="6985" b="6985"/>
            <wp:docPr id="7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
                    <pic:cNvPicPr>
                      <a:picLocks noChangeAspect="1"/>
                    </pic:cNvPicPr>
                  </pic:nvPicPr>
                  <pic:blipFill>
                    <a:blip r:embed="rId39"/>
                    <a:stretch>
                      <a:fillRect/>
                    </a:stretch>
                  </pic:blipFill>
                  <pic:spPr>
                    <a:xfrm>
                      <a:off x="0" y="0"/>
                      <a:ext cx="5269865" cy="3174365"/>
                    </a:xfrm>
                    <a:prstGeom prst="rect">
                      <a:avLst/>
                    </a:prstGeom>
                    <a:noFill/>
                    <a:ln>
                      <a:noFill/>
                    </a:ln>
                  </pic:spPr>
                </pic:pic>
              </a:graphicData>
            </a:graphic>
          </wp:inline>
        </w:drawing>
      </w:r>
    </w:p>
    <w:p>
      <w:pPr>
        <w:pStyle w:val="161"/>
        <w:rPr>
          <w:color w:val="000000" w:themeColor="text1"/>
          <w14:textFill>
            <w14:solidFill>
              <w14:schemeClr w14:val="tx1"/>
            </w14:solidFill>
          </w14:textFill>
        </w:rPr>
      </w:pPr>
      <w:r>
        <w:rPr>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图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四川省“三线一单”数据分析系统中本项目所在管控单元截图</w:t>
      </w:r>
    </w:p>
    <w:p>
      <w:pPr>
        <w:pStyle w:val="249"/>
        <w:ind w:firstLine="480"/>
        <w:rPr>
          <w:color w:val="000000" w:themeColor="text1"/>
          <w14:textFill>
            <w14:solidFill>
              <w14:schemeClr w14:val="tx1"/>
            </w14:solidFill>
          </w14:textFill>
        </w:rPr>
        <w:sectPr>
          <w:pgSz w:w="11906" w:h="16838"/>
          <w:pgMar w:top="1440" w:right="1800" w:bottom="1440" w:left="1800" w:header="964" w:footer="964" w:gutter="0"/>
          <w:cols w:space="425" w:num="1"/>
          <w:docGrid w:type="lines" w:linePitch="326" w:charSpace="0"/>
        </w:sectPr>
      </w:pPr>
      <w:r>
        <w:rPr>
          <w:color w:val="000000" w:themeColor="text1"/>
          <w14:textFill>
            <w14:solidFill>
              <w14:schemeClr w14:val="tx1"/>
            </w14:solidFill>
          </w14:textFill>
        </w:rPr>
        <w:t>项目位于一般控制单元区域，不涉及生态保护红线和自然保护地等，因此本次分析主要分析项目与一般管控单元管控要求符</w:t>
      </w:r>
      <w:r>
        <w:rPr>
          <w:bCs/>
          <w:color w:val="000000" w:themeColor="text1"/>
          <w14:textFill>
            <w14:solidFill>
              <w14:schemeClr w14:val="tx1"/>
            </w14:solidFill>
          </w14:textFill>
        </w:rPr>
        <w:t>合性分析</w:t>
      </w:r>
      <w:r>
        <w:rPr>
          <w:color w:val="000000" w:themeColor="text1"/>
          <w14:textFill>
            <w14:solidFill>
              <w14:schemeClr w14:val="tx1"/>
            </w14:solidFill>
          </w14:textFill>
        </w:rPr>
        <w:t>。</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17</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项目与“三线一单”相关要求的符合性分析表</w:t>
      </w:r>
    </w:p>
    <w:tbl>
      <w:tblPr>
        <w:tblStyle w:val="53"/>
        <w:tblW w:w="492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880"/>
        <w:gridCol w:w="831"/>
        <w:gridCol w:w="837"/>
        <w:gridCol w:w="7707"/>
        <w:gridCol w:w="1802"/>
        <w:gridCol w:w="8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trPr>
        <w:tc>
          <w:tcPr>
            <w:tcW w:w="4035" w:type="pct"/>
            <w:gridSpan w:val="4"/>
            <w:vAlign w:val="center"/>
          </w:tcPr>
          <w:p>
            <w:pPr>
              <w:widowControl/>
              <w:adjustRightInd/>
              <w:snapToGrid/>
              <w:spacing w:line="240" w:lineRule="auto"/>
              <w:ind w:firstLine="0" w:firstLineChars="0"/>
              <w:jc w:val="center"/>
              <w:rPr>
                <w:rFonts w:cs="Times New Roman"/>
                <w:b/>
                <w:bCs/>
                <w:snapToGrid w:val="0"/>
                <w:color w:val="000000" w:themeColor="text1"/>
                <w:kern w:val="0"/>
                <w:sz w:val="21"/>
                <w:szCs w:val="21"/>
                <w14:textFill>
                  <w14:solidFill>
                    <w14:schemeClr w14:val="tx1"/>
                  </w14:solidFill>
                </w14:textFill>
              </w:rPr>
            </w:pPr>
            <w:r>
              <w:rPr>
                <w:rFonts w:cs="Times New Roman"/>
                <w:b/>
                <w:bCs/>
                <w:snapToGrid w:val="0"/>
                <w:color w:val="000000" w:themeColor="text1"/>
                <w:kern w:val="0"/>
                <w:sz w:val="21"/>
                <w:szCs w:val="21"/>
                <w14:textFill>
                  <w14:solidFill>
                    <w14:schemeClr w14:val="tx1"/>
                  </w14:solidFill>
                </w14:textFill>
              </w:rPr>
              <w:t>“三线一单”的具体要求</w:t>
            </w:r>
          </w:p>
        </w:tc>
        <w:tc>
          <w:tcPr>
            <w:tcW w:w="646" w:type="pct"/>
            <w:vMerge w:val="restart"/>
            <w:vAlign w:val="center"/>
          </w:tcPr>
          <w:p>
            <w:pPr>
              <w:widowControl/>
              <w:adjustRightInd/>
              <w:snapToGrid/>
              <w:spacing w:line="240" w:lineRule="auto"/>
              <w:ind w:firstLine="0" w:firstLineChars="0"/>
              <w:jc w:val="center"/>
              <w:rPr>
                <w:rFonts w:cs="Times New Roman"/>
                <w:b/>
                <w:bCs/>
                <w:snapToGrid w:val="0"/>
                <w:color w:val="000000" w:themeColor="text1"/>
                <w:kern w:val="0"/>
                <w:sz w:val="21"/>
                <w:szCs w:val="21"/>
                <w:lang w:eastAsia="en-US"/>
                <w14:textFill>
                  <w14:solidFill>
                    <w14:schemeClr w14:val="tx1"/>
                  </w14:solidFill>
                </w14:textFill>
              </w:rPr>
            </w:pPr>
            <w:r>
              <w:rPr>
                <w:rFonts w:cs="Times New Roman"/>
                <w:b/>
                <w:bCs/>
                <w:snapToGrid w:val="0"/>
                <w:color w:val="000000" w:themeColor="text1"/>
                <w:kern w:val="0"/>
                <w:sz w:val="21"/>
                <w:szCs w:val="21"/>
                <w:lang w:eastAsia="en-US"/>
                <w14:textFill>
                  <w14:solidFill>
                    <w14:schemeClr w14:val="tx1"/>
                  </w14:solidFill>
                </w14:textFill>
              </w:rPr>
              <w:t>项目对应情况介绍</w:t>
            </w:r>
          </w:p>
        </w:tc>
        <w:tc>
          <w:tcPr>
            <w:tcW w:w="319" w:type="pct"/>
            <w:vMerge w:val="restart"/>
            <w:vAlign w:val="center"/>
          </w:tcPr>
          <w:p>
            <w:pPr>
              <w:widowControl/>
              <w:adjustRightInd/>
              <w:snapToGrid/>
              <w:spacing w:line="240" w:lineRule="auto"/>
              <w:ind w:firstLine="0" w:firstLineChars="0"/>
              <w:jc w:val="center"/>
              <w:rPr>
                <w:rFonts w:cs="Times New Roman"/>
                <w:b/>
                <w:bCs/>
                <w:snapToGrid w:val="0"/>
                <w:color w:val="000000" w:themeColor="text1"/>
                <w:kern w:val="0"/>
                <w:sz w:val="21"/>
                <w:szCs w:val="21"/>
                <w:lang w:eastAsia="en-US"/>
                <w14:textFill>
                  <w14:solidFill>
                    <w14:schemeClr w14:val="tx1"/>
                  </w14:solidFill>
                </w14:textFill>
              </w:rPr>
            </w:pPr>
            <w:r>
              <w:rPr>
                <w:rFonts w:cs="Times New Roman"/>
                <w:b/>
                <w:bCs/>
                <w:snapToGrid w:val="0"/>
                <w:color w:val="000000" w:themeColor="text1"/>
                <w:kern w:val="0"/>
                <w:sz w:val="21"/>
                <w:szCs w:val="21"/>
                <w:lang w:eastAsia="en-US"/>
                <w14:textFill>
                  <w14:solidFill>
                    <w14:schemeClr w14:val="tx1"/>
                  </w14:solidFill>
                </w14:textFill>
              </w:rPr>
              <w:t>符合性分析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trPr>
        <w:tc>
          <w:tcPr>
            <w:tcW w:w="1272" w:type="pct"/>
            <w:gridSpan w:val="3"/>
            <w:vAlign w:val="center"/>
          </w:tcPr>
          <w:p>
            <w:pPr>
              <w:widowControl/>
              <w:adjustRightInd/>
              <w:snapToGrid/>
              <w:spacing w:line="240" w:lineRule="auto"/>
              <w:ind w:firstLine="0" w:firstLineChars="0"/>
              <w:jc w:val="center"/>
              <w:rPr>
                <w:rFonts w:cs="Times New Roman"/>
                <w:b/>
                <w:bCs/>
                <w:snapToGrid w:val="0"/>
                <w:color w:val="000000" w:themeColor="text1"/>
                <w:kern w:val="0"/>
                <w:sz w:val="21"/>
                <w:szCs w:val="21"/>
                <w:lang w:eastAsia="en-US"/>
                <w14:textFill>
                  <w14:solidFill>
                    <w14:schemeClr w14:val="tx1"/>
                  </w14:solidFill>
                </w14:textFill>
              </w:rPr>
            </w:pPr>
            <w:r>
              <w:rPr>
                <w:rFonts w:cs="Times New Roman"/>
                <w:b/>
                <w:bCs/>
                <w:snapToGrid w:val="0"/>
                <w:color w:val="000000" w:themeColor="text1"/>
                <w:kern w:val="0"/>
                <w:sz w:val="21"/>
                <w:szCs w:val="21"/>
                <w:lang w:eastAsia="en-US"/>
                <w14:textFill>
                  <w14:solidFill>
                    <w14:schemeClr w14:val="tx1"/>
                  </w14:solidFill>
                </w14:textFill>
              </w:rPr>
              <w:t>类别</w:t>
            </w:r>
          </w:p>
        </w:tc>
        <w:tc>
          <w:tcPr>
            <w:tcW w:w="2763" w:type="pct"/>
            <w:vAlign w:val="center"/>
          </w:tcPr>
          <w:p>
            <w:pPr>
              <w:widowControl/>
              <w:adjustRightInd/>
              <w:snapToGrid/>
              <w:spacing w:line="240" w:lineRule="auto"/>
              <w:ind w:firstLine="0" w:firstLineChars="0"/>
              <w:jc w:val="center"/>
              <w:rPr>
                <w:rFonts w:cs="Times New Roman"/>
                <w:b/>
                <w:bCs/>
                <w:snapToGrid w:val="0"/>
                <w:color w:val="000000" w:themeColor="text1"/>
                <w:kern w:val="0"/>
                <w:sz w:val="21"/>
                <w:szCs w:val="21"/>
                <w:lang w:eastAsia="en-US"/>
                <w14:textFill>
                  <w14:solidFill>
                    <w14:schemeClr w14:val="tx1"/>
                  </w14:solidFill>
                </w14:textFill>
              </w:rPr>
            </w:pPr>
            <w:r>
              <w:rPr>
                <w:rFonts w:cs="Times New Roman"/>
                <w:b/>
                <w:bCs/>
                <w:snapToGrid w:val="0"/>
                <w:color w:val="000000" w:themeColor="text1"/>
                <w:kern w:val="0"/>
                <w:sz w:val="21"/>
                <w:szCs w:val="21"/>
                <w:lang w:eastAsia="en-US"/>
                <w14:textFill>
                  <w14:solidFill>
                    <w14:schemeClr w14:val="tx1"/>
                  </w14:solidFill>
                </w14:textFill>
              </w:rPr>
              <w:t>对应管控要求</w:t>
            </w:r>
          </w:p>
        </w:tc>
        <w:tc>
          <w:tcPr>
            <w:tcW w:w="646" w:type="pct"/>
            <w:vMerge w:val="continue"/>
            <w:vAlign w:val="center"/>
          </w:tcPr>
          <w:p>
            <w:pPr>
              <w:widowControl/>
              <w:adjustRightInd/>
              <w:snapToGrid/>
              <w:spacing w:line="240" w:lineRule="auto"/>
              <w:ind w:firstLine="0" w:firstLineChars="0"/>
              <w:jc w:val="center"/>
              <w:rPr>
                <w:rFonts w:cs="Times New Roman"/>
                <w:b/>
                <w:bCs/>
                <w:snapToGrid w:val="0"/>
                <w:color w:val="000000" w:themeColor="text1"/>
                <w:kern w:val="0"/>
                <w:sz w:val="21"/>
                <w:szCs w:val="21"/>
                <w:lang w:eastAsia="en-US"/>
                <w14:textFill>
                  <w14:solidFill>
                    <w14:schemeClr w14:val="tx1"/>
                  </w14:solidFill>
                </w14:textFill>
              </w:rPr>
            </w:pPr>
          </w:p>
        </w:tc>
        <w:tc>
          <w:tcPr>
            <w:tcW w:w="319" w:type="pct"/>
            <w:vMerge w:val="continue"/>
            <w:vAlign w:val="center"/>
          </w:tcPr>
          <w:p>
            <w:pPr>
              <w:widowControl/>
              <w:adjustRightInd/>
              <w:snapToGrid/>
              <w:spacing w:line="240" w:lineRule="auto"/>
              <w:ind w:firstLine="0" w:firstLineChars="0"/>
              <w:jc w:val="center"/>
              <w:rPr>
                <w:rFonts w:cs="Times New Roman"/>
                <w:b/>
                <w:bCs/>
                <w:snapToGrid w:val="0"/>
                <w:color w:val="000000" w:themeColor="text1"/>
                <w:kern w:val="0"/>
                <w:sz w:val="21"/>
                <w:szCs w:val="21"/>
                <w:lang w:eastAsia="en-US"/>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restart"/>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w:t>
            </w:r>
          </w:p>
        </w:tc>
        <w:tc>
          <w:tcPr>
            <w:tcW w:w="298" w:type="pct"/>
            <w:vMerge w:val="restart"/>
            <w:vAlign w:val="center"/>
          </w:tcPr>
          <w:p>
            <w:pPr>
              <w:widowControl/>
              <w:adjustRightInd/>
              <w:snapToGrid/>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color w:val="000000" w:themeColor="text1"/>
                <w:sz w:val="21"/>
                <w:szCs w:val="21"/>
                <w:lang w:eastAsia="en-US"/>
                <w14:textFill>
                  <w14:solidFill>
                    <w14:schemeClr w14:val="tx1"/>
                  </w14:solidFill>
                </w14:textFill>
              </w:rPr>
              <w:t>达州市总体管控要求</w:t>
            </w:r>
          </w:p>
        </w:tc>
        <w:tc>
          <w:tcPr>
            <w:tcW w:w="300" w:type="pct"/>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空间布局约束</w:t>
            </w:r>
          </w:p>
        </w:tc>
        <w:tc>
          <w:tcPr>
            <w:tcW w:w="2763" w:type="pct"/>
            <w:vAlign w:val="center"/>
          </w:tcPr>
          <w:p>
            <w:pPr>
              <w:widowControl/>
              <w:adjustRightInd/>
              <w:snapToGrid/>
              <w:spacing w:line="240" w:lineRule="auto"/>
              <w:ind w:firstLine="0" w:firstLineChars="0"/>
              <w:jc w:val="left"/>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禁止开发建设活动的要求：</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-禁止在长江干支流1公里范围内新建、扩建化工园区和化工项目。</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-禁止在法律法规规定的禁采区内新建矿山；禁止土法采、选、冶严重污染环境的矿产资源。</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-涉及永久基本农田的区域，除法律规定的重点建设项目选址确实无法避让外，其他任何建设不得占用。</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拟新增：</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-禁止在长江流域河湖管理范围内倾倒、填埋、堆放、弃置、处理固体废物。</w:t>
            </w:r>
          </w:p>
          <w:p>
            <w:pPr>
              <w:widowControl/>
              <w:adjustRightInd/>
              <w:snapToGrid/>
              <w:spacing w:line="240" w:lineRule="auto"/>
              <w:ind w:firstLine="0" w:firstLineChars="0"/>
              <w:jc w:val="left"/>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限制开发建设活动的要求：</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-按照相关要求严控水泥新增产能。</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拟新增：</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-涉及法定保护地，严格按照国家及地方法律法规、管理办法等相关要求进行控制。配套旅游、基础设施等建设项目，在符合规划和相关保护要求的前提下，应实施生态避让、减缓影响及生态恢复措施。</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-按照相关要求严控水泥新增产能。</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-禁止在长江干流岸线三公里范围内和重要支流岸线一公里范围内新建、改建、扩建尾矿库；但是以提升安全、生态环境保护水平为目的的改建除外。</w:t>
            </w:r>
          </w:p>
          <w:p>
            <w:pPr>
              <w:widowControl/>
              <w:adjustRightInd/>
              <w:snapToGrid/>
              <w:spacing w:line="240" w:lineRule="auto"/>
              <w:ind w:firstLine="0" w:firstLineChars="0"/>
              <w:jc w:val="left"/>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不符合空间布局要求活动的退出要求：</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-针对现有水泥企业，强化污染治理和污染物减排，依法依规整治或搬迁。</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拟新增：</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-全面取缔禁养区内规模化畜禽养殖场。</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-2025年基本完成全域内“散乱污”企业整治工作。</w:t>
            </w:r>
          </w:p>
        </w:tc>
        <w:tc>
          <w:tcPr>
            <w:tcW w:w="646" w:type="pct"/>
            <w:vAlign w:val="center"/>
          </w:tcPr>
          <w:p>
            <w:pPr>
              <w:adjustRightInd/>
              <w:snapToGrid/>
              <w:spacing w:line="240" w:lineRule="auto"/>
              <w:ind w:firstLine="0" w:firstLineChars="0"/>
              <w:jc w:val="center"/>
              <w:rPr>
                <w:rFonts w:cs="Times New Roman"/>
                <w:snapToGrid w:val="0"/>
                <w:color w:val="000000" w:themeColor="text1"/>
                <w:sz w:val="21"/>
                <w:szCs w:val="21"/>
                <w14:textFill>
                  <w14:solidFill>
                    <w14:schemeClr w14:val="tx1"/>
                  </w14:solidFill>
                </w14:textFill>
              </w:rPr>
            </w:pPr>
            <w:r>
              <w:rPr>
                <w:rFonts w:cs="Times New Roman"/>
                <w:snapToGrid w:val="0"/>
                <w:color w:val="000000" w:themeColor="text1"/>
                <w:sz w:val="21"/>
                <w:szCs w:val="21"/>
                <w14:textFill>
                  <w14:solidFill>
                    <w14:schemeClr w14:val="tx1"/>
                  </w14:solidFill>
                </w14:textFill>
              </w:rPr>
              <w:t>本项目为天然气钻井和试采工程，不属于以上禁止项目。</w:t>
            </w:r>
          </w:p>
          <w:p>
            <w:pPr>
              <w:adjustRightInd/>
              <w:snapToGrid/>
              <w:spacing w:line="240" w:lineRule="auto"/>
              <w:ind w:firstLine="0" w:firstLineChars="0"/>
              <w:jc w:val="center"/>
              <w:rPr>
                <w:rFonts w:cs="Times New Roman"/>
                <w:snapToGrid w:val="0"/>
                <w:color w:val="000000" w:themeColor="text1"/>
                <w:sz w:val="21"/>
                <w:szCs w:val="21"/>
                <w14:textFill>
                  <w14:solidFill>
                    <w14:schemeClr w14:val="tx1"/>
                  </w14:solidFill>
                </w14:textFill>
              </w:rPr>
            </w:pPr>
            <w:r>
              <w:rPr>
                <w:rFonts w:cs="Times New Roman"/>
                <w:snapToGrid w:val="0"/>
                <w:color w:val="000000" w:themeColor="text1"/>
                <w:sz w:val="21"/>
                <w:szCs w:val="21"/>
                <w14:textFill>
                  <w14:solidFill>
                    <w14:schemeClr w14:val="tx1"/>
                  </w14:solidFill>
                </w14:textFill>
              </w:rPr>
              <w:t>本项目选址无法避让基本农田，但本项目属于法律规定的允许占用基本农田项目，基本农田占用按相关规定完善手续和补偿措施。</w:t>
            </w:r>
          </w:p>
          <w:p>
            <w:pPr>
              <w:adjustRightInd/>
              <w:snapToGrid/>
              <w:spacing w:line="240" w:lineRule="auto"/>
              <w:ind w:firstLine="0" w:firstLineChars="0"/>
              <w:jc w:val="center"/>
              <w:rPr>
                <w:rFonts w:cs="Times New Roman"/>
                <w:snapToGrid w:val="0"/>
                <w:color w:val="000000" w:themeColor="text1"/>
                <w:sz w:val="21"/>
                <w:szCs w:val="21"/>
                <w14:textFill>
                  <w14:solidFill>
                    <w14:schemeClr w14:val="tx1"/>
                  </w14:solidFill>
                </w14:textFill>
              </w:rPr>
            </w:pPr>
            <w:r>
              <w:rPr>
                <w:rFonts w:cs="Times New Roman"/>
                <w:snapToGrid w:val="0"/>
                <w:color w:val="000000" w:themeColor="text1"/>
                <w:sz w:val="21"/>
                <w:szCs w:val="21"/>
                <w14:textFill>
                  <w14:solidFill>
                    <w14:schemeClr w14:val="tx1"/>
                  </w14:solidFill>
                </w14:textFill>
              </w:rPr>
              <w:t>本项目固体废物均得到妥善处置。</w:t>
            </w:r>
          </w:p>
        </w:tc>
        <w:tc>
          <w:tcPr>
            <w:tcW w:w="319" w:type="pct"/>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continue"/>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p>
        </w:tc>
        <w:tc>
          <w:tcPr>
            <w:tcW w:w="298" w:type="pct"/>
            <w:vMerge w:val="continue"/>
            <w:vAlign w:val="center"/>
          </w:tcPr>
          <w:p>
            <w:pPr>
              <w:widowControl/>
              <w:adjustRightInd/>
              <w:snapToGrid/>
              <w:spacing w:line="240" w:lineRule="auto"/>
              <w:ind w:firstLine="0" w:firstLineChars="0"/>
              <w:jc w:val="center"/>
              <w:rPr>
                <w:rFonts w:cs="Times New Roman"/>
                <w:color w:val="000000" w:themeColor="text1"/>
                <w:sz w:val="21"/>
                <w:szCs w:val="21"/>
                <w:lang w:eastAsia="en-US"/>
                <w14:textFill>
                  <w14:solidFill>
                    <w14:schemeClr w14:val="tx1"/>
                  </w14:solidFill>
                </w14:textFill>
              </w:rPr>
            </w:pPr>
          </w:p>
        </w:tc>
        <w:tc>
          <w:tcPr>
            <w:tcW w:w="300" w:type="pct"/>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color w:val="000000" w:themeColor="text1"/>
                <w:sz w:val="21"/>
                <w:szCs w:val="21"/>
                <w:lang w:eastAsia="en-US"/>
                <w14:textFill>
                  <w14:solidFill>
                    <w14:schemeClr w14:val="tx1"/>
                  </w14:solidFill>
                </w14:textFill>
              </w:rPr>
              <w:t>污染物排放管控</w:t>
            </w:r>
          </w:p>
        </w:tc>
        <w:tc>
          <w:tcPr>
            <w:tcW w:w="2763" w:type="pct"/>
            <w:vAlign w:val="center"/>
          </w:tcPr>
          <w:p>
            <w:pPr>
              <w:widowControl/>
              <w:adjustRightInd/>
              <w:snapToGrid/>
              <w:spacing w:line="240" w:lineRule="auto"/>
              <w:ind w:firstLine="0" w:firstLineChars="0"/>
              <w:jc w:val="left"/>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现有源提标升级改造：</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-在矿产资源开发活动集中区域，废水执行重金属污染物排放特别限值。</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-火电、水泥等行业按相关要求推进大气污染物超低排放和深度治理。</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-砖瓦行业实施脱硫、除尘升级改造，污染物排放达到《砖瓦工业大气污染物排放标准》相关要求。</w:t>
            </w:r>
          </w:p>
          <w:p>
            <w:pPr>
              <w:widowControl/>
              <w:adjustRightInd/>
              <w:snapToGrid/>
              <w:spacing w:line="240" w:lineRule="auto"/>
              <w:ind w:firstLine="0" w:firstLineChars="0"/>
              <w:jc w:val="left"/>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新增源等量或倍量替代：</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-上一年度水环境质量未完成目标的，新建排放水污染的建设项目按照总量管控要求进行倍量削减替代。</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-上一年度空气质量年平均浓度不达标的城市，建设项目新增相关污染物按照总量管控要求进行倍量削减替代。</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-大气环境重点管控区内，新增大气污染物排放的建设项目实施总量削减替代。</w:t>
            </w:r>
          </w:p>
          <w:p>
            <w:pPr>
              <w:widowControl/>
              <w:adjustRightInd/>
              <w:snapToGrid/>
              <w:spacing w:line="240" w:lineRule="auto"/>
              <w:ind w:firstLine="0" w:firstLineChars="0"/>
              <w:jc w:val="left"/>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污染物排放绩效水平准入要求：</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-屠宰项目必须配套污水处理设施或进入城市污水管网。</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-大气环境重点管控区内加强“高架源”污染治理，深化施工扬尘监管，严格落实“六必须、六不准”管控要求，强化道路施工管控，提高道路清扫机械化和精细化作业水平。</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拟更新：</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-至2022年底，基本实现乡镇污水处理设施全覆盖，配套建设污水收集管网，乡镇污水处理率达到65%。</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-到2023年底，力争全市生活垃圾焚烧处理能力占比达60%以上，各县（市）生活垃圾无害化处理率保持95%以上，乡镇及行政村生活垃圾收转运处置体系基本实现全覆盖。</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-到2025年，农药包装废弃物回收率达80%；粮油绿色高质高效示范区、茶叶主产区和现代农业园区农药包装废弃物回收率100%。</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-到2025年，全国主要农作物化肥、农药利用率达43%，测土配方施肥技术推广覆盖率保持在90%以上，控制农村面源污染，采取灌排分离等措施控制农田氮磷流失。</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到2025年，新、改扩建规模化畜禽养殖场（小区）要实施雨污分流、粪便污水资源化利用；规模化畜禽养殖场（小区）粪污处理设施装备配套率达到95%以上，粪污综合利用率达到80%以上，大型规模养殖场粪污处理设施装备配套率达到100%，畜禽粪污基本实现资源化利用；散养密集区要实行畜禽粪便污水分户收集、集中处理利用。</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-到2025年，废旧农膜回收利用率达到85%以上。</w:t>
            </w:r>
          </w:p>
        </w:tc>
        <w:tc>
          <w:tcPr>
            <w:tcW w:w="646" w:type="pct"/>
            <w:vAlign w:val="center"/>
          </w:tcPr>
          <w:p>
            <w:pPr>
              <w:adjustRightInd/>
              <w:snapToGrid/>
              <w:spacing w:line="240" w:lineRule="auto"/>
              <w:ind w:firstLine="0" w:firstLineChars="0"/>
              <w:jc w:val="center"/>
              <w:rPr>
                <w:rFonts w:cs="Times New Roman"/>
                <w:snapToGrid w:val="0"/>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钻井废水暂存于清洁生产操作平台的废水罐内，定期装车拉运至普光11井回注站回注；压裂废水和洗井废水暂存于放喷池，装车拉运至赵家坝污水处理站达标后管输至普光11井回注站回注，不外排。生活污水经收集后均由密闭罐车定期拉运至当地污水处理厂处理</w:t>
            </w:r>
          </w:p>
        </w:tc>
        <w:tc>
          <w:tcPr>
            <w:tcW w:w="319" w:type="pct"/>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continue"/>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p>
        </w:tc>
        <w:tc>
          <w:tcPr>
            <w:tcW w:w="298" w:type="pct"/>
            <w:vMerge w:val="continue"/>
            <w:vAlign w:val="center"/>
          </w:tcPr>
          <w:p>
            <w:pPr>
              <w:widowControl/>
              <w:adjustRightInd/>
              <w:snapToGrid/>
              <w:spacing w:line="240" w:lineRule="auto"/>
              <w:ind w:firstLine="0" w:firstLineChars="0"/>
              <w:jc w:val="center"/>
              <w:rPr>
                <w:rFonts w:cs="Times New Roman"/>
                <w:color w:val="000000" w:themeColor="text1"/>
                <w:sz w:val="21"/>
                <w:szCs w:val="21"/>
                <w:lang w:eastAsia="en-US"/>
                <w14:textFill>
                  <w14:solidFill>
                    <w14:schemeClr w14:val="tx1"/>
                  </w14:solidFill>
                </w14:textFill>
              </w:rPr>
            </w:pPr>
          </w:p>
        </w:tc>
        <w:tc>
          <w:tcPr>
            <w:tcW w:w="300" w:type="pct"/>
            <w:vAlign w:val="center"/>
          </w:tcPr>
          <w:p>
            <w:pPr>
              <w:widowControl/>
              <w:adjustRightInd/>
              <w:snapToGrid/>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color w:val="000000" w:themeColor="text1"/>
                <w:sz w:val="21"/>
                <w:szCs w:val="21"/>
                <w:lang w:eastAsia="en-US"/>
                <w14:textFill>
                  <w14:solidFill>
                    <w14:schemeClr w14:val="tx1"/>
                  </w14:solidFill>
                </w14:textFill>
              </w:rPr>
              <w:t>环境风险防控</w:t>
            </w:r>
          </w:p>
        </w:tc>
        <w:tc>
          <w:tcPr>
            <w:tcW w:w="2763" w:type="pct"/>
            <w:vAlign w:val="center"/>
          </w:tcPr>
          <w:p>
            <w:pPr>
              <w:widowControl/>
              <w:adjustRightInd/>
              <w:snapToGrid/>
              <w:spacing w:line="240" w:lineRule="auto"/>
              <w:ind w:firstLine="0" w:firstLineChars="0"/>
              <w:jc w:val="left"/>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企业环境风险防控要求：</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-工业企业退出用地，须经评估、修复满足相应用地功能后，方可改变用途。</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-加强“散乱污”企业环境风险防控。</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拟新增：</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的城镇建设用地，开展土壤环境状况调查评估。</w:t>
            </w:r>
          </w:p>
          <w:p>
            <w:pPr>
              <w:widowControl/>
              <w:adjustRightInd/>
              <w:snapToGrid/>
              <w:spacing w:line="240" w:lineRule="auto"/>
              <w:ind w:firstLine="0" w:firstLineChars="0"/>
              <w:jc w:val="left"/>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用地环境风险防控要求：</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-严禁将城镇生活垃圾、污泥、工业废物直接用作肥料，禁止处理不达标的污泥进入耕地；禁止在农用地排放、倾倒、使用污泥、清淤底泥、尾矿（渣）等可能对土壤造成污染的固体废物。</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-定期对单元内尾矿库进行风险巡查，建立监测系统和环境风险应急预案；完善各尾矿库渗滤液收集、处理、回用系统，杜绝事故排放；尾矿库闭矿后因地制宜进行植被恢复和综合利用。</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-规范排土场、渣场等整治。</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拟新增：</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-禁止处理不达标的污泥进入耕地。</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-严格控制林地、草地、园地的农药使用量，禁止使用高毒、高残留农药。</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-到2030年，全市受污染耕地安全利用率达到95%以上，污染地块安全利用率达到95%以上。</w:t>
            </w:r>
          </w:p>
        </w:tc>
        <w:tc>
          <w:tcPr>
            <w:tcW w:w="646" w:type="pct"/>
            <w:vAlign w:val="center"/>
          </w:tcPr>
          <w:p>
            <w:pPr>
              <w:adjustRightInd/>
              <w:snapToGrid/>
              <w:spacing w:line="240" w:lineRule="auto"/>
              <w:ind w:firstLine="0" w:firstLineChars="0"/>
              <w:jc w:val="center"/>
              <w:rPr>
                <w:rFonts w:cs="Times New Roman"/>
                <w:snapToGrid w:val="0"/>
                <w:color w:val="000000" w:themeColor="text1"/>
                <w:sz w:val="21"/>
                <w:szCs w:val="21"/>
                <w14:textFill>
                  <w14:solidFill>
                    <w14:schemeClr w14:val="tx1"/>
                  </w14:solidFill>
                </w14:textFill>
              </w:rPr>
            </w:pPr>
            <w:r>
              <w:rPr>
                <w:rFonts w:cs="Times New Roman"/>
                <w:snapToGrid w:val="0"/>
                <w:color w:val="000000" w:themeColor="text1"/>
                <w:sz w:val="21"/>
                <w:szCs w:val="21"/>
                <w14:textFill>
                  <w14:solidFill>
                    <w14:schemeClr w14:val="tx1"/>
                  </w14:solidFill>
                </w14:textFill>
              </w:rPr>
              <w:t>本项目严格落实风险防控措施，普光分公司建立了环境突发事故应急预案体。不涉及环境风险防控要求。</w:t>
            </w:r>
          </w:p>
          <w:p>
            <w:pPr>
              <w:adjustRightInd/>
              <w:snapToGrid/>
              <w:spacing w:line="240" w:lineRule="auto"/>
              <w:ind w:firstLine="0" w:firstLineChars="0"/>
              <w:jc w:val="center"/>
              <w:rPr>
                <w:rFonts w:cs="Times New Roman"/>
                <w:snapToGrid w:val="0"/>
                <w:color w:val="000000" w:themeColor="text1"/>
                <w:sz w:val="21"/>
                <w:szCs w:val="21"/>
                <w14:textFill>
                  <w14:solidFill>
                    <w14:schemeClr w14:val="tx1"/>
                  </w14:solidFill>
                </w14:textFill>
              </w:rPr>
            </w:pPr>
            <w:r>
              <w:rPr>
                <w:rFonts w:cs="Times New Roman"/>
                <w:snapToGrid w:val="0"/>
                <w:color w:val="000000" w:themeColor="text1"/>
                <w:sz w:val="21"/>
                <w:szCs w:val="21"/>
                <w14:textFill>
                  <w14:solidFill>
                    <w14:schemeClr w14:val="tx1"/>
                  </w14:solidFill>
                </w14:textFill>
              </w:rPr>
              <w:t>此外，本项目产生的生活垃圾交由环卫部分处置，本项目水基钻井固废经泥浆不落地工艺固液分离后在泥浆不落地装置附近设置钻井固废暂存区由废渣收集罐收集后临时暂存，及时转运至</w:t>
            </w:r>
            <w:r>
              <w:rPr>
                <w:rFonts w:hint="eastAsia" w:cs="Times New Roman"/>
                <w:snapToGrid w:val="0"/>
                <w:color w:val="000000" w:themeColor="text1"/>
                <w:sz w:val="21"/>
                <w:szCs w:val="21"/>
                <w14:textFill>
                  <w14:solidFill>
                    <w14:schemeClr w14:val="tx1"/>
                  </w14:solidFill>
                </w14:textFill>
              </w:rPr>
              <w:t>达州地区环保手续齐全、环保设施稳定运行固废烧结厂进行烧结后综合利用</w:t>
            </w:r>
            <w:r>
              <w:rPr>
                <w:rFonts w:cs="Times New Roman"/>
                <w:snapToGrid w:val="0"/>
                <w:color w:val="000000" w:themeColor="text1"/>
                <w:sz w:val="21"/>
                <w:szCs w:val="21"/>
                <w14:textFill>
                  <w14:solidFill>
                    <w14:schemeClr w14:val="tx1"/>
                  </w14:solidFill>
                </w14:textFill>
              </w:rPr>
              <w:t>。如遇特殊情况三开段涉及油基钻井，产生的油基钻井废泥浆及岩屑由危废暂存场所（采取必要的防风、防晒、防雨、防漏、防渗、防腐以及其他环境污染防治措施，不得露天堆放危险废物）暂存，定期交由资质单位处置。均不会进入周边环境中。</w:t>
            </w:r>
          </w:p>
        </w:tc>
        <w:tc>
          <w:tcPr>
            <w:tcW w:w="319" w:type="pct"/>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continue"/>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p>
        </w:tc>
        <w:tc>
          <w:tcPr>
            <w:tcW w:w="298" w:type="pct"/>
            <w:vMerge w:val="continue"/>
            <w:vAlign w:val="center"/>
          </w:tcPr>
          <w:p>
            <w:pPr>
              <w:widowControl/>
              <w:adjustRightInd/>
              <w:snapToGrid/>
              <w:spacing w:line="240" w:lineRule="auto"/>
              <w:ind w:firstLine="0" w:firstLineChars="0"/>
              <w:jc w:val="center"/>
              <w:rPr>
                <w:rFonts w:cs="Times New Roman"/>
                <w:color w:val="000000" w:themeColor="text1"/>
                <w:sz w:val="21"/>
                <w:szCs w:val="21"/>
                <w:lang w:eastAsia="en-US"/>
                <w14:textFill>
                  <w14:solidFill>
                    <w14:schemeClr w14:val="tx1"/>
                  </w14:solidFill>
                </w14:textFill>
              </w:rPr>
            </w:pPr>
          </w:p>
        </w:tc>
        <w:tc>
          <w:tcPr>
            <w:tcW w:w="300" w:type="pct"/>
            <w:vAlign w:val="center"/>
          </w:tcPr>
          <w:p>
            <w:pPr>
              <w:widowControl/>
              <w:adjustRightInd/>
              <w:snapToGrid/>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color w:val="000000" w:themeColor="text1"/>
                <w:sz w:val="21"/>
                <w:szCs w:val="21"/>
                <w:lang w:eastAsia="en-US"/>
                <w14:textFill>
                  <w14:solidFill>
                    <w14:schemeClr w14:val="tx1"/>
                  </w14:solidFill>
                </w14:textFill>
              </w:rPr>
              <w:t>资源开发效率</w:t>
            </w:r>
          </w:p>
        </w:tc>
        <w:tc>
          <w:tcPr>
            <w:tcW w:w="2763" w:type="pct"/>
            <w:vAlign w:val="center"/>
          </w:tcPr>
          <w:p>
            <w:pPr>
              <w:widowControl/>
              <w:adjustRightInd/>
              <w:snapToGrid/>
              <w:spacing w:line="240" w:lineRule="auto"/>
              <w:ind w:firstLine="0" w:firstLineChars="0"/>
              <w:jc w:val="left"/>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水资源利用效率要求：</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-到2025年，农田灌溉水有效利用系数达到0.57以上。</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-达州市2025年用水控制总量14.6亿m</w:t>
            </w:r>
            <w:r>
              <w:rPr>
                <w:rFonts w:cs="Times New Roman"/>
                <w:color w:val="000000" w:themeColor="text1"/>
                <w:sz w:val="21"/>
                <w:szCs w:val="21"/>
                <w:vertAlign w:val="superscript"/>
                <w14:textFill>
                  <w14:solidFill>
                    <w14:schemeClr w14:val="tx1"/>
                  </w14:solidFill>
                </w14:textFill>
              </w:rPr>
              <w:t>3</w:t>
            </w:r>
            <w:r>
              <w:rPr>
                <w:rFonts w:cs="Times New Roman"/>
                <w:color w:val="000000" w:themeColor="text1"/>
                <w:sz w:val="21"/>
                <w:szCs w:val="21"/>
                <w14:textFill>
                  <w14:solidFill>
                    <w14:schemeClr w14:val="tx1"/>
                  </w14:solidFill>
                </w14:textFill>
              </w:rPr>
              <w:t>（其中地下水开采控制量1.09m</w:t>
            </w:r>
            <w:r>
              <w:rPr>
                <w:rFonts w:cs="Times New Roman"/>
                <w:color w:val="000000" w:themeColor="text1"/>
                <w:sz w:val="21"/>
                <w:szCs w:val="21"/>
                <w:vertAlign w:val="superscript"/>
                <w14:textFill>
                  <w14:solidFill>
                    <w14:schemeClr w14:val="tx1"/>
                  </w14:solidFill>
                </w14:textFill>
              </w:rPr>
              <w:t>3</w:t>
            </w:r>
            <w:r>
              <w:rPr>
                <w:rFonts w:cs="Times New Roman"/>
                <w:color w:val="000000" w:themeColor="text1"/>
                <w:sz w:val="21"/>
                <w:szCs w:val="21"/>
                <w14:textFill>
                  <w14:solidFill>
                    <w14:schemeClr w14:val="tx1"/>
                  </w14:solidFill>
                </w14:textFill>
              </w:rPr>
              <w:t>），2035年用水控制总量为15.0亿m</w:t>
            </w:r>
            <w:r>
              <w:rPr>
                <w:rFonts w:cs="Times New Roman"/>
                <w:color w:val="000000" w:themeColor="text1"/>
                <w:sz w:val="21"/>
                <w:szCs w:val="21"/>
                <w:vertAlign w:val="superscript"/>
                <w14:textFill>
                  <w14:solidFill>
                    <w14:schemeClr w14:val="tx1"/>
                  </w14:solidFill>
                </w14:textFill>
              </w:rPr>
              <w:t>3</w:t>
            </w:r>
            <w:r>
              <w:rPr>
                <w:rFonts w:cs="Times New Roman"/>
                <w:color w:val="000000" w:themeColor="text1"/>
                <w:sz w:val="21"/>
                <w:szCs w:val="21"/>
                <w14:textFill>
                  <w14:solidFill>
                    <w14:schemeClr w14:val="tx1"/>
                  </w14:solidFill>
                </w14:textFill>
              </w:rPr>
              <w:t>（其中地下水开采控制量1.09m</w:t>
            </w:r>
            <w:r>
              <w:rPr>
                <w:rFonts w:cs="Times New Roman"/>
                <w:color w:val="000000" w:themeColor="text1"/>
                <w:sz w:val="21"/>
                <w:szCs w:val="21"/>
                <w:vertAlign w:val="superscript"/>
                <w14:textFill>
                  <w14:solidFill>
                    <w14:schemeClr w14:val="tx1"/>
                  </w14:solidFill>
                </w14:textFill>
              </w:rPr>
              <w:t>3</w:t>
            </w:r>
            <w:r>
              <w:rPr>
                <w:rFonts w:cs="Times New Roman"/>
                <w:color w:val="000000" w:themeColor="text1"/>
                <w:sz w:val="21"/>
                <w:szCs w:val="21"/>
                <w14:textFill>
                  <w14:solidFill>
                    <w14:schemeClr w14:val="tx1"/>
                  </w14:solidFill>
                </w14:textFill>
              </w:rPr>
              <w:t>）。</w:t>
            </w:r>
          </w:p>
          <w:p>
            <w:pPr>
              <w:widowControl/>
              <w:adjustRightInd/>
              <w:snapToGrid/>
              <w:spacing w:line="240" w:lineRule="auto"/>
              <w:ind w:firstLine="0" w:firstLineChars="0"/>
              <w:jc w:val="left"/>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能源利用效率要求：</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-推进清洁能源的推广使用，全面推进散煤清洁化整治；禁止新建每小时10蒸吨以下的燃煤锅炉及其他燃煤设施。</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拟更新：</w:t>
            </w:r>
          </w:p>
          <w:p>
            <w:pPr>
              <w:widowControl/>
              <w:adjustRightInd/>
              <w:snapToGrid/>
              <w:spacing w:line="240" w:lineRule="auto"/>
              <w:ind w:firstLine="0" w:firstLineChars="0"/>
              <w:jc w:val="left"/>
              <w:rPr>
                <w:rFonts w:cs="Times New Roman"/>
                <w:b/>
                <w:bCs/>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-禁止焚烧秸秆和垃圾，到2025年底，秸秆综合利用率达到86%以上。</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项目为天然气勘探试采工程，天然气属于清洁能源，符合推进清洁能源的推广使用。</w:t>
            </w:r>
          </w:p>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本项目不涉及燃煤设施。</w:t>
            </w:r>
          </w:p>
        </w:tc>
        <w:tc>
          <w:tcPr>
            <w:tcW w:w="319"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restart"/>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ZH51172230001</w:t>
            </w:r>
          </w:p>
        </w:tc>
        <w:tc>
          <w:tcPr>
            <w:tcW w:w="298" w:type="pct"/>
            <w:vMerge w:val="restart"/>
            <w:vAlign w:val="center"/>
          </w:tcPr>
          <w:p>
            <w:pPr>
              <w:widowControl/>
              <w:adjustRightInd/>
              <w:snapToGrid/>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color w:val="000000" w:themeColor="text1"/>
                <w:sz w:val="21"/>
                <w:szCs w:val="21"/>
                <w:lang w:eastAsia="en-US"/>
                <w14:textFill>
                  <w14:solidFill>
                    <w14:schemeClr w14:val="tx1"/>
                  </w14:solidFill>
                </w14:textFill>
              </w:rPr>
              <w:t>宣汉县一般管控单元</w:t>
            </w:r>
          </w:p>
        </w:tc>
        <w:tc>
          <w:tcPr>
            <w:tcW w:w="300" w:type="pct"/>
            <w:vAlign w:val="center"/>
          </w:tcPr>
          <w:p>
            <w:pPr>
              <w:widowControl/>
              <w:adjustRightInd/>
              <w:snapToGrid/>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空间布局约束</w:t>
            </w:r>
          </w:p>
        </w:tc>
        <w:tc>
          <w:tcPr>
            <w:tcW w:w="2763" w:type="pct"/>
            <w:vAlign w:val="center"/>
          </w:tcPr>
          <w:p>
            <w:pPr>
              <w:widowControl/>
              <w:adjustRightInd/>
              <w:snapToGrid/>
              <w:spacing w:line="240" w:lineRule="auto"/>
              <w:ind w:firstLine="0" w:firstLineChars="0"/>
              <w:jc w:val="left"/>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限制开发建设活动的要求：</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-对四川省主体功能区划中的农产品主产区，应限制进行大规模高强度工业化城镇化开发，严格控制有色金属冶炼、石油加工、化工、焦化、电镀、制革等产能，原则上不增加产能。</w:t>
            </w:r>
          </w:p>
          <w:p>
            <w:pPr>
              <w:widowControl/>
              <w:adjustRightInd/>
              <w:snapToGrid/>
              <w:spacing w:line="240" w:lineRule="auto"/>
              <w:ind w:firstLine="0" w:firstLineChars="0"/>
              <w:jc w:val="left"/>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位于城镇空间外的工业园区外工业企业：</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具有合法手续的企业，且污染物排放及环境风险满足管理要求的企业，可继续保留，要求污染物排放只降不增，并进一步加强日常环保监管；严控新（扩）建水泥厂、危废焚烧、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-其他-其他参照达州市一般管控单元总体准入要求。</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本项目为天然气勘探试采工程，</w:t>
            </w:r>
            <w:r>
              <w:rPr>
                <w:rFonts w:cs="Times New Roman"/>
                <w:snapToGrid w:val="0"/>
                <w:color w:val="000000" w:themeColor="text1"/>
                <w:sz w:val="21"/>
                <w:szCs w:val="21"/>
                <w14:textFill>
                  <w14:solidFill>
                    <w14:schemeClr w14:val="tx1"/>
                  </w14:solidFill>
                </w14:textFill>
              </w:rPr>
              <w:t>符合空间布局要求。</w:t>
            </w:r>
          </w:p>
        </w:tc>
        <w:tc>
          <w:tcPr>
            <w:tcW w:w="319" w:type="pct"/>
            <w:vMerge w:val="restar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continue"/>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p>
        </w:tc>
        <w:tc>
          <w:tcPr>
            <w:tcW w:w="298" w:type="pct"/>
            <w:vMerge w:val="continue"/>
            <w:vAlign w:val="center"/>
          </w:tcPr>
          <w:p>
            <w:pPr>
              <w:widowControl/>
              <w:adjustRightInd/>
              <w:snapToGrid/>
              <w:spacing w:line="240" w:lineRule="auto"/>
              <w:ind w:firstLine="0" w:firstLineChars="0"/>
              <w:jc w:val="center"/>
              <w:rPr>
                <w:rFonts w:cs="Times New Roman"/>
                <w:color w:val="000000" w:themeColor="text1"/>
                <w:sz w:val="21"/>
                <w:szCs w:val="21"/>
                <w:lang w:eastAsia="en-US"/>
                <w14:textFill>
                  <w14:solidFill>
                    <w14:schemeClr w14:val="tx1"/>
                  </w14:solidFill>
                </w14:textFill>
              </w:rPr>
            </w:pPr>
          </w:p>
        </w:tc>
        <w:tc>
          <w:tcPr>
            <w:tcW w:w="300" w:type="pct"/>
            <w:vAlign w:val="center"/>
          </w:tcPr>
          <w:p>
            <w:pPr>
              <w:widowControl/>
              <w:adjustRightInd/>
              <w:snapToGrid/>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污染物排放管控</w:t>
            </w:r>
          </w:p>
        </w:tc>
        <w:tc>
          <w:tcPr>
            <w:tcW w:w="2763" w:type="pct"/>
            <w:vAlign w:val="center"/>
          </w:tcPr>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污染物排放绩效水平准入要求：</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-大气环境布局敏感和弱扩散重点管控区内，现有大气污染重点企业，限期进行深度治理或关停并转。</w:t>
            </w:r>
          </w:p>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-其他参照达州市一般管控单元总体准入要求。</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本项目为天然气勘探试采工程，</w:t>
            </w:r>
            <w:r>
              <w:rPr>
                <w:rFonts w:cs="Times New Roman"/>
                <w:snapToGrid w:val="0"/>
                <w:color w:val="000000" w:themeColor="text1"/>
                <w:sz w:val="21"/>
                <w:szCs w:val="21"/>
                <w14:textFill>
                  <w14:solidFill>
                    <w14:schemeClr w14:val="tx1"/>
                  </w14:solidFill>
                </w14:textFill>
              </w:rPr>
              <w:t>不属于重点污染企业。</w:t>
            </w:r>
          </w:p>
        </w:tc>
        <w:tc>
          <w:tcPr>
            <w:tcW w:w="319" w:type="pct"/>
            <w:vMerge w:val="continue"/>
            <w:vAlign w:val="center"/>
          </w:tcPr>
          <w:p>
            <w:pPr>
              <w:adjustRightInd/>
              <w:snapToGrid/>
              <w:spacing w:line="240" w:lineRule="auto"/>
              <w:ind w:firstLine="420"/>
              <w:jc w:val="center"/>
              <w:rPr>
                <w:rFonts w:cs="Times New Roman"/>
                <w:color w:val="000000" w:themeColor="text1"/>
                <w:sz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continue"/>
            <w:vAlign w:val="center"/>
          </w:tcPr>
          <w:p>
            <w:pPr>
              <w:widowControl/>
              <w:adjustRightInd/>
              <w:snapToGrid/>
              <w:spacing w:line="240" w:lineRule="auto"/>
              <w:ind w:firstLine="0" w:firstLineChars="0"/>
              <w:jc w:val="center"/>
              <w:rPr>
                <w:rFonts w:cs="Times New Roman"/>
                <w:snapToGrid w:val="0"/>
                <w:color w:val="000000" w:themeColor="text1"/>
                <w:kern w:val="0"/>
                <w:sz w:val="21"/>
                <w:szCs w:val="21"/>
                <w14:textFill>
                  <w14:solidFill>
                    <w14:schemeClr w14:val="tx1"/>
                  </w14:solidFill>
                </w14:textFill>
              </w:rPr>
            </w:pPr>
          </w:p>
        </w:tc>
        <w:tc>
          <w:tcPr>
            <w:tcW w:w="298" w:type="pct"/>
            <w:vMerge w:val="continue"/>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300" w:type="pct"/>
            <w:vAlign w:val="center"/>
          </w:tcPr>
          <w:p>
            <w:pPr>
              <w:widowControl/>
              <w:adjustRightInd/>
              <w:snapToGrid/>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环境风险防控</w:t>
            </w:r>
          </w:p>
        </w:tc>
        <w:tc>
          <w:tcPr>
            <w:tcW w:w="2763" w:type="pct"/>
            <w:vAlign w:val="center"/>
          </w:tcPr>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-其他参照达州市一般管控单元总体准入要求。</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319" w:type="pct"/>
            <w:vMerge w:val="continue"/>
            <w:vAlign w:val="center"/>
          </w:tcPr>
          <w:p>
            <w:pPr>
              <w:adjustRightInd/>
              <w:snapToGrid/>
              <w:spacing w:line="240" w:lineRule="auto"/>
              <w:ind w:firstLine="420"/>
              <w:jc w:val="center"/>
              <w:rPr>
                <w:rFonts w:cs="Times New Roman"/>
                <w:color w:val="000000" w:themeColor="text1"/>
                <w:sz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continue"/>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p>
        </w:tc>
        <w:tc>
          <w:tcPr>
            <w:tcW w:w="298" w:type="pct"/>
            <w:vMerge w:val="continue"/>
            <w:vAlign w:val="center"/>
          </w:tcPr>
          <w:p>
            <w:pPr>
              <w:widowControl/>
              <w:adjustRightInd/>
              <w:snapToGrid/>
              <w:spacing w:line="240" w:lineRule="auto"/>
              <w:ind w:firstLine="0" w:firstLineChars="0"/>
              <w:jc w:val="center"/>
              <w:rPr>
                <w:rFonts w:cs="Times New Roman"/>
                <w:color w:val="000000" w:themeColor="text1"/>
                <w:sz w:val="21"/>
                <w:szCs w:val="21"/>
                <w:lang w:eastAsia="en-US"/>
                <w14:textFill>
                  <w14:solidFill>
                    <w14:schemeClr w14:val="tx1"/>
                  </w14:solidFill>
                </w14:textFill>
              </w:rPr>
            </w:pPr>
          </w:p>
        </w:tc>
        <w:tc>
          <w:tcPr>
            <w:tcW w:w="300" w:type="pct"/>
            <w:vAlign w:val="center"/>
          </w:tcPr>
          <w:p>
            <w:pPr>
              <w:widowControl/>
              <w:adjustRightInd/>
              <w:snapToGrid/>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资源开发效率</w:t>
            </w:r>
          </w:p>
        </w:tc>
        <w:tc>
          <w:tcPr>
            <w:tcW w:w="2763" w:type="pct"/>
            <w:vAlign w:val="center"/>
          </w:tcPr>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-其他参照达州市一般管控单元总体准入要求。</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319" w:type="pct"/>
            <w:vMerge w:val="continue"/>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restart"/>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color w:val="000000" w:themeColor="text1"/>
                <w:sz w:val="21"/>
                <w:szCs w:val="21"/>
                <w14:textFill>
                  <w14:solidFill>
                    <w14:schemeClr w14:val="tx1"/>
                  </w14:solidFill>
                </w14:textFill>
              </w:rPr>
              <w:t>YS5117223210001</w:t>
            </w:r>
          </w:p>
        </w:tc>
        <w:tc>
          <w:tcPr>
            <w:tcW w:w="298" w:type="pct"/>
            <w:vMerge w:val="restar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州河宣汉县张鼓坪控制单元</w:t>
            </w:r>
          </w:p>
        </w:tc>
        <w:tc>
          <w:tcPr>
            <w:tcW w:w="300" w:type="pct"/>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空间布局约束</w:t>
            </w:r>
          </w:p>
        </w:tc>
        <w:tc>
          <w:tcPr>
            <w:tcW w:w="2763" w:type="pct"/>
            <w:vAlign w:val="center"/>
          </w:tcPr>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暂无</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319"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continue"/>
            <w:vAlign w:val="center"/>
          </w:tcPr>
          <w:p>
            <w:pPr>
              <w:widowControl/>
              <w:adjustRightInd/>
              <w:snapToGrid/>
              <w:spacing w:line="240" w:lineRule="auto"/>
              <w:ind w:firstLine="0" w:firstLineChars="0"/>
              <w:jc w:val="center"/>
              <w:rPr>
                <w:rFonts w:cs="Times New Roman"/>
                <w:snapToGrid w:val="0"/>
                <w:color w:val="000000" w:themeColor="text1"/>
                <w:kern w:val="0"/>
                <w:sz w:val="21"/>
                <w:szCs w:val="21"/>
                <w14:textFill>
                  <w14:solidFill>
                    <w14:schemeClr w14:val="tx1"/>
                  </w14:solidFill>
                </w14:textFill>
              </w:rPr>
            </w:pPr>
          </w:p>
        </w:tc>
        <w:tc>
          <w:tcPr>
            <w:tcW w:w="298" w:type="pct"/>
            <w:vMerge w:val="continue"/>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300" w:type="pct"/>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污染物排放管控</w:t>
            </w:r>
          </w:p>
        </w:tc>
        <w:tc>
          <w:tcPr>
            <w:tcW w:w="2763" w:type="pct"/>
            <w:vAlign w:val="center"/>
          </w:tcPr>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暂无</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319"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continue"/>
            <w:vAlign w:val="center"/>
          </w:tcPr>
          <w:p>
            <w:pPr>
              <w:widowControl/>
              <w:adjustRightInd/>
              <w:snapToGrid/>
              <w:spacing w:line="240" w:lineRule="auto"/>
              <w:ind w:firstLine="0" w:firstLineChars="0"/>
              <w:jc w:val="center"/>
              <w:rPr>
                <w:rFonts w:cs="Times New Roman"/>
                <w:snapToGrid w:val="0"/>
                <w:color w:val="000000" w:themeColor="text1"/>
                <w:kern w:val="0"/>
                <w:sz w:val="21"/>
                <w:szCs w:val="21"/>
                <w14:textFill>
                  <w14:solidFill>
                    <w14:schemeClr w14:val="tx1"/>
                  </w14:solidFill>
                </w14:textFill>
              </w:rPr>
            </w:pPr>
          </w:p>
        </w:tc>
        <w:tc>
          <w:tcPr>
            <w:tcW w:w="298" w:type="pct"/>
            <w:vMerge w:val="continue"/>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300" w:type="pct"/>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环境风险防控</w:t>
            </w:r>
          </w:p>
        </w:tc>
        <w:tc>
          <w:tcPr>
            <w:tcW w:w="2763" w:type="pct"/>
            <w:vAlign w:val="center"/>
          </w:tcPr>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暂无</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319"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continue"/>
            <w:vAlign w:val="center"/>
          </w:tcPr>
          <w:p>
            <w:pPr>
              <w:widowControl/>
              <w:adjustRightInd/>
              <w:snapToGrid/>
              <w:spacing w:line="240" w:lineRule="auto"/>
              <w:ind w:firstLine="0" w:firstLineChars="0"/>
              <w:jc w:val="center"/>
              <w:rPr>
                <w:rFonts w:cs="Times New Roman"/>
                <w:snapToGrid w:val="0"/>
                <w:color w:val="000000" w:themeColor="text1"/>
                <w:kern w:val="0"/>
                <w:sz w:val="21"/>
                <w:szCs w:val="21"/>
                <w14:textFill>
                  <w14:solidFill>
                    <w14:schemeClr w14:val="tx1"/>
                  </w14:solidFill>
                </w14:textFill>
              </w:rPr>
            </w:pPr>
          </w:p>
        </w:tc>
        <w:tc>
          <w:tcPr>
            <w:tcW w:w="298" w:type="pct"/>
            <w:vMerge w:val="continue"/>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300" w:type="pct"/>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资源开发效率</w:t>
            </w:r>
          </w:p>
        </w:tc>
        <w:tc>
          <w:tcPr>
            <w:tcW w:w="2763" w:type="pct"/>
            <w:vAlign w:val="center"/>
          </w:tcPr>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暂无</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319"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restart"/>
            <w:vAlign w:val="center"/>
          </w:tcPr>
          <w:p>
            <w:pPr>
              <w:widowControl/>
              <w:adjustRightInd/>
              <w:snapToGrid/>
              <w:spacing w:line="240" w:lineRule="auto"/>
              <w:ind w:firstLine="0" w:firstLineChars="0"/>
              <w:jc w:val="center"/>
              <w:rPr>
                <w:rFonts w:cs="Times New Roman"/>
                <w:snapToGrid w:val="0"/>
                <w:color w:val="000000" w:themeColor="text1"/>
                <w:kern w:val="0"/>
                <w:sz w:val="21"/>
                <w:szCs w:val="21"/>
                <w14:textFill>
                  <w14:solidFill>
                    <w14:schemeClr w14:val="tx1"/>
                  </w14:solidFill>
                </w14:textFill>
              </w:rPr>
            </w:pPr>
            <w:r>
              <w:rPr>
                <w:rFonts w:cs="Times New Roman"/>
                <w:sz w:val="21"/>
              </w:rPr>
              <w:t>YS5117221410003</w:t>
            </w:r>
          </w:p>
        </w:tc>
        <w:tc>
          <w:tcPr>
            <w:tcW w:w="298" w:type="pct"/>
            <w:vMerge w:val="restar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sz w:val="21"/>
              </w:rPr>
              <w:t>宣汉县土壤优先保护区</w:t>
            </w:r>
          </w:p>
        </w:tc>
        <w:tc>
          <w:tcPr>
            <w:tcW w:w="300" w:type="pct"/>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空间布局约束</w:t>
            </w:r>
          </w:p>
        </w:tc>
        <w:tc>
          <w:tcPr>
            <w:tcW w:w="2763" w:type="pct"/>
            <w:vAlign w:val="center"/>
          </w:tcPr>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暂无</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319"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continue"/>
            <w:vAlign w:val="center"/>
          </w:tcPr>
          <w:p>
            <w:pPr>
              <w:widowControl/>
              <w:adjustRightInd/>
              <w:snapToGrid/>
              <w:spacing w:line="240" w:lineRule="auto"/>
              <w:ind w:firstLine="0" w:firstLineChars="0"/>
              <w:jc w:val="center"/>
              <w:rPr>
                <w:rFonts w:cs="Times New Roman"/>
                <w:snapToGrid w:val="0"/>
                <w:color w:val="000000" w:themeColor="text1"/>
                <w:kern w:val="0"/>
                <w:sz w:val="21"/>
                <w:szCs w:val="21"/>
                <w14:textFill>
                  <w14:solidFill>
                    <w14:schemeClr w14:val="tx1"/>
                  </w14:solidFill>
                </w14:textFill>
              </w:rPr>
            </w:pPr>
          </w:p>
        </w:tc>
        <w:tc>
          <w:tcPr>
            <w:tcW w:w="298" w:type="pct"/>
            <w:vMerge w:val="continue"/>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300" w:type="pct"/>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污染物排放管控</w:t>
            </w:r>
          </w:p>
        </w:tc>
        <w:tc>
          <w:tcPr>
            <w:tcW w:w="2763" w:type="pct"/>
            <w:vAlign w:val="center"/>
          </w:tcPr>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暂无</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319"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continue"/>
            <w:vAlign w:val="center"/>
          </w:tcPr>
          <w:p>
            <w:pPr>
              <w:widowControl/>
              <w:adjustRightInd/>
              <w:snapToGrid/>
              <w:spacing w:line="240" w:lineRule="auto"/>
              <w:ind w:firstLine="0" w:firstLineChars="0"/>
              <w:jc w:val="center"/>
              <w:rPr>
                <w:rFonts w:cs="Times New Roman"/>
                <w:snapToGrid w:val="0"/>
                <w:color w:val="000000" w:themeColor="text1"/>
                <w:kern w:val="0"/>
                <w:sz w:val="21"/>
                <w:szCs w:val="21"/>
                <w14:textFill>
                  <w14:solidFill>
                    <w14:schemeClr w14:val="tx1"/>
                  </w14:solidFill>
                </w14:textFill>
              </w:rPr>
            </w:pPr>
          </w:p>
        </w:tc>
        <w:tc>
          <w:tcPr>
            <w:tcW w:w="298" w:type="pct"/>
            <w:vMerge w:val="continue"/>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300" w:type="pct"/>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环境风险防控</w:t>
            </w:r>
          </w:p>
        </w:tc>
        <w:tc>
          <w:tcPr>
            <w:tcW w:w="2763" w:type="pct"/>
            <w:vAlign w:val="center"/>
          </w:tcPr>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暂无</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319"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continue"/>
            <w:vAlign w:val="center"/>
          </w:tcPr>
          <w:p>
            <w:pPr>
              <w:widowControl/>
              <w:adjustRightInd/>
              <w:snapToGrid/>
              <w:spacing w:line="240" w:lineRule="auto"/>
              <w:ind w:firstLine="0" w:firstLineChars="0"/>
              <w:jc w:val="center"/>
              <w:rPr>
                <w:rFonts w:cs="Times New Roman"/>
                <w:snapToGrid w:val="0"/>
                <w:color w:val="000000" w:themeColor="text1"/>
                <w:kern w:val="0"/>
                <w:sz w:val="21"/>
                <w:szCs w:val="21"/>
                <w14:textFill>
                  <w14:solidFill>
                    <w14:schemeClr w14:val="tx1"/>
                  </w14:solidFill>
                </w14:textFill>
              </w:rPr>
            </w:pPr>
          </w:p>
        </w:tc>
        <w:tc>
          <w:tcPr>
            <w:tcW w:w="298" w:type="pct"/>
            <w:vMerge w:val="continue"/>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300" w:type="pct"/>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资源开发效率</w:t>
            </w:r>
          </w:p>
        </w:tc>
        <w:tc>
          <w:tcPr>
            <w:tcW w:w="2763" w:type="pct"/>
            <w:vAlign w:val="center"/>
          </w:tcPr>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暂无</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319"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restart"/>
            <w:vAlign w:val="center"/>
          </w:tcPr>
          <w:p>
            <w:pPr>
              <w:widowControl/>
              <w:adjustRightInd/>
              <w:snapToGrid/>
              <w:spacing w:line="240" w:lineRule="auto"/>
              <w:ind w:firstLine="0" w:firstLineChars="0"/>
              <w:jc w:val="center"/>
              <w:rPr>
                <w:rFonts w:cs="Times New Roman"/>
                <w:snapToGrid w:val="0"/>
                <w:color w:val="000000" w:themeColor="text1"/>
                <w:kern w:val="0"/>
                <w:sz w:val="21"/>
                <w:szCs w:val="21"/>
                <w14:textFill>
                  <w14:solidFill>
                    <w14:schemeClr w14:val="tx1"/>
                  </w14:solidFill>
                </w14:textFill>
              </w:rPr>
            </w:pPr>
            <w:r>
              <w:rPr>
                <w:rFonts w:cs="Times New Roman"/>
                <w:sz w:val="21"/>
              </w:rPr>
              <w:t>YS5117223310001</w:t>
            </w:r>
          </w:p>
        </w:tc>
        <w:tc>
          <w:tcPr>
            <w:tcW w:w="298" w:type="pct"/>
            <w:vMerge w:val="restar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sz w:val="21"/>
              </w:rPr>
              <w:t>宣汉县大气环境一般管控区</w:t>
            </w:r>
          </w:p>
        </w:tc>
        <w:tc>
          <w:tcPr>
            <w:tcW w:w="300" w:type="pct"/>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空间布局约束</w:t>
            </w:r>
          </w:p>
        </w:tc>
        <w:tc>
          <w:tcPr>
            <w:tcW w:w="2763" w:type="pct"/>
            <w:vAlign w:val="center"/>
          </w:tcPr>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暂无</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319"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continue"/>
            <w:vAlign w:val="center"/>
          </w:tcPr>
          <w:p>
            <w:pPr>
              <w:widowControl/>
              <w:adjustRightInd/>
              <w:snapToGrid/>
              <w:spacing w:line="240" w:lineRule="auto"/>
              <w:ind w:firstLine="0" w:firstLineChars="0"/>
              <w:jc w:val="center"/>
              <w:rPr>
                <w:rFonts w:cs="Times New Roman"/>
                <w:snapToGrid w:val="0"/>
                <w:color w:val="000000" w:themeColor="text1"/>
                <w:kern w:val="0"/>
                <w:sz w:val="21"/>
                <w:szCs w:val="21"/>
                <w14:textFill>
                  <w14:solidFill>
                    <w14:schemeClr w14:val="tx1"/>
                  </w14:solidFill>
                </w14:textFill>
              </w:rPr>
            </w:pPr>
          </w:p>
        </w:tc>
        <w:tc>
          <w:tcPr>
            <w:tcW w:w="298" w:type="pct"/>
            <w:vMerge w:val="continue"/>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300" w:type="pct"/>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污染物排放管控</w:t>
            </w:r>
          </w:p>
        </w:tc>
        <w:tc>
          <w:tcPr>
            <w:tcW w:w="2763" w:type="pct"/>
            <w:vAlign w:val="center"/>
          </w:tcPr>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暂无</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319"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continue"/>
            <w:vAlign w:val="center"/>
          </w:tcPr>
          <w:p>
            <w:pPr>
              <w:widowControl/>
              <w:adjustRightInd/>
              <w:snapToGrid/>
              <w:spacing w:line="240" w:lineRule="auto"/>
              <w:ind w:firstLine="0" w:firstLineChars="0"/>
              <w:jc w:val="center"/>
              <w:rPr>
                <w:rFonts w:cs="Times New Roman"/>
                <w:snapToGrid w:val="0"/>
                <w:color w:val="000000" w:themeColor="text1"/>
                <w:kern w:val="0"/>
                <w:sz w:val="21"/>
                <w:szCs w:val="21"/>
                <w14:textFill>
                  <w14:solidFill>
                    <w14:schemeClr w14:val="tx1"/>
                  </w14:solidFill>
                </w14:textFill>
              </w:rPr>
            </w:pPr>
          </w:p>
        </w:tc>
        <w:tc>
          <w:tcPr>
            <w:tcW w:w="298" w:type="pct"/>
            <w:vMerge w:val="continue"/>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300" w:type="pct"/>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环境风险防控</w:t>
            </w:r>
          </w:p>
        </w:tc>
        <w:tc>
          <w:tcPr>
            <w:tcW w:w="2763" w:type="pct"/>
            <w:vAlign w:val="center"/>
          </w:tcPr>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暂无</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319"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74" w:type="pct"/>
            <w:vMerge w:val="continue"/>
            <w:vAlign w:val="center"/>
          </w:tcPr>
          <w:p>
            <w:pPr>
              <w:widowControl/>
              <w:adjustRightInd/>
              <w:snapToGrid/>
              <w:spacing w:line="240" w:lineRule="auto"/>
              <w:ind w:firstLine="0" w:firstLineChars="0"/>
              <w:jc w:val="center"/>
              <w:rPr>
                <w:rFonts w:cs="Times New Roman"/>
                <w:snapToGrid w:val="0"/>
                <w:color w:val="000000" w:themeColor="text1"/>
                <w:kern w:val="0"/>
                <w:sz w:val="21"/>
                <w:szCs w:val="21"/>
                <w14:textFill>
                  <w14:solidFill>
                    <w14:schemeClr w14:val="tx1"/>
                  </w14:solidFill>
                </w14:textFill>
              </w:rPr>
            </w:pPr>
          </w:p>
        </w:tc>
        <w:tc>
          <w:tcPr>
            <w:tcW w:w="298" w:type="pct"/>
            <w:vMerge w:val="continue"/>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300" w:type="pct"/>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资源开发效率</w:t>
            </w:r>
          </w:p>
        </w:tc>
        <w:tc>
          <w:tcPr>
            <w:tcW w:w="2763" w:type="pct"/>
            <w:vAlign w:val="center"/>
          </w:tcPr>
          <w:p>
            <w:pPr>
              <w:widowControl/>
              <w:adjustRightInd/>
              <w:snapToGrid/>
              <w:spacing w:line="240" w:lineRule="auto"/>
              <w:ind w:firstLine="0" w:firstLineChars="0"/>
              <w:jc w:val="left"/>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暂无</w:t>
            </w:r>
          </w:p>
        </w:tc>
        <w:tc>
          <w:tcPr>
            <w:tcW w:w="646"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319" w:type="pct"/>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r>
    </w:tbl>
    <w:p>
      <w:pPr>
        <w:pStyle w:val="249"/>
        <w:ind w:firstLine="480"/>
        <w:rPr>
          <w:color w:val="000000" w:themeColor="text1"/>
          <w14:textFill>
            <w14:solidFill>
              <w14:schemeClr w14:val="tx1"/>
            </w14:solidFill>
          </w14:textFill>
        </w:rPr>
        <w:sectPr>
          <w:pgSz w:w="16838" w:h="11906" w:orient="landscape"/>
          <w:pgMar w:top="1800" w:right="1440" w:bottom="1800" w:left="1440" w:header="964" w:footer="964" w:gutter="0"/>
          <w:cols w:space="425" w:num="1"/>
          <w:docGrid w:type="lines" w:linePitch="326" w:charSpace="0"/>
        </w:sectPr>
      </w:pPr>
    </w:p>
    <w:p>
      <w:pPr>
        <w:tabs>
          <w:tab w:val="left" w:pos="0"/>
        </w:tabs>
        <w:ind w:firstLine="480"/>
        <w:rPr>
          <w:rFonts w:eastAsia="黑体" w:cs="Times New Roman"/>
          <w:color w:val="000000" w:themeColor="text1"/>
          <w14:textFill>
            <w14:solidFill>
              <w14:schemeClr w14:val="tx1"/>
            </w14:solidFill>
          </w14:textFill>
        </w:rPr>
      </w:pPr>
      <w:r>
        <w:rPr>
          <w:rFonts w:eastAsia="黑体" w:cs="Times New Roman"/>
          <w:color w:val="000000" w:themeColor="text1"/>
          <w14:textFill>
            <w14:solidFill>
              <w14:schemeClr w14:val="tx1"/>
            </w14:solidFill>
          </w14:textFill>
        </w:rPr>
        <w:t>3、与达州市人民政府《关于落实生态保护红线、环境质量底线、资源利用上线制定生态环境准入清单实施生态环境分区管控的通知》达市府发〔2021〕17号符合性分析</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达州市人民政府《关于落实生态保护红线、环境质量底线、资源利用上线制定生态环境准入清单实施生态环境分区管控的通知》（达市府发〔2021〕17号），结合达州市和宣汉县总体生态环境管控要求，项目与达市府发〔2021〕17号符合性如下表2.7-18所示。</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t>-18 与达市府发〔2021〕17号符合性</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785"/>
        <w:gridCol w:w="4172"/>
        <w:gridCol w:w="2591"/>
        <w:gridCol w:w="8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08" w:hRule="atLeast"/>
          <w:tblHeader/>
          <w:jc w:val="center"/>
        </w:trPr>
        <w:tc>
          <w:tcPr>
            <w:tcW w:w="469" w:type="pct"/>
            <w:vAlign w:val="center"/>
          </w:tcPr>
          <w:p>
            <w:pPr>
              <w:pStyle w:val="294"/>
            </w:pPr>
            <w:r>
              <w:t>行政区划</w:t>
            </w:r>
          </w:p>
        </w:tc>
        <w:tc>
          <w:tcPr>
            <w:tcW w:w="2493" w:type="pct"/>
            <w:vAlign w:val="center"/>
          </w:tcPr>
          <w:p>
            <w:pPr>
              <w:pStyle w:val="294"/>
            </w:pPr>
            <w:r>
              <w:t>全市及各县（市、区）总体生态环境管控要求</w:t>
            </w:r>
          </w:p>
        </w:tc>
        <w:tc>
          <w:tcPr>
            <w:tcW w:w="1548" w:type="pct"/>
            <w:vAlign w:val="center"/>
          </w:tcPr>
          <w:p>
            <w:pPr>
              <w:pStyle w:val="294"/>
            </w:pPr>
            <w:r>
              <w:t>本项目</w:t>
            </w:r>
          </w:p>
        </w:tc>
        <w:tc>
          <w:tcPr>
            <w:tcW w:w="489" w:type="pct"/>
            <w:vAlign w:val="center"/>
          </w:tcPr>
          <w:p>
            <w:pPr>
              <w:pStyle w:val="294"/>
            </w:pPr>
            <w: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469" w:type="pct"/>
            <w:vAlign w:val="center"/>
          </w:tcPr>
          <w:p>
            <w:pPr>
              <w:pStyle w:val="294"/>
            </w:pPr>
            <w:r>
              <w:t>达州市</w:t>
            </w:r>
          </w:p>
        </w:tc>
        <w:tc>
          <w:tcPr>
            <w:tcW w:w="2493" w:type="pct"/>
            <w:vAlign w:val="center"/>
          </w:tcPr>
          <w:p>
            <w:pPr>
              <w:pStyle w:val="294"/>
            </w:pPr>
            <w:r>
              <w:t>1．对钢铁行业提出严格资源环境绩效水平要求；</w:t>
            </w:r>
          </w:p>
          <w:p>
            <w:pPr>
              <w:pStyle w:val="294"/>
            </w:pPr>
            <w:r>
              <w:t>2．高污染企业限期退城入园；</w:t>
            </w:r>
          </w:p>
          <w:p>
            <w:pPr>
              <w:pStyle w:val="294"/>
            </w:pPr>
            <w:r>
              <w:t>3．普光气田开发污染防治和环境管理等方面要达到国内先进水平；</w:t>
            </w:r>
          </w:p>
          <w:p>
            <w:pPr>
              <w:pStyle w:val="294"/>
            </w:pPr>
            <w:r>
              <w:t>4．引进项目应符合园区规划环评和区域产业准入清单要求；</w:t>
            </w:r>
          </w:p>
          <w:p>
            <w:pPr>
              <w:pStyle w:val="294"/>
            </w:pPr>
            <w:r>
              <w:t>5．长江干支流岸线1km范围内，不得新建、扩建化工园区和化工项目；</w:t>
            </w:r>
          </w:p>
          <w:p>
            <w:pPr>
              <w:pStyle w:val="294"/>
            </w:pPr>
            <w:r>
              <w:t>6．严控产业转移环境准入；</w:t>
            </w:r>
          </w:p>
          <w:p>
            <w:pPr>
              <w:pStyle w:val="294"/>
            </w:pPr>
            <w:r>
              <w:t>7．造纸等产业污染治理和环境管理应达到国内先进水平。优化制浆造纸产业布局，提升行业清洁生产水平，推动制浆造纸工业向节能、环保、绿色方向发展。</w:t>
            </w:r>
          </w:p>
        </w:tc>
        <w:tc>
          <w:tcPr>
            <w:tcW w:w="1548" w:type="pct"/>
            <w:vAlign w:val="center"/>
          </w:tcPr>
          <w:p>
            <w:pPr>
              <w:pStyle w:val="294"/>
            </w:pPr>
            <w:r>
              <w:t>本项目为天然气钻探和试采工程，污染防治和环境管理严格按照本环评报告书提出要求进行落实，同时落实中原油田普光分公司要求日常管理要求，确保本项目各种污染物得到妥善处置，不对项目所在地环境造成影响。</w:t>
            </w:r>
          </w:p>
        </w:tc>
        <w:tc>
          <w:tcPr>
            <w:tcW w:w="489"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469" w:type="pct"/>
            <w:vAlign w:val="center"/>
          </w:tcPr>
          <w:p>
            <w:pPr>
              <w:pStyle w:val="294"/>
            </w:pPr>
            <w:r>
              <w:t>宣汉县</w:t>
            </w:r>
          </w:p>
        </w:tc>
        <w:tc>
          <w:tcPr>
            <w:tcW w:w="2493" w:type="pct"/>
            <w:vAlign w:val="center"/>
          </w:tcPr>
          <w:p>
            <w:pPr>
              <w:pStyle w:val="294"/>
            </w:pPr>
            <w:r>
              <w:t>1．加强小流域水环境保护，推动农村环保基础设施建设，全面推进农村环境综合整治、生活污水处理项目。大力开展沿河畜禽养殖污染整治，大力推广生态种植，减少农药化肥使用量；</w:t>
            </w:r>
          </w:p>
          <w:p>
            <w:pPr>
              <w:pStyle w:val="294"/>
            </w:pPr>
            <w:r>
              <w:t>2．打好升级版污染防治攻坚战。持续优化调整产业布局，以PM</w:t>
            </w:r>
            <w:r>
              <w:rPr>
                <w:vertAlign w:val="subscript"/>
              </w:rPr>
              <w:t>2.5</w:t>
            </w:r>
            <w:r>
              <w:t>和臭氧污染协同控制为重点，全面开展VOCs治理，实施移动源整治，持续推进空气质量精细化管理；</w:t>
            </w:r>
          </w:p>
          <w:p>
            <w:pPr>
              <w:pStyle w:val="294"/>
            </w:pPr>
            <w:r>
              <w:t>3．优化天然气化工、硫化工、锂钾综合开发、冶金建材、新材料等产业布局，切实做好危险化学品生产、使用、贮运、废弃全过程的安全防范措施，妥善处理好锂钾综合开发产业副产物及“三废”的综合利用途径或处置去向。</w:t>
            </w:r>
          </w:p>
        </w:tc>
        <w:tc>
          <w:tcPr>
            <w:tcW w:w="1548" w:type="pct"/>
            <w:vAlign w:val="center"/>
          </w:tcPr>
          <w:p>
            <w:pPr>
              <w:pStyle w:val="294"/>
            </w:pPr>
            <w:r>
              <w:t>本项目为天然气钻探和试采工程，不涉及以上总体生态环境管控要求。</w:t>
            </w:r>
          </w:p>
        </w:tc>
        <w:tc>
          <w:tcPr>
            <w:tcW w:w="489" w:type="pct"/>
            <w:vAlign w:val="center"/>
          </w:tcPr>
          <w:p>
            <w:pPr>
              <w:pStyle w:val="294"/>
            </w:pPr>
            <w:r>
              <w:t>符合</w:t>
            </w:r>
          </w:p>
        </w:tc>
      </w:tr>
    </w:tbl>
    <w:p>
      <w:pPr>
        <w:tabs>
          <w:tab w:val="left" w:pos="0"/>
        </w:tabs>
        <w:spacing w:before="120" w:beforeLines="50"/>
        <w:ind w:firstLine="480"/>
        <w:rPr>
          <w:rFonts w:eastAsia="黑体" w:cs="Times New Roman"/>
          <w:color w:val="000000" w:themeColor="text1"/>
          <w14:textFill>
            <w14:solidFill>
              <w14:schemeClr w14:val="tx1"/>
            </w14:solidFill>
          </w14:textFill>
        </w:rPr>
      </w:pPr>
      <w:r>
        <w:rPr>
          <w:rFonts w:eastAsia="黑体" w:cs="Times New Roman"/>
          <w:color w:val="000000" w:themeColor="text1"/>
          <w14:textFill>
            <w14:solidFill>
              <w14:schemeClr w14:val="tx1"/>
            </w14:solidFill>
          </w14:textFill>
        </w:rPr>
        <w:t>4、与环境准入负面清单的符合性分析</w:t>
      </w:r>
    </w:p>
    <w:p>
      <w:pPr>
        <w:autoSpaceDE w:val="0"/>
        <w:autoSpaceDN w:val="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工程选址位于达州市宣汉县，根据《四川省人民政府关于落实生态保护红线、环境质量底线、资源利用上线，制定生态环境准入清单，实施生态环境分区管控的通知》（川府发〔2020〕9号），项目所在地属于川东北经济区，该区域总体生态环境管控要求为：</w:t>
      </w:r>
      <w:r>
        <w:rPr>
          <w:rFonts w:hint="eastAsia" w:ascii="宋体" w:hAnsi="宋体" w:cs="宋体"/>
          <w:color w:val="000000" w:themeColor="text1"/>
          <w:szCs w:val="24"/>
          <w14:textFill>
            <w14:solidFill>
              <w14:schemeClr w14:val="tx1"/>
            </w14:solidFill>
          </w14:textFill>
        </w:rPr>
        <w:t>①</w:t>
      </w:r>
      <w:r>
        <w:rPr>
          <w:rFonts w:cs="Times New Roman"/>
          <w:color w:val="000000" w:themeColor="text1"/>
          <w:szCs w:val="24"/>
          <w14:textFill>
            <w14:solidFill>
              <w14:schemeClr w14:val="tx1"/>
            </w14:solidFill>
          </w14:textFill>
        </w:rPr>
        <w:t>控制农村面源污染，提高污水收集处理率，加快乡镇污水处理基础设施建设。</w:t>
      </w:r>
      <w:r>
        <w:rPr>
          <w:rFonts w:hint="eastAsia" w:ascii="宋体" w:hAnsi="宋体" w:cs="宋体"/>
          <w:color w:val="000000" w:themeColor="text1"/>
          <w:szCs w:val="24"/>
          <w14:textFill>
            <w14:solidFill>
              <w14:schemeClr w14:val="tx1"/>
            </w14:solidFill>
          </w14:textFill>
        </w:rPr>
        <w:t>②</w:t>
      </w:r>
      <w:r>
        <w:rPr>
          <w:rFonts w:cs="Times New Roman"/>
          <w:color w:val="000000" w:themeColor="text1"/>
          <w:szCs w:val="24"/>
          <w14:textFill>
            <w14:solidFill>
              <w14:schemeClr w14:val="tx1"/>
            </w14:solidFill>
          </w14:textFill>
        </w:rPr>
        <w:t>建设流域水环境风险联防联控体系。</w:t>
      </w:r>
      <w:r>
        <w:rPr>
          <w:rFonts w:hint="eastAsia" w:ascii="宋体" w:hAnsi="宋体" w:cs="宋体"/>
          <w:color w:val="000000" w:themeColor="text1"/>
          <w:szCs w:val="24"/>
          <w14:textFill>
            <w14:solidFill>
              <w14:schemeClr w14:val="tx1"/>
            </w14:solidFill>
          </w14:textFill>
        </w:rPr>
        <w:t>③</w:t>
      </w:r>
      <w:r>
        <w:rPr>
          <w:rFonts w:cs="Times New Roman"/>
          <w:color w:val="000000" w:themeColor="text1"/>
          <w:szCs w:val="24"/>
          <w14:textFill>
            <w14:solidFill>
              <w14:schemeClr w14:val="tx1"/>
            </w14:solidFill>
          </w14:textFill>
        </w:rPr>
        <w:t>提高大气污染治理水平。</w:t>
      </w:r>
    </w:p>
    <w:p>
      <w:pPr>
        <w:autoSpaceDE w:val="0"/>
        <w:autoSpaceDN w:val="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为天然气钻探和试采工程，不属于《四川省人民政府关于落实生态保护红线、环境质量底线、资源利用上线，制定生态环境准入清单，实施生态环境分区管控的通知》（川府发〔2020〕9号）中所列的建材、家具、电子信息、装备制造、先进材料、食品饮料、生物医药等行业，项目施工期和试采期废水不外排，试采期依托的水套加热炉燃烧废气经排气筒排放，放空火炬长明灯烟气通过放空火炬高空排放，污染物排放量较小。项目所在地生态环境良好，无突出环境问题，因此，项目的建设满足《四川省人民政府关于落实生态保护红线、环境质量底线、资源利用上线，制定生态环境准入清单，实施生态环境分区管控的通知》（川府发〔2020〕9号）中川东北经济区的生态环境管控要求。</w:t>
      </w:r>
    </w:p>
    <w:p>
      <w:pPr>
        <w:autoSpaceDE w:val="0"/>
        <w:autoSpaceDN w:val="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工程不涉及《四川省国家重点生态功能区产业准入负面清单（第一批）（试行）》42个市县、《四川省重点生态功能区产业准入负面清单（第二批）（试行）》15个县。因此，不属于区域环境准入负面清单行业内容。</w:t>
      </w:r>
    </w:p>
    <w:p>
      <w:pPr>
        <w:autoSpaceDE w:val="0"/>
        <w:autoSpaceDN w:val="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本项目不涉及</w:t>
      </w:r>
      <w:r>
        <w:rPr>
          <w:rFonts w:cs="Times New Roman"/>
          <w:bCs/>
          <w:color w:val="000000" w:themeColor="text1"/>
          <w:szCs w:val="24"/>
          <w14:textFill>
            <w14:solidFill>
              <w14:schemeClr w14:val="tx1"/>
            </w14:solidFill>
          </w14:textFill>
        </w:rPr>
        <w:t>《四川省、重庆市长江经济带发展负面清单实施细则（试行，2022年版）》（川长江办〔2022〕17号）中限制与禁止建设的项目。</w:t>
      </w:r>
    </w:p>
    <w:p>
      <w:pPr>
        <w:autoSpaceDE w:val="0"/>
        <w:autoSpaceDN w:val="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本项目位于达州市四川省达州市宣汉县普光镇陡梯村，查阅相关资料，项目建设区域不涉及自然保护区、风景名胜区、饮用水源保护区以及生态保护红线等。项目为天然气钻探与试采项目，属于鼓励类项目。</w:t>
      </w:r>
    </w:p>
    <w:p>
      <w:pPr>
        <w:autoSpaceDE w:val="0"/>
        <w:autoSpaceDN w:val="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综上，本项目的建设满足区域“三线一单”的环境管理要求。</w:t>
      </w:r>
    </w:p>
    <w:p>
      <w:pPr>
        <w:pStyle w:val="4"/>
        <w:ind w:firstLine="241"/>
        <w:rPr>
          <w:b w:val="0"/>
        </w:rPr>
      </w:pPr>
      <w:bookmarkStart w:id="69" w:name="_Toc120173081"/>
      <w:r>
        <w:rPr>
          <w:rFonts w:hint="eastAsia"/>
        </w:rPr>
        <w:t>2.7.4</w:t>
      </w:r>
      <w:r>
        <w:t>与城乡规划符合性分析</w:t>
      </w:r>
      <w:bookmarkEnd w:id="69"/>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根据现场调查，项目位于农村地区，距离普光镇约1.45km，远离乡镇，不涉及乡镇规划建城范围；同时对照《宣汉县城市总体规划》（2013-2030年）城市总体规划图，本项目未位于宣汉县城市总体规划范围内。</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综上所述，项目本项目选址与当地城乡规划不冲突。项目建设前，建设单位应向宣汉县自然资源和规划局提出工程用地申请，得到批复后方可动工。</w:t>
      </w:r>
    </w:p>
    <w:p>
      <w:pPr>
        <w:pStyle w:val="4"/>
        <w:ind w:firstLine="241"/>
        <w:rPr>
          <w:b w:val="0"/>
        </w:rPr>
      </w:pPr>
      <w:bookmarkStart w:id="70" w:name="_Toc120173082"/>
      <w:bookmarkStart w:id="71" w:name="_Hlk108985671"/>
      <w:r>
        <w:rPr>
          <w:rFonts w:hint="eastAsia"/>
        </w:rPr>
        <w:t>2.7.5</w:t>
      </w:r>
      <w:r>
        <w:t>项目用地符合性分析</w:t>
      </w:r>
      <w:bookmarkEnd w:id="70"/>
    </w:p>
    <w:p>
      <w:pPr>
        <w:pStyle w:val="5"/>
      </w:pPr>
      <w:r>
        <w:rPr>
          <w:rFonts w:hint="eastAsia"/>
        </w:rPr>
        <w:t>2.7.5.1</w:t>
      </w:r>
      <w:r>
        <w:t>本项目与周边基本农田位置关系</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本项目</w:t>
      </w:r>
      <w:r>
        <w:rPr>
          <w:rFonts w:hint="eastAsia" w:ascii="Times New Roman" w:hAnsi="Times New Roman"/>
          <w:color w:val="000000" w:themeColor="text1"/>
          <w:lang w:eastAsia="zh-CN"/>
          <w14:textFill>
            <w14:solidFill>
              <w14:schemeClr w14:val="tx1"/>
            </w14:solidFill>
          </w14:textFill>
        </w:rPr>
        <w:t>在</w:t>
      </w:r>
      <w:r>
        <w:rPr>
          <w:rFonts w:ascii="Times New Roman" w:hAnsi="Times New Roman"/>
          <w:color w:val="000000" w:themeColor="text1"/>
          <w:lang w:eastAsia="zh-CN"/>
          <w14:textFill>
            <w14:solidFill>
              <w14:schemeClr w14:val="tx1"/>
            </w14:solidFill>
          </w14:textFill>
        </w:rPr>
        <w:t>现有</w:t>
      </w:r>
      <w:r>
        <w:rPr>
          <w:rFonts w:hint="eastAsia" w:ascii="Times New Roman" w:hAnsi="Times New Roman"/>
          <w:color w:val="000000" w:themeColor="text1"/>
          <w:lang w:eastAsia="zh-CN"/>
          <w14:textFill>
            <w14:solidFill>
              <w14:schemeClr w14:val="tx1"/>
            </w14:solidFill>
          </w14:textFill>
        </w:rPr>
        <w:t>采气站</w:t>
      </w:r>
      <w:r>
        <w:rPr>
          <w:rFonts w:ascii="Times New Roman" w:hAnsi="Times New Roman"/>
          <w:color w:val="000000" w:themeColor="text1"/>
          <w:lang w:eastAsia="zh-CN"/>
          <w14:textFill>
            <w14:solidFill>
              <w14:schemeClr w14:val="tx1"/>
            </w14:solidFill>
          </w14:textFill>
        </w:rPr>
        <w:t>外</w:t>
      </w:r>
      <w:r>
        <w:rPr>
          <w:rFonts w:hint="eastAsia" w:ascii="Times New Roman" w:hAnsi="Times New Roman"/>
          <w:color w:val="000000" w:themeColor="text1"/>
          <w:lang w:eastAsia="zh-CN"/>
          <w14:textFill>
            <w14:solidFill>
              <w14:schemeClr w14:val="tx1"/>
            </w14:solidFill>
          </w14:textFill>
        </w:rPr>
        <w:t>扩建</w:t>
      </w:r>
      <w:r>
        <w:rPr>
          <w:rFonts w:ascii="Times New Roman" w:hAnsi="Times New Roman"/>
          <w:color w:val="000000" w:themeColor="text1"/>
          <w:lang w:eastAsia="zh-CN"/>
          <w14:textFill>
            <w14:solidFill>
              <w14:schemeClr w14:val="tx1"/>
            </w14:solidFill>
          </w14:textFill>
        </w:rPr>
        <w:t>，通过与宣汉县自然资源局基本农田分布图叠图分析本项目占用基本农田1.0207公顷（10207m</w:t>
      </w:r>
      <w:r>
        <w:rPr>
          <w:rFonts w:ascii="Times New Roman" w:hAnsi="Times New Roman"/>
          <w:color w:val="000000" w:themeColor="text1"/>
          <w:vertAlign w:val="superscript"/>
          <w:lang w:eastAsia="zh-CN"/>
          <w14:textFill>
            <w14:solidFill>
              <w14:schemeClr w14:val="tx1"/>
            </w14:solidFill>
          </w14:textFill>
        </w:rPr>
        <w:t>2</w:t>
      </w:r>
      <w:r>
        <w:rPr>
          <w:rFonts w:ascii="Times New Roman" w:hAnsi="Times New Roman"/>
          <w:color w:val="000000" w:themeColor="text1"/>
          <w:lang w:eastAsia="zh-CN"/>
          <w14:textFill>
            <w14:solidFill>
              <w14:schemeClr w14:val="tx1"/>
            </w14:solidFill>
          </w14:textFill>
        </w:rPr>
        <w:t>）。</w:t>
      </w:r>
    </w:p>
    <w:p>
      <w:pPr>
        <w:pStyle w:val="92"/>
        <w:rPr>
          <w:color w:val="000000" w:themeColor="text1"/>
          <w:lang w:eastAsia="zh-CN"/>
          <w14:textFill>
            <w14:solidFill>
              <w14:schemeClr w14:val="tx1"/>
            </w14:solidFill>
          </w14:textFill>
        </w:rPr>
      </w:pPr>
      <w:r>
        <w:rPr>
          <w:color w:val="000000" w:themeColor="text1"/>
          <w:lang w:eastAsia="zh-CN"/>
          <w14:textFill>
            <w14:solidFill>
              <w14:schemeClr w14:val="tx1"/>
            </w14:solidFill>
          </w14:textFill>
        </w:rPr>
        <w:drawing>
          <wp:inline distT="0" distB="0" distL="0" distR="0">
            <wp:extent cx="5276850" cy="3926205"/>
            <wp:effectExtent l="0" t="0" r="0" b="0"/>
            <wp:docPr id="3" name="图片 3" descr="D:\文件接收\WeChat Files\wxid_7d245frt8vag21\FileStorage\Temp\323634b105bc06210658a7233482a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文件接收\WeChat Files\wxid_7d245frt8vag21\FileStorage\Temp\323634b105bc06210658a7233482ad6.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276850" cy="3926242"/>
                    </a:xfrm>
                    <a:prstGeom prst="rect">
                      <a:avLst/>
                    </a:prstGeom>
                    <a:noFill/>
                    <a:ln>
                      <a:noFill/>
                    </a:ln>
                  </pic:spPr>
                </pic:pic>
              </a:graphicData>
            </a:graphic>
          </wp:inline>
        </w:drawing>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图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项目与永久基本农田位置关系示意图</w:t>
      </w:r>
    </w:p>
    <w:p>
      <w:pPr>
        <w:pStyle w:val="5"/>
      </w:pPr>
      <w:r>
        <w:rPr>
          <w:rFonts w:hint="eastAsia"/>
        </w:rPr>
        <w:t>2.7.5.2</w:t>
      </w:r>
      <w:r>
        <w:t>本项目与《基本农田保护条例》符合性分析</w:t>
      </w:r>
    </w:p>
    <w:p>
      <w:pPr>
        <w:pStyle w:val="122"/>
        <w:rPr>
          <w:color w:val="000000" w:themeColor="text1"/>
          <w14:textFill>
            <w14:solidFill>
              <w14:schemeClr w14:val="tx1"/>
            </w14:solidFill>
          </w14:textFill>
        </w:rPr>
      </w:pPr>
      <w:r>
        <w:rPr>
          <w:color w:val="000000" w:themeColor="text1"/>
          <w14:textFill>
            <w14:solidFill>
              <w14:schemeClr w14:val="tx1"/>
            </w14:solidFill>
          </w14:textFill>
        </w:rPr>
        <w:t>《基本农田保护条例》（国务院第257号）中第十五条提到，基本农田保护区经依法划定后，任何单位和个人不得改变或者占用。</w:t>
      </w:r>
      <w:r>
        <w:rPr>
          <w:b/>
          <w:bCs/>
          <w:color w:val="000000" w:themeColor="text1"/>
          <w14:textFill>
            <w14:solidFill>
              <w14:schemeClr w14:val="tx1"/>
            </w14:solidFill>
          </w14:textFill>
        </w:rPr>
        <w:t>国家能源、交通、水利、军事设施等重点建设项目选址确实无法避开基本农田</w:t>
      </w:r>
      <w:r>
        <w:rPr>
          <w:color w:val="000000" w:themeColor="text1"/>
          <w14:textFill>
            <w14:solidFill>
              <w14:schemeClr w14:val="tx1"/>
            </w14:solidFill>
          </w14:textFill>
        </w:rPr>
        <w:t>，需要占用基本农田，涉及农用地转用或者征收土地的，必须经国务院批准。占用基本农田的单位应当按照县级以上地方人民政府的要求，将所占用基本农田耕作层的土壤用于新开垦耕地、劣质地或者其他耕地的土壤改良。</w:t>
      </w:r>
    </w:p>
    <w:p>
      <w:pPr>
        <w:pStyle w:val="122"/>
        <w:rPr>
          <w:color w:val="000000" w:themeColor="text1"/>
          <w14:textFill>
            <w14:solidFill>
              <w14:schemeClr w14:val="tx1"/>
            </w14:solidFill>
          </w14:textFill>
        </w:rPr>
      </w:pPr>
      <w:r>
        <w:rPr>
          <w:color w:val="000000" w:themeColor="text1"/>
          <w14:textFill>
            <w14:solidFill>
              <w14:schemeClr w14:val="tx1"/>
            </w14:solidFill>
          </w14:textFill>
        </w:rPr>
        <w:t>根据自然资源部印发《关于做好占用永久基本农田重大建设项目用地预审的通知》（自然资规〔2018〕3号）相关规定明确以下六类项目经批准可以占用永久基本农田中：“其他能源项目，包括国家级规划明确的且符合国家产业政策的</w:t>
      </w:r>
      <w:r>
        <w:rPr>
          <w:b/>
          <w:bCs/>
          <w:color w:val="000000" w:themeColor="text1"/>
          <w14:textFill>
            <w14:solidFill>
              <w14:schemeClr w14:val="tx1"/>
            </w14:solidFill>
          </w14:textFill>
        </w:rPr>
        <w:t>能源开采、油气管线</w:t>
      </w:r>
      <w:r>
        <w:rPr>
          <w:color w:val="000000" w:themeColor="text1"/>
          <w14:textFill>
            <w14:solidFill>
              <w14:schemeClr w14:val="tx1"/>
            </w14:solidFill>
          </w14:textFill>
        </w:rPr>
        <w:t>、水电、核电项目”；以及自然资源部印发《两部关于加强和改进永久基本农田保护工作的通知》（自然资规〔2019〕1号）中相关规定，“矿业权申请人依法申请战略性矿产探矿权，开展地质勘查需临时用地的，应依法办理临时用地审批手续。</w:t>
      </w:r>
      <w:r>
        <w:rPr>
          <w:b/>
          <w:bCs/>
          <w:color w:val="000000" w:themeColor="text1"/>
          <w14:textFill>
            <w14:solidFill>
              <w14:schemeClr w14:val="tx1"/>
            </w14:solidFill>
          </w14:textFill>
        </w:rPr>
        <w:t>石油、天然气、页岩气、煤层气等油气战略性矿产的地质勘查，经批准可临时占用永久基本农田布设探井。在试采和取得采矿权后转为开采井的，可直接依法办理农用地转用和土地征收审批手续，按规定补划永久基本农田。</w:t>
      </w:r>
      <w:r>
        <w:rPr>
          <w:color w:val="000000" w:themeColor="text1"/>
          <w14:textFill>
            <w14:solidFill>
              <w14:schemeClr w14:val="tx1"/>
            </w14:solidFill>
          </w14:textFill>
        </w:rPr>
        <w:t>”</w:t>
      </w:r>
    </w:p>
    <w:p>
      <w:pPr>
        <w:pStyle w:val="122"/>
        <w:ind w:firstLine="482"/>
        <w:rPr>
          <w:color w:val="000000" w:themeColor="text1"/>
          <w14:textFill>
            <w14:solidFill>
              <w14:schemeClr w14:val="tx1"/>
            </w14:solidFill>
          </w14:textFill>
        </w:rPr>
      </w:pPr>
      <w:r>
        <w:rPr>
          <w:b/>
          <w:bCs/>
          <w:color w:val="000000" w:themeColor="text1"/>
          <w:szCs w:val="22"/>
          <w14:textFill>
            <w14:solidFill>
              <w14:schemeClr w14:val="tx1"/>
            </w14:solidFill>
          </w14:textFill>
        </w:rPr>
        <w:t>本项目为天然气实验性探井及试采工程，</w:t>
      </w:r>
      <w:r>
        <w:rPr>
          <w:color w:val="000000" w:themeColor="text1"/>
          <w:szCs w:val="22"/>
          <w14:textFill>
            <w14:solidFill>
              <w14:schemeClr w14:val="tx1"/>
            </w14:solidFill>
          </w14:textFill>
        </w:rPr>
        <w:t>符合国家产业政策，项目占地均为临时占地，项目不涉及占用生态保护红线，仅涉及基本农田（占用基本农田面积为1.0207公顷）。建设单位对临时占地除了在施工中采取措施减少基本农田破坏外，在施工结束后，对开挖破坏段耕地质量的恢复，除补偿因临时占地对农田产量的直接损失外，还将考虑施工结束后因土壤结构破坏、养分流失而造成的影响，对农作物产量的间接损失以及土壤恢复进行补偿，以用于耕作层土恢复。本项目属于（自然资规〔2018〕3号）中明确的“符合国家产业政策的能源开采”以及“《自然资源部农业农村部关于加强和改进永久基本农田保护工作的通知》（自然资规〔2019〕1号）”范畴。因此，建设单位应按照文件要求，尽快办理基本农田征、占用手续。</w:t>
      </w:r>
    </w:p>
    <w:p>
      <w:pPr>
        <w:pStyle w:val="5"/>
      </w:pPr>
      <w:r>
        <w:rPr>
          <w:rFonts w:hint="eastAsia"/>
        </w:rPr>
        <w:t>2.7.5.3</w:t>
      </w:r>
      <w:r>
        <w:t>本项目与其他土地利用文件的符合性分析</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本项目与《自然资源部关于规范临时用地管理的通知》（自然资规〔2021〕2号）、《四川省自然资源厅关于进一步明确临时用地管理有关事项的通知》（川自然资规〔2022〕3号）的符合性见下表：</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与《自然资源部关于规范临时用地管理的通知》和《四川省自然资源厅关于进一步明确临时用地管理有关事项的通知》的符合性分析</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593"/>
        <w:gridCol w:w="4237"/>
        <w:gridCol w:w="2654"/>
        <w:gridCol w:w="88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08" w:hRule="atLeast"/>
          <w:tblHeader/>
          <w:jc w:val="center"/>
        </w:trPr>
        <w:tc>
          <w:tcPr>
            <w:tcW w:w="355" w:type="pct"/>
            <w:vAlign w:val="center"/>
          </w:tcPr>
          <w:p>
            <w:pPr>
              <w:pStyle w:val="294"/>
            </w:pPr>
            <w:r>
              <w:t>序号</w:t>
            </w:r>
          </w:p>
        </w:tc>
        <w:tc>
          <w:tcPr>
            <w:tcW w:w="2532" w:type="pct"/>
            <w:vAlign w:val="center"/>
          </w:tcPr>
          <w:p>
            <w:pPr>
              <w:pStyle w:val="294"/>
            </w:pPr>
            <w:r>
              <w:t>自然资源部关于规范临时用地管理的通知要求</w:t>
            </w:r>
          </w:p>
        </w:tc>
        <w:tc>
          <w:tcPr>
            <w:tcW w:w="1586" w:type="pct"/>
            <w:vAlign w:val="center"/>
          </w:tcPr>
          <w:p>
            <w:pPr>
              <w:pStyle w:val="294"/>
            </w:pPr>
            <w:r>
              <w:t>本项目</w:t>
            </w:r>
          </w:p>
        </w:tc>
        <w:tc>
          <w:tcPr>
            <w:tcW w:w="527" w:type="pct"/>
            <w:vAlign w:val="center"/>
          </w:tcPr>
          <w:p>
            <w:pPr>
              <w:pStyle w:val="294"/>
            </w:pPr>
            <w: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5" w:type="pct"/>
            <w:vAlign w:val="center"/>
          </w:tcPr>
          <w:p>
            <w:pPr>
              <w:pStyle w:val="294"/>
            </w:pPr>
            <w:r>
              <w:t>1</w:t>
            </w:r>
          </w:p>
        </w:tc>
        <w:tc>
          <w:tcPr>
            <w:tcW w:w="2532" w:type="pct"/>
            <w:vAlign w:val="center"/>
          </w:tcPr>
          <w:p>
            <w:pPr>
              <w:pStyle w:val="294"/>
            </w:pPr>
            <w:r>
              <w:t>临时用地的范围包括：（二）矿产资源勘查、工程地质勘查、水文地质勘查等，在勘查期间临时生活用房、临时工棚、勘查作业及其辅助工程、施工便道、运输便道等使用的土地，包括油气资源勘查中钻井井场、配套管线、电力设施、进场道路等钻井及配套设施使用的土地。（三）符合法律、法规规定的其他需要临时使用的土地。</w:t>
            </w:r>
          </w:p>
        </w:tc>
        <w:tc>
          <w:tcPr>
            <w:tcW w:w="1586" w:type="pct"/>
            <w:vAlign w:val="center"/>
          </w:tcPr>
          <w:p>
            <w:pPr>
              <w:pStyle w:val="294"/>
            </w:pPr>
            <w:r>
              <w:t>本项目为天然气资源得勘查项目，项目建设时钻井井场、配套管线、电力设施、进场道路等钻井及配套设施均需临时占用部分土地；后期试采工程将在原井场建设，不格外新增占地。</w:t>
            </w:r>
          </w:p>
        </w:tc>
        <w:tc>
          <w:tcPr>
            <w:tcW w:w="527"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5" w:type="pct"/>
            <w:vAlign w:val="center"/>
          </w:tcPr>
          <w:p>
            <w:pPr>
              <w:pStyle w:val="294"/>
            </w:pPr>
            <w:r>
              <w:t>2</w:t>
            </w:r>
          </w:p>
        </w:tc>
        <w:tc>
          <w:tcPr>
            <w:tcW w:w="2532" w:type="pct"/>
            <w:vAlign w:val="center"/>
          </w:tcPr>
          <w:p>
            <w:pPr>
              <w:pStyle w:val="294"/>
            </w:pPr>
            <w:r>
              <w:t>建设项目施工、地质勘查使用临时用地时应坚持“用多少、批多少、占多少、恢复多少”，尽量不占或者少占耕地。临时用地使用期限一般不超过两年。建设周期较长的能源、交通、水利等基础设施建设项目施工使用的临时用地，期限不超过四年。</w:t>
            </w:r>
          </w:p>
        </w:tc>
        <w:tc>
          <w:tcPr>
            <w:tcW w:w="1586" w:type="pct"/>
            <w:vAlign w:val="center"/>
          </w:tcPr>
          <w:p>
            <w:pPr>
              <w:pStyle w:val="294"/>
            </w:pPr>
            <w:r>
              <w:t>施工期临时用地，使用期限不超过2年，施工结束后立即进行复垦，新增占地面积小</w:t>
            </w:r>
          </w:p>
        </w:tc>
        <w:tc>
          <w:tcPr>
            <w:tcW w:w="527"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5" w:type="pct"/>
            <w:vAlign w:val="center"/>
          </w:tcPr>
          <w:p>
            <w:pPr>
              <w:pStyle w:val="294"/>
            </w:pPr>
            <w:r>
              <w:t>3</w:t>
            </w:r>
          </w:p>
        </w:tc>
        <w:tc>
          <w:tcPr>
            <w:tcW w:w="2532" w:type="pct"/>
            <w:vAlign w:val="center"/>
          </w:tcPr>
          <w:p>
            <w:pPr>
              <w:pStyle w:val="294"/>
            </w:pPr>
            <w:r>
              <w:t>县（市）自然资源主管部门负责临时用地审批，其中涉及占用耕地和永久基本农田的，由市级或者市级以上自然资源主管部门负责审批。油气资源探采合一开发涉及的钻井及配套设施建设用地，可先以临时用地方式批准使用，勘探结束转入生产使用的，办理建设用地审批手续；不转入生产的，油气企业应当完成土地复垦，按期归还。</w:t>
            </w:r>
          </w:p>
        </w:tc>
        <w:tc>
          <w:tcPr>
            <w:tcW w:w="1586" w:type="pct"/>
            <w:vAlign w:val="center"/>
          </w:tcPr>
          <w:p>
            <w:pPr>
              <w:pStyle w:val="294"/>
            </w:pPr>
            <w:r>
              <w:t>本项目新增用地涉及部分基本农田，本项目天然气资源的实验性探井钻井及试采工程，其相关设施将临时占用基本农田，临时用地将按照要求办理用地手续。且临时用地施工结束后将立即进行复垦</w:t>
            </w:r>
          </w:p>
        </w:tc>
        <w:tc>
          <w:tcPr>
            <w:tcW w:w="527" w:type="pct"/>
            <w:vAlign w:val="center"/>
          </w:tcPr>
          <w:p>
            <w:pPr>
              <w:pStyle w:val="294"/>
            </w:pPr>
            <w: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5" w:type="pct"/>
            <w:vAlign w:val="center"/>
          </w:tcPr>
          <w:p>
            <w:pPr>
              <w:pStyle w:val="294"/>
            </w:pPr>
            <w:r>
              <w:t>4</w:t>
            </w:r>
          </w:p>
        </w:tc>
        <w:tc>
          <w:tcPr>
            <w:tcW w:w="2532" w:type="pct"/>
            <w:vAlign w:val="center"/>
          </w:tcPr>
          <w:p>
            <w:pPr>
              <w:pStyle w:val="294"/>
            </w:pPr>
            <w:r>
              <w:t>临时用地使用人应当按照批准的用途使用土地，不得转让、出租、抵押临时用地。临时用地使用人应当自临时用地期满之日起一年内完成土地复垦，因气候、灾害等不可抗力因素影响复垦的，经批准可以适当延长复垦期限。</w:t>
            </w:r>
          </w:p>
          <w:p>
            <w:pPr>
              <w:pStyle w:val="294"/>
            </w:pPr>
            <w:r>
              <w:t>严格落实临时用地恢复责任，临时用地期满后应当拆除临时建（构）筑物，使用耕地的应当复垦为耕地，确保耕地面积不减少、质量不降低；使用耕地以外的其他农用地的应当恢复为农用地；使用未利用地的，对于符合条件的鼓励复垦为耕地。</w:t>
            </w:r>
          </w:p>
        </w:tc>
        <w:tc>
          <w:tcPr>
            <w:tcW w:w="1586" w:type="pct"/>
            <w:vAlign w:val="center"/>
          </w:tcPr>
          <w:p>
            <w:pPr>
              <w:pStyle w:val="294"/>
            </w:pPr>
            <w:r>
              <w:t>建设单位不会转让、出租、抵押临时用地。若临时用地期满且后续不在利用，建设单位将在用地期满之日起一年内完成土地复垦。并按照当地主管部门恢复用地性质</w:t>
            </w:r>
          </w:p>
        </w:tc>
        <w:tc>
          <w:tcPr>
            <w:tcW w:w="527" w:type="pct"/>
            <w:vAlign w:val="center"/>
          </w:tcPr>
          <w:p>
            <w:pPr>
              <w:pStyle w:val="294"/>
            </w:pPr>
            <w:r>
              <w:t>符合</w:t>
            </w:r>
          </w:p>
        </w:tc>
      </w:tr>
    </w:tbl>
    <w:p>
      <w:pPr>
        <w:pStyle w:val="21"/>
        <w:spacing w:before="120" w:beforeLines="5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综上所述，本项目新增的临时占地与《自然资源部关于规范临时用地管理的通知》（自然资规〔2021〕2号）、《四川省自然资源厅关于进一步明确临时用地管理有关事项的通知》（川自然资规〔2022〕3号）中相关要求相符。</w:t>
      </w:r>
      <w:bookmarkEnd w:id="71"/>
    </w:p>
    <w:p>
      <w:pPr>
        <w:pStyle w:val="3"/>
        <w:rPr>
          <w:sz w:val="26"/>
          <w:szCs w:val="26"/>
        </w:rPr>
      </w:pPr>
      <w:bookmarkStart w:id="72" w:name="_Toc164667013"/>
      <w:r>
        <w:rPr>
          <w:rFonts w:hint="eastAsia"/>
        </w:rPr>
        <w:t>2.8</w:t>
      </w:r>
      <w:r>
        <w:t>评价内容及时段</w:t>
      </w:r>
      <w:bookmarkEnd w:id="72"/>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1、评价内容</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（1）分析本项目建设方案与相关法律法规、环境经济技术政策、产业政策以及相关规划的协调性；</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（2）调查项目建设现状，对污染源污染治理设施、污染物排放方式和去向进行回顾性调查，对存在的环境问题提出整改措施建议；</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（3）运用现状监测与资料收集等手段，对项目所在区域进行环境质量回顾性评价，分析环境空气、地表水、地下水、土壤、声环境等环境质量变化趋势；</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（4）对可能会对区域内的环境空气、地表水环境、地下水环境、声环境、土壤环境、生态环境等带来的环境污染影响和环境风险影响进行全面深入的分析、预测和评价，论证产能建设项目的环境可行性；</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（5）调查项目依托环保基础设施现状，说明污水处理设施、回注井等设施的建设地点、规模、服务范围以及运行现状，分析评价依托处置规模合理性，工艺可行性，环保设施可依托性等，论证项目的可依托性；</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（6）从天然气开发活动是否突破当地生态保护红线、环境质量底线、资源利用上线和生态环境准入清单，从环境保护角度分析建设项目区域环境的可承载性。</w:t>
      </w:r>
    </w:p>
    <w:p>
      <w:pPr>
        <w:tabs>
          <w:tab w:val="left" w:pos="0"/>
        </w:tabs>
        <w:ind w:firstLine="480"/>
        <w:rPr>
          <w:rFonts w:eastAsia="黑体" w:cs="Times New Roman"/>
          <w:bCs/>
          <w:color w:val="000000" w:themeColor="text1"/>
          <w:szCs w:val="24"/>
          <w14:textFill>
            <w14:solidFill>
              <w14:schemeClr w14:val="tx1"/>
            </w14:solidFill>
          </w14:textFill>
        </w:rPr>
      </w:pPr>
      <w:r>
        <w:rPr>
          <w:rFonts w:eastAsia="黑体" w:cs="Times New Roman"/>
          <w:bCs/>
          <w:color w:val="000000" w:themeColor="text1"/>
          <w:szCs w:val="24"/>
          <w14:textFill>
            <w14:solidFill>
              <w14:schemeClr w14:val="tx1"/>
            </w14:solidFill>
          </w14:textFill>
        </w:rPr>
        <w:t>2、评价重点</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（1）分析本项目建设方案与相关政策、法规、规划在资源利用、环境保护要求等方面的符合性。</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调查识别区域环境敏感区和重点生态功能区等环境保护目标的分布情况及保护要求，分析资源利用和保护中存在的问题，评价区域环境质量状况，评价生态系统的组成、结构与功能状况、变化趋势和存在的主要环境问题，提出本项目建设的资源与环境制约因素。</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（3）本项目天然气试采对区域环境质量的影响，对区域生态系统完整性所造成的影响，对主要环境敏感区和重点生态功能区等环境保护目标的影响性质与程度。</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（4）分析评价区域资源与环境承载能力对本项目天然气开发的支撑状况，综合论证建设方案的环境合理性，提出项目建设方案优化调整建议。</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（5）以“三线一单”（生态保护红线、环境质量底线、资源利用上线和环境准入负面清单）为手段，强化空间、准入环境管理和总量控制。</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（6）提出预防或者减轻不良环境影响的对策和措施。</w:t>
      </w:r>
    </w:p>
    <w:p>
      <w:pPr>
        <w:tabs>
          <w:tab w:val="left" w:pos="0"/>
        </w:tabs>
        <w:ind w:firstLine="480"/>
        <w:rPr>
          <w:rFonts w:cs="Times New Roman"/>
          <w:bCs/>
          <w:color w:val="000000" w:themeColor="text1"/>
          <w:szCs w:val="24"/>
          <w14:textFill>
            <w14:solidFill>
              <w14:schemeClr w14:val="tx1"/>
            </w14:solidFill>
          </w14:textFill>
        </w:rPr>
      </w:pPr>
      <w:r>
        <w:rPr>
          <w:rFonts w:eastAsia="黑体" w:cs="Times New Roman"/>
          <w:bCs/>
          <w:color w:val="000000" w:themeColor="text1"/>
          <w:szCs w:val="24"/>
          <w14:textFill>
            <w14:solidFill>
              <w14:schemeClr w14:val="tx1"/>
            </w14:solidFill>
          </w14:textFill>
        </w:rPr>
        <w:t>3、评价时段</w:t>
      </w:r>
    </w:p>
    <w:p>
      <w:pPr>
        <w:tabs>
          <w:tab w:val="left" w:pos="0"/>
        </w:tabs>
        <w:ind w:firstLine="480"/>
        <w:rPr>
          <w:rFonts w:cs="Times New Roman"/>
          <w:color w:val="000000" w:themeColor="text1"/>
          <w14:textFill>
            <w14:solidFill>
              <w14:schemeClr w14:val="tx1"/>
            </w14:solidFill>
          </w14:textFill>
        </w:rPr>
      </w:pPr>
      <w:r>
        <w:rPr>
          <w:rFonts w:cs="Times New Roman"/>
          <w:bCs/>
          <w:color w:val="000000" w:themeColor="text1"/>
          <w:szCs w:val="24"/>
          <w14:textFill>
            <w14:solidFill>
              <w14:schemeClr w14:val="tx1"/>
            </w14:solidFill>
          </w14:textFill>
        </w:rPr>
        <w:t>根据《环境影响评价技术导则 陆地石油天然气开发建设项目》（HJ/T349-2023）中的有关规定，本次评价时段分施工期和运行期（试采期）两个时段来开展环境影响评价。</w:t>
      </w:r>
    </w:p>
    <w:p>
      <w:pPr>
        <w:pStyle w:val="3"/>
      </w:pPr>
      <w:bookmarkStart w:id="73" w:name="_Toc164667014"/>
      <w:r>
        <w:rPr>
          <w:rFonts w:hint="eastAsia"/>
        </w:rPr>
        <w:t>2.9</w:t>
      </w:r>
      <w:r>
        <w:t>环境保护目标</w:t>
      </w:r>
      <w:bookmarkEnd w:id="73"/>
    </w:p>
    <w:p>
      <w:pPr>
        <w:pStyle w:val="4"/>
        <w:ind w:firstLine="241"/>
      </w:pPr>
      <w:bookmarkStart w:id="74" w:name="_Toc120173085"/>
      <w:r>
        <w:rPr>
          <w:rFonts w:hint="eastAsia"/>
        </w:rPr>
        <w:t>2.9.1</w:t>
      </w:r>
      <w:r>
        <w:t>外环境关系</w:t>
      </w:r>
      <w:bookmarkEnd w:id="74"/>
    </w:p>
    <w:p>
      <w:pPr>
        <w:tabs>
          <w:tab w:val="left" w:pos="0"/>
        </w:tabs>
        <w:ind w:firstLine="480"/>
        <w:rPr>
          <w:rFonts w:eastAsia="黑体" w:cs="Times New Roman"/>
          <w:bCs/>
          <w:color w:val="000000" w:themeColor="text1"/>
          <w:szCs w:val="24"/>
          <w14:textFill>
            <w14:solidFill>
              <w14:schemeClr w14:val="tx1"/>
            </w14:solidFill>
          </w14:textFill>
        </w:rPr>
      </w:pPr>
      <w:r>
        <w:rPr>
          <w:rFonts w:eastAsia="黑体" w:cs="Times New Roman"/>
          <w:bCs/>
          <w:color w:val="000000" w:themeColor="text1"/>
          <w:szCs w:val="24"/>
          <w14:textFill>
            <w14:solidFill>
              <w14:schemeClr w14:val="tx1"/>
            </w14:solidFill>
          </w14:textFill>
        </w:rPr>
        <w:t>1、井场外环境简况</w:t>
      </w:r>
    </w:p>
    <w:p>
      <w:pPr>
        <w:tabs>
          <w:tab w:val="left" w:pos="0"/>
        </w:tabs>
        <w:ind w:firstLine="480"/>
        <w:rPr>
          <w:rFonts w:cs="Times New Roman"/>
          <w:bCs/>
          <w:color w:val="000000"/>
          <w:szCs w:val="24"/>
        </w:rPr>
      </w:pPr>
      <w:r>
        <w:rPr>
          <w:rFonts w:cs="Times New Roman"/>
          <w:bCs/>
          <w:color w:val="000000"/>
          <w:szCs w:val="24"/>
        </w:rPr>
        <w:t>本</w:t>
      </w:r>
      <w:r>
        <w:rPr>
          <w:rFonts w:hint="eastAsia" w:cs="Times New Roman"/>
          <w:bCs/>
          <w:color w:val="000000"/>
          <w:szCs w:val="24"/>
        </w:rPr>
        <w:t>项目</w:t>
      </w:r>
      <w:r>
        <w:rPr>
          <w:rFonts w:cs="Times New Roman"/>
          <w:bCs/>
          <w:color w:val="000000"/>
          <w:szCs w:val="24"/>
        </w:rPr>
        <w:t>位于</w:t>
      </w:r>
      <w:r>
        <w:rPr>
          <w:rFonts w:cs="Times New Roman"/>
          <w:color w:val="000000"/>
          <w:szCs w:val="24"/>
        </w:rPr>
        <w:t>四川省达州市宣汉县普光镇陡梯村</w:t>
      </w:r>
      <w:r>
        <w:rPr>
          <w:rFonts w:cs="Times New Roman"/>
          <w:bCs/>
          <w:color w:val="000000"/>
          <w:szCs w:val="24"/>
        </w:rPr>
        <w:t>，属丘陵地形，地势较为陡峭，区域北高南低，西高东低，项目北侧约0.3km处为后河。项目区属于农村生态环境，耕地种植有季节性蔬菜、番薯等农作物。</w:t>
      </w:r>
    </w:p>
    <w:p>
      <w:pPr>
        <w:tabs>
          <w:tab w:val="left" w:pos="0"/>
        </w:tabs>
        <w:ind w:firstLine="480"/>
        <w:rPr>
          <w:rFonts w:cs="Times New Roman"/>
          <w:bCs/>
          <w:color w:val="000000"/>
          <w:szCs w:val="24"/>
        </w:rPr>
      </w:pPr>
      <w:r>
        <w:rPr>
          <w:rFonts w:cs="Times New Roman"/>
          <w:bCs/>
          <w:color w:val="000000"/>
          <w:szCs w:val="24"/>
        </w:rPr>
        <w:t>项目所在地道路较发达，大多为水泥路，周边铺设了电网。项目位于普光镇西、南侧，距离普光镇场镇约0.5km。该项目外环境关系情况见附图2。</w:t>
      </w:r>
    </w:p>
    <w:tbl>
      <w:tblPr>
        <w:tblStyle w:val="53"/>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822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222" w:type="dxa"/>
          </w:tcPr>
          <w:p>
            <w:pPr>
              <w:spacing w:line="240" w:lineRule="auto"/>
              <w:ind w:firstLine="0" w:firstLineChars="0"/>
              <w:jc w:val="center"/>
              <w:rPr>
                <w:rFonts w:cs="Times New Roman"/>
                <w:color w:val="000000"/>
                <w:sz w:val="21"/>
                <w:szCs w:val="21"/>
              </w:rPr>
            </w:pPr>
            <w:r>
              <w:rPr>
                <w:rFonts w:cs="Times New Roman"/>
                <w:color w:val="000000"/>
              </w:rPr>
              <mc:AlternateContent>
                <mc:Choice Requires="wps">
                  <w:drawing>
                    <wp:anchor distT="0" distB="0" distL="114300" distR="114300" simplePos="0" relativeHeight="251684864" behindDoc="0" locked="0" layoutInCell="1" allowOverlap="1">
                      <wp:simplePos x="0" y="0"/>
                      <wp:positionH relativeFrom="column">
                        <wp:posOffset>1898650</wp:posOffset>
                      </wp:positionH>
                      <wp:positionV relativeFrom="paragraph">
                        <wp:posOffset>850900</wp:posOffset>
                      </wp:positionV>
                      <wp:extent cx="1241425" cy="476885"/>
                      <wp:effectExtent l="52070" t="145415" r="59055" b="158750"/>
                      <wp:wrapNone/>
                      <wp:docPr id="1563386668" name="矩形 13"/>
                      <wp:cNvGraphicFramePr/>
                      <a:graphic xmlns:a="http://schemas.openxmlformats.org/drawingml/2006/main">
                        <a:graphicData uri="http://schemas.microsoft.com/office/word/2010/wordprocessingShape">
                          <wps:wsp>
                            <wps:cNvSpPr/>
                            <wps:spPr>
                              <a:xfrm rot="760170">
                                <a:off x="0" y="0"/>
                                <a:ext cx="1241425" cy="476885"/>
                              </a:xfrm>
                              <a:prstGeom prst="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3" o:spid="_x0000_s1026" o:spt="1" style="position:absolute;left:0pt;margin-left:149.5pt;margin-top:67pt;height:37.55pt;width:97.75pt;rotation:830308f;z-index:251684864;v-text-anchor:middle;mso-width-relative:page;mso-height-relative:page;" filled="f" stroked="t" coordsize="21600,21600" o:gfxdata="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JqwrvLZAAAACwEAAA8AAAAA&#10;AAAAAQAgAAAAIgAAAGRycy9kb3ducmV2LnhtbFBLAQIUABQAAAAIAIdO4kBiYMZChQIAAPAEAAAO&#10;AAAAAAAAAAEAIAAAACgBAABkcnMvZTJvRG9jLnhtbFBLBQYAAAAABgAGAFkBAAAfBgAAAAA=&#10;">
                      <v:fill on="f" focussize="0,0"/>
                      <v:stroke weight="2pt" color="#FF0000" miterlimit="8" joinstyle="miter"/>
                      <v:imagedata o:title=""/>
                      <o:lock v:ext="edit" aspectratio="f"/>
                    </v:rect>
                  </w:pict>
                </mc:Fallback>
              </mc:AlternateContent>
            </w:r>
            <w:r>
              <w:rPr>
                <w:rFonts w:cs="Times New Roman"/>
                <w:color w:val="000000"/>
              </w:rPr>
              <mc:AlternateContent>
                <mc:Choice Requires="wps">
                  <w:drawing>
                    <wp:anchor distT="0" distB="0" distL="114300" distR="114300" simplePos="0" relativeHeight="251686912" behindDoc="0" locked="0" layoutInCell="1" allowOverlap="1">
                      <wp:simplePos x="0" y="0"/>
                      <wp:positionH relativeFrom="column">
                        <wp:posOffset>2868295</wp:posOffset>
                      </wp:positionH>
                      <wp:positionV relativeFrom="paragraph">
                        <wp:posOffset>681990</wp:posOffset>
                      </wp:positionV>
                      <wp:extent cx="364490" cy="225425"/>
                      <wp:effectExtent l="0" t="38100" r="0" b="41275"/>
                      <wp:wrapNone/>
                      <wp:docPr id="751448769" name="直接箭头连接符 15"/>
                      <wp:cNvGraphicFramePr/>
                      <a:graphic xmlns:a="http://schemas.openxmlformats.org/drawingml/2006/main">
                        <a:graphicData uri="http://schemas.microsoft.com/office/word/2010/wordprocessingShape">
                          <wps:wsp>
                            <wps:cNvCnPr/>
                            <wps:spPr>
                              <a:xfrm rot="21060000" flipH="1">
                                <a:off x="0" y="0"/>
                                <a:ext cx="364603" cy="225707"/>
                              </a:xfrm>
                              <a:prstGeom prst="straightConnector1">
                                <a:avLst/>
                              </a:prstGeom>
                              <a:noFill/>
                              <a:ln w="28575" cap="flat" cmpd="sng" algn="ctr">
                                <a:solidFill>
                                  <a:srgbClr val="FF0000"/>
                                </a:solidFill>
                                <a:prstDash val="solid"/>
                                <a:miter lim="800000"/>
                                <a:tailEnd type="triangle"/>
                              </a:ln>
                              <a:effectLst/>
                            </wps:spPr>
                            <wps:bodyPr/>
                          </wps:wsp>
                        </a:graphicData>
                      </a:graphic>
                    </wp:anchor>
                  </w:drawing>
                </mc:Choice>
                <mc:Fallback>
                  <w:pict>
                    <v:shape id="直接箭头连接符 15" o:spid="_x0000_s1026" o:spt="32" type="#_x0000_t32" style="position:absolute;left:0pt;flip:x;margin-left:225.85pt;margin-top:53.7pt;height:17.75pt;width:28.7pt;rotation:589824f;z-index:251686912;mso-width-relative:page;mso-height-relative:page;" filled="f" stroked="t" coordsize="21600,21600" o:gfxdata="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IRUnl3ZAAAACwEAAA8AAAAAAAAAAQAgAAAAIgAAAGRycy9kb3ducmV2LnhtbFBLAQIU&#10;ABQAAAAIAIdO4kC7GpDFKwIAABYEAAAOAAAAAAAAAAEAIAAAACgBAABkcnMvZTJvRG9jLnhtbFBL&#10;BQYAAAAABgAGAFkBAADFBQAAAAA=&#10;">
                      <v:fill on="f" focussize="0,0"/>
                      <v:stroke weight="2.25pt" color="#FF0000" miterlimit="8" joinstyle="miter" endarrow="block"/>
                      <v:imagedata o:title=""/>
                      <o:lock v:ext="edit" aspectratio="f"/>
                    </v:shape>
                  </w:pict>
                </mc:Fallback>
              </mc:AlternateContent>
            </w:r>
            <w:r>
              <w:rPr>
                <w:rFonts w:cs="Times New Roman"/>
              </w:rPr>
              <w:drawing>
                <wp:inline distT="0" distB="0" distL="114300" distR="114300">
                  <wp:extent cx="5167630" cy="2895600"/>
                  <wp:effectExtent l="0" t="0" r="1397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41"/>
                          <a:stretch>
                            <a:fillRect/>
                          </a:stretch>
                        </pic:blipFill>
                        <pic:spPr>
                          <a:xfrm>
                            <a:off x="0" y="0"/>
                            <a:ext cx="5167630" cy="2895600"/>
                          </a:xfrm>
                          <a:prstGeom prst="rect">
                            <a:avLst/>
                          </a:prstGeom>
                          <a:noFill/>
                          <a:ln>
                            <a:noFill/>
                          </a:ln>
                        </pic:spPr>
                      </pic:pic>
                    </a:graphicData>
                  </a:graphic>
                </wp:inline>
              </w:drawing>
            </w:r>
            <w:r>
              <w:rPr>
                <w:rFonts w:cs="Times New Roman"/>
                <w:color w:val="000000"/>
              </w:rPr>
              <mc:AlternateContent>
                <mc:Choice Requires="wps">
                  <w:drawing>
                    <wp:anchor distT="0" distB="0" distL="114300" distR="114300" simplePos="0" relativeHeight="251685888" behindDoc="0" locked="0" layoutInCell="1" allowOverlap="1">
                      <wp:simplePos x="0" y="0"/>
                      <wp:positionH relativeFrom="column">
                        <wp:posOffset>3139440</wp:posOffset>
                      </wp:positionH>
                      <wp:positionV relativeFrom="paragraph">
                        <wp:posOffset>440055</wp:posOffset>
                      </wp:positionV>
                      <wp:extent cx="1070610" cy="219710"/>
                      <wp:effectExtent l="0" t="0" r="15240" b="27940"/>
                      <wp:wrapNone/>
                      <wp:docPr id="1918080266" name="文本框 14"/>
                      <wp:cNvGraphicFramePr/>
                      <a:graphic xmlns:a="http://schemas.openxmlformats.org/drawingml/2006/main">
                        <a:graphicData uri="http://schemas.microsoft.com/office/word/2010/wordprocessingShape">
                          <wps:wsp>
                            <wps:cNvSpPr txBox="1"/>
                            <wps:spPr bwMode="auto">
                              <a:xfrm>
                                <a:off x="0" y="0"/>
                                <a:ext cx="1070658" cy="219919"/>
                              </a:xfrm>
                              <a:prstGeom prst="rect">
                                <a:avLst/>
                              </a:prstGeom>
                              <a:solidFill>
                                <a:srgbClr val="FFFFFF"/>
                              </a:solidFill>
                              <a:ln w="9525">
                                <a:solidFill>
                                  <a:srgbClr val="000000"/>
                                </a:solidFill>
                                <a:miter lim="800000"/>
                              </a:ln>
                            </wps:spPr>
                            <wps:txbx>
                              <w:txbxContent>
                                <w:p>
                                  <w:pPr>
                                    <w:ind w:firstLine="0" w:firstLineChars="0"/>
                                    <w:jc w:val="center"/>
                                    <w:rPr>
                                      <w:sz w:val="16"/>
                                      <w:szCs w:val="15"/>
                                    </w:rPr>
                                  </w:pPr>
                                  <w:r>
                                    <w:rPr>
                                      <w:rFonts w:hint="eastAsia"/>
                                      <w:sz w:val="16"/>
                                      <w:szCs w:val="15"/>
                                    </w:rPr>
                                    <w:t>本项目井场拟建地</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14" o:spid="_x0000_s1026" o:spt="202" type="#_x0000_t202" style="position:absolute;left:0pt;margin-left:247.2pt;margin-top:34.65pt;height:17.3pt;width:84.3pt;z-index:251685888;mso-width-relative:page;mso-height-relative:page;" fillcolor="#FFFFFF" filled="t" stroked="t" coordsize="21600,21600" o:gfxdata="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0+goS2AAAAAoBAAAPAAAAAAAAAAEAIAAAACIAAABk&#10;cnMvZG93bnJldi54bWxQSwECFAAUAAAACACHTuJATciPwHgCAADzBAAADgAAAAAAAAABACAAAAAn&#10;AQAAZHJzL2Uyb0RvYy54bWxQSwUGAAAAAAYABgBZAQAAEQYAAAAA&#10;">
                      <v:fill on="t" focussize="0,0"/>
                      <v:stroke color="#000000" miterlimit="8" joinstyle="miter"/>
                      <v:imagedata o:title=""/>
                      <o:lock v:ext="edit" aspectratio="f"/>
                      <v:textbox>
                        <w:txbxContent>
                          <w:p>
                            <w:pPr>
                              <w:ind w:firstLine="0" w:firstLineChars="0"/>
                              <w:jc w:val="center"/>
                              <w:rPr>
                                <w:sz w:val="16"/>
                                <w:szCs w:val="15"/>
                              </w:rPr>
                            </w:pPr>
                            <w:r>
                              <w:rPr>
                                <w:rFonts w:hint="eastAsia"/>
                                <w:sz w:val="16"/>
                                <w:szCs w:val="15"/>
                              </w:rPr>
                              <w:t>本项目井场拟建地</w:t>
                            </w:r>
                          </w:p>
                        </w:txbxContent>
                      </v:textbox>
                    </v:shape>
                  </w:pict>
                </mc:Fallback>
              </mc:AlternateConten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222" w:type="dxa"/>
          </w:tcPr>
          <w:p>
            <w:pPr>
              <w:spacing w:line="240" w:lineRule="auto"/>
              <w:ind w:firstLine="0" w:firstLineChars="0"/>
              <w:jc w:val="center"/>
              <w:rPr>
                <w:rFonts w:cs="Times New Roman"/>
                <w:color w:val="000000"/>
                <w:sz w:val="21"/>
                <w:szCs w:val="21"/>
              </w:rPr>
            </w:pPr>
            <w:r>
              <w:rPr>
                <w:rFonts w:cs="Times New Roman"/>
                <w:color w:val="000000"/>
                <w:sz w:val="21"/>
                <w:szCs w:val="21"/>
              </w:rPr>
              <w:t>拟建普光3011-6井井场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222" w:type="dxa"/>
          </w:tcPr>
          <w:p>
            <w:pPr>
              <w:spacing w:line="240" w:lineRule="auto"/>
              <w:ind w:firstLine="0" w:firstLineChars="0"/>
              <w:jc w:val="center"/>
              <w:rPr>
                <w:rFonts w:cs="Times New Roman"/>
                <w:color w:val="000000"/>
                <w:sz w:val="21"/>
                <w:szCs w:val="21"/>
              </w:rPr>
            </w:pPr>
            <w:r>
              <w:rPr>
                <w:rFonts w:cs="Times New Roman"/>
                <w:color w:val="000000"/>
              </w:rPr>
              <mc:AlternateContent>
                <mc:Choice Requires="wps">
                  <w:drawing>
                    <wp:anchor distT="0" distB="0" distL="114300" distR="114300" simplePos="0" relativeHeight="251691008" behindDoc="0" locked="0" layoutInCell="1" allowOverlap="1">
                      <wp:simplePos x="0" y="0"/>
                      <wp:positionH relativeFrom="column">
                        <wp:posOffset>1281430</wp:posOffset>
                      </wp:positionH>
                      <wp:positionV relativeFrom="paragraph">
                        <wp:posOffset>1552575</wp:posOffset>
                      </wp:positionV>
                      <wp:extent cx="1070610" cy="219710"/>
                      <wp:effectExtent l="0" t="0" r="0" b="0"/>
                      <wp:wrapNone/>
                      <wp:docPr id="98" name="文本框 14"/>
                      <wp:cNvGraphicFramePr/>
                      <a:graphic xmlns:a="http://schemas.openxmlformats.org/drawingml/2006/main">
                        <a:graphicData uri="http://schemas.microsoft.com/office/word/2010/wordprocessingShape">
                          <wps:wsp>
                            <wps:cNvSpPr txBox="1"/>
                            <wps:spPr bwMode="auto">
                              <a:xfrm>
                                <a:off x="0" y="0"/>
                                <a:ext cx="1070610" cy="219710"/>
                              </a:xfrm>
                              <a:prstGeom prst="rect">
                                <a:avLst/>
                              </a:prstGeom>
                              <a:noFill/>
                              <a:ln w="9525">
                                <a:noFill/>
                                <a:miter lim="800000"/>
                              </a:ln>
                            </wps:spPr>
                            <wps:txbx>
                              <w:txbxContent>
                                <w:p>
                                  <w:pPr>
                                    <w:ind w:firstLine="0" w:firstLineChars="0"/>
                                    <w:jc w:val="center"/>
                                    <w:rPr>
                                      <w:sz w:val="16"/>
                                      <w:szCs w:val="15"/>
                                    </w:rPr>
                                  </w:pPr>
                                  <w:r>
                                    <w:rPr>
                                      <w:rFonts w:hint="eastAsia"/>
                                      <w:sz w:val="16"/>
                                      <w:szCs w:val="15"/>
                                    </w:rPr>
                                    <w:t>P301集气站</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14" o:spid="_x0000_s1026" o:spt="202" type="#_x0000_t202" style="position:absolute;left:0pt;margin-left:100.9pt;margin-top:122.25pt;height:17.3pt;width:84.3pt;z-index:251691008;mso-width-relative:page;mso-height-relative:page;" filled="f" stroked="f" coordsize="21600,21600" o:gfxdata="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5K87ytgA&#10;AAALAQAADwAAAAAAAAABACAAAAAiAAAAZHJzL2Rvd25yZXYueG1sUEsBAhQAFAAAAAgAh07iQA4s&#10;NgZYAgAAmQQAAA4AAAAAAAAAAQAgAAAAJwEAAGRycy9lMm9Eb2MueG1sUEsFBgAAAAAGAAYAWQEA&#10;APEFAAAAAA==&#10;">
                      <v:fill on="f" focussize="0,0"/>
                      <v:stroke on="f" miterlimit="8" joinstyle="miter"/>
                      <v:imagedata o:title=""/>
                      <o:lock v:ext="edit" aspectratio="f"/>
                      <v:textbox>
                        <w:txbxContent>
                          <w:p>
                            <w:pPr>
                              <w:ind w:firstLine="0" w:firstLineChars="0"/>
                              <w:jc w:val="center"/>
                              <w:rPr>
                                <w:sz w:val="16"/>
                                <w:szCs w:val="15"/>
                              </w:rPr>
                            </w:pPr>
                            <w:r>
                              <w:rPr>
                                <w:rFonts w:hint="eastAsia"/>
                                <w:sz w:val="16"/>
                                <w:szCs w:val="15"/>
                              </w:rPr>
                              <w:t>P301集气站</w:t>
                            </w:r>
                          </w:p>
                        </w:txbxContent>
                      </v:textbox>
                    </v:shape>
                  </w:pict>
                </mc:Fallback>
              </mc:AlternateContent>
            </w:r>
            <w:r>
              <w:rPr>
                <w:rFonts w:cs="Times New Roman"/>
              </w:rPr>
              <w:drawing>
                <wp:inline distT="0" distB="0" distL="114300" distR="114300">
                  <wp:extent cx="5189220" cy="2925445"/>
                  <wp:effectExtent l="0" t="0" r="11430" b="825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42"/>
                          <a:stretch>
                            <a:fillRect/>
                          </a:stretch>
                        </pic:blipFill>
                        <pic:spPr>
                          <a:xfrm>
                            <a:off x="0" y="0"/>
                            <a:ext cx="5189220" cy="2925445"/>
                          </a:xfrm>
                          <a:prstGeom prst="rect">
                            <a:avLst/>
                          </a:prstGeom>
                          <a:noFill/>
                          <a:ln>
                            <a:noFill/>
                          </a:ln>
                        </pic:spPr>
                      </pic:pic>
                    </a:graphicData>
                  </a:graphic>
                </wp:inline>
              </w:drawing>
            </w:r>
            <w:r>
              <w:rPr>
                <w:rFonts w:cs="Times New Roman"/>
                <w:color w:val="000000"/>
              </w:rPr>
              <mc:AlternateContent>
                <mc:Choice Requires="wps">
                  <w:drawing>
                    <wp:anchor distT="0" distB="0" distL="114300" distR="114300" simplePos="0" relativeHeight="251692032" behindDoc="0" locked="0" layoutInCell="1" allowOverlap="1">
                      <wp:simplePos x="0" y="0"/>
                      <wp:positionH relativeFrom="column">
                        <wp:posOffset>2800350</wp:posOffset>
                      </wp:positionH>
                      <wp:positionV relativeFrom="paragraph">
                        <wp:posOffset>1415415</wp:posOffset>
                      </wp:positionV>
                      <wp:extent cx="1070610" cy="219710"/>
                      <wp:effectExtent l="0" t="0" r="0" b="0"/>
                      <wp:wrapNone/>
                      <wp:docPr id="97" name="文本框 14"/>
                      <wp:cNvGraphicFramePr/>
                      <a:graphic xmlns:a="http://schemas.openxmlformats.org/drawingml/2006/main">
                        <a:graphicData uri="http://schemas.microsoft.com/office/word/2010/wordprocessingShape">
                          <wps:wsp>
                            <wps:cNvSpPr txBox="1"/>
                            <wps:spPr bwMode="auto">
                              <a:xfrm>
                                <a:off x="0" y="0"/>
                                <a:ext cx="1070610" cy="219710"/>
                              </a:xfrm>
                              <a:prstGeom prst="rect">
                                <a:avLst/>
                              </a:prstGeom>
                              <a:noFill/>
                              <a:ln w="9525">
                                <a:noFill/>
                                <a:miter lim="800000"/>
                              </a:ln>
                            </wps:spPr>
                            <wps:txbx>
                              <w:txbxContent>
                                <w:p>
                                  <w:pPr>
                                    <w:ind w:firstLine="0" w:firstLineChars="0"/>
                                    <w:jc w:val="center"/>
                                    <w:rPr>
                                      <w:sz w:val="16"/>
                                      <w:szCs w:val="15"/>
                                    </w:rPr>
                                  </w:pPr>
                                  <w:r>
                                    <w:rPr>
                                      <w:rFonts w:hint="eastAsia"/>
                                      <w:sz w:val="16"/>
                                      <w:szCs w:val="15"/>
                                    </w:rPr>
                                    <w:t>P3011采气站</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14" o:spid="_x0000_s1026" o:spt="202" type="#_x0000_t202" style="position:absolute;left:0pt;margin-left:220.5pt;margin-top:111.45pt;height:17.3pt;width:84.3pt;z-index:251692032;mso-width-relative:page;mso-height-relative:page;" filled="f" stroked="f" coordsize="21600,21600" o:gfxdata="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N6W87tgA&#10;AAALAQAADwAAAAAAAAABACAAAAAiAAAAZHJzL2Rvd25yZXYueG1sUEsBAhQAFAAAAAgAh07iQGtK&#10;gaxYAgAAmQQAAA4AAAAAAAAAAQAgAAAAJwEAAGRycy9lMm9Eb2MueG1sUEsFBgAAAAAGAAYAWQEA&#10;APEFAAAAAA==&#10;">
                      <v:fill on="f" focussize="0,0"/>
                      <v:stroke on="f" miterlimit="8" joinstyle="miter"/>
                      <v:imagedata o:title=""/>
                      <o:lock v:ext="edit" aspectratio="f"/>
                      <v:textbox>
                        <w:txbxContent>
                          <w:p>
                            <w:pPr>
                              <w:ind w:firstLine="0" w:firstLineChars="0"/>
                              <w:jc w:val="center"/>
                              <w:rPr>
                                <w:sz w:val="16"/>
                                <w:szCs w:val="15"/>
                              </w:rPr>
                            </w:pPr>
                            <w:r>
                              <w:rPr>
                                <w:rFonts w:hint="eastAsia"/>
                                <w:sz w:val="16"/>
                                <w:szCs w:val="15"/>
                              </w:rPr>
                              <w:t>P3011采气站</w:t>
                            </w:r>
                          </w:p>
                        </w:txbxContent>
                      </v:textbox>
                    </v:shape>
                  </w:pict>
                </mc:Fallback>
              </mc:AlternateContent>
            </w:r>
            <w:r>
              <w:rPr>
                <w:rFonts w:cs="Times New Roman"/>
                <w:color w:val="000000"/>
              </w:rPr>
              <mc:AlternateContent>
                <mc:Choice Requires="wps">
                  <w:drawing>
                    <wp:anchor distT="0" distB="0" distL="114300" distR="114300" simplePos="0" relativeHeight="251688960" behindDoc="0" locked="0" layoutInCell="1" allowOverlap="1">
                      <wp:simplePos x="0" y="0"/>
                      <wp:positionH relativeFrom="column">
                        <wp:posOffset>3890645</wp:posOffset>
                      </wp:positionH>
                      <wp:positionV relativeFrom="paragraph">
                        <wp:posOffset>240030</wp:posOffset>
                      </wp:positionV>
                      <wp:extent cx="1070610" cy="219710"/>
                      <wp:effectExtent l="4445" t="5080" r="10795" b="22860"/>
                      <wp:wrapNone/>
                      <wp:docPr id="19" name="文本框 14"/>
                      <wp:cNvGraphicFramePr/>
                      <a:graphic xmlns:a="http://schemas.openxmlformats.org/drawingml/2006/main">
                        <a:graphicData uri="http://schemas.microsoft.com/office/word/2010/wordprocessingShape">
                          <wps:wsp>
                            <wps:cNvSpPr txBox="1"/>
                            <wps:spPr bwMode="auto">
                              <a:xfrm>
                                <a:off x="0" y="0"/>
                                <a:ext cx="1070610" cy="219710"/>
                              </a:xfrm>
                              <a:prstGeom prst="rect">
                                <a:avLst/>
                              </a:prstGeom>
                              <a:solidFill>
                                <a:srgbClr val="FFFFFF"/>
                              </a:solidFill>
                              <a:ln w="9525">
                                <a:solidFill>
                                  <a:srgbClr val="000000"/>
                                </a:solidFill>
                                <a:miter lim="800000"/>
                              </a:ln>
                            </wps:spPr>
                            <wps:txbx>
                              <w:txbxContent>
                                <w:p>
                                  <w:pPr>
                                    <w:ind w:firstLine="0" w:firstLineChars="0"/>
                                    <w:jc w:val="center"/>
                                    <w:rPr>
                                      <w:sz w:val="16"/>
                                      <w:szCs w:val="15"/>
                                    </w:rPr>
                                  </w:pPr>
                                  <w:r>
                                    <w:rPr>
                                      <w:rFonts w:hint="eastAsia"/>
                                      <w:sz w:val="16"/>
                                      <w:szCs w:val="15"/>
                                    </w:rPr>
                                    <w:t>本项目井场拟建地</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14" o:spid="_x0000_s1026" o:spt="202" type="#_x0000_t202" style="position:absolute;left:0pt;margin-left:306.35pt;margin-top:18.9pt;height:17.3pt;width:84.3pt;z-index:251688960;mso-width-relative:page;mso-height-relative:page;" fillcolor="#FFFFFF" filled="t" stroked="t" coordsize="21600,21600" o:gfxdata="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DM65FnYAAAACQEAAA8AAAAAAAAAAQAgAAAAIgAAAGRycy9kb3du&#10;cmV2LnhtbFBLAQIUABQAAAAIAIdO4kDKwaUscQIAAOsEAAAOAAAAAAAAAAEAIAAAACcBAABkcnMv&#10;ZTJvRG9jLnhtbFBLBQYAAAAABgAGAFkBAAAKBgAAAAA=&#10;">
                      <v:fill on="t" focussize="0,0"/>
                      <v:stroke color="#000000" miterlimit="8" joinstyle="miter"/>
                      <v:imagedata o:title=""/>
                      <o:lock v:ext="edit" aspectratio="f"/>
                      <v:textbox>
                        <w:txbxContent>
                          <w:p>
                            <w:pPr>
                              <w:ind w:firstLine="0" w:firstLineChars="0"/>
                              <w:jc w:val="center"/>
                              <w:rPr>
                                <w:sz w:val="16"/>
                                <w:szCs w:val="15"/>
                              </w:rPr>
                            </w:pPr>
                            <w:r>
                              <w:rPr>
                                <w:rFonts w:hint="eastAsia"/>
                                <w:sz w:val="16"/>
                                <w:szCs w:val="15"/>
                              </w:rPr>
                              <w:t>本项目井场拟建地</w:t>
                            </w:r>
                          </w:p>
                        </w:txbxContent>
                      </v:textbox>
                    </v:shape>
                  </w:pict>
                </mc:Fallback>
              </mc:AlternateContent>
            </w:r>
            <w:r>
              <w:rPr>
                <w:rFonts w:cs="Times New Roman"/>
                <w:color w:val="000000"/>
              </w:rPr>
              <mc:AlternateContent>
                <mc:Choice Requires="wps">
                  <w:drawing>
                    <wp:anchor distT="0" distB="0" distL="114300" distR="114300" simplePos="0" relativeHeight="251687936" behindDoc="0" locked="0" layoutInCell="1" allowOverlap="1">
                      <wp:simplePos x="0" y="0"/>
                      <wp:positionH relativeFrom="column">
                        <wp:posOffset>3589020</wp:posOffset>
                      </wp:positionH>
                      <wp:positionV relativeFrom="paragraph">
                        <wp:posOffset>1181100</wp:posOffset>
                      </wp:positionV>
                      <wp:extent cx="1241425" cy="476885"/>
                      <wp:effectExtent l="145415" t="52070" r="158750" b="59055"/>
                      <wp:wrapNone/>
                      <wp:docPr id="15" name="矩形 13"/>
                      <wp:cNvGraphicFramePr/>
                      <a:graphic xmlns:a="http://schemas.openxmlformats.org/drawingml/2006/main">
                        <a:graphicData uri="http://schemas.microsoft.com/office/word/2010/wordprocessingShape">
                          <wps:wsp>
                            <wps:cNvSpPr/>
                            <wps:spPr>
                              <a:xfrm rot="6160170">
                                <a:off x="0" y="0"/>
                                <a:ext cx="1241425" cy="476885"/>
                              </a:xfrm>
                              <a:prstGeom prst="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3" o:spid="_x0000_s1026" o:spt="1" style="position:absolute;left:0pt;margin-left:282.6pt;margin-top:93pt;height:37.55pt;width:97.75pt;rotation:6728548f;z-index:251687936;v-text-anchor:middle;mso-width-relative:page;mso-height-relative:page;" filled="f" stroked="t" coordsize="21600,21600" o:gfxdata="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TWMzxNkAAAALAQAADwAAAAAAAAABACAA&#10;AAAiAAAAZHJzL2Rvd25yZXYueG1sUEsBAhQAFAAAAAgAh07iQAwgrn9+AgAA6QQAAA4AAAAAAAAA&#10;AQAgAAAAKAEAAGRycy9lMm9Eb2MueG1sUEsFBgAAAAAGAAYAWQEAABgGAAAAAA==&#10;">
                      <v:fill on="f" focussize="0,0"/>
                      <v:stroke weight="2pt" color="#FF0000" miterlimit="8" joinstyle="miter"/>
                      <v:imagedata o:title=""/>
                      <o:lock v:ext="edit" aspectratio="f"/>
                    </v:rect>
                  </w:pict>
                </mc:Fallback>
              </mc:AlternateContent>
            </w:r>
            <w:r>
              <w:rPr>
                <w:rFonts w:cs="Times New Roman"/>
                <w:color w:val="000000"/>
              </w:rPr>
              <mc:AlternateContent>
                <mc:Choice Requires="wps">
                  <w:drawing>
                    <wp:anchor distT="0" distB="0" distL="114300" distR="114300" simplePos="0" relativeHeight="251689984" behindDoc="0" locked="0" layoutInCell="1" allowOverlap="1">
                      <wp:simplePos x="0" y="0"/>
                      <wp:positionH relativeFrom="column">
                        <wp:posOffset>4345940</wp:posOffset>
                      </wp:positionH>
                      <wp:positionV relativeFrom="paragraph">
                        <wp:posOffset>459740</wp:posOffset>
                      </wp:positionV>
                      <wp:extent cx="80010" cy="354330"/>
                      <wp:effectExtent l="22860" t="3175" r="30480" b="4445"/>
                      <wp:wrapNone/>
                      <wp:docPr id="17" name="直接箭头连接符 15"/>
                      <wp:cNvGraphicFramePr/>
                      <a:graphic xmlns:a="http://schemas.openxmlformats.org/drawingml/2006/main">
                        <a:graphicData uri="http://schemas.microsoft.com/office/word/2010/wordprocessingShape">
                          <wps:wsp>
                            <wps:cNvCnPr/>
                            <wps:spPr>
                              <a:xfrm flipH="1">
                                <a:off x="0" y="0"/>
                                <a:ext cx="80010" cy="354330"/>
                              </a:xfrm>
                              <a:prstGeom prst="straightConnector1">
                                <a:avLst/>
                              </a:prstGeom>
                              <a:noFill/>
                              <a:ln w="28575" cap="flat" cmpd="sng" algn="ctr">
                                <a:solidFill>
                                  <a:srgbClr val="FF0000"/>
                                </a:solidFill>
                                <a:prstDash val="solid"/>
                                <a:miter lim="800000"/>
                                <a:tailEnd type="triangle"/>
                              </a:ln>
                              <a:effectLst/>
                            </wps:spPr>
                            <wps:bodyPr/>
                          </wps:wsp>
                        </a:graphicData>
                      </a:graphic>
                    </wp:anchor>
                  </w:drawing>
                </mc:Choice>
                <mc:Fallback>
                  <w:pict>
                    <v:shape id="直接箭头连接符 15" o:spid="_x0000_s1026" o:spt="32" type="#_x0000_t32" style="position:absolute;left:0pt;flip:x;margin-left:342.2pt;margin-top:36.2pt;height:27.9pt;width:6.3pt;z-index:251689984;mso-width-relative:page;mso-height-relative:page;" filled="f" stroked="t" coordsize="21600,21600" o:gfxdata="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vNWCK2gAAAAoB&#10;AAAPAAAAAAAAAAEAIAAAACIAAABkcnMvZG93bnJldi54bWxQSwECFAAUAAAACACHTuJAD+fDqRkC&#10;AAD/AwAADgAAAAAAAAABACAAAAApAQAAZHJzL2Uyb0RvYy54bWxQSwUGAAAAAAYABgBZAQAAtAUA&#10;AAAA&#10;">
                      <v:fill on="f" focussize="0,0"/>
                      <v:stroke weight="2.25pt" color="#FF0000" miterlimit="8" joinstyle="miter" endarrow="block"/>
                      <v:imagedata o:title=""/>
                      <o:lock v:ext="edit" aspectratio="f"/>
                    </v:shape>
                  </w:pict>
                </mc:Fallback>
              </mc:AlternateConten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222" w:type="dxa"/>
          </w:tcPr>
          <w:p>
            <w:pPr>
              <w:spacing w:line="240" w:lineRule="auto"/>
              <w:ind w:firstLine="0" w:firstLineChars="0"/>
              <w:jc w:val="center"/>
              <w:rPr>
                <w:rFonts w:cs="Times New Roman"/>
                <w:color w:val="000000"/>
                <w:sz w:val="21"/>
                <w:szCs w:val="21"/>
              </w:rPr>
            </w:pPr>
            <w:r>
              <w:rPr>
                <w:rFonts w:cs="Times New Roman"/>
                <w:color w:val="000000"/>
                <w:sz w:val="21"/>
                <w:szCs w:val="21"/>
              </w:rPr>
              <w:t>现状普光3011采气站和P301集气站</w:t>
            </w:r>
          </w:p>
        </w:tc>
      </w:tr>
    </w:tbl>
    <w:p>
      <w:pPr>
        <w:pStyle w:val="21"/>
        <w:tabs>
          <w:tab w:val="left" w:pos="3864"/>
        </w:tabs>
        <w:spacing w:before="0"/>
        <w:ind w:left="0" w:firstLine="420"/>
        <w:jc w:val="center"/>
        <w:rPr>
          <w:rFonts w:ascii="Times New Roman" w:hAnsi="Times New Roman" w:eastAsia="黑体"/>
          <w:color w:val="000000" w:themeColor="text1"/>
          <w:sz w:val="21"/>
          <w:szCs w:val="21"/>
          <w:lang w:eastAsia="zh-CN"/>
          <w14:textFill>
            <w14:solidFill>
              <w14:schemeClr w14:val="tx1"/>
            </w14:solidFill>
          </w14:textFill>
        </w:rPr>
      </w:pPr>
      <w:r>
        <w:rPr>
          <w:rFonts w:ascii="Times New Roman" w:hAnsi="Times New Roman"/>
          <w:color w:val="000000"/>
          <w:kern w:val="2"/>
          <w:sz w:val="21"/>
          <w:szCs w:val="21"/>
          <w:lang w:eastAsia="zh-CN"/>
        </w:rPr>
        <w:t>图2.9-1  项目及周边照片</w:t>
      </w:r>
    </w:p>
    <w:p>
      <w:pPr>
        <w:tabs>
          <w:tab w:val="left" w:pos="0"/>
        </w:tabs>
        <w:ind w:firstLine="480"/>
        <w:rPr>
          <w:rFonts w:eastAsia="黑体" w:cs="Times New Roman"/>
          <w:bCs/>
          <w:color w:val="000000" w:themeColor="text1"/>
          <w:szCs w:val="24"/>
          <w14:textFill>
            <w14:solidFill>
              <w14:schemeClr w14:val="tx1"/>
            </w14:solidFill>
          </w14:textFill>
        </w:rPr>
      </w:pPr>
      <w:r>
        <w:rPr>
          <w:rFonts w:eastAsia="黑体" w:cs="Times New Roman"/>
          <w:bCs/>
          <w:color w:val="000000" w:themeColor="text1"/>
          <w:szCs w:val="24"/>
          <w14:textFill>
            <w14:solidFill>
              <w14:schemeClr w14:val="tx1"/>
            </w14:solidFill>
          </w14:textFill>
        </w:rPr>
        <w:t>2、井场周边人居及地下水现状</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现场调查，本项目位于宣汉县普光镇陡梯村，井口方圆500m区域属中低山斜坡地形，周边生态环境属农村环境，井场海拔高程在500~600m之间，区域地下水资源较为匮乏，土地类型主要为林地与耕地，降雨补给地下水较多。井场中心（以井口为中心）方圆0m～300m范围无居民分布；井场中心（以井口为中心）300m～井场外500m范围约45户居民分布。</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项目区域内地下水类型以基岩裂隙水与碎屑岩类裂隙水为主。根据外环境调查，井场附近居民家中均使用山泉水作为饮用水源，经山上水池收集后分散供周边居民使用，平均约</w:t>
      </w:r>
      <w:r>
        <w:rPr>
          <w:rFonts w:hint="eastAsia" w:cs="Times New Roman"/>
          <w:bCs/>
          <w:color w:val="000000" w:themeColor="text1"/>
          <w:szCs w:val="24"/>
          <w14:textFill>
            <w14:solidFill>
              <w14:schemeClr w14:val="tx1"/>
            </w14:solidFill>
          </w14:textFill>
        </w:rPr>
        <w:t>5</w:t>
      </w:r>
      <w:r>
        <w:rPr>
          <w:rFonts w:cs="Times New Roman"/>
          <w:bCs/>
          <w:color w:val="000000" w:themeColor="text1"/>
          <w:szCs w:val="24"/>
          <w14:textFill>
            <w14:solidFill>
              <w14:schemeClr w14:val="tx1"/>
            </w14:solidFill>
          </w14:textFill>
        </w:rPr>
        <w:t>~</w:t>
      </w:r>
      <w:r>
        <w:rPr>
          <w:rFonts w:hint="eastAsia" w:cs="Times New Roman"/>
          <w:bCs/>
          <w:color w:val="000000" w:themeColor="text1"/>
          <w:szCs w:val="24"/>
          <w14:textFill>
            <w14:solidFill>
              <w14:schemeClr w14:val="tx1"/>
            </w14:solidFill>
          </w14:textFill>
        </w:rPr>
        <w:t>20</w:t>
      </w:r>
      <w:r>
        <w:rPr>
          <w:rFonts w:cs="Times New Roman"/>
          <w:bCs/>
          <w:color w:val="000000" w:themeColor="text1"/>
          <w:szCs w:val="24"/>
          <w14:textFill>
            <w14:solidFill>
              <w14:schemeClr w14:val="tx1"/>
            </w14:solidFill>
          </w14:textFill>
        </w:rPr>
        <w:t>户使用1处泉水。</w:t>
      </w:r>
    </w:p>
    <w:p>
      <w:pPr>
        <w:tabs>
          <w:tab w:val="left" w:pos="0"/>
        </w:tabs>
        <w:ind w:firstLine="480"/>
        <w:rPr>
          <w:rFonts w:eastAsia="黑体" w:cs="Times New Roman"/>
          <w:bCs/>
          <w:color w:val="000000" w:themeColor="text1"/>
          <w:szCs w:val="24"/>
          <w14:textFill>
            <w14:solidFill>
              <w14:schemeClr w14:val="tx1"/>
            </w14:solidFill>
          </w14:textFill>
        </w:rPr>
      </w:pPr>
      <w:r>
        <w:rPr>
          <w:rFonts w:eastAsia="黑体" w:cs="Times New Roman"/>
          <w:bCs/>
          <w:color w:val="000000" w:themeColor="text1"/>
          <w:szCs w:val="24"/>
          <w14:textFill>
            <w14:solidFill>
              <w14:schemeClr w14:val="tx1"/>
            </w14:solidFill>
          </w14:textFill>
        </w:rPr>
        <w:t>3、井场周边植被及地表水现状</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本项目井场及管线沿线所在地及周边地貌主要为林地、耕地，中低山等较陡地段地表一般为植被覆盖，包括乔木、灌木，主要有麻栎、青冈、栓皮栎、枫香、响叶杨为主的</w:t>
      </w:r>
      <w:r>
        <w:rPr>
          <w:rFonts w:hint="eastAsia" w:cs="Times New Roman"/>
          <w:bCs/>
          <w:color w:val="000000" w:themeColor="text1"/>
          <w:szCs w:val="24"/>
          <w14:textFill>
            <w14:solidFill>
              <w14:schemeClr w14:val="tx1"/>
            </w14:solidFill>
          </w14:textFill>
        </w:rPr>
        <w:t>阔叶</w:t>
      </w:r>
      <w:r>
        <w:rPr>
          <w:rFonts w:cs="Times New Roman"/>
          <w:bCs/>
          <w:color w:val="000000" w:themeColor="text1"/>
          <w:szCs w:val="24"/>
          <w14:textFill>
            <w14:solidFill>
              <w14:schemeClr w14:val="tx1"/>
            </w14:solidFill>
          </w14:textFill>
        </w:rPr>
        <w:t>林植被等林地等，耕地主要种植玉米、红苕、棉花、花生、小麦、马铃薯、豌豆等。项目周边外环境无珍稀动植物。</w:t>
      </w:r>
    </w:p>
    <w:p>
      <w:pPr>
        <w:tabs>
          <w:tab w:val="left" w:pos="0"/>
        </w:tabs>
        <w:ind w:firstLine="480"/>
        <w:rPr>
          <w:rFonts w:eastAsia="黑体" w:cs="Times New Roman"/>
          <w:color w:val="000000" w:themeColor="text1"/>
          <w:sz w:val="21"/>
          <w:szCs w:val="21"/>
          <w14:textFill>
            <w14:solidFill>
              <w14:schemeClr w14:val="tx1"/>
            </w14:solidFill>
          </w14:textFill>
        </w:rPr>
      </w:pPr>
      <w:r>
        <w:rPr>
          <w:rFonts w:cs="Times New Roman"/>
          <w:bCs/>
          <w:color w:val="000000" w:themeColor="text1"/>
          <w:szCs w:val="24"/>
          <w14:textFill>
            <w14:solidFill>
              <w14:schemeClr w14:val="tx1"/>
            </w14:solidFill>
          </w14:textFill>
        </w:rPr>
        <w:t>根据现场勘察，本项目最近的河流为场区北侧约300m处后河，项目所在河段后河的主要水体功能为灌溉和行洪。</w:t>
      </w:r>
    </w:p>
    <w:p>
      <w:pPr>
        <w:tabs>
          <w:tab w:val="left" w:pos="0"/>
        </w:tabs>
        <w:ind w:firstLine="480"/>
        <w:rPr>
          <w:rFonts w:eastAsia="黑体" w:cs="Times New Roman"/>
          <w:bCs/>
          <w:color w:val="000000" w:themeColor="text1"/>
          <w:szCs w:val="24"/>
          <w14:textFill>
            <w14:solidFill>
              <w14:schemeClr w14:val="tx1"/>
            </w14:solidFill>
          </w14:textFill>
        </w:rPr>
      </w:pPr>
      <w:r>
        <w:rPr>
          <w:rFonts w:eastAsia="黑体" w:cs="Times New Roman"/>
          <w:bCs/>
          <w:color w:val="000000" w:themeColor="text1"/>
          <w:szCs w:val="24"/>
          <w14:textFill>
            <w14:solidFill>
              <w14:schemeClr w14:val="tx1"/>
            </w14:solidFill>
          </w14:textFill>
        </w:rPr>
        <w:t>4、放喷池及放空区外环境简况</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放喷池依托P3011采气站现状放喷池，分别位于井场西侧约55m处和井场东南侧约270m处，区域主导风向为东北风，位于井场区域最大风向的侧风向。根据现场调查，放喷池周围50m范围内无民房等各类设施。放喷池四周主要以荒草地、耕地为主，放喷池在三面均将设置挡火墙，仅在一侧设置入口；在放喷时临时清理树林和放喷池之间的易燃物，加强监管，树林距离是满足放喷池防火要求的。周边无珍稀动植物和环境敏感目标。</w:t>
      </w:r>
    </w:p>
    <w:p>
      <w:pPr>
        <w:tabs>
          <w:tab w:val="left" w:pos="0"/>
        </w:tabs>
        <w:ind w:firstLine="480"/>
        <w:rPr>
          <w:rFonts w:eastAsia="黑体" w:cs="Times New Roman"/>
          <w:bCs/>
          <w:color w:val="000000" w:themeColor="text1"/>
          <w:szCs w:val="24"/>
          <w14:textFill>
            <w14:solidFill>
              <w14:schemeClr w14:val="tx1"/>
            </w14:solidFill>
          </w14:textFill>
        </w:rPr>
      </w:pPr>
      <w:r>
        <w:rPr>
          <w:rFonts w:eastAsia="黑体" w:cs="Times New Roman"/>
          <w:bCs/>
          <w:color w:val="000000" w:themeColor="text1"/>
          <w:szCs w:val="24"/>
          <w14:textFill>
            <w14:solidFill>
              <w14:schemeClr w14:val="tx1"/>
            </w14:solidFill>
          </w14:textFill>
        </w:rPr>
        <w:t>5、井场道路周边外环境简况</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本项目新建施工便道，位于井场东南侧，道路路基宽度4.5m，路面宽度4.0m，长度约80m，周边均无珍稀动植物和保护区分布。</w:t>
      </w:r>
    </w:p>
    <w:p>
      <w:pPr>
        <w:pStyle w:val="4"/>
        <w:ind w:firstLine="241"/>
      </w:pPr>
      <w:r>
        <w:t>2.9.2主要环境保护目标</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位于四川省达州市宣汉县普光镇陡梯村，井口300m范围内无居民分布。项目拟建地不涉及自然保护区等环境敏感区域，根据前文介绍的外环境关系，本项目外环境关系简单，无环境制约因素，项目与外环境相容。</w:t>
      </w:r>
    </w:p>
    <w:p>
      <w:pPr>
        <w:pStyle w:val="5"/>
      </w:pPr>
      <w:bookmarkStart w:id="75" w:name="_Toc140496886"/>
      <w:r>
        <w:t>2.9.2.1 生态环境保护目标</w:t>
      </w:r>
      <w:bookmarkEnd w:id="75"/>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所在地以耕地、林地为主，井场周边200m范围不涉及公益林与天然林。评价范围内不涉及自然保护区、风景名胜区、湿地公园、集中式饮用水源保护区、生态保护红线等特殊或重要生态敏感区。故本次评价的主要生态环境保护目标为项目周边的耕地、植被（主要是农作物与林地）、动物、永久基本农田等。</w:t>
      </w:r>
    </w:p>
    <w:p>
      <w:pPr>
        <w:pStyle w:val="5"/>
      </w:pPr>
      <w:r>
        <w:t>2.9.2.2 地表水环境保护目标</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根据调查，本项目井场和管线地表水评价范围内无集中式饮用水水源保护区、饮用水取水口、涉水的自然保护区、风景名胜区、重要湿地、重点保护与珍稀水生生物的栖息地、重要水生生物的自然产卵场及索饵场、越冬场和洄游通道天然渔场等渔业水体以及水产种质资源保护区等。</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本项目最近的河流为场区北侧约300m处后河，项目所在河段后河的主要水体功能为灌溉和行洪。项目周边地表水体分布及敏感性见表2.9-1。</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表2.9-1  本项目地表水环境保护目标及环境敏感特性一览表</w:t>
      </w:r>
    </w:p>
    <w:tbl>
      <w:tblPr>
        <w:tblStyle w:val="52"/>
        <w:tblW w:w="498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944"/>
        <w:gridCol w:w="2744"/>
        <w:gridCol w:w="36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22" w:type="dxa"/>
            <w:vAlign w:val="center"/>
          </w:tcPr>
          <w:p>
            <w:pPr>
              <w:pStyle w:val="252"/>
              <w:rPr>
                <w:rFonts w:eastAsia="黑体" w:cs="Times New Roman"/>
                <w:b/>
                <w:bCs/>
                <w:color w:val="000000" w:themeColor="text1"/>
                <w14:textFill>
                  <w14:solidFill>
                    <w14:schemeClr w14:val="tx1"/>
                  </w14:solidFill>
                </w14:textFill>
              </w:rPr>
            </w:pPr>
            <w:r>
              <w:rPr>
                <w:rFonts w:eastAsia="黑体" w:cs="Times New Roman"/>
                <w:b/>
                <w:bCs/>
                <w:color w:val="000000" w:themeColor="text1"/>
                <w14:textFill>
                  <w14:solidFill>
                    <w14:schemeClr w14:val="tx1"/>
                  </w14:solidFill>
                </w14:textFill>
              </w:rPr>
              <w:t>名称</w:t>
            </w:r>
          </w:p>
        </w:tc>
        <w:tc>
          <w:tcPr>
            <w:tcW w:w="2965" w:type="dxa"/>
            <w:vAlign w:val="center"/>
          </w:tcPr>
          <w:p>
            <w:pPr>
              <w:pStyle w:val="252"/>
              <w:rPr>
                <w:rFonts w:eastAsia="黑体" w:cs="Times New Roman"/>
                <w:b/>
                <w:bCs/>
                <w:color w:val="000000" w:themeColor="text1"/>
                <w14:textFill>
                  <w14:solidFill>
                    <w14:schemeClr w14:val="tx1"/>
                  </w14:solidFill>
                </w14:textFill>
              </w:rPr>
            </w:pPr>
            <w:r>
              <w:rPr>
                <w:rFonts w:eastAsia="黑体" w:cs="Times New Roman"/>
                <w:b/>
                <w:bCs/>
                <w:color w:val="000000" w:themeColor="text1"/>
                <w14:textFill>
                  <w14:solidFill>
                    <w14:schemeClr w14:val="tx1"/>
                  </w14:solidFill>
                </w14:textFill>
              </w:rPr>
              <w:t>位置（m）</w:t>
            </w:r>
          </w:p>
        </w:tc>
        <w:tc>
          <w:tcPr>
            <w:tcW w:w="3953" w:type="dxa"/>
            <w:vAlign w:val="center"/>
          </w:tcPr>
          <w:p>
            <w:pPr>
              <w:pStyle w:val="252"/>
              <w:rPr>
                <w:rFonts w:eastAsia="黑体" w:cs="Times New Roman"/>
                <w:b/>
                <w:bCs/>
                <w:color w:val="000000" w:themeColor="text1"/>
                <w14:textFill>
                  <w14:solidFill>
                    <w14:schemeClr w14:val="tx1"/>
                  </w14:solidFill>
                </w14:textFill>
              </w:rPr>
            </w:pPr>
            <w:r>
              <w:rPr>
                <w:rFonts w:eastAsia="黑体" w:cs="Times New Roman"/>
                <w:b/>
                <w:bCs/>
                <w:color w:val="000000" w:themeColor="text1"/>
                <w14:textFill>
                  <w14:solidFill>
                    <w14:schemeClr w14:val="tx1"/>
                  </w14:solidFill>
                </w14:textFill>
              </w:rPr>
              <w:t>环境敏感特性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22" w:type="dxa"/>
            <w:vAlign w:val="center"/>
          </w:tcPr>
          <w:p>
            <w:pPr>
              <w:pStyle w:val="25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后河</w:t>
            </w:r>
          </w:p>
        </w:tc>
        <w:tc>
          <w:tcPr>
            <w:tcW w:w="2965" w:type="dxa"/>
            <w:vAlign w:val="center"/>
          </w:tcPr>
          <w:p>
            <w:pPr>
              <w:pStyle w:val="25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位于场区北侧约300m处</w:t>
            </w:r>
          </w:p>
        </w:tc>
        <w:tc>
          <w:tcPr>
            <w:tcW w:w="3953" w:type="dxa"/>
            <w:vAlign w:val="center"/>
          </w:tcPr>
          <w:p>
            <w:pPr>
              <w:pStyle w:val="25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项目所在河段为</w:t>
            </w:r>
            <w:r>
              <w:rPr>
                <w:rFonts w:hint="eastAsia" w:ascii="宋体" w:hAnsi="宋体" w:cs="宋体"/>
                <w:color w:val="000000" w:themeColor="text1"/>
                <w14:textFill>
                  <w14:solidFill>
                    <w14:schemeClr w14:val="tx1"/>
                  </w14:solidFill>
                </w14:textFill>
              </w:rPr>
              <w:t>Ⅲ</w:t>
            </w:r>
            <w:r>
              <w:rPr>
                <w:rFonts w:cs="Times New Roman"/>
                <w:color w:val="000000" w:themeColor="text1"/>
                <w14:textFill>
                  <w14:solidFill>
                    <w14:schemeClr w14:val="tx1"/>
                  </w14:solidFill>
                </w14:textFill>
              </w:rPr>
              <w:t>类水域，主要功能为灌溉和行洪</w:t>
            </w:r>
          </w:p>
        </w:tc>
      </w:tr>
    </w:tbl>
    <w:p>
      <w:pPr>
        <w:pStyle w:val="5"/>
      </w:pPr>
      <w:r>
        <w:t>2.9.2.3 地下水环境保护目标</w:t>
      </w:r>
    </w:p>
    <w:p>
      <w:pPr>
        <w:ind w:firstLine="480"/>
        <w:rPr>
          <w:rFonts w:cs="Times New Roman"/>
          <w:bCs/>
          <w:color w:val="000000" w:themeColor="text1"/>
          <w14:textFill>
            <w14:solidFill>
              <w14:schemeClr w14:val="tx1"/>
            </w14:solidFill>
          </w14:textFill>
        </w:rPr>
      </w:pPr>
      <w:r>
        <w:rPr>
          <w:rFonts w:cs="Times New Roman"/>
          <w:bCs/>
          <w:color w:val="000000" w:themeColor="text1"/>
          <w:szCs w:val="24"/>
          <w14:textFill>
            <w14:solidFill>
              <w14:schemeClr w14:val="tx1"/>
            </w14:solidFill>
          </w14:textFill>
        </w:rPr>
        <w:t>项目区域内地下水类型</w:t>
      </w:r>
      <w:r>
        <w:rPr>
          <w:rFonts w:cs="Times New Roman"/>
          <w:color w:val="000000" w:themeColor="text1"/>
          <w:szCs w:val="24"/>
          <w14:textFill>
            <w14:solidFill>
              <w14:schemeClr w14:val="tx1"/>
            </w14:solidFill>
          </w14:textFill>
        </w:rPr>
        <w:t>以基岩裂隙水与碎屑岩类裂隙水为主</w:t>
      </w:r>
      <w:r>
        <w:rPr>
          <w:rFonts w:cs="Times New Roman"/>
          <w:bCs/>
          <w:color w:val="000000" w:themeColor="text1"/>
          <w:szCs w:val="24"/>
          <w14:textFill>
            <w14:solidFill>
              <w14:schemeClr w14:val="tx1"/>
            </w14:solidFill>
          </w14:textFill>
        </w:rPr>
        <w:t>。根据外环境调查，井场附近居民家中</w:t>
      </w:r>
      <w:r>
        <w:rPr>
          <w:rFonts w:hint="eastAsia" w:cs="Times New Roman"/>
          <w:bCs/>
          <w:color w:val="000000" w:themeColor="text1"/>
          <w:szCs w:val="24"/>
          <w14:textFill>
            <w14:solidFill>
              <w14:schemeClr w14:val="tx1"/>
            </w14:solidFill>
          </w14:textFill>
        </w:rPr>
        <w:t>主要</w:t>
      </w:r>
      <w:r>
        <w:rPr>
          <w:rFonts w:cs="Times New Roman"/>
          <w:bCs/>
          <w:color w:val="000000" w:themeColor="text1"/>
          <w:szCs w:val="24"/>
          <w14:textFill>
            <w14:solidFill>
              <w14:schemeClr w14:val="tx1"/>
            </w14:solidFill>
          </w14:textFill>
        </w:rPr>
        <w:t>使用山泉水作为饮用水源，</w:t>
      </w:r>
      <w:r>
        <w:rPr>
          <w:rFonts w:hint="eastAsia" w:cs="Times New Roman"/>
          <w:bCs/>
          <w:color w:val="000000" w:themeColor="text1"/>
          <w:szCs w:val="24"/>
          <w14:textFill>
            <w14:solidFill>
              <w14:schemeClr w14:val="tx1"/>
            </w14:solidFill>
          </w14:textFill>
        </w:rPr>
        <w:t>各居民点处均修建有蓄水池，通过管道将山泉水从山上引至蓄水池中，然后</w:t>
      </w:r>
      <w:r>
        <w:rPr>
          <w:rFonts w:cs="Times New Roman"/>
          <w:bCs/>
          <w:color w:val="000000" w:themeColor="text1"/>
          <w:szCs w:val="24"/>
          <w14:textFill>
            <w14:solidFill>
              <w14:schemeClr w14:val="tx1"/>
            </w14:solidFill>
          </w14:textFill>
        </w:rPr>
        <w:t>分散供周边居民使用，平均约</w:t>
      </w:r>
      <w:r>
        <w:rPr>
          <w:rFonts w:hint="eastAsia" w:cs="Times New Roman"/>
          <w:bCs/>
          <w:color w:val="000000" w:themeColor="text1"/>
          <w:szCs w:val="24"/>
          <w14:textFill>
            <w14:solidFill>
              <w14:schemeClr w14:val="tx1"/>
            </w14:solidFill>
          </w14:textFill>
        </w:rPr>
        <w:t>5</w:t>
      </w:r>
      <w:r>
        <w:rPr>
          <w:rFonts w:cs="Times New Roman"/>
          <w:bCs/>
          <w:color w:val="000000" w:themeColor="text1"/>
          <w:szCs w:val="24"/>
          <w14:textFill>
            <w14:solidFill>
              <w14:schemeClr w14:val="tx1"/>
            </w14:solidFill>
          </w14:textFill>
        </w:rPr>
        <w:t>~</w:t>
      </w:r>
      <w:r>
        <w:rPr>
          <w:rFonts w:hint="eastAsia" w:cs="Times New Roman"/>
          <w:bCs/>
          <w:color w:val="000000" w:themeColor="text1"/>
          <w:szCs w:val="24"/>
          <w14:textFill>
            <w14:solidFill>
              <w14:schemeClr w14:val="tx1"/>
            </w14:solidFill>
          </w14:textFill>
        </w:rPr>
        <w:t>20</w:t>
      </w:r>
      <w:r>
        <w:rPr>
          <w:rFonts w:cs="Times New Roman"/>
          <w:bCs/>
          <w:color w:val="000000" w:themeColor="text1"/>
          <w:szCs w:val="24"/>
          <w14:textFill>
            <w14:solidFill>
              <w14:schemeClr w14:val="tx1"/>
            </w14:solidFill>
          </w14:textFill>
        </w:rPr>
        <w:t>户使用1处</w:t>
      </w:r>
      <w:r>
        <w:rPr>
          <w:rFonts w:hint="eastAsia" w:cs="Times New Roman"/>
          <w:bCs/>
          <w:color w:val="000000" w:themeColor="text1"/>
          <w:szCs w:val="24"/>
          <w14:textFill>
            <w14:solidFill>
              <w14:schemeClr w14:val="tx1"/>
            </w14:solidFill>
          </w14:textFill>
        </w:rPr>
        <w:t>蓄水池，少数居民自建地下水井作为备用水源。</w:t>
      </w:r>
      <w:r>
        <w:rPr>
          <w:rFonts w:cs="Times New Roman"/>
          <w:bCs/>
          <w:color w:val="000000" w:themeColor="text1"/>
          <w:szCs w:val="24"/>
          <w14:textFill>
            <w14:solidFill>
              <w14:schemeClr w14:val="tx1"/>
            </w14:solidFill>
          </w14:textFill>
        </w:rPr>
        <w:t>地下水评价范围内具备饮用功能的井泉约</w:t>
      </w:r>
      <w:r>
        <w:rPr>
          <w:rFonts w:hint="eastAsia" w:cs="Times New Roman"/>
          <w:bCs/>
          <w:color w:val="000000" w:themeColor="text1"/>
          <w:szCs w:val="24"/>
          <w14:textFill>
            <w14:solidFill>
              <w14:schemeClr w14:val="tx1"/>
            </w14:solidFill>
          </w14:textFill>
        </w:rPr>
        <w:t>9</w:t>
      </w:r>
      <w:r>
        <w:rPr>
          <w:rFonts w:cs="Times New Roman"/>
          <w:bCs/>
          <w:color w:val="000000" w:themeColor="text1"/>
          <w:szCs w:val="24"/>
          <w14:textFill>
            <w14:solidFill>
              <w14:schemeClr w14:val="tx1"/>
            </w14:solidFill>
          </w14:textFill>
        </w:rPr>
        <w:t>处，具体分布如下。</w:t>
      </w:r>
      <w:r>
        <w:rPr>
          <w:rFonts w:cs="Times New Roman"/>
          <w:bCs/>
          <w:color w:val="000000" w:themeColor="text1"/>
          <w14:textFill>
            <w14:solidFill>
              <w14:schemeClr w14:val="tx1"/>
            </w14:solidFill>
          </w14:textFill>
        </w:rPr>
        <w:t>根据调查，地下水环境保护目标见2.9-2。</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表2.9-2  地下水环境保护目标一览表</w:t>
      </w:r>
    </w:p>
    <w:tbl>
      <w:tblPr>
        <w:tblStyle w:val="52"/>
        <w:tblW w:w="523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850"/>
        <w:gridCol w:w="3119"/>
        <w:gridCol w:w="475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5" w:hRule="atLeast"/>
          <w:jc w:val="center"/>
        </w:trPr>
        <w:tc>
          <w:tcPr>
            <w:tcW w:w="848" w:type="dxa"/>
            <w:vAlign w:val="center"/>
          </w:tcPr>
          <w:p>
            <w:pPr>
              <w:pStyle w:val="25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名称</w:t>
            </w:r>
          </w:p>
        </w:tc>
        <w:tc>
          <w:tcPr>
            <w:tcW w:w="3112" w:type="dxa"/>
            <w:vAlign w:val="center"/>
          </w:tcPr>
          <w:p>
            <w:pPr>
              <w:pStyle w:val="25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位置（m）</w:t>
            </w:r>
          </w:p>
        </w:tc>
        <w:tc>
          <w:tcPr>
            <w:tcW w:w="4745" w:type="dxa"/>
            <w:vAlign w:val="center"/>
          </w:tcPr>
          <w:p>
            <w:pPr>
              <w:pStyle w:val="25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环境敏感特性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5" w:hRule="atLeast"/>
          <w:jc w:val="center"/>
        </w:trPr>
        <w:tc>
          <w:tcPr>
            <w:tcW w:w="848" w:type="dxa"/>
            <w:vAlign w:val="center"/>
          </w:tcPr>
          <w:p>
            <w:pPr>
              <w:pStyle w:val="25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Q1</w:t>
            </w:r>
          </w:p>
        </w:tc>
        <w:tc>
          <w:tcPr>
            <w:tcW w:w="3112" w:type="dxa"/>
            <w:vAlign w:val="center"/>
          </w:tcPr>
          <w:p>
            <w:pPr>
              <w:pStyle w:val="252"/>
              <w:rPr>
                <w:rFonts w:cs="Times New Roman"/>
              </w:rPr>
            </w:pPr>
            <w:r>
              <w:rPr>
                <w:rFonts w:hint="eastAsia"/>
              </w:rPr>
              <w:t>普光3011-6井场西南侧465m</w:t>
            </w:r>
          </w:p>
        </w:tc>
        <w:tc>
          <w:tcPr>
            <w:tcW w:w="4745" w:type="dxa"/>
            <w:vAlign w:val="center"/>
          </w:tcPr>
          <w:p>
            <w:pPr>
              <w:pStyle w:val="252"/>
              <w:rPr>
                <w:rFonts w:cs="Times New Roman"/>
              </w:rPr>
            </w:pPr>
            <w:r>
              <w:rPr>
                <w:rFonts w:cs="Times New Roman"/>
              </w:rPr>
              <w:t>泉水，</w:t>
            </w:r>
            <w:r>
              <w:rPr>
                <w:rFonts w:hint="eastAsia" w:cs="Times New Roman"/>
              </w:rPr>
              <w:t>来自地下水</w:t>
            </w:r>
            <w:r>
              <w:rPr>
                <w:rFonts w:cs="Times New Roman"/>
              </w:rPr>
              <w:t>浅层含水层</w:t>
            </w:r>
            <w:r>
              <w:rPr>
                <w:rFonts w:hint="eastAsia" w:cs="Times New Roman"/>
              </w:rPr>
              <w:t>，</w:t>
            </w:r>
            <w:r>
              <w:rPr>
                <w:rFonts w:cs="Times New Roman"/>
              </w:rPr>
              <w:t>以大气降雨补给为主，约</w:t>
            </w:r>
            <w:r>
              <w:rPr>
                <w:rFonts w:hint="eastAsia" w:cs="Times New Roman"/>
              </w:rPr>
              <w:t>5</w:t>
            </w:r>
            <w:r>
              <w:rPr>
                <w:rFonts w:cs="Times New Roman"/>
              </w:rPr>
              <w:t>户居民使用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5" w:hRule="atLeast"/>
          <w:jc w:val="center"/>
        </w:trPr>
        <w:tc>
          <w:tcPr>
            <w:tcW w:w="848" w:type="dxa"/>
            <w:vAlign w:val="center"/>
          </w:tcPr>
          <w:p>
            <w:pPr>
              <w:pStyle w:val="25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Q2</w:t>
            </w:r>
          </w:p>
        </w:tc>
        <w:tc>
          <w:tcPr>
            <w:tcW w:w="3112" w:type="dxa"/>
            <w:vAlign w:val="center"/>
          </w:tcPr>
          <w:p>
            <w:pPr>
              <w:pStyle w:val="252"/>
              <w:rPr>
                <w:rFonts w:cs="Times New Roman"/>
              </w:rPr>
            </w:pPr>
            <w:r>
              <w:rPr>
                <w:rFonts w:hint="eastAsia"/>
              </w:rPr>
              <w:t>普光3011-6井场西南侧555m</w:t>
            </w:r>
          </w:p>
        </w:tc>
        <w:tc>
          <w:tcPr>
            <w:tcW w:w="4745" w:type="dxa"/>
            <w:vAlign w:val="center"/>
          </w:tcPr>
          <w:p>
            <w:pPr>
              <w:pStyle w:val="252"/>
              <w:rPr>
                <w:rFonts w:cs="Times New Roman"/>
              </w:rPr>
            </w:pPr>
            <w:r>
              <w:rPr>
                <w:rFonts w:cs="Times New Roman"/>
              </w:rPr>
              <w:t>泉水，</w:t>
            </w:r>
            <w:r>
              <w:rPr>
                <w:rFonts w:hint="eastAsia" w:cs="Times New Roman"/>
              </w:rPr>
              <w:t>来自地下水</w:t>
            </w:r>
            <w:r>
              <w:rPr>
                <w:rFonts w:cs="Times New Roman"/>
              </w:rPr>
              <w:t>浅层含水层</w:t>
            </w:r>
            <w:r>
              <w:rPr>
                <w:rFonts w:hint="eastAsia" w:cs="Times New Roman"/>
              </w:rPr>
              <w:t>，</w:t>
            </w:r>
            <w:r>
              <w:rPr>
                <w:rFonts w:cs="Times New Roman"/>
              </w:rPr>
              <w:t>以大气降雨补给为主，约1</w:t>
            </w:r>
            <w:r>
              <w:rPr>
                <w:rFonts w:hint="eastAsia" w:cs="Times New Roman"/>
              </w:rPr>
              <w:t>2</w:t>
            </w:r>
            <w:r>
              <w:rPr>
                <w:rFonts w:cs="Times New Roman"/>
              </w:rPr>
              <w:t>户居民使用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5" w:hRule="atLeast"/>
          <w:jc w:val="center"/>
        </w:trPr>
        <w:tc>
          <w:tcPr>
            <w:tcW w:w="848" w:type="dxa"/>
            <w:vAlign w:val="center"/>
          </w:tcPr>
          <w:p>
            <w:pPr>
              <w:pStyle w:val="25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Q3</w:t>
            </w:r>
          </w:p>
        </w:tc>
        <w:tc>
          <w:tcPr>
            <w:tcW w:w="3112" w:type="dxa"/>
            <w:vAlign w:val="center"/>
          </w:tcPr>
          <w:p>
            <w:pPr>
              <w:pStyle w:val="252"/>
              <w:rPr>
                <w:rFonts w:cs="Times New Roman"/>
              </w:rPr>
            </w:pPr>
            <w:r>
              <w:rPr>
                <w:rFonts w:hint="eastAsia"/>
              </w:rPr>
              <w:t>普光3011-6井场西南侧600m</w:t>
            </w:r>
          </w:p>
        </w:tc>
        <w:tc>
          <w:tcPr>
            <w:tcW w:w="4745" w:type="dxa"/>
            <w:vAlign w:val="center"/>
          </w:tcPr>
          <w:p>
            <w:pPr>
              <w:pStyle w:val="252"/>
              <w:rPr>
                <w:rFonts w:cs="Times New Roman"/>
              </w:rPr>
            </w:pPr>
            <w:r>
              <w:rPr>
                <w:rFonts w:hint="eastAsia" w:cs="Times New Roman"/>
              </w:rPr>
              <w:t>井水（5m）</w:t>
            </w:r>
            <w:r>
              <w:rPr>
                <w:rFonts w:cs="Times New Roman"/>
              </w:rPr>
              <w:t>，</w:t>
            </w:r>
            <w:r>
              <w:rPr>
                <w:rFonts w:hint="eastAsia" w:cs="Times New Roman"/>
              </w:rPr>
              <w:t>来自地下水</w:t>
            </w:r>
            <w:r>
              <w:rPr>
                <w:rFonts w:cs="Times New Roman"/>
              </w:rPr>
              <w:t>浅层含水层</w:t>
            </w:r>
            <w:r>
              <w:rPr>
                <w:rFonts w:hint="eastAsia" w:cs="Times New Roman"/>
              </w:rPr>
              <w:t>，</w:t>
            </w:r>
            <w:r>
              <w:rPr>
                <w:rFonts w:cs="Times New Roman"/>
              </w:rPr>
              <w:t>以大气降雨补给为主，约</w:t>
            </w:r>
            <w:r>
              <w:rPr>
                <w:rFonts w:hint="eastAsia" w:cs="Times New Roman"/>
              </w:rPr>
              <w:t>2</w:t>
            </w:r>
            <w:r>
              <w:rPr>
                <w:rFonts w:cs="Times New Roman"/>
              </w:rPr>
              <w:t>户居民使用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5" w:hRule="atLeast"/>
          <w:jc w:val="center"/>
        </w:trPr>
        <w:tc>
          <w:tcPr>
            <w:tcW w:w="848" w:type="dxa"/>
            <w:vAlign w:val="center"/>
          </w:tcPr>
          <w:p>
            <w:pPr>
              <w:pStyle w:val="25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Q4</w:t>
            </w:r>
          </w:p>
        </w:tc>
        <w:tc>
          <w:tcPr>
            <w:tcW w:w="3112" w:type="dxa"/>
            <w:vAlign w:val="center"/>
          </w:tcPr>
          <w:p>
            <w:pPr>
              <w:pStyle w:val="252"/>
              <w:rPr>
                <w:rFonts w:cs="Times New Roman"/>
              </w:rPr>
            </w:pPr>
            <w:r>
              <w:rPr>
                <w:rFonts w:hint="eastAsia"/>
              </w:rPr>
              <w:t>普光3011-6井场东南侧380m</w:t>
            </w:r>
          </w:p>
        </w:tc>
        <w:tc>
          <w:tcPr>
            <w:tcW w:w="4745" w:type="dxa"/>
            <w:vAlign w:val="center"/>
          </w:tcPr>
          <w:p>
            <w:pPr>
              <w:pStyle w:val="252"/>
              <w:rPr>
                <w:rFonts w:cs="Times New Roman"/>
              </w:rPr>
            </w:pPr>
            <w:r>
              <w:rPr>
                <w:rFonts w:cs="Times New Roman"/>
              </w:rPr>
              <w:t>泉水，</w:t>
            </w:r>
            <w:r>
              <w:rPr>
                <w:rFonts w:hint="eastAsia" w:cs="Times New Roman"/>
              </w:rPr>
              <w:t>来自地下水</w:t>
            </w:r>
            <w:r>
              <w:rPr>
                <w:rFonts w:cs="Times New Roman"/>
              </w:rPr>
              <w:t>浅层含水层</w:t>
            </w:r>
            <w:r>
              <w:rPr>
                <w:rFonts w:hint="eastAsia" w:cs="Times New Roman"/>
              </w:rPr>
              <w:t>，</w:t>
            </w:r>
            <w:r>
              <w:rPr>
                <w:rFonts w:cs="Times New Roman"/>
              </w:rPr>
              <w:t>以大气降雨补给为主，约</w:t>
            </w:r>
            <w:r>
              <w:rPr>
                <w:rFonts w:hint="eastAsia" w:cs="Times New Roman"/>
              </w:rPr>
              <w:t>20</w:t>
            </w:r>
            <w:r>
              <w:rPr>
                <w:rFonts w:cs="Times New Roman"/>
              </w:rPr>
              <w:t>户居民使用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5" w:hRule="atLeast"/>
          <w:jc w:val="center"/>
        </w:trPr>
        <w:tc>
          <w:tcPr>
            <w:tcW w:w="848" w:type="dxa"/>
            <w:vAlign w:val="center"/>
          </w:tcPr>
          <w:p>
            <w:pPr>
              <w:pStyle w:val="25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Q5</w:t>
            </w:r>
          </w:p>
        </w:tc>
        <w:tc>
          <w:tcPr>
            <w:tcW w:w="3112" w:type="dxa"/>
            <w:vAlign w:val="center"/>
          </w:tcPr>
          <w:p>
            <w:pPr>
              <w:pStyle w:val="252"/>
              <w:rPr>
                <w:rFonts w:cs="Times New Roman"/>
              </w:rPr>
            </w:pPr>
            <w:r>
              <w:rPr>
                <w:rFonts w:hint="eastAsia"/>
              </w:rPr>
              <w:t>普光3011-6井场东南侧550m</w:t>
            </w:r>
          </w:p>
        </w:tc>
        <w:tc>
          <w:tcPr>
            <w:tcW w:w="4745" w:type="dxa"/>
            <w:vAlign w:val="center"/>
          </w:tcPr>
          <w:p>
            <w:pPr>
              <w:pStyle w:val="252"/>
              <w:rPr>
                <w:rFonts w:cs="Times New Roman"/>
              </w:rPr>
            </w:pPr>
            <w:r>
              <w:rPr>
                <w:rFonts w:cs="Times New Roman"/>
              </w:rPr>
              <w:t>泉水，</w:t>
            </w:r>
            <w:r>
              <w:rPr>
                <w:rFonts w:hint="eastAsia" w:cs="Times New Roman"/>
              </w:rPr>
              <w:t>来自地下水</w:t>
            </w:r>
            <w:r>
              <w:rPr>
                <w:rFonts w:cs="Times New Roman"/>
              </w:rPr>
              <w:t>浅层含水层</w:t>
            </w:r>
            <w:r>
              <w:rPr>
                <w:rFonts w:hint="eastAsia" w:cs="Times New Roman"/>
              </w:rPr>
              <w:t>，</w:t>
            </w:r>
            <w:r>
              <w:rPr>
                <w:rFonts w:cs="Times New Roman"/>
              </w:rPr>
              <w:t>以大气降雨补给为主，约</w:t>
            </w:r>
            <w:r>
              <w:rPr>
                <w:rFonts w:hint="eastAsia" w:cs="Times New Roman"/>
              </w:rPr>
              <w:t>1</w:t>
            </w:r>
            <w:r>
              <w:rPr>
                <w:rFonts w:cs="Times New Roman"/>
              </w:rPr>
              <w:t>5户居民使用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5" w:hRule="atLeast"/>
          <w:jc w:val="center"/>
        </w:trPr>
        <w:tc>
          <w:tcPr>
            <w:tcW w:w="848" w:type="dxa"/>
            <w:vAlign w:val="center"/>
          </w:tcPr>
          <w:p>
            <w:pPr>
              <w:pStyle w:val="25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Q6</w:t>
            </w:r>
          </w:p>
        </w:tc>
        <w:tc>
          <w:tcPr>
            <w:tcW w:w="3112" w:type="dxa"/>
            <w:vAlign w:val="center"/>
          </w:tcPr>
          <w:p>
            <w:pPr>
              <w:pStyle w:val="252"/>
              <w:rPr>
                <w:rFonts w:cs="Times New Roman"/>
                <w:kern w:val="2"/>
              </w:rPr>
            </w:pPr>
            <w:r>
              <w:rPr>
                <w:rFonts w:hint="eastAsia"/>
              </w:rPr>
              <w:t>普光3011-6井场东北侧200m</w:t>
            </w:r>
          </w:p>
        </w:tc>
        <w:tc>
          <w:tcPr>
            <w:tcW w:w="4745" w:type="dxa"/>
            <w:vAlign w:val="center"/>
          </w:tcPr>
          <w:p>
            <w:pPr>
              <w:pStyle w:val="252"/>
              <w:rPr>
                <w:rFonts w:cs="Times New Roman"/>
              </w:rPr>
            </w:pPr>
            <w:r>
              <w:rPr>
                <w:rFonts w:cs="Times New Roman"/>
              </w:rPr>
              <w:t>泉水，</w:t>
            </w:r>
            <w:r>
              <w:rPr>
                <w:rFonts w:hint="eastAsia" w:cs="Times New Roman"/>
              </w:rPr>
              <w:t>来自地下水</w:t>
            </w:r>
            <w:r>
              <w:rPr>
                <w:rFonts w:cs="Times New Roman"/>
              </w:rPr>
              <w:t>浅层含水层</w:t>
            </w:r>
            <w:r>
              <w:rPr>
                <w:rFonts w:hint="eastAsia" w:cs="Times New Roman"/>
              </w:rPr>
              <w:t>，</w:t>
            </w:r>
            <w:r>
              <w:rPr>
                <w:rFonts w:cs="Times New Roman"/>
              </w:rPr>
              <w:t>以大气降雨补给为主，约</w:t>
            </w:r>
            <w:r>
              <w:rPr>
                <w:rFonts w:hint="eastAsia" w:cs="Times New Roman"/>
              </w:rPr>
              <w:t>5</w:t>
            </w:r>
            <w:r>
              <w:rPr>
                <w:rFonts w:cs="Times New Roman"/>
              </w:rPr>
              <w:t>户居民使用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5" w:hRule="atLeast"/>
          <w:jc w:val="center"/>
        </w:trPr>
        <w:tc>
          <w:tcPr>
            <w:tcW w:w="848" w:type="dxa"/>
            <w:vAlign w:val="center"/>
          </w:tcPr>
          <w:p>
            <w:pPr>
              <w:pStyle w:val="25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Q7</w:t>
            </w:r>
          </w:p>
        </w:tc>
        <w:tc>
          <w:tcPr>
            <w:tcW w:w="3112" w:type="dxa"/>
            <w:vAlign w:val="center"/>
          </w:tcPr>
          <w:p>
            <w:pPr>
              <w:pStyle w:val="252"/>
              <w:rPr>
                <w:rFonts w:cs="Times New Roman"/>
                <w:kern w:val="2"/>
              </w:rPr>
            </w:pPr>
            <w:r>
              <w:rPr>
                <w:rFonts w:hint="eastAsia"/>
              </w:rPr>
              <w:t>普光3011-6井场西北侧340m</w:t>
            </w:r>
          </w:p>
        </w:tc>
        <w:tc>
          <w:tcPr>
            <w:tcW w:w="4745" w:type="dxa"/>
            <w:vAlign w:val="center"/>
          </w:tcPr>
          <w:p>
            <w:pPr>
              <w:pStyle w:val="252"/>
              <w:rPr>
                <w:rFonts w:cs="Times New Roman"/>
              </w:rPr>
            </w:pPr>
            <w:r>
              <w:rPr>
                <w:rFonts w:cs="Times New Roman"/>
              </w:rPr>
              <w:t>泉水，</w:t>
            </w:r>
            <w:r>
              <w:rPr>
                <w:rFonts w:hint="eastAsia" w:cs="Times New Roman"/>
              </w:rPr>
              <w:t>来自地下水</w:t>
            </w:r>
            <w:r>
              <w:rPr>
                <w:rFonts w:cs="Times New Roman"/>
              </w:rPr>
              <w:t>浅层含水层</w:t>
            </w:r>
            <w:r>
              <w:rPr>
                <w:rFonts w:hint="eastAsia" w:cs="Times New Roman"/>
              </w:rPr>
              <w:t>，</w:t>
            </w:r>
            <w:r>
              <w:rPr>
                <w:rFonts w:cs="Times New Roman"/>
              </w:rPr>
              <w:t>以大气降雨补给为主</w:t>
            </w:r>
            <w:r>
              <w:rPr>
                <w:rFonts w:hint="eastAsia" w:cs="Times New Roman"/>
              </w:rPr>
              <w:t>，</w:t>
            </w:r>
            <w:r>
              <w:rPr>
                <w:rFonts w:cs="Times New Roman"/>
              </w:rPr>
              <w:t>约1</w:t>
            </w:r>
            <w:r>
              <w:rPr>
                <w:rFonts w:hint="eastAsia" w:cs="Times New Roman"/>
              </w:rPr>
              <w:t>4</w:t>
            </w:r>
            <w:r>
              <w:rPr>
                <w:rFonts w:cs="Times New Roman"/>
              </w:rPr>
              <w:t>户居民使用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5" w:hRule="atLeast"/>
          <w:jc w:val="center"/>
        </w:trPr>
        <w:tc>
          <w:tcPr>
            <w:tcW w:w="848" w:type="dxa"/>
            <w:vAlign w:val="center"/>
          </w:tcPr>
          <w:p>
            <w:pPr>
              <w:pStyle w:val="25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Q8</w:t>
            </w:r>
          </w:p>
        </w:tc>
        <w:tc>
          <w:tcPr>
            <w:tcW w:w="3112" w:type="dxa"/>
            <w:vAlign w:val="center"/>
          </w:tcPr>
          <w:p>
            <w:pPr>
              <w:pStyle w:val="252"/>
              <w:rPr>
                <w:rFonts w:cs="Times New Roman"/>
                <w:kern w:val="2"/>
              </w:rPr>
            </w:pPr>
            <w:r>
              <w:rPr>
                <w:rFonts w:hint="eastAsia"/>
              </w:rPr>
              <w:t>普光3011-6井场西北侧550m</w:t>
            </w:r>
          </w:p>
        </w:tc>
        <w:tc>
          <w:tcPr>
            <w:tcW w:w="4745" w:type="dxa"/>
            <w:vAlign w:val="center"/>
          </w:tcPr>
          <w:p>
            <w:pPr>
              <w:pStyle w:val="252"/>
              <w:rPr>
                <w:rFonts w:cs="Times New Roman"/>
              </w:rPr>
            </w:pPr>
            <w:r>
              <w:rPr>
                <w:rFonts w:cs="Times New Roman"/>
              </w:rPr>
              <w:t>泉水，</w:t>
            </w:r>
            <w:r>
              <w:rPr>
                <w:rFonts w:hint="eastAsia" w:cs="Times New Roman"/>
              </w:rPr>
              <w:t>来自地下水</w:t>
            </w:r>
            <w:r>
              <w:rPr>
                <w:rFonts w:cs="Times New Roman"/>
              </w:rPr>
              <w:t>浅层含水层</w:t>
            </w:r>
            <w:r>
              <w:rPr>
                <w:rFonts w:hint="eastAsia" w:cs="Times New Roman"/>
              </w:rPr>
              <w:t>，</w:t>
            </w:r>
            <w:r>
              <w:rPr>
                <w:rFonts w:cs="Times New Roman"/>
              </w:rPr>
              <w:t>以大气降雨补给为主，约1</w:t>
            </w:r>
            <w:r>
              <w:rPr>
                <w:rFonts w:hint="eastAsia" w:cs="Times New Roman"/>
              </w:rPr>
              <w:t>0</w:t>
            </w:r>
            <w:r>
              <w:rPr>
                <w:rFonts w:cs="Times New Roman"/>
              </w:rPr>
              <w:t>户居民使用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5" w:hRule="atLeast"/>
          <w:jc w:val="center"/>
        </w:trPr>
        <w:tc>
          <w:tcPr>
            <w:tcW w:w="848" w:type="dxa"/>
            <w:vAlign w:val="center"/>
          </w:tcPr>
          <w:p>
            <w:pPr>
              <w:pStyle w:val="25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Q9</w:t>
            </w:r>
          </w:p>
        </w:tc>
        <w:tc>
          <w:tcPr>
            <w:tcW w:w="3112" w:type="dxa"/>
            <w:vAlign w:val="center"/>
          </w:tcPr>
          <w:p>
            <w:pPr>
              <w:pStyle w:val="252"/>
              <w:rPr>
                <w:rFonts w:cs="Times New Roman"/>
                <w:kern w:val="2"/>
              </w:rPr>
            </w:pPr>
            <w:r>
              <w:rPr>
                <w:rFonts w:hint="eastAsia"/>
              </w:rPr>
              <w:t>普光3011-6井西北侧885m</w:t>
            </w:r>
          </w:p>
        </w:tc>
        <w:tc>
          <w:tcPr>
            <w:tcW w:w="4745" w:type="dxa"/>
            <w:vAlign w:val="center"/>
          </w:tcPr>
          <w:p>
            <w:pPr>
              <w:pStyle w:val="252"/>
              <w:rPr>
                <w:rFonts w:cs="Times New Roman"/>
              </w:rPr>
            </w:pPr>
            <w:r>
              <w:rPr>
                <w:rFonts w:cs="Times New Roman"/>
              </w:rPr>
              <w:t>泉水，</w:t>
            </w:r>
            <w:r>
              <w:rPr>
                <w:rFonts w:hint="eastAsia" w:cs="Times New Roman"/>
              </w:rPr>
              <w:t>来自地下水</w:t>
            </w:r>
            <w:r>
              <w:rPr>
                <w:rFonts w:cs="Times New Roman"/>
              </w:rPr>
              <w:t>浅层含水层</w:t>
            </w:r>
            <w:r>
              <w:rPr>
                <w:rFonts w:hint="eastAsia" w:cs="Times New Roman"/>
              </w:rPr>
              <w:t>，</w:t>
            </w:r>
            <w:r>
              <w:rPr>
                <w:rFonts w:cs="Times New Roman"/>
              </w:rPr>
              <w:t>以大气降雨补给为主，约</w:t>
            </w:r>
            <w:r>
              <w:rPr>
                <w:rFonts w:hint="eastAsia" w:cs="Times New Roman"/>
              </w:rPr>
              <w:t>15</w:t>
            </w:r>
            <w:r>
              <w:rPr>
                <w:rFonts w:cs="Times New Roman"/>
              </w:rPr>
              <w:t>户居民使用</w:t>
            </w:r>
          </w:p>
        </w:tc>
      </w:tr>
    </w:tbl>
    <w:p>
      <w:pPr>
        <w:pStyle w:val="5"/>
      </w:pPr>
      <w:bookmarkStart w:id="76" w:name="_Hlk152595855"/>
      <w:r>
        <w:t>2.9.2.4 环境空气保护目标</w:t>
      </w:r>
    </w:p>
    <w:p>
      <w:pPr>
        <w:ind w:firstLine="480"/>
        <w:rPr>
          <w:rFonts w:cs="Times New Roman"/>
          <w:bCs/>
          <w:color w:val="000000" w:themeColor="text1"/>
          <w:szCs w:val="24"/>
          <w14:textFill>
            <w14:solidFill>
              <w14:schemeClr w14:val="tx1"/>
            </w14:solidFill>
          </w14:textFill>
        </w:rPr>
      </w:pPr>
      <w:r>
        <w:rPr>
          <w:rFonts w:hint="eastAsia" w:cs="Times New Roman"/>
          <w:bCs/>
          <w:color w:val="000000" w:themeColor="text1"/>
          <w:szCs w:val="24"/>
          <w14:textFill>
            <w14:solidFill>
              <w14:schemeClr w14:val="tx1"/>
            </w14:solidFill>
          </w14:textFill>
        </w:rPr>
        <w:t>本项目大气评价范围为5km的矩形区域，本次调查评价区域内主要敏感目标分布，</w:t>
      </w:r>
      <w:r>
        <w:rPr>
          <w:rFonts w:cs="Times New Roman"/>
          <w:bCs/>
          <w:color w:val="000000" w:themeColor="text1"/>
          <w:szCs w:val="24"/>
          <w14:textFill>
            <w14:solidFill>
              <w14:schemeClr w14:val="tx1"/>
            </w14:solidFill>
          </w14:textFill>
        </w:rPr>
        <w:t>重点调查周边500m范围内的居民等敏感目标。环境空气保护目标见表2.9-3。</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表2.9-3  平台（试采站）环境空气保护目标一览表</w:t>
      </w:r>
    </w:p>
    <w:tbl>
      <w:tblPr>
        <w:tblStyle w:val="52"/>
        <w:tblW w:w="528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952"/>
        <w:gridCol w:w="1167"/>
        <w:gridCol w:w="1173"/>
        <w:gridCol w:w="593"/>
        <w:gridCol w:w="1199"/>
        <w:gridCol w:w="573"/>
        <w:gridCol w:w="950"/>
        <w:gridCol w:w="794"/>
        <w:gridCol w:w="804"/>
        <w:gridCol w:w="60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0" w:type="pct"/>
            <w:vMerge w:val="restart"/>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名称</w:t>
            </w:r>
          </w:p>
        </w:tc>
        <w:tc>
          <w:tcPr>
            <w:tcW w:w="1327" w:type="pct"/>
            <w:gridSpan w:val="2"/>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经纬度</w:t>
            </w:r>
          </w:p>
        </w:tc>
        <w:tc>
          <w:tcPr>
            <w:tcW w:w="336" w:type="pct"/>
            <w:vMerge w:val="restart"/>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保护</w:t>
            </w:r>
          </w:p>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对象</w:t>
            </w:r>
          </w:p>
        </w:tc>
        <w:tc>
          <w:tcPr>
            <w:tcW w:w="680" w:type="pct"/>
            <w:vMerge w:val="restart"/>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保护内容</w:t>
            </w:r>
          </w:p>
        </w:tc>
        <w:tc>
          <w:tcPr>
            <w:tcW w:w="325" w:type="pct"/>
            <w:vMerge w:val="restart"/>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环境功能区</w:t>
            </w:r>
          </w:p>
        </w:tc>
        <w:tc>
          <w:tcPr>
            <w:tcW w:w="1445" w:type="pct"/>
            <w:gridSpan w:val="3"/>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相对普光3011-6试采站</w:t>
            </w:r>
          </w:p>
        </w:tc>
        <w:tc>
          <w:tcPr>
            <w:tcW w:w="343" w:type="pct"/>
            <w:vMerge w:val="restart"/>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影响时段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0" w:type="pct"/>
            <w:vMerge w:val="continue"/>
            <w:vAlign w:val="center"/>
          </w:tcPr>
          <w:p>
            <w:pPr>
              <w:widowControl/>
              <w:adjustRightInd/>
              <w:snapToGrid/>
              <w:spacing w:line="240" w:lineRule="auto"/>
              <w:ind w:firstLine="0" w:firstLineChars="0"/>
              <w:jc w:val="center"/>
              <w:rPr>
                <w:rFonts w:cs="Times New Roman"/>
                <w:sz w:val="21"/>
                <w:szCs w:val="21"/>
                <w:lang w:eastAsia="en-US"/>
              </w:rPr>
            </w:pPr>
          </w:p>
        </w:tc>
        <w:tc>
          <w:tcPr>
            <w:tcW w:w="662" w:type="pct"/>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经度</w:t>
            </w:r>
          </w:p>
        </w:tc>
        <w:tc>
          <w:tcPr>
            <w:tcW w:w="665" w:type="pct"/>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纬度</w:t>
            </w:r>
          </w:p>
        </w:tc>
        <w:tc>
          <w:tcPr>
            <w:tcW w:w="336" w:type="pct"/>
            <w:vMerge w:val="continue"/>
            <w:vAlign w:val="center"/>
          </w:tcPr>
          <w:p>
            <w:pPr>
              <w:widowControl/>
              <w:adjustRightInd/>
              <w:snapToGrid/>
              <w:spacing w:line="240" w:lineRule="auto"/>
              <w:ind w:firstLine="0" w:firstLineChars="0"/>
              <w:jc w:val="center"/>
              <w:rPr>
                <w:rFonts w:cs="Times New Roman"/>
                <w:sz w:val="21"/>
                <w:szCs w:val="21"/>
                <w:lang w:eastAsia="en-US"/>
              </w:rPr>
            </w:pPr>
          </w:p>
        </w:tc>
        <w:tc>
          <w:tcPr>
            <w:tcW w:w="680" w:type="pct"/>
            <w:vMerge w:val="continue"/>
            <w:vAlign w:val="center"/>
          </w:tcPr>
          <w:p>
            <w:pPr>
              <w:widowControl/>
              <w:adjustRightInd/>
              <w:snapToGrid/>
              <w:spacing w:line="240" w:lineRule="auto"/>
              <w:ind w:firstLine="0" w:firstLineChars="0"/>
              <w:jc w:val="center"/>
              <w:rPr>
                <w:rFonts w:cs="Times New Roman"/>
                <w:sz w:val="21"/>
                <w:szCs w:val="21"/>
                <w:lang w:eastAsia="en-US"/>
              </w:rPr>
            </w:pPr>
          </w:p>
        </w:tc>
        <w:tc>
          <w:tcPr>
            <w:tcW w:w="325" w:type="pct"/>
            <w:vMerge w:val="continue"/>
            <w:vAlign w:val="center"/>
          </w:tcPr>
          <w:p>
            <w:pPr>
              <w:widowControl/>
              <w:adjustRightInd/>
              <w:snapToGrid/>
              <w:spacing w:line="240" w:lineRule="auto"/>
              <w:ind w:firstLine="0" w:firstLineChars="0"/>
              <w:jc w:val="center"/>
              <w:rPr>
                <w:rFonts w:cs="Times New Roman"/>
                <w:sz w:val="21"/>
                <w:szCs w:val="21"/>
                <w:lang w:eastAsia="en-US"/>
              </w:rPr>
            </w:pPr>
          </w:p>
        </w:tc>
        <w:tc>
          <w:tcPr>
            <w:tcW w:w="539" w:type="pct"/>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方位</w:t>
            </w:r>
          </w:p>
        </w:tc>
        <w:tc>
          <w:tcPr>
            <w:tcW w:w="450" w:type="pct"/>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井口距离/m</w:t>
            </w:r>
          </w:p>
        </w:tc>
        <w:tc>
          <w:tcPr>
            <w:tcW w:w="456" w:type="pct"/>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场界距离/m</w:t>
            </w:r>
          </w:p>
        </w:tc>
        <w:tc>
          <w:tcPr>
            <w:tcW w:w="343" w:type="pct"/>
            <w:vMerge w:val="continue"/>
            <w:vAlign w:val="center"/>
          </w:tcPr>
          <w:p>
            <w:pPr>
              <w:widowControl/>
              <w:adjustRightInd/>
              <w:snapToGrid/>
              <w:spacing w:line="240" w:lineRule="auto"/>
              <w:ind w:firstLine="0" w:firstLineChars="0"/>
              <w:jc w:val="center"/>
              <w:rPr>
                <w:rFonts w:cs="Times New Roman"/>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48" w:type="dxa"/>
            <w:vAlign w:val="center"/>
          </w:tcPr>
          <w:p>
            <w:pPr>
              <w:widowControl/>
              <w:adjustRightInd/>
              <w:snapToGrid/>
              <w:spacing w:line="240" w:lineRule="auto"/>
              <w:ind w:firstLine="0" w:firstLineChars="0"/>
              <w:jc w:val="center"/>
              <w:rPr>
                <w:rFonts w:cs="Times New Roman"/>
                <w:bCs/>
                <w:kern w:val="0"/>
                <w:sz w:val="21"/>
                <w:szCs w:val="21"/>
              </w:rPr>
            </w:pPr>
            <w:bookmarkStart w:id="77" w:name="_Hlk73455076"/>
            <w:r>
              <w:rPr>
                <w:rFonts w:hint="eastAsia" w:cs="Times New Roman"/>
                <w:bCs/>
                <w:kern w:val="0"/>
                <w:sz w:val="21"/>
                <w:szCs w:val="21"/>
              </w:rPr>
              <w:t>万白路居民区</w:t>
            </w:r>
          </w:p>
        </w:tc>
        <w:tc>
          <w:tcPr>
            <w:tcW w:w="1164"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107.757366</w:t>
            </w:r>
          </w:p>
        </w:tc>
        <w:tc>
          <w:tcPr>
            <w:tcW w:w="1168"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31.531672</w:t>
            </w:r>
          </w:p>
        </w:tc>
        <w:tc>
          <w:tcPr>
            <w:tcW w:w="589"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居民</w:t>
            </w:r>
          </w:p>
        </w:tc>
        <w:tc>
          <w:tcPr>
            <w:tcW w:w="1194"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约60户，240人</w:t>
            </w:r>
          </w:p>
        </w:tc>
        <w:tc>
          <w:tcPr>
            <w:tcW w:w="570"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二类</w:t>
            </w:r>
          </w:p>
        </w:tc>
        <w:tc>
          <w:tcPr>
            <w:tcW w:w="945"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北侧</w:t>
            </w:r>
          </w:p>
        </w:tc>
        <w:tc>
          <w:tcPr>
            <w:tcW w:w="789" w:type="dxa"/>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305</w:t>
            </w:r>
          </w:p>
        </w:tc>
        <w:tc>
          <w:tcPr>
            <w:tcW w:w="800" w:type="dxa"/>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278</w:t>
            </w:r>
          </w:p>
        </w:tc>
        <w:tc>
          <w:tcPr>
            <w:tcW w:w="343" w:type="pct"/>
            <w:vMerge w:val="restart"/>
            <w:vAlign w:val="center"/>
          </w:tcPr>
          <w:p>
            <w:pPr>
              <w:widowControl/>
              <w:adjustRightInd/>
              <w:snapToGrid/>
              <w:spacing w:line="240" w:lineRule="auto"/>
              <w:ind w:firstLine="0" w:firstLineChars="0"/>
              <w:jc w:val="center"/>
              <w:rPr>
                <w:rFonts w:cs="Times New Roman"/>
                <w:sz w:val="21"/>
                <w:szCs w:val="21"/>
                <w:lang w:eastAsia="en-US"/>
              </w:rPr>
            </w:pPr>
            <w:r>
              <w:rPr>
                <w:rFonts w:cs="Times New Roman"/>
                <w:sz w:val="21"/>
                <w:szCs w:val="21"/>
                <w:lang w:eastAsia="en-US"/>
              </w:rPr>
              <w:t>施工期、运营期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48"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龙井社区居民区</w:t>
            </w:r>
          </w:p>
        </w:tc>
        <w:tc>
          <w:tcPr>
            <w:tcW w:w="1164"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107.7643619</w:t>
            </w:r>
          </w:p>
        </w:tc>
        <w:tc>
          <w:tcPr>
            <w:tcW w:w="1168"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31.534354</w:t>
            </w:r>
          </w:p>
        </w:tc>
        <w:tc>
          <w:tcPr>
            <w:tcW w:w="589"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hint="eastAsia" w:cs="Times New Roman"/>
                <w:bCs/>
                <w:kern w:val="0"/>
                <w:sz w:val="21"/>
                <w:szCs w:val="21"/>
              </w:rPr>
              <w:t>居民</w:t>
            </w:r>
          </w:p>
        </w:tc>
        <w:tc>
          <w:tcPr>
            <w:tcW w:w="1194"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约</w:t>
            </w:r>
            <w:r>
              <w:rPr>
                <w:rFonts w:cs="Times New Roman"/>
                <w:bCs/>
                <w:kern w:val="0"/>
                <w:sz w:val="21"/>
                <w:szCs w:val="21"/>
              </w:rPr>
              <w:t>5</w:t>
            </w:r>
            <w:r>
              <w:rPr>
                <w:rFonts w:hint="eastAsia" w:cs="Times New Roman"/>
                <w:bCs/>
                <w:kern w:val="0"/>
                <w:sz w:val="21"/>
                <w:szCs w:val="21"/>
              </w:rPr>
              <w:t>00户，</w:t>
            </w:r>
            <w:r>
              <w:rPr>
                <w:rFonts w:cs="Times New Roman"/>
                <w:bCs/>
                <w:kern w:val="0"/>
                <w:sz w:val="21"/>
                <w:szCs w:val="21"/>
              </w:rPr>
              <w:t>2</w:t>
            </w:r>
            <w:r>
              <w:rPr>
                <w:rFonts w:hint="eastAsia" w:cs="Times New Roman"/>
                <w:bCs/>
                <w:kern w:val="0"/>
                <w:sz w:val="21"/>
                <w:szCs w:val="21"/>
              </w:rPr>
              <w:t>000人</w:t>
            </w:r>
          </w:p>
        </w:tc>
        <w:tc>
          <w:tcPr>
            <w:tcW w:w="570"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二类</w:t>
            </w:r>
          </w:p>
        </w:tc>
        <w:tc>
          <w:tcPr>
            <w:tcW w:w="945"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北侧</w:t>
            </w:r>
          </w:p>
        </w:tc>
        <w:tc>
          <w:tcPr>
            <w:tcW w:w="789"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550</w:t>
            </w:r>
          </w:p>
        </w:tc>
        <w:tc>
          <w:tcPr>
            <w:tcW w:w="800"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510</w:t>
            </w:r>
          </w:p>
        </w:tc>
        <w:tc>
          <w:tcPr>
            <w:tcW w:w="343" w:type="pct"/>
            <w:vMerge w:val="continue"/>
            <w:vAlign w:val="center"/>
          </w:tcPr>
          <w:p>
            <w:pPr>
              <w:widowControl/>
              <w:adjustRightInd/>
              <w:snapToGrid/>
              <w:spacing w:line="240" w:lineRule="auto"/>
              <w:ind w:firstLine="0" w:firstLineChars="0"/>
              <w:jc w:val="center"/>
              <w:rPr>
                <w:rFonts w:cs="Times New Roman"/>
                <w:sz w:val="21"/>
                <w:szCs w:val="21"/>
                <w:lang w:eastAsia="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48"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张家坝居民区</w:t>
            </w:r>
          </w:p>
        </w:tc>
        <w:tc>
          <w:tcPr>
            <w:tcW w:w="1164"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107.7585684</w:t>
            </w:r>
          </w:p>
        </w:tc>
        <w:tc>
          <w:tcPr>
            <w:tcW w:w="1168"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31.537023</w:t>
            </w:r>
          </w:p>
        </w:tc>
        <w:tc>
          <w:tcPr>
            <w:tcW w:w="589"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hint="eastAsia" w:cs="Times New Roman"/>
                <w:bCs/>
                <w:kern w:val="0"/>
                <w:sz w:val="21"/>
                <w:szCs w:val="21"/>
              </w:rPr>
              <w:t>居民</w:t>
            </w:r>
          </w:p>
        </w:tc>
        <w:tc>
          <w:tcPr>
            <w:tcW w:w="1194"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约100户，400人</w:t>
            </w:r>
          </w:p>
        </w:tc>
        <w:tc>
          <w:tcPr>
            <w:tcW w:w="570"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二类</w:t>
            </w:r>
          </w:p>
        </w:tc>
        <w:tc>
          <w:tcPr>
            <w:tcW w:w="945"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北侧</w:t>
            </w:r>
          </w:p>
        </w:tc>
        <w:tc>
          <w:tcPr>
            <w:tcW w:w="789"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858</w:t>
            </w:r>
          </w:p>
        </w:tc>
        <w:tc>
          <w:tcPr>
            <w:tcW w:w="800"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820</w:t>
            </w:r>
          </w:p>
        </w:tc>
        <w:tc>
          <w:tcPr>
            <w:tcW w:w="343" w:type="pct"/>
            <w:vMerge w:val="continue"/>
            <w:vAlign w:val="center"/>
          </w:tcPr>
          <w:p>
            <w:pPr>
              <w:widowControl/>
              <w:adjustRightInd/>
              <w:snapToGrid/>
              <w:spacing w:line="240" w:lineRule="auto"/>
              <w:ind w:firstLine="0" w:firstLineChars="0"/>
              <w:jc w:val="center"/>
              <w:rPr>
                <w:rFonts w:cs="Times New Roman"/>
                <w:sz w:val="21"/>
                <w:szCs w:val="21"/>
                <w:lang w:eastAsia="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48"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1#</w:t>
            </w:r>
            <w:r>
              <w:rPr>
                <w:rFonts w:cs="Times New Roman"/>
                <w:bCs/>
                <w:kern w:val="0"/>
                <w:sz w:val="21"/>
                <w:szCs w:val="21"/>
              </w:rPr>
              <w:t>居民点</w:t>
            </w:r>
          </w:p>
        </w:tc>
        <w:tc>
          <w:tcPr>
            <w:tcW w:w="1164"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107.749577</w:t>
            </w:r>
          </w:p>
        </w:tc>
        <w:tc>
          <w:tcPr>
            <w:tcW w:w="1168"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31.536058</w:t>
            </w:r>
          </w:p>
        </w:tc>
        <w:tc>
          <w:tcPr>
            <w:tcW w:w="589"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hint="eastAsia" w:cs="Times New Roman"/>
                <w:bCs/>
                <w:kern w:val="0"/>
                <w:sz w:val="21"/>
                <w:szCs w:val="21"/>
              </w:rPr>
              <w:t>居民</w:t>
            </w:r>
          </w:p>
        </w:tc>
        <w:tc>
          <w:tcPr>
            <w:tcW w:w="1194"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约</w:t>
            </w:r>
            <w:r>
              <w:rPr>
                <w:rFonts w:cs="Times New Roman"/>
                <w:bCs/>
                <w:kern w:val="0"/>
                <w:sz w:val="21"/>
                <w:szCs w:val="21"/>
              </w:rPr>
              <w:t>30</w:t>
            </w:r>
            <w:r>
              <w:rPr>
                <w:rFonts w:hint="eastAsia" w:cs="Times New Roman"/>
                <w:bCs/>
                <w:kern w:val="0"/>
                <w:sz w:val="21"/>
                <w:szCs w:val="21"/>
              </w:rPr>
              <w:t>0户，</w:t>
            </w:r>
            <w:r>
              <w:rPr>
                <w:rFonts w:cs="Times New Roman"/>
                <w:bCs/>
                <w:kern w:val="0"/>
                <w:sz w:val="21"/>
                <w:szCs w:val="21"/>
              </w:rPr>
              <w:t>12</w:t>
            </w:r>
            <w:r>
              <w:rPr>
                <w:rFonts w:hint="eastAsia" w:cs="Times New Roman"/>
                <w:bCs/>
                <w:kern w:val="0"/>
                <w:sz w:val="21"/>
                <w:szCs w:val="21"/>
              </w:rPr>
              <w:t>00人</w:t>
            </w:r>
          </w:p>
        </w:tc>
        <w:tc>
          <w:tcPr>
            <w:tcW w:w="570"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二类</w:t>
            </w:r>
          </w:p>
        </w:tc>
        <w:tc>
          <w:tcPr>
            <w:tcW w:w="945"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hint="eastAsia" w:cs="Times New Roman"/>
                <w:bCs/>
                <w:kern w:val="0"/>
                <w:sz w:val="21"/>
                <w:szCs w:val="21"/>
              </w:rPr>
              <w:t>西北</w:t>
            </w:r>
            <w:r>
              <w:rPr>
                <w:rFonts w:cs="Times New Roman"/>
                <w:bCs/>
                <w:kern w:val="0"/>
                <w:sz w:val="21"/>
                <w:szCs w:val="21"/>
              </w:rPr>
              <w:t>侧</w:t>
            </w:r>
          </w:p>
        </w:tc>
        <w:tc>
          <w:tcPr>
            <w:tcW w:w="789"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1230</w:t>
            </w:r>
          </w:p>
        </w:tc>
        <w:tc>
          <w:tcPr>
            <w:tcW w:w="800"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1160</w:t>
            </w:r>
          </w:p>
        </w:tc>
        <w:tc>
          <w:tcPr>
            <w:tcW w:w="343" w:type="pct"/>
            <w:vMerge w:val="continue"/>
            <w:vAlign w:val="center"/>
          </w:tcPr>
          <w:p>
            <w:pPr>
              <w:widowControl/>
              <w:adjustRightInd/>
              <w:snapToGrid/>
              <w:spacing w:line="240" w:lineRule="auto"/>
              <w:ind w:firstLine="0" w:firstLineChars="0"/>
              <w:jc w:val="center"/>
              <w:rPr>
                <w:rFonts w:cs="Times New Roman"/>
                <w:sz w:val="21"/>
                <w:szCs w:val="21"/>
                <w:lang w:eastAsia="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48"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2#</w:t>
            </w:r>
            <w:r>
              <w:rPr>
                <w:rFonts w:cs="Times New Roman"/>
                <w:bCs/>
                <w:kern w:val="0"/>
                <w:sz w:val="21"/>
                <w:szCs w:val="21"/>
              </w:rPr>
              <w:t>居民点</w:t>
            </w:r>
          </w:p>
        </w:tc>
        <w:tc>
          <w:tcPr>
            <w:tcW w:w="1164"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107.743365</w:t>
            </w:r>
          </w:p>
        </w:tc>
        <w:tc>
          <w:tcPr>
            <w:tcW w:w="1168"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31.532002</w:t>
            </w:r>
          </w:p>
        </w:tc>
        <w:tc>
          <w:tcPr>
            <w:tcW w:w="589"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hint="eastAsia" w:cs="Times New Roman"/>
                <w:bCs/>
                <w:kern w:val="0"/>
                <w:sz w:val="21"/>
                <w:szCs w:val="21"/>
              </w:rPr>
              <w:t>居民</w:t>
            </w:r>
          </w:p>
        </w:tc>
        <w:tc>
          <w:tcPr>
            <w:tcW w:w="1194"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约150户，600人</w:t>
            </w:r>
          </w:p>
        </w:tc>
        <w:tc>
          <w:tcPr>
            <w:tcW w:w="570"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二类</w:t>
            </w:r>
          </w:p>
        </w:tc>
        <w:tc>
          <w:tcPr>
            <w:tcW w:w="945"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hint="eastAsia" w:cs="Times New Roman"/>
                <w:bCs/>
                <w:kern w:val="0"/>
                <w:sz w:val="21"/>
                <w:szCs w:val="21"/>
              </w:rPr>
              <w:t>西北</w:t>
            </w:r>
            <w:r>
              <w:rPr>
                <w:rFonts w:cs="Times New Roman"/>
                <w:bCs/>
                <w:kern w:val="0"/>
                <w:sz w:val="21"/>
                <w:szCs w:val="21"/>
              </w:rPr>
              <w:t>侧</w:t>
            </w:r>
          </w:p>
        </w:tc>
        <w:tc>
          <w:tcPr>
            <w:tcW w:w="789"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1540</w:t>
            </w:r>
          </w:p>
        </w:tc>
        <w:tc>
          <w:tcPr>
            <w:tcW w:w="800"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1500</w:t>
            </w:r>
          </w:p>
        </w:tc>
        <w:tc>
          <w:tcPr>
            <w:tcW w:w="343" w:type="pct"/>
            <w:vMerge w:val="continue"/>
            <w:vAlign w:val="center"/>
          </w:tcPr>
          <w:p>
            <w:pPr>
              <w:widowControl/>
              <w:adjustRightInd/>
              <w:snapToGrid/>
              <w:spacing w:line="240" w:lineRule="auto"/>
              <w:ind w:firstLine="0" w:firstLineChars="0"/>
              <w:jc w:val="center"/>
              <w:rPr>
                <w:rFonts w:cs="Times New Roman"/>
                <w:sz w:val="21"/>
                <w:szCs w:val="21"/>
                <w:lang w:eastAsia="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48"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黄家湾居民点</w:t>
            </w:r>
          </w:p>
        </w:tc>
        <w:tc>
          <w:tcPr>
            <w:tcW w:w="1164" w:type="dxa"/>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107.765166</w:t>
            </w:r>
          </w:p>
        </w:tc>
        <w:tc>
          <w:tcPr>
            <w:tcW w:w="1168" w:type="dxa"/>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31.528181</w:t>
            </w:r>
          </w:p>
        </w:tc>
        <w:tc>
          <w:tcPr>
            <w:tcW w:w="589"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居民</w:t>
            </w:r>
          </w:p>
        </w:tc>
        <w:tc>
          <w:tcPr>
            <w:tcW w:w="1194"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约40户，</w:t>
            </w:r>
            <w:r>
              <w:rPr>
                <w:rFonts w:hint="eastAsia" w:cs="Times New Roman"/>
                <w:bCs/>
                <w:kern w:val="0"/>
                <w:sz w:val="21"/>
                <w:szCs w:val="21"/>
              </w:rPr>
              <w:t>1</w:t>
            </w:r>
            <w:r>
              <w:rPr>
                <w:rFonts w:cs="Times New Roman"/>
                <w:bCs/>
                <w:kern w:val="0"/>
                <w:sz w:val="21"/>
                <w:szCs w:val="21"/>
              </w:rPr>
              <w:t>60人</w:t>
            </w:r>
          </w:p>
        </w:tc>
        <w:tc>
          <w:tcPr>
            <w:tcW w:w="570"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二类</w:t>
            </w:r>
          </w:p>
        </w:tc>
        <w:tc>
          <w:tcPr>
            <w:tcW w:w="945"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东侧</w:t>
            </w:r>
          </w:p>
        </w:tc>
        <w:tc>
          <w:tcPr>
            <w:tcW w:w="789" w:type="dxa"/>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308</w:t>
            </w:r>
          </w:p>
        </w:tc>
        <w:tc>
          <w:tcPr>
            <w:tcW w:w="800" w:type="dxa"/>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234</w:t>
            </w:r>
          </w:p>
        </w:tc>
        <w:tc>
          <w:tcPr>
            <w:tcW w:w="343" w:type="pct"/>
            <w:vMerge w:val="continue"/>
            <w:vAlign w:val="center"/>
          </w:tcPr>
          <w:p>
            <w:pPr>
              <w:widowControl/>
              <w:adjustRightInd/>
              <w:snapToGrid/>
              <w:spacing w:line="240" w:lineRule="auto"/>
              <w:ind w:firstLine="0" w:firstLineChars="0"/>
              <w:jc w:val="center"/>
              <w:rPr>
                <w:rFonts w:cs="Times New Roman"/>
                <w:sz w:val="21"/>
                <w:szCs w:val="21"/>
                <w:lang w:eastAsia="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48"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hint="eastAsia" w:cs="Times New Roman"/>
                <w:bCs/>
                <w:kern w:val="0"/>
                <w:sz w:val="21"/>
                <w:szCs w:val="21"/>
              </w:rPr>
              <w:t>3</w:t>
            </w:r>
            <w:r>
              <w:rPr>
                <w:rFonts w:cs="Times New Roman"/>
                <w:bCs/>
                <w:kern w:val="0"/>
                <w:sz w:val="21"/>
                <w:szCs w:val="21"/>
              </w:rPr>
              <w:t>#居民点</w:t>
            </w:r>
          </w:p>
        </w:tc>
        <w:tc>
          <w:tcPr>
            <w:tcW w:w="1164" w:type="dxa"/>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107.758664</w:t>
            </w:r>
          </w:p>
        </w:tc>
        <w:tc>
          <w:tcPr>
            <w:tcW w:w="1168" w:type="dxa"/>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31.524890</w:t>
            </w:r>
          </w:p>
        </w:tc>
        <w:tc>
          <w:tcPr>
            <w:tcW w:w="589"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居民</w:t>
            </w:r>
          </w:p>
        </w:tc>
        <w:tc>
          <w:tcPr>
            <w:tcW w:w="1194"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约</w:t>
            </w:r>
            <w:r>
              <w:rPr>
                <w:rFonts w:hint="eastAsia" w:cs="Times New Roman"/>
                <w:bCs/>
                <w:kern w:val="0"/>
                <w:sz w:val="21"/>
                <w:szCs w:val="21"/>
              </w:rPr>
              <w:t>15</w:t>
            </w:r>
            <w:r>
              <w:rPr>
                <w:rFonts w:cs="Times New Roman"/>
                <w:bCs/>
                <w:kern w:val="0"/>
                <w:sz w:val="21"/>
                <w:szCs w:val="21"/>
              </w:rPr>
              <w:t>户，</w:t>
            </w:r>
            <w:r>
              <w:rPr>
                <w:rFonts w:hint="eastAsia" w:cs="Times New Roman"/>
                <w:bCs/>
                <w:kern w:val="0"/>
                <w:sz w:val="21"/>
                <w:szCs w:val="21"/>
              </w:rPr>
              <w:t>60</w:t>
            </w:r>
            <w:r>
              <w:rPr>
                <w:rFonts w:cs="Times New Roman"/>
                <w:bCs/>
                <w:kern w:val="0"/>
                <w:sz w:val="21"/>
                <w:szCs w:val="21"/>
              </w:rPr>
              <w:t>人</w:t>
            </w:r>
          </w:p>
        </w:tc>
        <w:tc>
          <w:tcPr>
            <w:tcW w:w="570"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二类</w:t>
            </w:r>
          </w:p>
        </w:tc>
        <w:tc>
          <w:tcPr>
            <w:tcW w:w="945"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西</w:t>
            </w:r>
            <w:r>
              <w:rPr>
                <w:rFonts w:hint="eastAsia" w:cs="Times New Roman"/>
                <w:bCs/>
                <w:kern w:val="0"/>
                <w:sz w:val="21"/>
                <w:szCs w:val="21"/>
              </w:rPr>
              <w:t>南</w:t>
            </w:r>
            <w:r>
              <w:rPr>
                <w:rFonts w:cs="Times New Roman"/>
                <w:bCs/>
                <w:kern w:val="0"/>
                <w:sz w:val="21"/>
                <w:szCs w:val="21"/>
              </w:rPr>
              <w:t>侧</w:t>
            </w:r>
          </w:p>
        </w:tc>
        <w:tc>
          <w:tcPr>
            <w:tcW w:w="789" w:type="dxa"/>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400</w:t>
            </w:r>
          </w:p>
        </w:tc>
        <w:tc>
          <w:tcPr>
            <w:tcW w:w="800" w:type="dxa"/>
            <w:vAlign w:val="center"/>
          </w:tcPr>
          <w:p>
            <w:pPr>
              <w:widowControl/>
              <w:adjustRightInd/>
              <w:snapToGrid/>
              <w:spacing w:line="240" w:lineRule="auto"/>
              <w:ind w:firstLine="0" w:firstLineChars="0"/>
              <w:jc w:val="center"/>
              <w:rPr>
                <w:rFonts w:cs="Times New Roman"/>
                <w:bCs/>
                <w:kern w:val="0"/>
                <w:sz w:val="21"/>
                <w:szCs w:val="21"/>
              </w:rPr>
            </w:pPr>
            <w:r>
              <w:rPr>
                <w:rFonts w:cs="Times New Roman"/>
                <w:bCs/>
                <w:kern w:val="0"/>
                <w:sz w:val="21"/>
                <w:szCs w:val="21"/>
              </w:rPr>
              <w:t>342</w:t>
            </w:r>
          </w:p>
        </w:tc>
        <w:tc>
          <w:tcPr>
            <w:tcW w:w="343" w:type="pct"/>
            <w:vMerge w:val="continue"/>
            <w:vAlign w:val="center"/>
          </w:tcPr>
          <w:p>
            <w:pPr>
              <w:widowControl/>
              <w:adjustRightInd/>
              <w:snapToGrid/>
              <w:spacing w:line="240" w:lineRule="auto"/>
              <w:ind w:firstLine="0" w:firstLineChars="0"/>
              <w:jc w:val="center"/>
              <w:rPr>
                <w:rFonts w:cs="Times New Roman"/>
                <w:sz w:val="21"/>
                <w:szCs w:val="21"/>
                <w:lang w:eastAsia="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48"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4#</w:t>
            </w:r>
            <w:r>
              <w:rPr>
                <w:rFonts w:cs="Times New Roman"/>
                <w:bCs/>
                <w:kern w:val="0"/>
                <w:sz w:val="21"/>
                <w:szCs w:val="21"/>
              </w:rPr>
              <w:t>居民点</w:t>
            </w:r>
          </w:p>
        </w:tc>
        <w:tc>
          <w:tcPr>
            <w:tcW w:w="1164"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107.755396</w:t>
            </w:r>
          </w:p>
        </w:tc>
        <w:tc>
          <w:tcPr>
            <w:tcW w:w="1168"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31.519507</w:t>
            </w:r>
          </w:p>
        </w:tc>
        <w:tc>
          <w:tcPr>
            <w:tcW w:w="589"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居民</w:t>
            </w:r>
          </w:p>
        </w:tc>
        <w:tc>
          <w:tcPr>
            <w:tcW w:w="1194"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约</w:t>
            </w:r>
            <w:r>
              <w:rPr>
                <w:rFonts w:hint="eastAsia" w:cs="Times New Roman"/>
                <w:bCs/>
                <w:kern w:val="0"/>
                <w:sz w:val="21"/>
                <w:szCs w:val="21"/>
              </w:rPr>
              <w:t>70</w:t>
            </w:r>
            <w:r>
              <w:rPr>
                <w:rFonts w:cs="Times New Roman"/>
                <w:bCs/>
                <w:kern w:val="0"/>
                <w:sz w:val="21"/>
                <w:szCs w:val="21"/>
              </w:rPr>
              <w:t>户，</w:t>
            </w:r>
            <w:r>
              <w:rPr>
                <w:rFonts w:hint="eastAsia" w:cs="Times New Roman"/>
                <w:bCs/>
                <w:kern w:val="0"/>
                <w:sz w:val="21"/>
                <w:szCs w:val="21"/>
              </w:rPr>
              <w:t>280</w:t>
            </w:r>
            <w:r>
              <w:rPr>
                <w:rFonts w:cs="Times New Roman"/>
                <w:bCs/>
                <w:kern w:val="0"/>
                <w:sz w:val="21"/>
                <w:szCs w:val="21"/>
              </w:rPr>
              <w:t>人</w:t>
            </w:r>
          </w:p>
        </w:tc>
        <w:tc>
          <w:tcPr>
            <w:tcW w:w="570"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二类</w:t>
            </w:r>
          </w:p>
        </w:tc>
        <w:tc>
          <w:tcPr>
            <w:tcW w:w="945"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西</w:t>
            </w:r>
            <w:r>
              <w:rPr>
                <w:rFonts w:hint="eastAsia" w:cs="Times New Roman"/>
                <w:bCs/>
                <w:kern w:val="0"/>
                <w:sz w:val="21"/>
                <w:szCs w:val="21"/>
              </w:rPr>
              <w:t>南</w:t>
            </w:r>
            <w:r>
              <w:rPr>
                <w:rFonts w:cs="Times New Roman"/>
                <w:bCs/>
                <w:kern w:val="0"/>
                <w:sz w:val="21"/>
                <w:szCs w:val="21"/>
              </w:rPr>
              <w:t>侧</w:t>
            </w:r>
          </w:p>
        </w:tc>
        <w:tc>
          <w:tcPr>
            <w:tcW w:w="789"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920</w:t>
            </w:r>
          </w:p>
        </w:tc>
        <w:tc>
          <w:tcPr>
            <w:tcW w:w="800"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880</w:t>
            </w:r>
          </w:p>
        </w:tc>
        <w:tc>
          <w:tcPr>
            <w:tcW w:w="343" w:type="pct"/>
            <w:vMerge w:val="continue"/>
            <w:vAlign w:val="center"/>
          </w:tcPr>
          <w:p>
            <w:pPr>
              <w:widowControl/>
              <w:adjustRightInd/>
              <w:snapToGrid/>
              <w:spacing w:line="240" w:lineRule="auto"/>
              <w:ind w:firstLine="0" w:firstLineChars="0"/>
              <w:jc w:val="center"/>
              <w:rPr>
                <w:rFonts w:cs="Times New Roman"/>
                <w:sz w:val="21"/>
                <w:szCs w:val="21"/>
                <w:lang w:eastAsia="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48"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5#</w:t>
            </w:r>
            <w:r>
              <w:rPr>
                <w:rFonts w:cs="Times New Roman"/>
                <w:bCs/>
                <w:kern w:val="0"/>
                <w:sz w:val="21"/>
                <w:szCs w:val="21"/>
              </w:rPr>
              <w:t>居民点</w:t>
            </w:r>
          </w:p>
        </w:tc>
        <w:tc>
          <w:tcPr>
            <w:tcW w:w="1164"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107.768721</w:t>
            </w:r>
          </w:p>
        </w:tc>
        <w:tc>
          <w:tcPr>
            <w:tcW w:w="1168"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31.521191</w:t>
            </w:r>
          </w:p>
        </w:tc>
        <w:tc>
          <w:tcPr>
            <w:tcW w:w="589"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居民</w:t>
            </w:r>
          </w:p>
        </w:tc>
        <w:tc>
          <w:tcPr>
            <w:tcW w:w="1194"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约</w:t>
            </w:r>
            <w:r>
              <w:rPr>
                <w:rFonts w:hint="eastAsia" w:cs="Times New Roman"/>
                <w:bCs/>
                <w:kern w:val="0"/>
                <w:sz w:val="21"/>
                <w:szCs w:val="21"/>
              </w:rPr>
              <w:t>100</w:t>
            </w:r>
            <w:r>
              <w:rPr>
                <w:rFonts w:cs="Times New Roman"/>
                <w:bCs/>
                <w:kern w:val="0"/>
                <w:sz w:val="21"/>
                <w:szCs w:val="21"/>
              </w:rPr>
              <w:t>户，</w:t>
            </w:r>
            <w:r>
              <w:rPr>
                <w:rFonts w:hint="eastAsia" w:cs="Times New Roman"/>
                <w:bCs/>
                <w:kern w:val="0"/>
                <w:sz w:val="21"/>
                <w:szCs w:val="21"/>
              </w:rPr>
              <w:t>400</w:t>
            </w:r>
            <w:r>
              <w:rPr>
                <w:rFonts w:cs="Times New Roman"/>
                <w:bCs/>
                <w:kern w:val="0"/>
                <w:sz w:val="21"/>
                <w:szCs w:val="21"/>
              </w:rPr>
              <w:t>人</w:t>
            </w:r>
          </w:p>
        </w:tc>
        <w:tc>
          <w:tcPr>
            <w:tcW w:w="570"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cs="Times New Roman"/>
                <w:bCs/>
                <w:kern w:val="0"/>
                <w:sz w:val="21"/>
                <w:szCs w:val="21"/>
              </w:rPr>
              <w:t>二类</w:t>
            </w:r>
          </w:p>
        </w:tc>
        <w:tc>
          <w:tcPr>
            <w:tcW w:w="945" w:type="dxa"/>
            <w:vAlign w:val="center"/>
          </w:tcPr>
          <w:p>
            <w:pPr>
              <w:widowControl/>
              <w:adjustRightInd/>
              <w:snapToGrid/>
              <w:spacing w:line="240" w:lineRule="auto"/>
              <w:ind w:firstLine="0" w:firstLineChars="0"/>
              <w:jc w:val="center"/>
              <w:rPr>
                <w:rFonts w:cs="Times New Roman"/>
                <w:bCs/>
                <w:kern w:val="0"/>
                <w:sz w:val="21"/>
                <w:szCs w:val="21"/>
                <w:lang w:eastAsia="en-US"/>
              </w:rPr>
            </w:pPr>
            <w:r>
              <w:rPr>
                <w:rFonts w:hint="eastAsia" w:cs="Times New Roman"/>
                <w:bCs/>
                <w:kern w:val="0"/>
                <w:sz w:val="21"/>
                <w:szCs w:val="21"/>
              </w:rPr>
              <w:t>东南</w:t>
            </w:r>
            <w:r>
              <w:rPr>
                <w:rFonts w:cs="Times New Roman"/>
                <w:bCs/>
                <w:kern w:val="0"/>
                <w:sz w:val="21"/>
                <w:szCs w:val="21"/>
              </w:rPr>
              <w:t>侧</w:t>
            </w:r>
          </w:p>
        </w:tc>
        <w:tc>
          <w:tcPr>
            <w:tcW w:w="789"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900</w:t>
            </w:r>
          </w:p>
        </w:tc>
        <w:tc>
          <w:tcPr>
            <w:tcW w:w="800" w:type="dxa"/>
            <w:vAlign w:val="center"/>
          </w:tcPr>
          <w:p>
            <w:pPr>
              <w:widowControl/>
              <w:adjustRightInd/>
              <w:snapToGrid/>
              <w:spacing w:line="240" w:lineRule="auto"/>
              <w:ind w:firstLine="0" w:firstLineChars="0"/>
              <w:jc w:val="center"/>
              <w:rPr>
                <w:rFonts w:cs="Times New Roman"/>
                <w:bCs/>
                <w:kern w:val="0"/>
                <w:sz w:val="21"/>
                <w:szCs w:val="21"/>
              </w:rPr>
            </w:pPr>
            <w:r>
              <w:rPr>
                <w:rFonts w:hint="eastAsia" w:cs="Times New Roman"/>
                <w:bCs/>
                <w:kern w:val="0"/>
                <w:sz w:val="21"/>
                <w:szCs w:val="21"/>
              </w:rPr>
              <w:t>850</w:t>
            </w:r>
          </w:p>
        </w:tc>
        <w:tc>
          <w:tcPr>
            <w:tcW w:w="343" w:type="pct"/>
            <w:vMerge w:val="continue"/>
            <w:vAlign w:val="center"/>
          </w:tcPr>
          <w:p>
            <w:pPr>
              <w:widowControl/>
              <w:adjustRightInd/>
              <w:snapToGrid/>
              <w:spacing w:line="240" w:lineRule="auto"/>
              <w:ind w:firstLine="0" w:firstLineChars="0"/>
              <w:jc w:val="center"/>
              <w:rPr>
                <w:rFonts w:cs="Times New Roman"/>
                <w:sz w:val="21"/>
                <w:szCs w:val="21"/>
                <w:lang w:eastAsia="en-US"/>
              </w:rPr>
            </w:pPr>
          </w:p>
        </w:tc>
      </w:tr>
    </w:tbl>
    <w:p>
      <w:pPr>
        <w:pStyle w:val="5"/>
      </w:pPr>
      <w:r>
        <w:t>2</w:t>
      </w:r>
      <w:r>
        <w:rPr>
          <w:rFonts w:hint="eastAsia"/>
        </w:rPr>
        <w:t>1</w:t>
      </w:r>
      <w:r>
        <w:t>.9.2.5 声环境保护目标</w:t>
      </w:r>
    </w:p>
    <w:p>
      <w:pPr>
        <w:tabs>
          <w:tab w:val="left" w:pos="0"/>
        </w:tabs>
        <w:ind w:firstLine="480"/>
        <w:rPr>
          <w:rFonts w:cs="Times New Roman"/>
          <w:bCs/>
          <w:color w:val="000000" w:themeColor="text1"/>
          <w:szCs w:val="24"/>
          <w14:textFill>
            <w14:solidFill>
              <w14:schemeClr w14:val="tx1"/>
            </w14:solidFill>
          </w14:textFill>
        </w:rPr>
      </w:pPr>
      <w:bookmarkStart w:id="78" w:name="_Toc140496891"/>
      <w:r>
        <w:rPr>
          <w:rFonts w:cs="Times New Roman"/>
          <w:bCs/>
          <w:color w:val="000000" w:themeColor="text1"/>
          <w:szCs w:val="24"/>
          <w14:textFill>
            <w14:solidFill>
              <w14:schemeClr w14:val="tx1"/>
            </w14:solidFill>
          </w14:textFill>
        </w:rPr>
        <w:t>根据现场调查，本项目井场占地范围（包括临时占地）周边200m范围均没有居民点分布，本项目不涉及声环境保护目标。</w:t>
      </w:r>
    </w:p>
    <w:p>
      <w:pPr>
        <w:pStyle w:val="5"/>
      </w:pPr>
      <w:r>
        <w:t>2.9.2.6 土壤保护目标</w:t>
      </w:r>
      <w:bookmarkEnd w:id="78"/>
    </w:p>
    <w:bookmarkEnd w:id="77"/>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根据本次现状监测结果，本项目所在地周边土壤以棕色土壤为主。本项目土壤环境保护目标主要为项目占地范围以及占地范围外0.2km内的耕地（含基本农田）等。</w:t>
      </w:r>
    </w:p>
    <w:bookmarkEnd w:id="76"/>
    <w:p>
      <w:pPr>
        <w:pStyle w:val="5"/>
      </w:pPr>
      <w:bookmarkStart w:id="79" w:name="_Toc140496892"/>
      <w:r>
        <w:t>2.9.2.7 环境风险保护目标</w:t>
      </w:r>
      <w:bookmarkEnd w:id="79"/>
    </w:p>
    <w:p>
      <w:pPr>
        <w:tabs>
          <w:tab w:val="left" w:pos="0"/>
        </w:tabs>
        <w:ind w:firstLine="480"/>
        <w:rPr>
          <w:bCs/>
          <w:szCs w:val="24"/>
        </w:rPr>
      </w:pPr>
      <w:r>
        <w:rPr>
          <w:rFonts w:cs="Times New Roman"/>
          <w:bCs/>
          <w:szCs w:val="24"/>
        </w:rPr>
        <w:t>根据《建设项目环境风险评价技术导则》（HJ 169-2018），本项目需做“简单分析”。</w:t>
      </w:r>
      <w:r>
        <w:rPr>
          <w:rFonts w:cs="Times New Roman"/>
          <w:szCs w:val="24"/>
        </w:rPr>
        <w:t>但考虑到硫化氢毒性较大，一旦发生井喷事故后对环境空气影响较大，进而会对周边居民生命财产安全造成影响，因此本次评价将环境风险评价中的大气环境</w:t>
      </w:r>
      <w:r>
        <w:rPr>
          <w:rFonts w:hint="eastAsia" w:cs="Times New Roman"/>
          <w:szCs w:val="24"/>
        </w:rPr>
        <w:t>按</w:t>
      </w:r>
      <w:r>
        <w:rPr>
          <w:rFonts w:cs="Times New Roman"/>
          <w:szCs w:val="24"/>
        </w:rPr>
        <w:t>二级</w:t>
      </w:r>
      <w:r>
        <w:rPr>
          <w:rFonts w:hint="eastAsia" w:cs="Times New Roman"/>
          <w:szCs w:val="24"/>
        </w:rPr>
        <w:t>进行影响预测评价</w:t>
      </w:r>
      <w:r>
        <w:rPr>
          <w:rFonts w:cs="Times New Roman"/>
          <w:szCs w:val="24"/>
        </w:rPr>
        <w:t>，地下水环境、地表水环境仍为</w:t>
      </w:r>
      <w:r>
        <w:rPr>
          <w:rFonts w:hint="eastAsia" w:cs="Times New Roman"/>
          <w:szCs w:val="24"/>
        </w:rPr>
        <w:t>简单分析</w:t>
      </w:r>
      <w:r>
        <w:rPr>
          <w:rFonts w:cs="Times New Roman"/>
          <w:szCs w:val="24"/>
        </w:rPr>
        <w:t>，</w:t>
      </w:r>
      <w:r>
        <w:rPr>
          <w:rFonts w:hint="eastAsia" w:cs="Times New Roman"/>
          <w:szCs w:val="24"/>
        </w:rPr>
        <w:t>本次评价</w:t>
      </w:r>
      <w:r>
        <w:rPr>
          <w:rFonts w:cs="Times New Roman"/>
          <w:szCs w:val="24"/>
        </w:rPr>
        <w:t>地下水环境、地表水环境不设置环境风险评价范围，只对涉及的危险物质、环境影响途径、环境危害、风险防范措施等方面给出定性的说明；大气环境风险评价范围确定为井口周边5km范围。</w:t>
      </w:r>
    </w:p>
    <w:p>
      <w:pPr>
        <w:pStyle w:val="21"/>
        <w:tabs>
          <w:tab w:val="left" w:pos="3864"/>
        </w:tabs>
        <w:spacing w:before="0"/>
        <w:ind w:firstLine="420"/>
        <w:jc w:val="center"/>
        <w:rPr>
          <w:rFonts w:ascii="Times New Roman" w:hAnsi="Times New Roman" w:eastAsia="黑体"/>
          <w:sz w:val="21"/>
          <w:szCs w:val="21"/>
          <w:lang w:eastAsia="zh-CN"/>
        </w:rPr>
      </w:pPr>
      <w:r>
        <w:rPr>
          <w:rFonts w:ascii="Times New Roman" w:hAnsi="Times New Roman" w:eastAsia="黑体"/>
          <w:sz w:val="21"/>
          <w:szCs w:val="21"/>
          <w:lang w:eastAsia="zh-CN"/>
        </w:rPr>
        <w:t>表2.9-</w:t>
      </w:r>
      <w:r>
        <w:rPr>
          <w:rFonts w:hint="eastAsia" w:ascii="Times New Roman" w:hAnsi="Times New Roman" w:eastAsia="黑体"/>
          <w:sz w:val="21"/>
          <w:szCs w:val="21"/>
          <w:lang w:eastAsia="zh-CN"/>
        </w:rPr>
        <w:t xml:space="preserve">4  </w:t>
      </w:r>
      <w:r>
        <w:rPr>
          <w:rFonts w:ascii="Times New Roman" w:hAnsi="Times New Roman" w:eastAsia="黑体"/>
          <w:sz w:val="21"/>
          <w:szCs w:val="21"/>
          <w:lang w:eastAsia="zh-CN"/>
        </w:rPr>
        <w:t>本项目环境风险保护目标</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5"/>
        <w:gridCol w:w="737"/>
        <w:gridCol w:w="1552"/>
        <w:gridCol w:w="1269"/>
        <w:gridCol w:w="1390"/>
        <w:gridCol w:w="1032"/>
        <w:gridCol w:w="16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eastAsia="黑体" w:cs="Times New Roman"/>
                <w:kern w:val="0"/>
                <w:sz w:val="21"/>
                <w:szCs w:val="21"/>
              </w:rPr>
            </w:pPr>
            <w:r>
              <w:rPr>
                <w:rFonts w:eastAsia="黑体" w:cs="Times New Roman"/>
                <w:kern w:val="0"/>
                <w:sz w:val="21"/>
                <w:szCs w:val="21"/>
                <w:lang w:bidi="ar"/>
              </w:rPr>
              <w:t>类别</w:t>
            </w:r>
          </w:p>
        </w:tc>
        <w:tc>
          <w:tcPr>
            <w:tcW w:w="4474" w:type="pct"/>
            <w:gridSpan w:val="6"/>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eastAsia="黑体" w:cs="Times New Roman"/>
                <w:kern w:val="0"/>
                <w:sz w:val="21"/>
                <w:szCs w:val="21"/>
              </w:rPr>
            </w:pPr>
            <w:r>
              <w:rPr>
                <w:rFonts w:eastAsia="黑体" w:cs="Times New Roman"/>
                <w:kern w:val="0"/>
                <w:sz w:val="21"/>
                <w:szCs w:val="21"/>
                <w:lang w:bidi="ar"/>
              </w:rPr>
              <w:t>大气环境敏感特征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环境空气</w:t>
            </w:r>
          </w:p>
        </w:tc>
        <w:tc>
          <w:tcPr>
            <w:tcW w:w="4474" w:type="pct"/>
            <w:gridSpan w:val="6"/>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井场周边500</w:t>
            </w:r>
            <w:r>
              <w:rPr>
                <w:rFonts w:hint="eastAsia" w:cs="Times New Roman"/>
                <w:kern w:val="0"/>
                <w:sz w:val="21"/>
                <w:szCs w:val="21"/>
                <w:lang w:bidi="ar"/>
              </w:rPr>
              <w:t>0</w:t>
            </w:r>
            <w:r>
              <w:rPr>
                <w:rFonts w:cs="Times New Roman"/>
                <w:kern w:val="0"/>
                <w:sz w:val="21"/>
                <w:szCs w:val="21"/>
                <w:lang w:bidi="ar"/>
              </w:rPr>
              <w:t>m范围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序号</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敏感目标名称</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相对方位</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距离/m</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属性</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人口数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1</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黄家湾居民点</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东侧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308</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lang w:eastAsia="en-US"/>
              </w:rPr>
              <w:t>约40户，160人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2</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万白路居民点</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北侧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305</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lang w:eastAsia="en-US"/>
              </w:rPr>
              <w:t>约60户，240人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3</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黄家岩居民点</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西南侧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400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lang w:eastAsia="en-US"/>
              </w:rPr>
              <w:t>约15户，60人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4</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李家岩居民点</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东南侧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900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lang w:eastAsia="en-US"/>
              </w:rPr>
              <w:t>约50户，200人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cs="Times New Roman"/>
                <w:kern w:val="0"/>
                <w:sz w:val="21"/>
                <w:szCs w:val="21"/>
                <w:lang w:bidi="ar"/>
              </w:rPr>
              <w:t>5</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李家湾居民点</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东南侧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100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lang w:eastAsia="en-US"/>
              </w:rPr>
              <w:t>约65户，260人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cs="Times New Roman"/>
                <w:kern w:val="0"/>
                <w:sz w:val="21"/>
                <w:szCs w:val="21"/>
                <w:lang w:bidi="ar"/>
              </w:rPr>
              <w:t>6</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大田湾居民点</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西南侧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540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lang w:eastAsia="en-US"/>
              </w:rPr>
              <w:t>约40户，160人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cs="Times New Roman"/>
                <w:kern w:val="0"/>
                <w:sz w:val="21"/>
                <w:szCs w:val="21"/>
                <w:lang w:bidi="ar"/>
              </w:rPr>
              <w:t>7</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龙井社区居民点</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北侧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570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lang w:eastAsia="en-US"/>
              </w:rPr>
              <w:t>约500户，2000人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cs="Times New Roman"/>
                <w:kern w:val="0"/>
                <w:sz w:val="21"/>
                <w:szCs w:val="21"/>
                <w:lang w:bidi="ar"/>
              </w:rPr>
              <w:t>8</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张家坝居民点</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西北侧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870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lang w:eastAsia="en-US"/>
              </w:rPr>
              <w:t>约150户，600人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hint="eastAsia" w:cs="Times New Roman"/>
                <w:kern w:val="0"/>
                <w:sz w:val="21"/>
                <w:szCs w:val="21"/>
                <w:lang w:bidi="ar"/>
              </w:rPr>
              <w:t>9</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天台寺居民点</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西北侧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1340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lang w:eastAsia="en-US"/>
              </w:rPr>
              <w:t>约300户，1200人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hint="eastAsia" w:cs="Times New Roman"/>
                <w:kern w:val="0"/>
                <w:sz w:val="21"/>
                <w:szCs w:val="21"/>
                <w:lang w:bidi="ar"/>
              </w:rPr>
              <w:t>10</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童家湾居民点</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西侧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1600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lang w:eastAsia="en-US"/>
              </w:rPr>
              <w:t>约150户，600人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hint="eastAsia" w:cs="Times New Roman"/>
                <w:kern w:val="0"/>
                <w:sz w:val="21"/>
                <w:szCs w:val="21"/>
                <w:lang w:bidi="ar"/>
              </w:rPr>
              <w:t>11</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土主镇居民区</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西南侧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3700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lang w:eastAsia="en-US"/>
              </w:rPr>
              <w:t>1200户，约4800人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hint="eastAsia" w:cs="Times New Roman"/>
                <w:kern w:val="0"/>
                <w:sz w:val="21"/>
                <w:szCs w:val="21"/>
                <w:lang w:bidi="ar"/>
              </w:rPr>
              <w:t>12</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普光学校</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西南侧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5000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lang w:eastAsia="en-US"/>
              </w:rPr>
              <w:t>约师生600人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hint="eastAsia" w:cs="Times New Roman"/>
                <w:kern w:val="0"/>
                <w:sz w:val="21"/>
                <w:szCs w:val="21"/>
                <w:lang w:bidi="ar"/>
              </w:rPr>
              <w:t>13</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何家咀居民点</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南侧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1950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lang w:eastAsia="en-US"/>
              </w:rPr>
              <w:t>约50户，200人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hint="eastAsia" w:cs="Times New Roman"/>
                <w:kern w:val="0"/>
                <w:sz w:val="21"/>
                <w:szCs w:val="21"/>
                <w:lang w:bidi="ar"/>
              </w:rPr>
              <w:t>14</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大房子居民点</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东南侧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2100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lang w:eastAsia="en-US"/>
              </w:rPr>
              <w:t>约30户，120人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hint="eastAsia" w:cs="Times New Roman"/>
                <w:kern w:val="0"/>
                <w:sz w:val="21"/>
                <w:szCs w:val="21"/>
                <w:lang w:bidi="ar"/>
              </w:rPr>
              <w:t>15</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新滩村居民点</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东南侧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2610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lang w:eastAsia="en-US"/>
              </w:rPr>
              <w:t>约60户，240人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hint="eastAsia" w:cs="Times New Roman"/>
                <w:kern w:val="0"/>
                <w:sz w:val="21"/>
                <w:szCs w:val="21"/>
                <w:lang w:bidi="ar"/>
              </w:rPr>
              <w:t>16</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千河村等</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东侧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3670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lang w:eastAsia="en-US"/>
              </w:rPr>
              <w:t>约750人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hint="eastAsia" w:cs="Times New Roman"/>
                <w:kern w:val="0"/>
                <w:sz w:val="21"/>
                <w:szCs w:val="21"/>
                <w:lang w:bidi="ar"/>
              </w:rPr>
              <w:t>17</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北斗村等</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东北侧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2300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约600人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hint="eastAsia" w:cs="Times New Roman"/>
                <w:kern w:val="0"/>
                <w:sz w:val="21"/>
                <w:szCs w:val="21"/>
                <w:lang w:bidi="ar"/>
              </w:rPr>
              <w:t>18</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灯笼村等</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北侧</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2700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居民</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约500人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地下水</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序号</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环境敏感区名称</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环境敏感特征</w:t>
            </w:r>
          </w:p>
        </w:tc>
        <w:tc>
          <w:tcPr>
            <w:tcW w:w="142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水质目标</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与场界距离/m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1</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井场周边出露井泉与浅层地下水</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分散式地下饮用水源</w:t>
            </w:r>
          </w:p>
        </w:tc>
        <w:tc>
          <w:tcPr>
            <w:tcW w:w="142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fldChar w:fldCharType="begin"/>
            </w:r>
            <w:r>
              <w:rPr>
                <w:rFonts w:cs="Times New Roman"/>
                <w:kern w:val="0"/>
                <w:sz w:val="21"/>
                <w:szCs w:val="21"/>
                <w:lang w:bidi="ar"/>
              </w:rPr>
              <w:instrText xml:space="preserve"> = 3 \* ROMAN \* MERGEFORMAT </w:instrText>
            </w:r>
            <w:r>
              <w:rPr>
                <w:rFonts w:cs="Times New Roman"/>
                <w:kern w:val="0"/>
                <w:sz w:val="21"/>
                <w:szCs w:val="21"/>
                <w:lang w:bidi="ar"/>
              </w:rPr>
              <w:fldChar w:fldCharType="separate"/>
            </w:r>
            <w:r>
              <w:rPr>
                <w:rFonts w:cs="Times New Roman"/>
                <w:kern w:val="0"/>
                <w:sz w:val="21"/>
                <w:szCs w:val="21"/>
                <w:lang w:bidi="ar"/>
              </w:rPr>
              <w:t>III</w:t>
            </w:r>
            <w:r>
              <w:rPr>
                <w:rFonts w:cs="Times New Roman"/>
                <w:kern w:val="0"/>
                <w:sz w:val="21"/>
                <w:szCs w:val="21"/>
                <w:lang w:bidi="ar"/>
              </w:rPr>
              <w:fldChar w:fldCharType="end"/>
            </w:r>
            <w:r>
              <w:rPr>
                <w:rFonts w:cs="Times New Roman"/>
                <w:kern w:val="0"/>
                <w:sz w:val="21"/>
                <w:szCs w:val="21"/>
                <w:lang w:bidi="ar"/>
              </w:rPr>
              <w:t>类</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rPr>
            </w:pPr>
            <w:r>
              <w:rPr>
                <w:rFonts w:cs="Times New Roman"/>
                <w:kern w:val="0"/>
                <w:sz w:val="21"/>
                <w:szCs w:val="21"/>
                <w:lang w:bidi="ar"/>
              </w:rPr>
              <w:t>0~8</w:t>
            </w:r>
            <w:r>
              <w:rPr>
                <w:rFonts w:hint="eastAsia" w:cs="Times New Roman"/>
                <w:kern w:val="0"/>
                <w:sz w:val="21"/>
                <w:szCs w:val="21"/>
                <w:lang w:bidi="ar"/>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restart"/>
            <w:tcBorders>
              <w:top w:val="single" w:color="auto" w:sz="4" w:space="0"/>
              <w:left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r>
              <w:rPr>
                <w:rFonts w:cs="Times New Roman"/>
                <w:kern w:val="0"/>
                <w:sz w:val="20"/>
                <w:szCs w:val="20"/>
              </w:rPr>
              <w:t>地表水</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cs="Times New Roman"/>
                <w:kern w:val="0"/>
                <w:sz w:val="21"/>
                <w:szCs w:val="21"/>
                <w:lang w:bidi="ar"/>
              </w:rPr>
              <w:t>序号</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cs="Times New Roman"/>
                <w:kern w:val="0"/>
                <w:sz w:val="21"/>
                <w:szCs w:val="21"/>
                <w:lang w:bidi="ar"/>
              </w:rPr>
              <w:t>环境敏感区名称</w:t>
            </w:r>
          </w:p>
        </w:tc>
        <w:tc>
          <w:tcPr>
            <w:tcW w:w="74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cs="Times New Roman"/>
                <w:kern w:val="0"/>
                <w:sz w:val="21"/>
                <w:szCs w:val="21"/>
                <w:lang w:bidi="ar"/>
              </w:rPr>
              <w:t>环境敏感特征</w:t>
            </w:r>
          </w:p>
        </w:tc>
        <w:tc>
          <w:tcPr>
            <w:tcW w:w="142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cs="Times New Roman"/>
                <w:kern w:val="0"/>
                <w:sz w:val="21"/>
                <w:szCs w:val="21"/>
                <w:lang w:bidi="ar"/>
              </w:rPr>
              <w:t>水质目标</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cs="Times New Roman"/>
                <w:kern w:val="0"/>
                <w:sz w:val="21"/>
                <w:szCs w:val="21"/>
                <w:lang w:bidi="ar"/>
              </w:rPr>
              <w:t>与场界距离/m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vMerge w:val="continue"/>
            <w:tcBorders>
              <w:left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0"/>
                <w:szCs w:val="20"/>
              </w:rPr>
            </w:pP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cs="Times New Roman"/>
                <w:kern w:val="0"/>
                <w:sz w:val="21"/>
                <w:szCs w:val="21"/>
                <w:lang w:bidi="ar"/>
              </w:rPr>
              <w:t>1</w:t>
            </w:r>
          </w:p>
        </w:tc>
        <w:tc>
          <w:tcPr>
            <w:tcW w:w="91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cs="Times New Roman"/>
                <w:kern w:val="0"/>
                <w:sz w:val="21"/>
                <w:szCs w:val="21"/>
              </w:rPr>
              <w:t>后河</w:t>
            </w:r>
          </w:p>
        </w:tc>
        <w:tc>
          <w:tcPr>
            <w:tcW w:w="744" w:type="pct"/>
            <w:tcBorders>
              <w:top w:val="single" w:color="auto" w:sz="4" w:space="0"/>
              <w:left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cs="Times New Roman"/>
                <w:kern w:val="0"/>
                <w:sz w:val="21"/>
                <w:szCs w:val="21"/>
              </w:rPr>
              <w:t>主要功能为行洪、灌溉</w:t>
            </w:r>
          </w:p>
        </w:tc>
        <w:tc>
          <w:tcPr>
            <w:tcW w:w="142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cs="Times New Roman"/>
                <w:kern w:val="0"/>
                <w:sz w:val="21"/>
                <w:szCs w:val="21"/>
                <w:lang w:bidi="ar"/>
              </w:rPr>
              <w:fldChar w:fldCharType="begin"/>
            </w:r>
            <w:r>
              <w:rPr>
                <w:rFonts w:cs="Times New Roman"/>
                <w:kern w:val="0"/>
                <w:sz w:val="21"/>
                <w:szCs w:val="21"/>
                <w:lang w:bidi="ar"/>
              </w:rPr>
              <w:instrText xml:space="preserve"> = 3 \* ROMAN \* MERGEFORMAT </w:instrText>
            </w:r>
            <w:r>
              <w:rPr>
                <w:rFonts w:cs="Times New Roman"/>
                <w:kern w:val="0"/>
                <w:sz w:val="21"/>
                <w:szCs w:val="21"/>
                <w:lang w:bidi="ar"/>
              </w:rPr>
              <w:fldChar w:fldCharType="separate"/>
            </w:r>
            <w:r>
              <w:rPr>
                <w:rFonts w:cs="Times New Roman"/>
                <w:kern w:val="0"/>
                <w:sz w:val="21"/>
                <w:szCs w:val="21"/>
                <w:lang w:bidi="ar"/>
              </w:rPr>
              <w:t>III</w:t>
            </w:r>
            <w:r>
              <w:rPr>
                <w:rFonts w:cs="Times New Roman"/>
                <w:kern w:val="0"/>
                <w:sz w:val="21"/>
                <w:szCs w:val="21"/>
                <w:lang w:bidi="ar"/>
              </w:rPr>
              <w:fldChar w:fldCharType="end"/>
            </w:r>
            <w:r>
              <w:rPr>
                <w:rFonts w:cs="Times New Roman"/>
                <w:kern w:val="0"/>
                <w:sz w:val="21"/>
                <w:szCs w:val="21"/>
                <w:lang w:bidi="ar"/>
              </w:rPr>
              <w:t>类</w:t>
            </w:r>
          </w:p>
        </w:tc>
        <w:tc>
          <w:tcPr>
            <w:tcW w:w="9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kern w:val="0"/>
                <w:sz w:val="21"/>
                <w:szCs w:val="21"/>
                <w:lang w:bidi="ar"/>
              </w:rPr>
            </w:pPr>
            <w:r>
              <w:rPr>
                <w:rFonts w:cs="Times New Roman"/>
                <w:kern w:val="0"/>
                <w:sz w:val="21"/>
                <w:szCs w:val="21"/>
              </w:rPr>
              <w:t>位于场区</w:t>
            </w:r>
            <w:r>
              <w:rPr>
                <w:rFonts w:hint="eastAsia" w:cs="Times New Roman"/>
                <w:kern w:val="0"/>
                <w:sz w:val="21"/>
                <w:szCs w:val="21"/>
              </w:rPr>
              <w:t>北</w:t>
            </w:r>
            <w:r>
              <w:rPr>
                <w:rFonts w:cs="Times New Roman"/>
                <w:kern w:val="0"/>
                <w:sz w:val="21"/>
                <w:szCs w:val="21"/>
              </w:rPr>
              <w:t>侧约</w:t>
            </w:r>
            <w:r>
              <w:rPr>
                <w:rFonts w:hint="eastAsia" w:cs="Times New Roman"/>
                <w:kern w:val="0"/>
                <w:sz w:val="21"/>
                <w:szCs w:val="21"/>
              </w:rPr>
              <w:t>300</w:t>
            </w:r>
            <w:r>
              <w:rPr>
                <w:rFonts w:cs="Times New Roman"/>
                <w:kern w:val="0"/>
                <w:sz w:val="21"/>
                <w:szCs w:val="21"/>
              </w:rPr>
              <w:t>m处</w:t>
            </w:r>
          </w:p>
        </w:tc>
      </w:tr>
    </w:tbl>
    <w:p>
      <w:pPr>
        <w:pStyle w:val="3"/>
      </w:pPr>
      <w:bookmarkStart w:id="80" w:name="_Toc164667015"/>
      <w:r>
        <w:rPr>
          <w:rFonts w:hint="eastAsia"/>
        </w:rPr>
        <w:t>2.10</w:t>
      </w:r>
      <w:r>
        <w:t>工程方案的合理性分析</w:t>
      </w:r>
      <w:bookmarkEnd w:id="80"/>
    </w:p>
    <w:p>
      <w:pPr>
        <w:pStyle w:val="4"/>
        <w:ind w:firstLine="241"/>
        <w:rPr>
          <w:b w:val="0"/>
        </w:rPr>
      </w:pPr>
      <w:bookmarkStart w:id="81" w:name="_Toc120173088"/>
      <w:r>
        <w:rPr>
          <w:rFonts w:hint="eastAsia"/>
        </w:rPr>
        <w:t>2.10.1</w:t>
      </w:r>
      <w:r>
        <w:t>项目选址合理性分析</w:t>
      </w:r>
      <w:bookmarkEnd w:id="81"/>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根据《钻前工程及井场布置技术要求SY/T5466-2013</w:t>
      </w:r>
      <w:r>
        <w:rPr>
          <w:rFonts w:hint="eastAsia" w:cs="Times New Roman"/>
          <w:bCs/>
          <w:color w:val="000000" w:themeColor="text1"/>
          <w:szCs w:val="24"/>
          <w:lang w:eastAsia="zh-CN"/>
          <w14:textFill>
            <w14:solidFill>
              <w14:schemeClr w14:val="tx1"/>
            </w14:solidFill>
          </w14:textFill>
        </w:rPr>
        <w:t>》《</w:t>
      </w:r>
      <w:r>
        <w:rPr>
          <w:rFonts w:cs="Times New Roman"/>
          <w:bCs/>
          <w:color w:val="000000" w:themeColor="text1"/>
          <w:szCs w:val="24"/>
          <w14:textFill>
            <w14:solidFill>
              <w14:schemeClr w14:val="tx1"/>
            </w14:solidFill>
          </w14:textFill>
        </w:rPr>
        <w:t>石油天然气钻井井控技术规范》（GB/T 31033-2014）、《钻井井控技术规程》（SY/T6426-2005）等规定：油气井井口距高压线及其他永久性设施不小于75m，距民宅不小于100m，距铁路、高速公路不小于200m，距学校、医院和大型油库等人口密集性、高危性场所不小于500m。根据现场调查，项目井口与各设施的距离及符合性分析见</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REF _Ref142900221 \h  \* MERGEFORMAT </w:instrText>
      </w:r>
      <w:r>
        <w:rPr>
          <w:rFonts w:cs="Times New Roman"/>
          <w:bCs/>
          <w:color w:val="000000" w:themeColor="text1"/>
          <w:szCs w:val="24"/>
          <w14:textFill>
            <w14:solidFill>
              <w14:schemeClr w14:val="tx1"/>
            </w14:solidFill>
          </w14:textFill>
        </w:rPr>
        <w:fldChar w:fldCharType="separate"/>
      </w:r>
      <w:r>
        <w:rPr>
          <w:rFonts w:cs="Times New Roman"/>
          <w:bCs/>
          <w:color w:val="000000" w:themeColor="text1"/>
          <w:szCs w:val="24"/>
          <w14:textFill>
            <w14:solidFill>
              <w14:schemeClr w14:val="tx1"/>
            </w14:solidFill>
          </w14:textFill>
        </w:rPr>
        <w:t>表2.10</w:t>
      </w:r>
      <w:r>
        <w:rPr>
          <w:rFonts w:cs="Times New Roman"/>
          <w:bCs/>
          <w:color w:val="000000" w:themeColor="text1"/>
          <w:szCs w:val="24"/>
          <w14:textFill>
            <w14:solidFill>
              <w14:schemeClr w14:val="tx1"/>
            </w14:solidFill>
          </w14:textFill>
        </w:rPr>
        <w:noBreakHyphen/>
      </w:r>
      <w:r>
        <w:rPr>
          <w:rFonts w:cs="Times New Roman"/>
          <w:bCs/>
          <w:color w:val="000000" w:themeColor="text1"/>
          <w:szCs w:val="24"/>
          <w14:textFill>
            <w14:solidFill>
              <w14:schemeClr w14:val="tx1"/>
            </w14:solidFill>
          </w14:textFill>
        </w:rPr>
        <w:t>1</w:t>
      </w:r>
      <w:r>
        <w:rPr>
          <w:rFonts w:cs="Times New Roman"/>
          <w:bCs/>
          <w:color w:val="000000" w:themeColor="text1"/>
          <w:szCs w:val="24"/>
          <w14:textFill>
            <w14:solidFill>
              <w14:schemeClr w14:val="tx1"/>
            </w14:solidFill>
          </w14:textFill>
        </w:rPr>
        <w:fldChar w:fldCharType="end"/>
      </w:r>
      <w:r>
        <w:rPr>
          <w:rFonts w:cs="Times New Roman"/>
          <w:bCs/>
          <w:color w:val="000000" w:themeColor="text1"/>
          <w:szCs w:val="24"/>
          <w14:textFill>
            <w14:solidFill>
              <w14:schemeClr w14:val="tx1"/>
            </w14:solidFill>
          </w14:textFill>
        </w:rPr>
        <w:t>。</w:t>
      </w:r>
    </w:p>
    <w:p>
      <w:pPr>
        <w:pStyle w:val="249"/>
        <w:ind w:firstLine="0" w:firstLineChars="0"/>
        <w:jc w:val="center"/>
        <w:rPr>
          <w:color w:val="000000" w:themeColor="text1"/>
          <w14:textFill>
            <w14:solidFill>
              <w14:schemeClr w14:val="tx1"/>
            </w14:solidFill>
          </w14:textFill>
        </w:rPr>
      </w:pPr>
      <w:bookmarkStart w:id="82" w:name="_Ref142900221"/>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2.10</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bookmarkEnd w:id="82"/>
      <w:r>
        <w:rPr>
          <w:color w:val="000000" w:themeColor="text1"/>
          <w14:textFill>
            <w14:solidFill>
              <w14:schemeClr w14:val="tx1"/>
            </w14:solidFill>
          </w14:textFill>
        </w:rPr>
        <w:t xml:space="preserve"> 本项目井口与各设施距离</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650"/>
        <w:gridCol w:w="1275"/>
        <w:gridCol w:w="2835"/>
        <w:gridCol w:w="14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4"/>
            </w:pPr>
            <w:r>
              <w:t>名称</w:t>
            </w:r>
          </w:p>
        </w:tc>
        <w:tc>
          <w:tcPr>
            <w:tcW w:w="1275" w:type="dxa"/>
            <w:vAlign w:val="center"/>
          </w:tcPr>
          <w:p>
            <w:pPr>
              <w:pStyle w:val="294"/>
            </w:pPr>
            <w:r>
              <w:t>钻前工程井场技术要求</w:t>
            </w:r>
          </w:p>
        </w:tc>
        <w:tc>
          <w:tcPr>
            <w:tcW w:w="2835" w:type="dxa"/>
            <w:vAlign w:val="center"/>
          </w:tcPr>
          <w:p>
            <w:pPr>
              <w:pStyle w:val="294"/>
            </w:pPr>
            <w:r>
              <w:t>本工程是否涉及居民区、铁路等，以及距井口距离</w:t>
            </w:r>
          </w:p>
        </w:tc>
        <w:tc>
          <w:tcPr>
            <w:tcW w:w="1462" w:type="dxa"/>
            <w:vAlign w:val="center"/>
          </w:tcPr>
          <w:p>
            <w:pPr>
              <w:pStyle w:val="294"/>
            </w:pPr>
            <w:r>
              <w:t>是否满足钻前技术要求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4"/>
            </w:pPr>
            <w:r>
              <w:t>高压线及其他永久性设施</w:t>
            </w:r>
          </w:p>
        </w:tc>
        <w:tc>
          <w:tcPr>
            <w:tcW w:w="1275" w:type="dxa"/>
            <w:vAlign w:val="center"/>
          </w:tcPr>
          <w:p>
            <w:pPr>
              <w:pStyle w:val="294"/>
            </w:pPr>
            <w:r>
              <w:t>≥75m</w:t>
            </w:r>
          </w:p>
        </w:tc>
        <w:tc>
          <w:tcPr>
            <w:tcW w:w="2835" w:type="dxa"/>
            <w:vAlign w:val="center"/>
          </w:tcPr>
          <w:p>
            <w:pPr>
              <w:pStyle w:val="294"/>
            </w:pPr>
            <w:r>
              <w:t>75m范围内不涉及</w:t>
            </w:r>
          </w:p>
        </w:tc>
        <w:tc>
          <w:tcPr>
            <w:tcW w:w="1462" w:type="dxa"/>
            <w:vAlign w:val="center"/>
          </w:tcPr>
          <w:p>
            <w:pPr>
              <w:pStyle w:val="294"/>
            </w:pPr>
            <w:r>
              <w:t>满足要求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4"/>
            </w:pPr>
            <w:r>
              <w:t>民宅</w:t>
            </w:r>
          </w:p>
        </w:tc>
        <w:tc>
          <w:tcPr>
            <w:tcW w:w="1275" w:type="dxa"/>
            <w:vAlign w:val="center"/>
          </w:tcPr>
          <w:p>
            <w:pPr>
              <w:pStyle w:val="294"/>
            </w:pPr>
            <w:r>
              <w:t>≥100m</w:t>
            </w:r>
          </w:p>
        </w:tc>
        <w:tc>
          <w:tcPr>
            <w:tcW w:w="2835" w:type="dxa"/>
            <w:vAlign w:val="center"/>
          </w:tcPr>
          <w:p>
            <w:pPr>
              <w:pStyle w:val="294"/>
            </w:pPr>
            <w:r>
              <w:t>100m</w:t>
            </w:r>
            <w:r>
              <w:rPr>
                <w:rFonts w:hint="eastAsia"/>
              </w:rPr>
              <w:t>范围</w:t>
            </w:r>
            <w:r>
              <w:t>内无民房</w:t>
            </w:r>
          </w:p>
        </w:tc>
        <w:tc>
          <w:tcPr>
            <w:tcW w:w="1462" w:type="dxa"/>
            <w:vAlign w:val="center"/>
          </w:tcPr>
          <w:p>
            <w:pPr>
              <w:pStyle w:val="294"/>
            </w:pPr>
            <w:r>
              <w:t>满足要求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4"/>
            </w:pPr>
            <w:r>
              <w:t>铁路</w:t>
            </w:r>
          </w:p>
        </w:tc>
        <w:tc>
          <w:tcPr>
            <w:tcW w:w="1275" w:type="dxa"/>
            <w:vAlign w:val="center"/>
          </w:tcPr>
          <w:p>
            <w:pPr>
              <w:pStyle w:val="294"/>
            </w:pPr>
            <w:r>
              <w:t>≥200m</w:t>
            </w:r>
          </w:p>
        </w:tc>
        <w:tc>
          <w:tcPr>
            <w:tcW w:w="2835" w:type="dxa"/>
            <w:vAlign w:val="center"/>
          </w:tcPr>
          <w:p>
            <w:pPr>
              <w:pStyle w:val="294"/>
            </w:pPr>
            <w:r>
              <w:t>200m范围内不涉及</w:t>
            </w:r>
          </w:p>
        </w:tc>
        <w:tc>
          <w:tcPr>
            <w:tcW w:w="1462" w:type="dxa"/>
            <w:vAlign w:val="center"/>
          </w:tcPr>
          <w:p>
            <w:pPr>
              <w:pStyle w:val="294"/>
            </w:pPr>
            <w:r>
              <w:t>满足要求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4"/>
            </w:pPr>
            <w:r>
              <w:t>高速公路</w:t>
            </w:r>
          </w:p>
        </w:tc>
        <w:tc>
          <w:tcPr>
            <w:tcW w:w="1275" w:type="dxa"/>
            <w:vAlign w:val="center"/>
          </w:tcPr>
          <w:p>
            <w:pPr>
              <w:pStyle w:val="294"/>
            </w:pPr>
            <w:r>
              <w:t>≥200m</w:t>
            </w:r>
          </w:p>
        </w:tc>
        <w:tc>
          <w:tcPr>
            <w:tcW w:w="2835" w:type="dxa"/>
            <w:vAlign w:val="center"/>
          </w:tcPr>
          <w:p>
            <w:pPr>
              <w:pStyle w:val="294"/>
            </w:pPr>
            <w:r>
              <w:t>200m范围内不涉及</w:t>
            </w:r>
          </w:p>
        </w:tc>
        <w:tc>
          <w:tcPr>
            <w:tcW w:w="1462" w:type="dxa"/>
            <w:vAlign w:val="center"/>
          </w:tcPr>
          <w:p>
            <w:pPr>
              <w:pStyle w:val="294"/>
            </w:pPr>
            <w:r>
              <w:t>满足要求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4"/>
            </w:pPr>
            <w:r>
              <w:t>学校</w:t>
            </w:r>
          </w:p>
        </w:tc>
        <w:tc>
          <w:tcPr>
            <w:tcW w:w="1275" w:type="dxa"/>
            <w:vAlign w:val="center"/>
          </w:tcPr>
          <w:p>
            <w:pPr>
              <w:pStyle w:val="294"/>
            </w:pPr>
            <w:r>
              <w:t>≥500m</w:t>
            </w:r>
          </w:p>
        </w:tc>
        <w:tc>
          <w:tcPr>
            <w:tcW w:w="2835" w:type="dxa"/>
            <w:vAlign w:val="center"/>
          </w:tcPr>
          <w:p>
            <w:pPr>
              <w:pStyle w:val="294"/>
            </w:pPr>
            <w:r>
              <w:t>500m范围内不涉及</w:t>
            </w:r>
          </w:p>
        </w:tc>
        <w:tc>
          <w:tcPr>
            <w:tcW w:w="1462" w:type="dxa"/>
            <w:vAlign w:val="center"/>
          </w:tcPr>
          <w:p>
            <w:pPr>
              <w:pStyle w:val="294"/>
            </w:pPr>
            <w:r>
              <w:t>满足要求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4"/>
            </w:pPr>
            <w:r>
              <w:t>医院</w:t>
            </w:r>
          </w:p>
        </w:tc>
        <w:tc>
          <w:tcPr>
            <w:tcW w:w="1275" w:type="dxa"/>
            <w:vAlign w:val="center"/>
          </w:tcPr>
          <w:p>
            <w:pPr>
              <w:pStyle w:val="294"/>
            </w:pPr>
            <w:r>
              <w:t>≥500m</w:t>
            </w:r>
          </w:p>
        </w:tc>
        <w:tc>
          <w:tcPr>
            <w:tcW w:w="2835" w:type="dxa"/>
            <w:vAlign w:val="center"/>
          </w:tcPr>
          <w:p>
            <w:pPr>
              <w:pStyle w:val="294"/>
            </w:pPr>
            <w:r>
              <w:t>500m范围内不涉及</w:t>
            </w:r>
          </w:p>
        </w:tc>
        <w:tc>
          <w:tcPr>
            <w:tcW w:w="1462" w:type="dxa"/>
            <w:vAlign w:val="center"/>
          </w:tcPr>
          <w:p>
            <w:pPr>
              <w:pStyle w:val="294"/>
            </w:pPr>
            <w:r>
              <w:t>满足要求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4"/>
            </w:pPr>
            <w:r>
              <w:t>油库等高危险场所</w:t>
            </w:r>
          </w:p>
        </w:tc>
        <w:tc>
          <w:tcPr>
            <w:tcW w:w="1275" w:type="dxa"/>
            <w:vAlign w:val="center"/>
          </w:tcPr>
          <w:p>
            <w:pPr>
              <w:pStyle w:val="294"/>
            </w:pPr>
            <w:r>
              <w:t>≥500m</w:t>
            </w:r>
          </w:p>
        </w:tc>
        <w:tc>
          <w:tcPr>
            <w:tcW w:w="2835" w:type="dxa"/>
            <w:vAlign w:val="center"/>
          </w:tcPr>
          <w:p>
            <w:pPr>
              <w:pStyle w:val="294"/>
            </w:pPr>
            <w:r>
              <w:t>500m范围内不涉及</w:t>
            </w:r>
          </w:p>
        </w:tc>
        <w:tc>
          <w:tcPr>
            <w:tcW w:w="1462" w:type="dxa"/>
            <w:vAlign w:val="center"/>
          </w:tcPr>
          <w:p>
            <w:pPr>
              <w:pStyle w:val="294"/>
            </w:pPr>
            <w:r>
              <w:t>满足要求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4"/>
            </w:pPr>
            <w:r>
              <w:t>集中居住地等人口密集区</w:t>
            </w:r>
          </w:p>
        </w:tc>
        <w:tc>
          <w:tcPr>
            <w:tcW w:w="1275" w:type="dxa"/>
            <w:vAlign w:val="center"/>
          </w:tcPr>
          <w:p>
            <w:pPr>
              <w:pStyle w:val="294"/>
            </w:pPr>
            <w:r>
              <w:t>≥500m</w:t>
            </w:r>
          </w:p>
        </w:tc>
        <w:tc>
          <w:tcPr>
            <w:tcW w:w="2835" w:type="dxa"/>
            <w:vAlign w:val="center"/>
          </w:tcPr>
          <w:p>
            <w:pPr>
              <w:pStyle w:val="294"/>
            </w:pPr>
            <w:r>
              <w:t>500m范围内不涉及</w:t>
            </w:r>
          </w:p>
        </w:tc>
        <w:tc>
          <w:tcPr>
            <w:tcW w:w="1462" w:type="dxa"/>
            <w:vAlign w:val="center"/>
          </w:tcPr>
          <w:p>
            <w:pPr>
              <w:pStyle w:val="294"/>
            </w:pPr>
            <w:r>
              <w:t>满足要求</w:t>
            </w:r>
          </w:p>
        </w:tc>
      </w:tr>
    </w:tbl>
    <w:p>
      <w:pPr>
        <w:spacing w:before="120" w:beforeLines="5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由上表可知，项目井口与各项设施的距离均满足《钻前工程及井场布置技术要求SY/T5466-2013</w:t>
      </w:r>
      <w:r>
        <w:rPr>
          <w:rFonts w:hint="eastAsia" w:cs="Times New Roman"/>
          <w:bCs/>
          <w:color w:val="000000" w:themeColor="text1"/>
          <w:szCs w:val="24"/>
          <w:lang w:eastAsia="zh-CN"/>
          <w14:textFill>
            <w14:solidFill>
              <w14:schemeClr w14:val="tx1"/>
            </w14:solidFill>
          </w14:textFill>
        </w:rPr>
        <w:t>》《</w:t>
      </w:r>
      <w:r>
        <w:rPr>
          <w:rFonts w:cs="Times New Roman"/>
          <w:bCs/>
          <w:color w:val="000000" w:themeColor="text1"/>
          <w:szCs w:val="24"/>
          <w14:textFill>
            <w14:solidFill>
              <w14:schemeClr w14:val="tx1"/>
            </w14:solidFill>
          </w14:textFill>
        </w:rPr>
        <w:t>石油天然气钻井井控技术规范》（GB/T31033-2014）、《钻井井控技术规程》（SY/T6426-2005）等中规定的要求。</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现场调查，本项目处于农村环境，本项目试采期井站为五级站场，周围50m范围内无100人以下的散居房屋和100人以上的居住区、厂矿企业、35kV及以上独立变电所、无林地、无高速公路和铁路、无架空电力线路，300m范围内无爆炸作业场地，满足《石油天然气工程设计防火规范》（GB50183-2004）等要求。</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为天然气实验性探井及试采工程，符合国家产业政策，项目占地均为临时占地，项目不涉及占用生态保护红线，由于天然气勘探开发属于典型的“地下决定地上”，地下气藏分布情况决定地面上的井场选址，根据前期勘探结果，本项目选址无法完全避让基本农田（征用基本农田面积为1.0207公顷）。建设单位对临时占地除了在施工中采取措施减少基本农田破坏外，在施工结束后，对开挖破坏段耕地质量的恢复，对农作物产量的间接损失以及土壤恢复进行补偿，以用于耕作层土恢复。本项目属于（自然资规〔2018〕3号）中明确的“符合国家产业政策的能源开采”以及“《自然资源部农业农村部关于加强和改进永久基本农田保护工作的通知》（自然资规〔2019〕1号）”和《关于进一步做好用地用海要素保障的通知》（自然资发〔2023〕89号）可占用永久基本农田的范畴，符合《关于进一步做好用地用海要素保障的通知》（自然资发〔2023〕89号）中直接申请办理农用地转用和土地征收范围。因此，建设单位应按照文件要求，尽快办理基本农田征、占用手续，符合占用基本农田的要求。</w:t>
      </w:r>
    </w:p>
    <w:p>
      <w:pPr>
        <w:ind w:firstLine="480"/>
        <w:rPr>
          <w:rFonts w:cs="Times New Roman"/>
          <w:bCs/>
          <w:color w:val="000000" w:themeColor="text1"/>
          <w14:textFill>
            <w14:solidFill>
              <w14:schemeClr w14:val="tx1"/>
            </w14:solidFill>
          </w14:textFill>
        </w:rPr>
      </w:pPr>
      <w:r>
        <w:rPr>
          <w:rFonts w:cs="Times New Roman"/>
          <w:bCs/>
          <w:color w:val="000000" w:themeColor="text1"/>
          <w:szCs w:val="24"/>
          <w14:textFill>
            <w14:solidFill>
              <w14:schemeClr w14:val="tx1"/>
            </w14:solidFill>
          </w14:textFill>
        </w:rPr>
        <w:t>拟建项目选址内无泉眼、地下暗河等控制性水点分布，不涉及各类保护区即环境敏感区，符合规划和国土管理方面的规定，其选址比较理想。本项目为新建，本项目运营期不涉及新增占地（施工期仅新增施工期生活区临时占地，施工结束后复垦），在采取补偿等措施后，对失地农民的生活影响较小。选址位于当地城镇规划区外，不涉及环境敏感区，符合“三线一单”管控要求，因此项目选址合理。</w:t>
      </w:r>
    </w:p>
    <w:p>
      <w:pPr>
        <w:pStyle w:val="4"/>
        <w:ind w:firstLine="241"/>
        <w:rPr>
          <w:b w:val="0"/>
        </w:rPr>
      </w:pPr>
      <w:bookmarkStart w:id="83" w:name="_Toc120173089"/>
      <w:bookmarkStart w:id="84" w:name="_Hlk49360744"/>
      <w:r>
        <w:rPr>
          <w:rFonts w:hint="eastAsia"/>
        </w:rPr>
        <w:t>2.10.2</w:t>
      </w:r>
      <w:r>
        <w:t>平面布置合理性分析</w:t>
      </w:r>
      <w:bookmarkEnd w:id="83"/>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1、钻井工程平面布局合理性分析</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本项目钻井井场沿东-西方向布置，井场长约125m，宽约48m；利旧修复放喷池2座，尺寸均为10m×20m×1.5m，容积均为300m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；新建施工便道，从东侧乡村道路接入，路基宽4.5m，总长度约80m。</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总的来说，本项目钻井施工期平面布置按照《钻前工程及井场布置技术要求》（SY/T5466-2013）、《石油与天然气钻井、开发、储运防火防爆安全生产管理规定》（SY5225-2019）、《石油天然气工程设计防火规范》（GB50183-2004）等石油和天然气行业标准的要求进行，钻井井场主要包括井控台、柴油发电机组、泥浆循环系统、泥浆泵、泥浆不落地装置、值班室、技术房、油罐区等。井场外设置有放喷池等。井场平面布置满足防火、安全间距要求，各工程连通顺畅，尽量降低了占地，降低了钻前工程工程量，施工期钻井工程布局是合理的。</w:t>
      </w:r>
    </w:p>
    <w:p>
      <w:pPr>
        <w:tabs>
          <w:tab w:val="left" w:pos="0"/>
        </w:tabs>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（1）噪声源布局合理性分析</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本工程井场噪声源布置与《钻前工程及井场布置技术要求》（SY/T5466-2013）等相关要求的符合性见</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REF _Ref142900231 \h  \* MERGEFORMAT </w:instrText>
      </w:r>
      <w:r>
        <w:rPr>
          <w:rFonts w:cs="Times New Roman"/>
          <w:bCs/>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表2.10</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2</w:t>
      </w:r>
      <w:r>
        <w:rPr>
          <w:rFonts w:cs="Times New Roman"/>
          <w:bCs/>
          <w:color w:val="000000" w:themeColor="text1"/>
          <w:szCs w:val="24"/>
          <w14:textFill>
            <w14:solidFill>
              <w14:schemeClr w14:val="tx1"/>
            </w14:solidFill>
          </w14:textFill>
        </w:rPr>
        <w:fldChar w:fldCharType="end"/>
      </w:r>
      <w:r>
        <w:rPr>
          <w:rFonts w:cs="Times New Roman"/>
          <w:bCs/>
          <w:color w:val="000000" w:themeColor="text1"/>
          <w:szCs w:val="24"/>
          <w14:textFill>
            <w14:solidFill>
              <w14:schemeClr w14:val="tx1"/>
            </w14:solidFill>
          </w14:textFill>
        </w:rPr>
        <w:t>。</w:t>
      </w:r>
    </w:p>
    <w:p>
      <w:pPr>
        <w:pStyle w:val="249"/>
        <w:ind w:firstLine="0" w:firstLineChars="0"/>
        <w:jc w:val="center"/>
        <w:rPr>
          <w:color w:val="000000" w:themeColor="text1"/>
          <w14:textFill>
            <w14:solidFill>
              <w14:schemeClr w14:val="tx1"/>
            </w14:solidFill>
          </w14:textFill>
        </w:rPr>
      </w:pPr>
      <w:bookmarkStart w:id="85" w:name="_Ref142900231"/>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2.10</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w:t>
      </w:r>
      <w:r>
        <w:rPr>
          <w:color w:val="000000" w:themeColor="text1"/>
          <w14:textFill>
            <w14:solidFill>
              <w14:schemeClr w14:val="tx1"/>
            </w14:solidFill>
          </w14:textFill>
        </w:rPr>
        <w:fldChar w:fldCharType="end"/>
      </w:r>
      <w:bookmarkEnd w:id="85"/>
      <w:r>
        <w:rPr>
          <w:color w:val="000000" w:themeColor="text1"/>
          <w14:textFill>
            <w14:solidFill>
              <w14:schemeClr w14:val="tx1"/>
            </w14:solidFill>
          </w14:textFill>
        </w:rPr>
        <w:t xml:space="preserve"> 噪声源布局合理性</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81"/>
        <w:gridCol w:w="3003"/>
        <w:gridCol w:w="1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35" w:type="pct"/>
            <w:vAlign w:val="center"/>
          </w:tcPr>
          <w:p>
            <w:pPr>
              <w:pStyle w:val="294"/>
            </w:pPr>
            <w:r>
              <w:t>标准及规范要求</w:t>
            </w:r>
          </w:p>
        </w:tc>
        <w:tc>
          <w:tcPr>
            <w:tcW w:w="1761" w:type="pct"/>
            <w:vAlign w:val="center"/>
          </w:tcPr>
          <w:p>
            <w:pPr>
              <w:pStyle w:val="294"/>
            </w:pPr>
            <w:r>
              <w:t>本工程噪声源布置</w:t>
            </w:r>
          </w:p>
        </w:tc>
        <w:tc>
          <w:tcPr>
            <w:tcW w:w="904" w:type="pct"/>
            <w:vAlign w:val="center"/>
          </w:tcPr>
          <w:p>
            <w:pPr>
              <w:pStyle w:val="294"/>
            </w:pPr>
            <w:r>
              <w:t>是否符合要求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35" w:type="pct"/>
            <w:vAlign w:val="center"/>
          </w:tcPr>
          <w:p>
            <w:pPr>
              <w:pStyle w:val="294"/>
            </w:pPr>
            <w:r>
              <w:t>《钻前工程及井场布置技术要求》（SY/T5466-2013）中的第4.3.2条规定：电动钻机发电机组和电控房应布置并排置于井场的后方。尽量远离敏感点或受噪声影响农户最少</w:t>
            </w:r>
          </w:p>
        </w:tc>
        <w:tc>
          <w:tcPr>
            <w:tcW w:w="1761" w:type="pct"/>
            <w:vAlign w:val="center"/>
          </w:tcPr>
          <w:p>
            <w:pPr>
              <w:pStyle w:val="294"/>
            </w:pPr>
            <w:r>
              <w:t>柴油机、泥浆泵布置在中后场（东侧）。散居农户主要分布在井口200m外。</w:t>
            </w:r>
          </w:p>
        </w:tc>
        <w:tc>
          <w:tcPr>
            <w:tcW w:w="904" w:type="pct"/>
            <w:vAlign w:val="center"/>
          </w:tcPr>
          <w:p>
            <w:pPr>
              <w:pStyle w:val="294"/>
            </w:pPr>
            <w:r>
              <w:t>符合要求</w:t>
            </w:r>
          </w:p>
        </w:tc>
      </w:tr>
    </w:tbl>
    <w:p>
      <w:pPr>
        <w:tabs>
          <w:tab w:val="left" w:pos="0"/>
        </w:tabs>
        <w:spacing w:before="120" w:beforeLines="50"/>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（2）放喷池布置合理性分析</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本项目井场放喷池布置与《钻井井控技术规程》（SY/T6426-2005）等相关要求及规程的符合性见</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REF _Ref142900247 \h  \* MERGEFORMAT </w:instrText>
      </w:r>
      <w:r>
        <w:rPr>
          <w:rFonts w:cs="Times New Roman"/>
          <w:bCs/>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表2.10</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3</w:t>
      </w:r>
      <w:r>
        <w:rPr>
          <w:rFonts w:cs="Times New Roman"/>
          <w:bCs/>
          <w:color w:val="000000" w:themeColor="text1"/>
          <w:szCs w:val="24"/>
          <w14:textFill>
            <w14:solidFill>
              <w14:schemeClr w14:val="tx1"/>
            </w14:solidFill>
          </w14:textFill>
        </w:rPr>
        <w:fldChar w:fldCharType="end"/>
      </w:r>
      <w:r>
        <w:rPr>
          <w:rFonts w:cs="Times New Roman"/>
          <w:bCs/>
          <w:color w:val="000000" w:themeColor="text1"/>
          <w:szCs w:val="24"/>
          <w14:textFill>
            <w14:solidFill>
              <w14:schemeClr w14:val="tx1"/>
            </w14:solidFill>
          </w14:textFill>
        </w:rPr>
        <w:t>。</w:t>
      </w:r>
    </w:p>
    <w:p>
      <w:pPr>
        <w:pStyle w:val="249"/>
        <w:ind w:firstLine="0" w:firstLineChars="0"/>
        <w:jc w:val="center"/>
        <w:rPr>
          <w:color w:val="000000" w:themeColor="text1"/>
          <w14:textFill>
            <w14:solidFill>
              <w14:schemeClr w14:val="tx1"/>
            </w14:solidFill>
          </w14:textFill>
        </w:rPr>
      </w:pPr>
      <w:bookmarkStart w:id="86" w:name="_Ref142900247"/>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2.10</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w:t>
      </w:r>
      <w:r>
        <w:rPr>
          <w:color w:val="000000" w:themeColor="text1"/>
          <w14:textFill>
            <w14:solidFill>
              <w14:schemeClr w14:val="tx1"/>
            </w14:solidFill>
          </w14:textFill>
        </w:rPr>
        <w:fldChar w:fldCharType="end"/>
      </w:r>
      <w:bookmarkEnd w:id="86"/>
      <w:r>
        <w:rPr>
          <w:color w:val="000000" w:themeColor="text1"/>
          <w14:textFill>
            <w14:solidFill>
              <w14:schemeClr w14:val="tx1"/>
            </w14:solidFill>
          </w14:textFill>
        </w:rPr>
        <w:t xml:space="preserve"> 放喷池布置合理性</w:t>
      </w:r>
    </w:p>
    <w:tbl>
      <w:tblPr>
        <w:tblStyle w:val="5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397"/>
        <w:gridCol w:w="3969"/>
        <w:gridCol w:w="93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397" w:type="dxa"/>
            <w:vAlign w:val="center"/>
          </w:tcPr>
          <w:p>
            <w:pPr>
              <w:pStyle w:val="294"/>
            </w:pPr>
            <w:r>
              <w:t>标准及规范要求</w:t>
            </w:r>
          </w:p>
        </w:tc>
        <w:tc>
          <w:tcPr>
            <w:tcW w:w="3969" w:type="dxa"/>
            <w:vAlign w:val="center"/>
          </w:tcPr>
          <w:p>
            <w:pPr>
              <w:pStyle w:val="294"/>
            </w:pPr>
            <w:r>
              <w:t>本工程放喷池布置</w:t>
            </w:r>
          </w:p>
        </w:tc>
        <w:tc>
          <w:tcPr>
            <w:tcW w:w="934" w:type="dxa"/>
            <w:vAlign w:val="center"/>
          </w:tcPr>
          <w:p>
            <w:pPr>
              <w:pStyle w:val="294"/>
            </w:pPr>
            <w:r>
              <w:t>是否符合要求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397" w:type="dxa"/>
            <w:vAlign w:val="center"/>
          </w:tcPr>
          <w:p>
            <w:pPr>
              <w:pStyle w:val="294"/>
            </w:pPr>
            <w:r>
              <w:t>《钻井井控技术规程》（SY/T6426-2005）中的第4.1.2.3条规定：放喷管线应接至距井口75m以上的安全地带，距各种设施不小于50m。</w:t>
            </w:r>
          </w:p>
        </w:tc>
        <w:tc>
          <w:tcPr>
            <w:tcW w:w="3969" w:type="dxa"/>
            <w:vAlign w:val="center"/>
          </w:tcPr>
          <w:p>
            <w:pPr>
              <w:pStyle w:val="294"/>
            </w:pPr>
            <w:r>
              <w:t>放喷池利旧修复现状放喷池，位于井场外西侧和东南侧，距离井口分别120m和270m，放喷池周边100m范围内均无居民等敏感目标分布，位于井场侧风向。</w:t>
            </w:r>
          </w:p>
        </w:tc>
        <w:tc>
          <w:tcPr>
            <w:tcW w:w="934" w:type="dxa"/>
            <w:vAlign w:val="center"/>
          </w:tcPr>
          <w:p>
            <w:pPr>
              <w:pStyle w:val="294"/>
            </w:pPr>
            <w:r>
              <w:t>符合要求</w:t>
            </w:r>
          </w:p>
        </w:tc>
      </w:tr>
    </w:tbl>
    <w:p>
      <w:pPr>
        <w:tabs>
          <w:tab w:val="left" w:pos="0"/>
        </w:tabs>
        <w:spacing w:before="120" w:beforeLines="5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综上所述，本工程钻井期井场布置合理，钻井期间平面布置图见附图3。</w:t>
      </w:r>
    </w:p>
    <w:p>
      <w:pPr>
        <w:tabs>
          <w:tab w:val="left" w:pos="0"/>
        </w:tabs>
        <w:ind w:firstLine="480"/>
        <w:rPr>
          <w:rFonts w:eastAsia="黑体" w:cs="Times New Roman"/>
          <w:bCs/>
          <w:color w:val="000000" w:themeColor="text1"/>
          <w:szCs w:val="24"/>
          <w14:textFill>
            <w14:solidFill>
              <w14:schemeClr w14:val="tx1"/>
            </w14:solidFill>
          </w14:textFill>
        </w:rPr>
      </w:pPr>
      <w:bookmarkStart w:id="87" w:name="_Toc8802"/>
      <w:r>
        <w:rPr>
          <w:rFonts w:eastAsia="黑体" w:cs="Times New Roman"/>
          <w:bCs/>
          <w:color w:val="000000" w:themeColor="text1"/>
          <w:szCs w:val="24"/>
          <w14:textFill>
            <w14:solidFill>
              <w14:schemeClr w14:val="tx1"/>
            </w14:solidFill>
          </w14:textFill>
        </w:rPr>
        <w:t>2、试采工程平面布局合理性分析</w:t>
      </w:r>
      <w:bookmarkEnd w:id="87"/>
    </w:p>
    <w:p>
      <w:pPr>
        <w:tabs>
          <w:tab w:val="left" w:pos="0"/>
        </w:tabs>
        <w:ind w:firstLine="480"/>
        <w:rPr>
          <w:rFonts w:cs="Times New Roman"/>
          <w:color w:val="000000" w:themeColor="text1"/>
          <w:highlight w:val="red"/>
          <w14:textFill>
            <w14:solidFill>
              <w14:schemeClr w14:val="tx1"/>
            </w14:solidFill>
          </w14:textFill>
        </w:rPr>
      </w:pPr>
      <w:r>
        <w:rPr>
          <w:rFonts w:cs="Times New Roman"/>
          <w:color w:val="000000" w:themeColor="text1"/>
          <w14:textFill>
            <w14:solidFill>
              <w14:schemeClr w14:val="tx1"/>
            </w14:solidFill>
          </w14:textFill>
        </w:rPr>
        <w:t>本次扩建P3011采气站，在扩建区域新建普光3011-6井气井，新井天然气经一、二级节流后，在P3011采气站分酸、加热、三次节流后输送至已建P301集气站，在P301集气站内计量分离依托已建的集输管道外输至天然气净化厂。P3011采气站到P301集气站工艺设施完整，依托P3011采气站现有水套加热炉，利用拆除的</w:t>
      </w:r>
      <w:r>
        <w:rPr>
          <w:rFonts w:cs="Times New Roman"/>
          <w:color w:val="000000" w:themeColor="text1"/>
          <w:szCs w:val="20"/>
          <w14:textFill>
            <w14:solidFill>
              <w14:schemeClr w14:val="tx1"/>
            </w14:solidFill>
          </w14:textFill>
        </w:rPr>
        <w:t>临时分酸分离器、酸液缓冲罐进行工艺设施建设，依托现有放空管线和放空系统，依托P301集气站外输管线。</w:t>
      </w:r>
      <w:r>
        <w:rPr>
          <w:rFonts w:hint="eastAsia" w:cs="Times New Roman"/>
          <w:color w:val="000000" w:themeColor="text1"/>
          <w:szCs w:val="20"/>
          <w14:textFill>
            <w14:solidFill>
              <w14:schemeClr w14:val="tx1"/>
            </w14:solidFill>
          </w14:textFill>
        </w:rPr>
        <w:t>本项目</w:t>
      </w:r>
      <w:r>
        <w:rPr>
          <w:rFonts w:cs="Times New Roman"/>
          <w:color w:val="000000" w:themeColor="text1"/>
          <w:szCs w:val="20"/>
          <w14:textFill>
            <w14:solidFill>
              <w14:schemeClr w14:val="tx1"/>
            </w14:solidFill>
          </w14:textFill>
        </w:rPr>
        <w:t>试采期试采站内仅有采气树、节流阀、管道。</w:t>
      </w:r>
    </w:p>
    <w:bookmarkEnd w:id="84"/>
    <w:p>
      <w:pPr>
        <w:tabs>
          <w:tab w:val="left" w:pos="0"/>
        </w:tabs>
        <w:spacing w:before="120" w:beforeLines="50"/>
        <w:ind w:firstLine="480"/>
        <w:rPr>
          <w:rFonts w:cs="Times New Roman"/>
          <w:bCs/>
          <w:color w:val="000000" w:themeColor="text1"/>
          <w:szCs w:val="24"/>
          <w14:textFill>
            <w14:solidFill>
              <w14:schemeClr w14:val="tx1"/>
            </w14:solidFill>
          </w14:textFill>
        </w:rPr>
      </w:pPr>
    </w:p>
    <w:p>
      <w:pPr>
        <w:ind w:firstLine="480"/>
        <w:rPr>
          <w:rFonts w:cs="Times New Roman"/>
          <w:color w:val="000000" w:themeColor="text1"/>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2"/>
      </w:pPr>
      <w:bookmarkStart w:id="88" w:name="_Toc164667016"/>
      <w:r>
        <w:rPr>
          <w:rFonts w:hint="eastAsia"/>
        </w:rPr>
        <w:t xml:space="preserve">3 </w:t>
      </w:r>
      <w:r>
        <w:t>工程分析</w:t>
      </w:r>
      <w:bookmarkEnd w:id="88"/>
    </w:p>
    <w:p>
      <w:pPr>
        <w:pStyle w:val="3"/>
      </w:pPr>
      <w:bookmarkStart w:id="89" w:name="_Toc164667017"/>
      <w:r>
        <w:rPr>
          <w:rFonts w:hint="eastAsia"/>
        </w:rPr>
        <w:t>3.1</w:t>
      </w:r>
      <w:r>
        <w:t>现有工程建设情况</w:t>
      </w:r>
      <w:bookmarkEnd w:id="89"/>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次扩建P3011采气站，扩建区域新建普光3011-6井气井，新井天然气经一、二级节流后，在P3011采气站分酸、加热、三次节流后输送至已建P301集气站，在P301集气站内计量分离依托已建的集输管道外输至天然气净化厂。本次涉及的依托的相关工程主要为P3011采气站和P301集气站，</w:t>
      </w:r>
      <w:r>
        <w:rPr>
          <w:rFonts w:cs="Times New Roman"/>
          <w:color w:val="000000" w:themeColor="text1"/>
          <w:szCs w:val="24"/>
          <w14:textFill>
            <w14:solidFill>
              <w14:schemeClr w14:val="tx1"/>
            </w14:solidFill>
          </w14:textFill>
        </w:rPr>
        <w:t>其相关既有工程情况介绍如下。</w:t>
      </w:r>
    </w:p>
    <w:p>
      <w:pPr>
        <w:pStyle w:val="4"/>
        <w:ind w:firstLine="241"/>
      </w:pPr>
      <w:r>
        <w:rPr>
          <w:rFonts w:hint="eastAsia"/>
        </w:rPr>
        <w:t>3.1.1</w:t>
      </w:r>
      <w:r>
        <w:t>项目相关现状</w:t>
      </w:r>
    </w:p>
    <w:p>
      <w:pPr>
        <w:adjustRightInd/>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P301集气站为普光主体区块已建站场，位于普光镇陡梯村，场区的高程约为523.9m。P301集气站站场分五个区布置，主要由井口区、装置区、阀组区、站控室和放空火炬区组成。P301集气站于2010年5月建成投产，站内布置有三口开发井和一口探井，装置区处理能力为520</w:t>
      </w:r>
      <w:r>
        <w:rPr>
          <w:rFonts w:cs="Times New Roman"/>
          <w:color w:val="000000" w:themeColor="text1"/>
          <w14:textFill>
            <w14:solidFill>
              <w14:schemeClr w14:val="tx1"/>
            </w14:solidFill>
          </w14:textFill>
        </w:rPr>
        <w:t>×10</w:t>
      </w:r>
      <w:r>
        <w:rPr>
          <w:rFonts w:cs="Times New Roman"/>
          <w:color w:val="000000" w:themeColor="text1"/>
          <w:vertAlign w:val="superscript"/>
          <w14:textFill>
            <w14:solidFill>
              <w14:schemeClr w14:val="tx1"/>
            </w14:solidFill>
          </w14:textFill>
        </w:rPr>
        <w:t>4</w:t>
      </w:r>
      <w:r>
        <w:rPr>
          <w:rFonts w:cs="Times New Roman"/>
          <w:color w:val="000000" w:themeColor="text1"/>
          <w14:textFill>
            <w14:solidFill>
              <w14:schemeClr w14:val="tx1"/>
            </w14:solidFill>
          </w14:textFill>
        </w:rPr>
        <w:t>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cs="Times New Roman"/>
          <w:color w:val="000000" w:themeColor="text1"/>
          <w:szCs w:val="20"/>
          <w14:textFill>
            <w14:solidFill>
              <w14:schemeClr w14:val="tx1"/>
            </w14:solidFill>
          </w14:textFill>
        </w:rPr>
        <w:t>。P301集气站天然气输送工艺采用加热、节流、保湿混输的湿气集输工艺，具有对来井口气进行集气、加热、节流、</w:t>
      </w:r>
      <w:r>
        <w:rPr>
          <w:rFonts w:cs="Times New Roman"/>
          <w:color w:val="000000" w:themeColor="text1"/>
          <w14:textFill>
            <w14:solidFill>
              <w14:schemeClr w14:val="tx1"/>
            </w14:solidFill>
          </w14:textFill>
        </w:rPr>
        <w:t>计量分离</w:t>
      </w:r>
      <w:r>
        <w:rPr>
          <w:rFonts w:cs="Times New Roman"/>
          <w:color w:val="000000" w:themeColor="text1"/>
          <w:szCs w:val="20"/>
          <w14:textFill>
            <w14:solidFill>
              <w14:schemeClr w14:val="tx1"/>
            </w14:solidFill>
          </w14:textFill>
        </w:rPr>
        <w:t>、放空等功能；站场安装有可燃气体、硫化氢气体、火焰监控仪表，站场集输管线安装紧急关断阀、紧急放空阀的紧急关断系统，整个集输系统采用SCADA系统进行全过程监控。</w:t>
      </w:r>
    </w:p>
    <w:p>
      <w:pPr>
        <w:adjustRightInd/>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P301集气站目前主要对P301-2井、P301-3井、P301-4井来气进行</w:t>
      </w:r>
      <w:r>
        <w:rPr>
          <w:rFonts w:cs="Times New Roman"/>
          <w:color w:val="000000" w:themeColor="text1"/>
          <w14:textFill>
            <w14:solidFill>
              <w14:schemeClr w14:val="tx1"/>
            </w14:solidFill>
          </w14:textFill>
        </w:rPr>
        <w:t>节流、加热，最后对进入计量分离器的</w:t>
      </w:r>
      <w:r>
        <w:rPr>
          <w:rFonts w:cs="Times New Roman"/>
          <w:color w:val="000000" w:themeColor="text1"/>
          <w:szCs w:val="20"/>
          <w14:textFill>
            <w14:solidFill>
              <w14:schemeClr w14:val="tx1"/>
            </w14:solidFill>
          </w14:textFill>
        </w:rPr>
        <w:t>P3011-1井、P301-2井、P301-3井、P301-4井、P3011-5井来气</w:t>
      </w:r>
      <w:r>
        <w:rPr>
          <w:rFonts w:cs="Times New Roman"/>
          <w:color w:val="000000" w:themeColor="text1"/>
          <w14:textFill>
            <w14:solidFill>
              <w14:schemeClr w14:val="tx1"/>
            </w14:solidFill>
          </w14:textFill>
        </w:rPr>
        <w:t>进行气液分离，分离后的天然气通过已建流程进入普光3#集输干线。</w:t>
      </w:r>
      <w:r>
        <w:rPr>
          <w:rFonts w:hint="eastAsia" w:cs="Times New Roman"/>
          <w:color w:val="000000" w:themeColor="text1"/>
          <w:szCs w:val="20"/>
          <w14:textFill>
            <w14:solidFill>
              <w14:schemeClr w14:val="tx1"/>
            </w14:solidFill>
          </w14:textFill>
        </w:rPr>
        <w:t>P3011-</w:t>
      </w:r>
      <w:r>
        <w:rPr>
          <w:rFonts w:cs="Times New Roman"/>
          <w:color w:val="000000" w:themeColor="text1"/>
          <w:szCs w:val="20"/>
          <w14:textFill>
            <w14:solidFill>
              <w14:schemeClr w14:val="tx1"/>
            </w14:solidFill>
          </w14:textFill>
        </w:rPr>
        <w:t>2</w:t>
      </w:r>
      <w:r>
        <w:rPr>
          <w:rFonts w:hint="eastAsia" w:cs="Times New Roman"/>
          <w:color w:val="000000" w:themeColor="text1"/>
          <w:szCs w:val="20"/>
          <w14:textFill>
            <w14:solidFill>
              <w14:schemeClr w14:val="tx1"/>
            </w14:solidFill>
          </w14:textFill>
        </w:rPr>
        <w:t>井、P3011-</w:t>
      </w:r>
      <w:r>
        <w:rPr>
          <w:rFonts w:cs="Times New Roman"/>
          <w:color w:val="000000" w:themeColor="text1"/>
          <w:szCs w:val="20"/>
          <w14:textFill>
            <w14:solidFill>
              <w14:schemeClr w14:val="tx1"/>
            </w14:solidFill>
          </w14:textFill>
        </w:rPr>
        <w:t>3</w:t>
      </w:r>
      <w:r>
        <w:rPr>
          <w:rFonts w:hint="eastAsia" w:cs="Times New Roman"/>
          <w:color w:val="000000" w:themeColor="text1"/>
          <w:szCs w:val="20"/>
          <w14:textFill>
            <w14:solidFill>
              <w14:schemeClr w14:val="tx1"/>
            </w14:solidFill>
          </w14:textFill>
        </w:rPr>
        <w:t>井、P3011-</w:t>
      </w:r>
      <w:r>
        <w:rPr>
          <w:rFonts w:cs="Times New Roman"/>
          <w:color w:val="000000" w:themeColor="text1"/>
          <w:szCs w:val="20"/>
          <w14:textFill>
            <w14:solidFill>
              <w14:schemeClr w14:val="tx1"/>
            </w14:solidFill>
          </w14:textFill>
        </w:rPr>
        <w:t>4</w:t>
      </w:r>
      <w:r>
        <w:rPr>
          <w:rFonts w:hint="eastAsia" w:cs="Times New Roman"/>
          <w:color w:val="000000" w:themeColor="text1"/>
          <w:szCs w:val="20"/>
          <w14:textFill>
            <w14:solidFill>
              <w14:schemeClr w14:val="tx1"/>
            </w14:solidFill>
          </w14:textFill>
        </w:rPr>
        <w:t>井，原设计配产P3011-</w:t>
      </w:r>
      <w:r>
        <w:rPr>
          <w:rFonts w:cs="Times New Roman"/>
          <w:color w:val="000000" w:themeColor="text1"/>
          <w:szCs w:val="20"/>
          <w14:textFill>
            <w14:solidFill>
              <w14:schemeClr w14:val="tx1"/>
            </w14:solidFill>
          </w14:textFill>
        </w:rPr>
        <w:t>2</w:t>
      </w:r>
      <w:r>
        <w:rPr>
          <w:rFonts w:hint="eastAsia" w:cs="Times New Roman"/>
          <w:color w:val="000000" w:themeColor="text1"/>
          <w:szCs w:val="20"/>
          <w14:textFill>
            <w14:solidFill>
              <w14:schemeClr w14:val="tx1"/>
            </w14:solidFill>
          </w14:textFill>
        </w:rPr>
        <w:t>井</w:t>
      </w:r>
      <w:r>
        <w:rPr>
          <w:rFonts w:cs="Times New Roman"/>
          <w:color w:val="000000" w:themeColor="text1"/>
          <w:szCs w:val="20"/>
          <w14:textFill>
            <w14:solidFill>
              <w14:schemeClr w14:val="tx1"/>
            </w14:solidFill>
          </w14:textFill>
        </w:rPr>
        <w:t>90</w:t>
      </w:r>
      <w:r>
        <w:rPr>
          <w:rFonts w:hint="eastAsia" w:cs="Times New Roman"/>
          <w:color w:val="000000" w:themeColor="text1"/>
          <w:szCs w:val="20"/>
          <w14:textFill>
            <w14:solidFill>
              <w14:schemeClr w14:val="tx1"/>
            </w14:solidFill>
          </w14:textFill>
        </w:rPr>
        <w:t>万方/天、P3011-</w:t>
      </w:r>
      <w:r>
        <w:rPr>
          <w:rFonts w:cs="Times New Roman"/>
          <w:color w:val="000000" w:themeColor="text1"/>
          <w:szCs w:val="20"/>
          <w14:textFill>
            <w14:solidFill>
              <w14:schemeClr w14:val="tx1"/>
            </w14:solidFill>
          </w14:textFill>
        </w:rPr>
        <w:t>3</w:t>
      </w:r>
      <w:r>
        <w:rPr>
          <w:rFonts w:hint="eastAsia" w:cs="Times New Roman"/>
          <w:color w:val="000000" w:themeColor="text1"/>
          <w:szCs w:val="20"/>
          <w14:textFill>
            <w14:solidFill>
              <w14:schemeClr w14:val="tx1"/>
            </w14:solidFill>
          </w14:textFill>
        </w:rPr>
        <w:t>井</w:t>
      </w:r>
      <w:r>
        <w:rPr>
          <w:rFonts w:cs="Times New Roman"/>
          <w:color w:val="000000" w:themeColor="text1"/>
          <w:szCs w:val="20"/>
          <w14:textFill>
            <w14:solidFill>
              <w14:schemeClr w14:val="tx1"/>
            </w14:solidFill>
          </w14:textFill>
        </w:rPr>
        <w:t>100</w:t>
      </w:r>
      <w:r>
        <w:rPr>
          <w:rFonts w:hint="eastAsia" w:cs="Times New Roman"/>
          <w:color w:val="000000" w:themeColor="text1"/>
          <w:szCs w:val="20"/>
          <w14:textFill>
            <w14:solidFill>
              <w14:schemeClr w14:val="tx1"/>
            </w14:solidFill>
          </w14:textFill>
        </w:rPr>
        <w:t>万方/天、P3011-</w:t>
      </w:r>
      <w:r>
        <w:rPr>
          <w:rFonts w:cs="Times New Roman"/>
          <w:color w:val="000000" w:themeColor="text1"/>
          <w:szCs w:val="20"/>
          <w14:textFill>
            <w14:solidFill>
              <w14:schemeClr w14:val="tx1"/>
            </w14:solidFill>
          </w14:textFill>
        </w:rPr>
        <w:t>4</w:t>
      </w:r>
      <w:r>
        <w:rPr>
          <w:rFonts w:hint="eastAsia" w:cs="Times New Roman"/>
          <w:color w:val="000000" w:themeColor="text1"/>
          <w:szCs w:val="20"/>
          <w14:textFill>
            <w14:solidFill>
              <w14:schemeClr w14:val="tx1"/>
            </w14:solidFill>
          </w14:textFill>
        </w:rPr>
        <w:t>井</w:t>
      </w:r>
      <w:r>
        <w:rPr>
          <w:rFonts w:cs="Times New Roman"/>
          <w:color w:val="000000" w:themeColor="text1"/>
          <w:szCs w:val="20"/>
          <w14:textFill>
            <w14:solidFill>
              <w14:schemeClr w14:val="tx1"/>
            </w14:solidFill>
          </w14:textFill>
        </w:rPr>
        <w:t>90</w:t>
      </w:r>
      <w:r>
        <w:rPr>
          <w:rFonts w:hint="eastAsia" w:cs="Times New Roman"/>
          <w:color w:val="000000" w:themeColor="text1"/>
          <w:szCs w:val="20"/>
          <w14:textFill>
            <w14:solidFill>
              <w14:schemeClr w14:val="tx1"/>
            </w14:solidFill>
          </w14:textFill>
        </w:rPr>
        <w:t>万方/天，</w:t>
      </w:r>
      <w:r>
        <w:rPr>
          <w:rFonts w:cs="Times New Roman"/>
          <w:color w:val="000000" w:themeColor="text1"/>
          <w:szCs w:val="20"/>
          <w14:textFill>
            <w14:solidFill>
              <w14:schemeClr w14:val="tx1"/>
            </w14:solidFill>
          </w14:textFill>
        </w:rPr>
        <w:t>目前产量P3011-2井34万方/天、P3011-3井38万方/天</w:t>
      </w:r>
      <w:r>
        <w:rPr>
          <w:rFonts w:hint="eastAsia" w:cs="Times New Roman"/>
          <w:color w:val="000000" w:themeColor="text1"/>
          <w:szCs w:val="20"/>
          <w14:textFill>
            <w14:solidFill>
              <w14:schemeClr w14:val="tx1"/>
            </w14:solidFill>
          </w14:textFill>
        </w:rPr>
        <w:t>、P3011-</w:t>
      </w:r>
      <w:r>
        <w:rPr>
          <w:rFonts w:cs="Times New Roman"/>
          <w:color w:val="000000" w:themeColor="text1"/>
          <w:szCs w:val="20"/>
          <w14:textFill>
            <w14:solidFill>
              <w14:schemeClr w14:val="tx1"/>
            </w14:solidFill>
          </w14:textFill>
        </w:rPr>
        <w:t>4</w:t>
      </w:r>
      <w:r>
        <w:rPr>
          <w:rFonts w:hint="eastAsia" w:cs="Times New Roman"/>
          <w:color w:val="000000" w:themeColor="text1"/>
          <w:szCs w:val="20"/>
          <w14:textFill>
            <w14:solidFill>
              <w14:schemeClr w14:val="tx1"/>
            </w14:solidFill>
          </w14:textFill>
        </w:rPr>
        <w:t>井</w:t>
      </w:r>
      <w:r>
        <w:rPr>
          <w:rFonts w:cs="Times New Roman"/>
          <w:color w:val="000000" w:themeColor="text1"/>
          <w:szCs w:val="20"/>
          <w14:textFill>
            <w14:solidFill>
              <w14:schemeClr w14:val="tx1"/>
            </w14:solidFill>
          </w14:textFill>
        </w:rPr>
        <w:t>36</w:t>
      </w:r>
      <w:r>
        <w:rPr>
          <w:rFonts w:hint="eastAsia" w:cs="Times New Roman"/>
          <w:color w:val="000000" w:themeColor="text1"/>
          <w:szCs w:val="20"/>
          <w14:textFill>
            <w14:solidFill>
              <w14:schemeClr w14:val="tx1"/>
            </w14:solidFill>
          </w14:textFill>
        </w:rPr>
        <w:t>万方/天</w:t>
      </w:r>
      <w:r>
        <w:rPr>
          <w:rFonts w:cs="Times New Roman"/>
          <w:color w:val="000000" w:themeColor="text1"/>
          <w:szCs w:val="20"/>
          <w14:textFill>
            <w14:solidFill>
              <w14:schemeClr w14:val="tx1"/>
            </w14:solidFill>
          </w14:textFill>
        </w:rPr>
        <w:t>。</w:t>
      </w:r>
    </w:p>
    <w:p>
      <w:pPr>
        <w:adjustRightInd/>
        <w:ind w:firstLine="480"/>
        <w:rPr>
          <w:rFonts w:cs="Times New Roman"/>
          <w:color w:val="000000" w:themeColor="text1"/>
          <w:szCs w:val="20"/>
          <w14:textFill>
            <w14:solidFill>
              <w14:schemeClr w14:val="tx1"/>
            </w14:solidFill>
          </w14:textFill>
        </w:rPr>
      </w:pPr>
      <w:r>
        <w:rPr>
          <w:rFonts w:hint="eastAsia" w:cs="Times New Roman"/>
          <w:color w:val="000000" w:themeColor="text1"/>
          <w:szCs w:val="20"/>
          <w14:textFill>
            <w14:solidFill>
              <w14:schemeClr w14:val="tx1"/>
            </w14:solidFill>
          </w14:textFill>
        </w:rPr>
        <w:t>P3011采气站毗邻普光主体区块P301集气站，P3011采气站内现有2口气井P3011-1井、P3011-5井，原设计配产P3011-1井85万方/天、P3011-5井85万方/天，</w:t>
      </w:r>
      <w:r>
        <w:rPr>
          <w:rFonts w:cs="Times New Roman"/>
          <w:color w:val="000000" w:themeColor="text1"/>
          <w:szCs w:val="20"/>
          <w14:textFill>
            <w14:solidFill>
              <w14:schemeClr w14:val="tx1"/>
            </w14:solidFill>
          </w14:textFill>
        </w:rPr>
        <w:t>目前产量P3011-1井34万方/天、P3011-5井50万方/天。随着气井的不断开采，P3011-1井、P3011-5井的井口油压逐渐降低，目前井口油压已降至8.5MPa、8.8MPa，油温温度42</w:t>
      </w:r>
      <w:r>
        <w:rPr>
          <w:rFonts w:hint="eastAsia" w:ascii="宋体" w:hAnsi="宋体" w:cs="宋体"/>
          <w:color w:val="000000" w:themeColor="text1"/>
          <w:szCs w:val="20"/>
          <w14:textFill>
            <w14:solidFill>
              <w14:schemeClr w14:val="tx1"/>
            </w14:solidFill>
          </w14:textFill>
        </w:rPr>
        <w:t>℃</w:t>
      </w:r>
      <w:r>
        <w:rPr>
          <w:rFonts w:cs="Times New Roman"/>
          <w:color w:val="000000" w:themeColor="text1"/>
          <w:szCs w:val="20"/>
          <w14:textFill>
            <w14:solidFill>
              <w14:schemeClr w14:val="tx1"/>
            </w14:solidFill>
          </w14:textFill>
        </w:rPr>
        <w:t>、61</w:t>
      </w:r>
      <w:r>
        <w:rPr>
          <w:rFonts w:hint="eastAsia" w:ascii="宋体" w:hAnsi="宋体" w:cs="宋体"/>
          <w:color w:val="000000" w:themeColor="text1"/>
          <w:szCs w:val="20"/>
          <w14:textFill>
            <w14:solidFill>
              <w14:schemeClr w14:val="tx1"/>
            </w14:solidFill>
          </w14:textFill>
        </w:rPr>
        <w:t>℃</w:t>
      </w:r>
      <w:r>
        <w:rPr>
          <w:rFonts w:cs="Times New Roman"/>
          <w:color w:val="000000" w:themeColor="text1"/>
          <w:szCs w:val="20"/>
          <w14:textFill>
            <w14:solidFill>
              <w14:schemeClr w14:val="tx1"/>
            </w14:solidFill>
          </w14:textFill>
        </w:rPr>
        <w:t>。目前未进行节流，直接经P301集气站外输至集气总站，且无需使用加热炉。目前P3011-1井的二、三级节流阀已拆除，P3011-5井的二级节流阀已拆除，三级节流阀为全开。站内从井口至P301集气站工艺流程设施整体完好，包括水套加热炉等，仅拆除了临时分酸分离器、酸液缓冲罐和乙二醇加注撬。</w:t>
      </w:r>
    </w:p>
    <w:p>
      <w:pPr>
        <w:pStyle w:val="4"/>
        <w:ind w:firstLine="241"/>
      </w:pPr>
      <w:r>
        <w:rPr>
          <w:rFonts w:hint="eastAsia"/>
        </w:rPr>
        <w:t>3.1.2</w:t>
      </w:r>
      <w:r>
        <w:t>环保手续履行情况</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P301</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P3011</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集气站为原国家环境保护总局出具的《关于中国石化普光气田开发及川气东送管道工程环境影响报告书的批复》（环审〔2007〕76号）中批复的建设内容，并在2013年环境保护部以环验〔2013〕92号文《关于中国石化普光气田开发工程及川气东送工程竣工环境保护验收合格的函》通过竣工环保验收。</w:t>
      </w:r>
    </w:p>
    <w:p>
      <w:pPr>
        <w:ind w:firstLine="480"/>
        <w:rPr>
          <w:rFonts w:cs="Times New Roman"/>
          <w:color w:val="000000" w:themeColor="text1"/>
          <w14:textFill>
            <w14:solidFill>
              <w14:schemeClr w14:val="tx1"/>
            </w14:solidFill>
          </w14:textFill>
        </w:rPr>
      </w:pPr>
      <w:r>
        <w:rPr>
          <w:rFonts w:cs="Times New Roman"/>
          <w:bCs/>
          <w:color w:val="000000" w:themeColor="text1"/>
          <w:szCs w:val="24"/>
          <w14:textFill>
            <w14:solidFill>
              <w14:schemeClr w14:val="tx1"/>
            </w14:solidFill>
          </w14:textFill>
        </w:rPr>
        <w:t>中国石油化工股份有限公司中原油田普光分公司</w:t>
      </w:r>
      <w:r>
        <w:rPr>
          <w:rFonts w:hint="eastAsia" w:cs="Times New Roman"/>
          <w:bCs/>
          <w:color w:val="000000" w:themeColor="text1"/>
          <w:szCs w:val="24"/>
          <w14:textFill>
            <w14:solidFill>
              <w14:schemeClr w14:val="tx1"/>
            </w14:solidFill>
          </w14:textFill>
        </w:rPr>
        <w:t>已取得固定污染源</w:t>
      </w:r>
      <w:r>
        <w:rPr>
          <w:rFonts w:cs="Times New Roman"/>
          <w:bCs/>
          <w:color w:val="000000" w:themeColor="text1"/>
          <w:szCs w:val="24"/>
          <w14:textFill>
            <w14:solidFill>
              <w14:schemeClr w14:val="tx1"/>
            </w14:solidFill>
          </w14:textFill>
        </w:rPr>
        <w:t>排污登记</w:t>
      </w:r>
      <w:r>
        <w:rPr>
          <w:rFonts w:hint="eastAsia" w:cs="Times New Roman"/>
          <w:bCs/>
          <w:color w:val="000000" w:themeColor="text1"/>
          <w:szCs w:val="24"/>
          <w14:textFill>
            <w14:solidFill>
              <w14:schemeClr w14:val="tx1"/>
            </w14:solidFill>
          </w14:textFill>
        </w:rPr>
        <w:t>回执，</w:t>
      </w:r>
      <w:r>
        <w:rPr>
          <w:rFonts w:cs="Times New Roman"/>
          <w:bCs/>
          <w:color w:val="000000" w:themeColor="text1"/>
          <w:szCs w:val="24"/>
          <w14:textFill>
            <w14:solidFill>
              <w14:schemeClr w14:val="tx1"/>
            </w14:solidFill>
          </w14:textFill>
        </w:rPr>
        <w:t>编号为915117006653749396005Y</w:t>
      </w:r>
      <w:r>
        <w:rPr>
          <w:rFonts w:hint="eastAsia" w:cs="Times New Roman"/>
          <w:bCs/>
          <w:color w:val="000000" w:themeColor="text1"/>
          <w:szCs w:val="24"/>
          <w14:textFill>
            <w14:solidFill>
              <w14:schemeClr w14:val="tx1"/>
            </w14:solidFill>
          </w14:textFill>
        </w:rPr>
        <w:t>。</w:t>
      </w:r>
    </w:p>
    <w:p>
      <w:pPr>
        <w:pStyle w:val="4"/>
        <w:ind w:firstLine="241"/>
      </w:pPr>
      <w:r>
        <w:t>3.1.3 P301集气站</w:t>
      </w:r>
      <w:r>
        <w:rPr>
          <w:rFonts w:hint="eastAsia"/>
        </w:rPr>
        <w:t>（含</w:t>
      </w:r>
      <w:r>
        <w:t>P3011采气站</w:t>
      </w:r>
      <w:r>
        <w:rPr>
          <w:rFonts w:hint="eastAsia"/>
        </w:rPr>
        <w:t>）</w:t>
      </w:r>
      <w:r>
        <w:t>内原有污染物产生及处置情况</w:t>
      </w:r>
    </w:p>
    <w:p>
      <w:pPr>
        <w:adjustRightInd/>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（1）废气</w:t>
      </w:r>
    </w:p>
    <w:p>
      <w:pPr>
        <w:adjustRightInd/>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P301集气站和P3011采气站产生的废气主要为事故/检修放空废气，P3011采气站放空天然气通过管线进入P301集气站的火炬分液罐后，通过放空立管点燃后高空排放，由于事故/检修概率较低，放空废气对周边环境影响较小；水套加热炉以净化后天然气为原料气，燃烧废气经水套炉自带排气筒排放，对环境影响小。</w:t>
      </w:r>
    </w:p>
    <w:p>
      <w:pPr>
        <w:adjustRightInd/>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（2）废水</w:t>
      </w:r>
    </w:p>
    <w:p>
      <w:pPr>
        <w:adjustRightInd/>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P301集气站和P3011采气站站场产生的废水主要为生活污水。值班人员生活废水经站场化粪池处理后定期由密闭罐车拉运至周边生活污水处理厂处理，不外排。</w:t>
      </w:r>
    </w:p>
    <w:p>
      <w:pPr>
        <w:adjustRightInd/>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计量分离气田水暂存于酸液缓冲罐，然后通过密闭罐车拉运至赵家坝污水处理站达到《气田水回注方法》（SY/T 6596-2016）中注入水基本要求后管输至普光11井回注站回注处理，不外排。</w:t>
      </w:r>
    </w:p>
    <w:p>
      <w:pPr>
        <w:adjustRightInd/>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（3）噪声</w:t>
      </w:r>
    </w:p>
    <w:p>
      <w:pPr>
        <w:adjustRightInd/>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P301集气站和P3011采气站噪声主要来自于节流阀等设备噪声以及放空作业噪声，其中设备运行噪声达60-65dB（A），放空噪声达90dB（A）。由于放空管事故放空几率较小，对周围声环境影响较小。其厂界噪声能够满足《工业企业厂界环境噪声排放标准》（GB12348-2008）中的2类标准。</w:t>
      </w:r>
    </w:p>
    <w:p>
      <w:pPr>
        <w:adjustRightInd/>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（4）固废</w:t>
      </w:r>
    </w:p>
    <w:p>
      <w:pPr>
        <w:adjustRightInd/>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P301集气站和P3011采气站产生固废主要有清管、检修废渣和生活垃圾。场站清管废渣按1kg/次考虑，每年清管1次，主要为铁屑，每年产生清管废渣1kg/a；场站检修废渣按1kg/次考虑，每年检修1次，检修废渣主要为铁屑，每年产生检修废渣1kg/a，清管检修废渣主要为机械杂质等，运输至净化厂集中处置。生活垃圾产生量为730kg/a，用垃圾桶收集，委托当地环卫部门清运处置。</w:t>
      </w:r>
    </w:p>
    <w:p>
      <w:pPr>
        <w:adjustRightInd/>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（5）生态环境</w:t>
      </w:r>
    </w:p>
    <w:p>
      <w:pPr>
        <w:adjustRightInd/>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P3011采气站和P301集气站井场表面铺设了碎石，有效防止了雨水冲刷；场地周围修临时排水沟，临坡面做护坡处理，有效防治了水土流失；已对施工现场边坡及其他临时占地进行</w:t>
      </w:r>
      <w:r>
        <w:rPr>
          <w:rFonts w:cs="Times New Roman"/>
          <w:color w:val="000000" w:themeColor="text1"/>
          <w:szCs w:val="21"/>
          <w14:textFill>
            <w14:solidFill>
              <w14:schemeClr w14:val="tx1"/>
            </w14:solidFill>
          </w14:textFill>
        </w:rPr>
        <w:t>土地复垦和植被恢复。</w:t>
      </w:r>
    </w:p>
    <w:p>
      <w:pPr>
        <w:adjustRightInd/>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P3011采气站和P301集气站井场现状如图3.1-1和3.1-2。</w:t>
      </w:r>
    </w:p>
    <w:p>
      <w:pPr>
        <w:adjustRightInd/>
        <w:ind w:firstLine="0" w:firstLineChars="0"/>
        <w:jc w:val="center"/>
        <w:rPr>
          <w:rFonts w:cs="Times New Roman"/>
          <w:color w:val="000000" w:themeColor="text1"/>
          <w:szCs w:val="20"/>
          <w14:textFill>
            <w14:solidFill>
              <w14:schemeClr w14:val="tx1"/>
            </w14:solidFill>
          </w14:textFill>
        </w:rPr>
      </w:pPr>
      <w:r>
        <w:rPr>
          <w:rFonts w:cs="Times New Roman"/>
        </w:rPr>
        <w:drawing>
          <wp:inline distT="0" distB="0" distL="0" distR="0">
            <wp:extent cx="5276850" cy="2851150"/>
            <wp:effectExtent l="0" t="0" r="0" b="635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43"/>
                    <a:stretch>
                      <a:fillRect/>
                    </a:stretch>
                  </pic:blipFill>
                  <pic:spPr>
                    <a:xfrm>
                      <a:off x="0" y="0"/>
                      <a:ext cx="5276850" cy="2851150"/>
                    </a:xfrm>
                    <a:prstGeom prst="rect">
                      <a:avLst/>
                    </a:prstGeom>
                  </pic:spPr>
                </pic:pic>
              </a:graphicData>
            </a:graphic>
          </wp:inline>
        </w:drawing>
      </w:r>
    </w:p>
    <w:p>
      <w:pPr>
        <w:adjustRightInd/>
        <w:ind w:firstLine="0" w:firstLineChars="0"/>
        <w:jc w:val="center"/>
        <w:rPr>
          <w:rFonts w:cs="Times New Roman"/>
          <w:color w:val="000000" w:themeColor="text1"/>
          <w:szCs w:val="20"/>
          <w14:textFill>
            <w14:solidFill>
              <w14:schemeClr w14:val="tx1"/>
            </w14:solidFill>
          </w14:textFill>
        </w:rPr>
      </w:pPr>
      <w:r>
        <w:rPr>
          <w:rFonts w:cs="Times New Roman"/>
          <w:color w:val="000000" w:themeColor="text1"/>
          <w:sz w:val="21"/>
          <w14:textFill>
            <w14:solidFill>
              <w14:schemeClr w14:val="tx1"/>
            </w14:solidFill>
          </w14:textFill>
        </w:rPr>
        <w:t>图3.1-1  P3011采气站井场现状</w:t>
      </w:r>
    </w:p>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rPr>
        <w:drawing>
          <wp:inline distT="0" distB="0" distL="0" distR="0">
            <wp:extent cx="5276850" cy="3217545"/>
            <wp:effectExtent l="0" t="0" r="0" b="19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4"/>
                    <a:srcRect b="9933"/>
                    <a:stretch>
                      <a:fillRect/>
                    </a:stretch>
                  </pic:blipFill>
                  <pic:spPr>
                    <a:xfrm>
                      <a:off x="0" y="0"/>
                      <a:ext cx="5276850" cy="3217653"/>
                    </a:xfrm>
                    <a:prstGeom prst="rect">
                      <a:avLst/>
                    </a:prstGeom>
                    <a:ln>
                      <a:noFill/>
                    </a:ln>
                  </pic:spPr>
                </pic:pic>
              </a:graphicData>
            </a:graphic>
          </wp:inline>
        </w:drawing>
      </w:r>
    </w:p>
    <w:p>
      <w:pPr>
        <w:widowControl/>
        <w:tabs>
          <w:tab w:val="left" w:pos="3864"/>
        </w:tabs>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图3.1-2  P301集气站井场现状</w:t>
      </w:r>
    </w:p>
    <w:p>
      <w:pPr>
        <w:adjustRightInd/>
        <w:ind w:firstLine="482"/>
        <w:rPr>
          <w:rFonts w:cs="Times New Roman"/>
          <w:b/>
          <w:bCs/>
          <w:color w:val="000000" w:themeColor="text1"/>
          <w:szCs w:val="20"/>
          <w14:textFill>
            <w14:solidFill>
              <w14:schemeClr w14:val="tx1"/>
            </w14:solidFill>
          </w14:textFill>
        </w:rPr>
      </w:pPr>
      <w:r>
        <w:rPr>
          <w:rFonts w:cs="Times New Roman"/>
          <w:b/>
          <w:bCs/>
          <w:color w:val="000000" w:themeColor="text1"/>
          <w:szCs w:val="20"/>
          <w14:textFill>
            <w14:solidFill>
              <w14:schemeClr w14:val="tx1"/>
            </w14:solidFill>
          </w14:textFill>
        </w:rPr>
        <w:t>3、原有环境问题</w:t>
      </w:r>
    </w:p>
    <w:p>
      <w:pPr>
        <w:adjustRightInd/>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对照2007年12月14日原国家环境保护总局《关于中国石化普光气田开发及川气东送管道工程环境影响报告书的批复》（环审〔2007〕76号）和原中华人民共和国环境保护部《关于中国石化普光气田开发及川气东送管道工程竣工环境保护验收意见》（环验〔2013〕92号）及根据现场调查，P301集气站在营运过程中严格落实了各项污染防治措施，未对周边环境造成明显影响，也未接到周边环保投诉，气田开发工程严格落实了环审〔2007〕76号批复要求，集气站内部设置了地面硫化氢检测报警仪，无环境遗留问题。</w:t>
      </w:r>
    </w:p>
    <w:p>
      <w:pPr>
        <w:pStyle w:val="4"/>
        <w:ind w:firstLine="241"/>
      </w:pPr>
      <w:r>
        <w:rPr>
          <w:rFonts w:hint="eastAsia"/>
        </w:rPr>
        <w:t>3.1.4</w:t>
      </w:r>
      <w:r>
        <w:t>设施依托可行性</w:t>
      </w:r>
    </w:p>
    <w:p>
      <w:pPr>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试采期依托可行性分析</w:t>
      </w:r>
    </w:p>
    <w:p>
      <w:pPr>
        <w:ind w:firstLine="480"/>
        <w:rPr>
          <w:rFonts w:cs="Times New Roman"/>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本次扩建P3011采气站，在扩建区域新建普光3011-6井气井，新井天然气经一、二级节流后，在P3011采气站分酸、加热、三次节流后输送至已建P301集气站，在P301集气站内计量分离依托已建的集输管道外输至天然气净化厂。P3011采气站到P301集气站工艺设施完整，依托P3011采气站现有水套加热炉，利用拆除的</w:t>
      </w:r>
      <w:r>
        <w:rPr>
          <w:rFonts w:cs="Times New Roman"/>
          <w:color w:val="000000" w:themeColor="text1"/>
          <w:szCs w:val="20"/>
          <w14:textFill>
            <w14:solidFill>
              <w14:schemeClr w14:val="tx1"/>
            </w14:solidFill>
          </w14:textFill>
        </w:rPr>
        <w:t>临时分酸分离器、酸液缓冲罐进行工艺设施建设，依托现有放空管线和放空系统，依托P301集气站外输管线。</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（1）采气站依托可行性分析</w:t>
      </w:r>
    </w:p>
    <w:p>
      <w:pPr>
        <w:ind w:firstLine="482"/>
        <w:rPr>
          <w:rFonts w:cs="Times New Roman"/>
          <w:color w:val="000000" w:themeColor="text1"/>
          <w14:textFill>
            <w14:solidFill>
              <w14:schemeClr w14:val="tx1"/>
            </w14:solidFill>
          </w14:textFill>
        </w:rPr>
      </w:pPr>
      <w:r>
        <w:rPr>
          <w:rFonts w:cs="Times New Roman"/>
          <w:b/>
          <w:bCs/>
          <w:color w:val="000000" w:themeColor="text1"/>
          <w14:textFill>
            <w14:solidFill>
              <w14:schemeClr w14:val="tx1"/>
            </w14:solidFill>
          </w14:textFill>
        </w:rPr>
        <w:t>水套炉依托可行性分析：</w:t>
      </w:r>
      <w:r>
        <w:rPr>
          <w:rFonts w:hint="eastAsia" w:cs="Times New Roman"/>
          <w:bCs/>
          <w:color w:val="000000" w:themeColor="text1"/>
          <w14:textFill>
            <w14:solidFill>
              <w14:schemeClr w14:val="tx1"/>
            </w14:solidFill>
          </w14:textFill>
        </w:rPr>
        <w:t>根据</w:t>
      </w:r>
      <w:r>
        <w:rPr>
          <w:rFonts w:cs="Times New Roman"/>
          <w:color w:val="000000" w:themeColor="text1"/>
          <w14:textFill>
            <w14:solidFill>
              <w14:schemeClr w14:val="tx1"/>
            </w14:solidFill>
          </w14:textFill>
        </w:rPr>
        <w:t>本</w:t>
      </w:r>
      <w:r>
        <w:rPr>
          <w:rFonts w:hint="eastAsia" w:cs="Times New Roman"/>
          <w:color w:val="000000" w:themeColor="text1"/>
          <w14:textFill>
            <w14:solidFill>
              <w14:schemeClr w14:val="tx1"/>
            </w14:solidFill>
          </w14:textFill>
        </w:rPr>
        <w:t>项目可研</w:t>
      </w:r>
      <w:r>
        <w:rPr>
          <w:rFonts w:cs="Times New Roman"/>
          <w:color w:val="000000" w:themeColor="text1"/>
          <w14:textFill>
            <w14:solidFill>
              <w14:schemeClr w14:val="tx1"/>
            </w14:solidFill>
          </w14:textFill>
        </w:rPr>
        <w:t>报告，</w:t>
      </w:r>
      <w:r>
        <w:rPr>
          <w:rFonts w:hint="eastAsia" w:cs="Times New Roman"/>
          <w:color w:val="000000" w:themeColor="text1"/>
          <w14:textFill>
            <w14:solidFill>
              <w14:schemeClr w14:val="tx1"/>
            </w14:solidFill>
          </w14:textFill>
        </w:rPr>
        <w:t>3011-6井</w:t>
      </w:r>
      <w:r>
        <w:rPr>
          <w:rFonts w:cs="Times New Roman"/>
          <w:color w:val="000000" w:themeColor="text1"/>
          <w14:textFill>
            <w14:solidFill>
              <w14:schemeClr w14:val="tx1"/>
            </w14:solidFill>
          </w14:textFill>
        </w:rPr>
        <w:t>水套炉</w:t>
      </w:r>
      <w:r>
        <w:rPr>
          <w:rFonts w:hint="eastAsia" w:cs="Times New Roman"/>
          <w:color w:val="000000" w:themeColor="text1"/>
          <w14:textFill>
            <w14:solidFill>
              <w14:schemeClr w14:val="tx1"/>
            </w14:solidFill>
          </w14:textFill>
        </w:rPr>
        <w:t>加热节流</w:t>
      </w:r>
      <w:r>
        <w:rPr>
          <w:rFonts w:cs="Times New Roman"/>
          <w:color w:val="000000" w:themeColor="text1"/>
          <w14:textFill>
            <w14:solidFill>
              <w14:schemeClr w14:val="tx1"/>
            </w14:solidFill>
          </w14:textFill>
        </w:rPr>
        <w:t>所需</w:t>
      </w:r>
      <w:r>
        <w:rPr>
          <w:rFonts w:hint="eastAsia" w:cs="Times New Roman"/>
          <w:color w:val="000000" w:themeColor="text1"/>
          <w14:textFill>
            <w14:solidFill>
              <w14:schemeClr w14:val="tx1"/>
            </w14:solidFill>
          </w14:textFill>
        </w:rPr>
        <w:t>热</w:t>
      </w:r>
      <w:r>
        <w:rPr>
          <w:rFonts w:cs="Times New Roman"/>
          <w:color w:val="000000" w:themeColor="text1"/>
          <w14:textFill>
            <w14:solidFill>
              <w14:schemeClr w14:val="tx1"/>
            </w14:solidFill>
          </w14:textFill>
        </w:rPr>
        <w:t>负荷181.66kW，加热炉热负荷按照86%计算合计所需水套加热炉负荷212kW，普光3011-6井口来气在采气站经过一、二级节流后，接入站内已建H-1201加热炉</w:t>
      </w:r>
      <w:r>
        <w:rPr>
          <w:rFonts w:hint="eastAsia" w:cs="Times New Roman"/>
          <w:color w:val="000000" w:themeColor="text1"/>
          <w14:textFill>
            <w14:solidFill>
              <w14:schemeClr w14:val="tx1"/>
            </w14:solidFill>
          </w14:textFill>
        </w:rPr>
        <w:t>。因P3011</w:t>
      </w:r>
      <w:r>
        <w:rPr>
          <w:rFonts w:cs="Times New Roman"/>
          <w:color w:val="000000" w:themeColor="text1"/>
          <w14:textFill>
            <w14:solidFill>
              <w14:schemeClr w14:val="tx1"/>
            </w14:solidFill>
          </w14:textFill>
        </w:rPr>
        <w:t>-1</w:t>
      </w:r>
      <w:r>
        <w:rPr>
          <w:rFonts w:hint="eastAsia" w:cs="Times New Roman"/>
          <w:color w:val="000000" w:themeColor="text1"/>
          <w14:textFill>
            <w14:solidFill>
              <w14:schemeClr w14:val="tx1"/>
            </w14:solidFill>
          </w14:textFill>
        </w:rPr>
        <w:t>井井口</w:t>
      </w:r>
      <w:r>
        <w:rPr>
          <w:rFonts w:cs="Times New Roman"/>
          <w:color w:val="000000" w:themeColor="text1"/>
          <w14:textFill>
            <w14:solidFill>
              <w14:schemeClr w14:val="tx1"/>
            </w14:solidFill>
          </w14:textFill>
        </w:rPr>
        <w:t>油压逐渐降低，无需再进行节流和加热，</w:t>
      </w:r>
      <w:r>
        <w:rPr>
          <w:rFonts w:hint="eastAsia" w:cs="Times New Roman"/>
          <w:color w:val="000000" w:themeColor="text1"/>
          <w14:textFill>
            <w14:solidFill>
              <w14:schemeClr w14:val="tx1"/>
            </w14:solidFill>
          </w14:textFill>
        </w:rPr>
        <w:t>故</w:t>
      </w:r>
      <w:r>
        <w:rPr>
          <w:rFonts w:cs="Times New Roman"/>
          <w:color w:val="000000" w:themeColor="text1"/>
          <w14:textFill>
            <w14:solidFill>
              <w14:schemeClr w14:val="tx1"/>
            </w14:solidFill>
          </w14:textFill>
        </w:rPr>
        <w:t>对</w:t>
      </w:r>
      <w:r>
        <w:rPr>
          <w:rFonts w:hint="eastAsia" w:cs="Times New Roman"/>
          <w:color w:val="000000" w:themeColor="text1"/>
          <w14:textFill>
            <w14:solidFill>
              <w14:schemeClr w14:val="tx1"/>
            </w14:solidFill>
          </w14:textFill>
        </w:rPr>
        <w:t>P</w:t>
      </w:r>
      <w:r>
        <w:rPr>
          <w:rFonts w:cs="Times New Roman"/>
          <w:color w:val="000000" w:themeColor="text1"/>
          <w14:textFill>
            <w14:solidFill>
              <w14:schemeClr w14:val="tx1"/>
            </w14:solidFill>
          </w14:textFill>
        </w:rPr>
        <w:t>3011-1井来气流程进行改造，P3011-1井来气不再</w:t>
      </w:r>
      <w:r>
        <w:rPr>
          <w:rFonts w:hint="eastAsia" w:cs="Times New Roman"/>
          <w:color w:val="000000" w:themeColor="text1"/>
          <w14:textFill>
            <w14:solidFill>
              <w14:schemeClr w14:val="tx1"/>
            </w14:solidFill>
          </w14:textFill>
        </w:rPr>
        <w:t>通过</w:t>
      </w:r>
      <w:r>
        <w:rPr>
          <w:rFonts w:cs="Times New Roman"/>
          <w:color w:val="000000" w:themeColor="text1"/>
          <w14:textFill>
            <w14:solidFill>
              <w14:schemeClr w14:val="tx1"/>
            </w14:solidFill>
          </w14:textFill>
        </w:rPr>
        <w:t>H-1201加热炉，接入加热炉H-1201出口；普光3011-6井来气加热节流后与P3011-1井、P3011-5井来气汇合，经已建流程输往P301集气站，H-1201加热炉功率1000kW，满足新井接入的使用要求，依托可行。</w:t>
      </w:r>
    </w:p>
    <w:p>
      <w:pPr>
        <w:ind w:firstLine="482"/>
        <w:jc w:val="left"/>
        <w:rPr>
          <w:rFonts w:cs="Times New Roman"/>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临时分酸分离器利旧建设可行性分析：</w:t>
      </w:r>
      <w:r>
        <w:rPr>
          <w:rFonts w:cs="Times New Roman"/>
          <w:color w:val="000000" w:themeColor="text1"/>
          <w:szCs w:val="24"/>
          <w14:textFill>
            <w14:solidFill>
              <w14:schemeClr w14:val="tx1"/>
            </w14:solidFill>
          </w14:textFill>
        </w:rPr>
        <w:t>根据《气田集输设计规范》（GB50349）中分离器的选型要求，普光3011-6井所需要的临时分酸分离器工作压力为18Mpa，直径为230mm，利旧的临时分酸分离器规格为φ1200×4800mm</w:t>
      </w:r>
      <w:r>
        <w:rPr>
          <w:rFonts w:hint="eastAsia" w:cs="Times New Roman"/>
          <w:color w:val="000000" w:themeColor="text1"/>
          <w:szCs w:val="24"/>
          <w14:textFill>
            <w14:solidFill>
              <w14:schemeClr w14:val="tx1"/>
            </w14:solidFill>
          </w14:textFill>
        </w:rPr>
        <w:t>、压力</w:t>
      </w:r>
      <w:r>
        <w:rPr>
          <w:rFonts w:cs="Times New Roman"/>
          <w:color w:val="000000" w:themeColor="text1"/>
          <w:szCs w:val="24"/>
          <w14:textFill>
            <w14:solidFill>
              <w14:schemeClr w14:val="tx1"/>
            </w14:solidFill>
          </w14:textFill>
        </w:rPr>
        <w:t>20Mpa</w:t>
      </w:r>
      <w:r>
        <w:rPr>
          <w:rFonts w:hint="eastAsia" w:cs="Times New Roman"/>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能满足使用要求，利旧可行。</w:t>
      </w:r>
    </w:p>
    <w:p>
      <w:pPr>
        <w:ind w:firstLine="482"/>
        <w:rPr>
          <w:rFonts w:cs="Times New Roman"/>
          <w:color w:val="000000" w:themeColor="text1"/>
          <w:szCs w:val="24"/>
          <w14:textFill>
            <w14:solidFill>
              <w14:schemeClr w14:val="tx1"/>
            </w14:solidFill>
          </w14:textFill>
        </w:rPr>
      </w:pPr>
      <w:r>
        <w:rPr>
          <w:rFonts w:cs="Times New Roman"/>
          <w:b/>
          <w:color w:val="000000" w:themeColor="text1"/>
          <w:szCs w:val="20"/>
          <w14:textFill>
            <w14:solidFill>
              <w14:schemeClr w14:val="tx1"/>
            </w14:solidFill>
          </w14:textFill>
        </w:rPr>
        <w:t>酸液缓冲罐利旧建设可行性分析：</w:t>
      </w:r>
      <w:r>
        <w:rPr>
          <w:rFonts w:cs="Times New Roman"/>
          <w:color w:val="000000" w:themeColor="text1"/>
          <w:szCs w:val="20"/>
          <w14:textFill>
            <w14:solidFill>
              <w14:schemeClr w14:val="tx1"/>
            </w14:solidFill>
          </w14:textFill>
        </w:rPr>
        <w:t>临时分酸分离器用于前期返排采气工程使用的压裂酸化酸液，投产初期分离器分出的酸液及污水排放至配套利旧酸液缓冲罐，定期拉运处理。配套利旧酸液缓冲罐存液量为20m</w:t>
      </w:r>
      <w:r>
        <w:rPr>
          <w:rFonts w:cs="Times New Roman"/>
          <w:color w:val="000000" w:themeColor="text1"/>
          <w:szCs w:val="20"/>
          <w:vertAlign w:val="superscript"/>
          <w14:textFill>
            <w14:solidFill>
              <w14:schemeClr w14:val="tx1"/>
            </w14:solidFill>
          </w14:textFill>
        </w:rPr>
        <w:t>3</w:t>
      </w:r>
      <w:r>
        <w:rPr>
          <w:rFonts w:cs="Times New Roman"/>
          <w:color w:val="000000" w:themeColor="text1"/>
          <w:szCs w:val="20"/>
          <w14:textFill>
            <w14:solidFill>
              <w14:schemeClr w14:val="tx1"/>
            </w14:solidFill>
          </w14:textFill>
        </w:rPr>
        <w:t>，通过调度转运频次，可以用于收集临时分酸分离器分出的返排酸液，利旧可行。</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（2）集气站依托可行性分</w:t>
      </w:r>
    </w:p>
    <w:p>
      <w:pPr>
        <w:ind w:firstLine="482"/>
        <w:rPr>
          <w:rFonts w:cs="Times New Roman"/>
          <w:color w:val="000000" w:themeColor="text1"/>
          <w:szCs w:val="24"/>
          <w14:textFill>
            <w14:solidFill>
              <w14:schemeClr w14:val="tx1"/>
            </w14:solidFill>
          </w14:textFill>
        </w:rPr>
      </w:pPr>
      <w:r>
        <w:rPr>
          <w:rFonts w:cs="Times New Roman"/>
          <w:b/>
          <w:bCs/>
          <w:color w:val="000000" w:themeColor="text1"/>
          <w14:textFill>
            <w14:solidFill>
              <w14:schemeClr w14:val="tx1"/>
            </w14:solidFill>
          </w14:textFill>
        </w:rPr>
        <w:t>生产规模依托可行性分析：</w:t>
      </w:r>
      <w:r>
        <w:rPr>
          <w:rFonts w:cs="Times New Roman"/>
          <w:color w:val="000000" w:themeColor="text1"/>
          <w14:textFill>
            <w14:solidFill>
              <w14:schemeClr w14:val="tx1"/>
            </w14:solidFill>
          </w14:textFill>
        </w:rPr>
        <w:t>P301集气站原设计规模520×10</w:t>
      </w:r>
      <w:r>
        <w:rPr>
          <w:rFonts w:cs="Times New Roman"/>
          <w:color w:val="000000" w:themeColor="text1"/>
          <w:vertAlign w:val="superscript"/>
          <w14:textFill>
            <w14:solidFill>
              <w14:schemeClr w14:val="tx1"/>
            </w14:solidFill>
          </w14:textFill>
        </w:rPr>
        <w:t>4</w:t>
      </w:r>
      <w:r>
        <w:rPr>
          <w:rFonts w:cs="Times New Roman"/>
          <w:color w:val="000000" w:themeColor="text1"/>
          <w14:textFill>
            <w14:solidFill>
              <w14:schemeClr w14:val="tx1"/>
            </w14:solidFill>
          </w14:textFill>
        </w:rPr>
        <w:t>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/d，目前</w:t>
      </w:r>
      <w:r>
        <w:rPr>
          <w:rFonts w:hint="eastAsia" w:cs="Times New Roman"/>
          <w:color w:val="000000" w:themeColor="text1"/>
          <w14:textFill>
            <w14:solidFill>
              <w14:schemeClr w14:val="tx1"/>
            </w14:solidFill>
          </w14:textFill>
        </w:rPr>
        <w:t>站内5口</w:t>
      </w:r>
      <w:r>
        <w:rPr>
          <w:rFonts w:cs="Times New Roman"/>
          <w:color w:val="000000" w:themeColor="text1"/>
          <w14:textFill>
            <w14:solidFill>
              <w14:schemeClr w14:val="tx1"/>
            </w14:solidFill>
          </w14:textFill>
        </w:rPr>
        <w:t>井产量192×10</w:t>
      </w:r>
      <w:r>
        <w:rPr>
          <w:rFonts w:cs="Times New Roman"/>
          <w:color w:val="000000" w:themeColor="text1"/>
          <w:vertAlign w:val="superscript"/>
          <w14:textFill>
            <w14:solidFill>
              <w14:schemeClr w14:val="tx1"/>
            </w14:solidFill>
          </w14:textFill>
        </w:rPr>
        <w:t>4</w:t>
      </w:r>
      <w:r>
        <w:rPr>
          <w:rFonts w:cs="Times New Roman"/>
          <w:color w:val="000000" w:themeColor="text1"/>
          <w14:textFill>
            <w14:solidFill>
              <w14:schemeClr w14:val="tx1"/>
            </w14:solidFill>
          </w14:textFill>
        </w:rPr>
        <w:t>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/d（P3011-1、P3011-2、P3011-3、P3011-4、P3011-5），还富余328×10</w:t>
      </w:r>
      <w:r>
        <w:rPr>
          <w:rFonts w:cs="Times New Roman"/>
          <w:color w:val="000000" w:themeColor="text1"/>
          <w:vertAlign w:val="superscript"/>
          <w14:textFill>
            <w14:solidFill>
              <w14:schemeClr w14:val="tx1"/>
            </w14:solidFill>
          </w14:textFill>
        </w:rPr>
        <w:t>4</w:t>
      </w:r>
      <w:r>
        <w:rPr>
          <w:rFonts w:cs="Times New Roman"/>
          <w:color w:val="000000" w:themeColor="text1"/>
          <w14:textFill>
            <w14:solidFill>
              <w14:schemeClr w14:val="tx1"/>
            </w14:solidFill>
          </w14:textFill>
        </w:rPr>
        <w:t>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/d的生产规模，其剩余能力满足普光3011井15×10</w:t>
      </w:r>
      <w:r>
        <w:rPr>
          <w:rFonts w:cs="Times New Roman"/>
          <w:color w:val="000000" w:themeColor="text1"/>
          <w:vertAlign w:val="superscript"/>
          <w14:textFill>
            <w14:solidFill>
              <w14:schemeClr w14:val="tx1"/>
            </w14:solidFill>
          </w14:textFill>
        </w:rPr>
        <w:t>4</w:t>
      </w:r>
      <w:r>
        <w:rPr>
          <w:rFonts w:cs="Times New Roman"/>
          <w:color w:val="000000" w:themeColor="text1"/>
          <w14:textFill>
            <w14:solidFill>
              <w14:schemeClr w14:val="tx1"/>
            </w14:solidFill>
          </w14:textFill>
        </w:rPr>
        <w:t>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/d接入需求，依托可行</w:t>
      </w:r>
      <w:r>
        <w:rPr>
          <w:rFonts w:cs="Times New Roman"/>
          <w:color w:val="000000" w:themeColor="text1"/>
          <w:szCs w:val="24"/>
          <w14:textFill>
            <w14:solidFill>
              <w14:schemeClr w14:val="tx1"/>
            </w14:solidFill>
          </w14:textFill>
        </w:rPr>
        <w:t>。</w:t>
      </w:r>
    </w:p>
    <w:p>
      <w:pPr>
        <w:ind w:firstLine="482"/>
        <w:rPr>
          <w:rFonts w:cs="Times New Roman"/>
          <w:color w:val="000000" w:themeColor="text1"/>
          <w14:textFill>
            <w14:solidFill>
              <w14:schemeClr w14:val="tx1"/>
            </w14:solidFill>
          </w14:textFill>
        </w:rPr>
      </w:pPr>
      <w:r>
        <w:rPr>
          <w:rFonts w:cs="Times New Roman"/>
          <w:b/>
          <w:bCs/>
          <w:color w:val="000000" w:themeColor="text1"/>
          <w14:textFill>
            <w14:solidFill>
              <w14:schemeClr w14:val="tx1"/>
            </w14:solidFill>
          </w14:textFill>
        </w:rPr>
        <w:t>放空系统依托可行性分析：</w:t>
      </w:r>
      <w:r>
        <w:rPr>
          <w:rFonts w:cs="Times New Roman"/>
          <w:color w:val="000000" w:themeColor="text1"/>
          <w14:textFill>
            <w14:solidFill>
              <w14:schemeClr w14:val="tx1"/>
            </w14:solidFill>
          </w14:textFill>
        </w:rPr>
        <w:t>新建普光3011-6井放空天然气直接接入采气站已建放空管线，进入P301集气站的火炬分液罐分离后输送到放空火炬进行燃烧处理。P301集气站已建DN350高75m高压放空火炬1座，负责站场和管道应急放空，放空总管中放空气经火炬分液罐接至放空火炬，供开停工及紧急事故时紧急排放燃烧天然气使用，经过核算该放空火炬的设计放空量为100×104N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/d，而普光3011-6井最大放空量为15×10</w:t>
      </w:r>
      <w:r>
        <w:rPr>
          <w:rFonts w:cs="Times New Roman"/>
          <w:color w:val="000000" w:themeColor="text1"/>
          <w:vertAlign w:val="superscript"/>
          <w14:textFill>
            <w14:solidFill>
              <w14:schemeClr w14:val="tx1"/>
            </w14:solidFill>
          </w14:textFill>
        </w:rPr>
        <w:t>4</w:t>
      </w:r>
      <w:r>
        <w:rPr>
          <w:rFonts w:cs="Times New Roman"/>
          <w:color w:val="000000" w:themeColor="text1"/>
          <w14:textFill>
            <w14:solidFill>
              <w14:schemeClr w14:val="tx1"/>
            </w14:solidFill>
          </w14:textFill>
        </w:rPr>
        <w:t>Nm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/d，在火灾情况下的放空量远小于火炬的设计放空量，已建火炬满足本工程的工况需求，依托可行。</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（3）外输管线</w:t>
      </w:r>
    </w:p>
    <w:p>
      <w:pPr>
        <w:ind w:firstLine="480"/>
        <w:rPr>
          <w:rFonts w:cs="Times New Roman"/>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普光3011-6井配产为15×10</w:t>
      </w:r>
      <w:r>
        <w:rPr>
          <w:rFonts w:cs="Times New Roman"/>
          <w:color w:val="000000" w:themeColor="text1"/>
          <w:vertAlign w:val="superscript"/>
          <w14:textFill>
            <w14:solidFill>
              <w14:schemeClr w14:val="tx1"/>
            </w14:solidFill>
          </w14:textFill>
        </w:rPr>
        <w:t>4</w:t>
      </w:r>
      <w:r>
        <w:rPr>
          <w:rFonts w:cs="Times New Roman"/>
          <w:color w:val="000000" w:themeColor="text1"/>
          <w14:textFill>
            <w14:solidFill>
              <w14:schemeClr w14:val="tx1"/>
            </w14:solidFill>
          </w14:textFill>
        </w:rPr>
        <w:t>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/d，且普光3011-6井位于的3#线，3#目前实际输量为596×10</w:t>
      </w:r>
      <w:r>
        <w:rPr>
          <w:rFonts w:cs="Times New Roman"/>
          <w:color w:val="000000" w:themeColor="text1"/>
          <w:vertAlign w:val="superscript"/>
          <w14:textFill>
            <w14:solidFill>
              <w14:schemeClr w14:val="tx1"/>
            </w14:solidFill>
          </w14:textFill>
        </w:rPr>
        <w:t>4</w:t>
      </w:r>
      <w:r>
        <w:rPr>
          <w:rFonts w:cs="Times New Roman"/>
          <w:color w:val="000000" w:themeColor="text1"/>
          <w14:textFill>
            <w14:solidFill>
              <w14:schemeClr w14:val="tx1"/>
            </w14:solidFill>
          </w14:textFill>
        </w:rPr>
        <w:t>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/d，远低于设计输量1244×10</w:t>
      </w:r>
      <w:r>
        <w:rPr>
          <w:rFonts w:cs="Times New Roman"/>
          <w:color w:val="000000" w:themeColor="text1"/>
          <w:vertAlign w:val="superscript"/>
          <w14:textFill>
            <w14:solidFill>
              <w14:schemeClr w14:val="tx1"/>
            </w14:solidFill>
          </w14:textFill>
        </w:rPr>
        <w:t>4</w:t>
      </w:r>
      <w:r>
        <w:rPr>
          <w:rFonts w:cs="Times New Roman"/>
          <w:color w:val="000000" w:themeColor="text1"/>
          <w14:textFill>
            <w14:solidFill>
              <w14:schemeClr w14:val="tx1"/>
            </w14:solidFill>
          </w14:textFill>
        </w:rPr>
        <w:t>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/d，经核算，已建外输管道满足普光3011-6井投产后天然气外输要求</w:t>
      </w:r>
      <w:r>
        <w:rPr>
          <w:rFonts w:cs="Times New Roman"/>
          <w:color w:val="000000" w:themeColor="text1"/>
          <w:szCs w:val="24"/>
          <w14:textFill>
            <w14:solidFill>
              <w14:schemeClr w14:val="tx1"/>
            </w14:solidFill>
          </w14:textFill>
        </w:rPr>
        <w:t>，因此本项目可依托其外输。</w:t>
      </w:r>
    </w:p>
    <w:p>
      <w:pPr>
        <w:ind w:firstLine="0" w:firstLineChars="0"/>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2505075</wp:posOffset>
                </wp:positionH>
                <wp:positionV relativeFrom="paragraph">
                  <wp:posOffset>2053590</wp:posOffset>
                </wp:positionV>
                <wp:extent cx="547370" cy="309245"/>
                <wp:effectExtent l="0" t="0" r="309880" b="186055"/>
                <wp:wrapNone/>
                <wp:docPr id="9" name="圆角矩形标注 9"/>
                <wp:cNvGraphicFramePr/>
                <a:graphic xmlns:a="http://schemas.openxmlformats.org/drawingml/2006/main">
                  <a:graphicData uri="http://schemas.microsoft.com/office/word/2010/wordprocessingShape">
                    <wps:wsp>
                      <wps:cNvSpPr/>
                      <wps:spPr>
                        <a:xfrm>
                          <a:off x="0" y="0"/>
                          <a:ext cx="547370" cy="309245"/>
                        </a:xfrm>
                        <a:prstGeom prst="wedgeRoundRectCallout">
                          <a:avLst>
                            <a:gd name="adj1" fmla="val 103207"/>
                            <a:gd name="adj2" fmla="val 109570"/>
                            <a:gd name="adj3" fmla="val 16667"/>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firstLine="0" w:firstLineChars="0"/>
                              <w:jc w:val="center"/>
                              <w:rPr>
                                <w:color w:val="000000" w:themeColor="text1"/>
                                <w:sz w:val="16"/>
                                <w14:textFill>
                                  <w14:solidFill>
                                    <w14:schemeClr w14:val="tx1"/>
                                  </w14:solidFill>
                                </w14:textFill>
                              </w:rPr>
                            </w:pPr>
                            <w:r>
                              <w:rPr>
                                <w:rFonts w:hint="eastAsia"/>
                                <w:color w:val="000000" w:themeColor="text1"/>
                                <w:sz w:val="16"/>
                                <w14:textFill>
                                  <w14:solidFill>
                                    <w14:schemeClr w14:val="tx1"/>
                                  </w14:solidFill>
                                </w14:textFill>
                              </w:rPr>
                              <w:t>净化厂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97.25pt;margin-top:161.7pt;height:24.35pt;width:43.1pt;z-index:251674624;v-text-anchor:middle;mso-width-relative:page;mso-height-relative:page;" fillcolor="#FFC000" filled="t" stroked="f" coordsize="21600,21600" o:gfxdata="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FMNyoraAAAACwEA&#10;AA8AAAAAAAAAAQAgAAAAIgAAAGRycy9kb3ducmV2LnhtbFBLAQIUABQAAAAIAIdO4kA7SQ2ewwIA&#10;AGkFAAAOAAAAAAAAAAEAIAAAACkBAABkcnMvZTJvRG9jLnhtbFBLBQYAAAAABgAGAFkBAABeBgAA&#10;AAA=&#10;" adj="33093,34467,14400">
                <v:fill on="t" focussize="0,0"/>
                <v:stroke on="f" weight="1pt" miterlimit="8" joinstyle="miter"/>
                <v:imagedata o:title=""/>
                <o:lock v:ext="edit" aspectratio="f"/>
                <v:textbox>
                  <w:txbxContent>
                    <w:p>
                      <w:pPr>
                        <w:spacing w:line="240" w:lineRule="auto"/>
                        <w:ind w:firstLine="0" w:firstLineChars="0"/>
                        <w:jc w:val="center"/>
                        <w:rPr>
                          <w:color w:val="000000" w:themeColor="text1"/>
                          <w:sz w:val="16"/>
                          <w14:textFill>
                            <w14:solidFill>
                              <w14:schemeClr w14:val="tx1"/>
                            </w14:solidFill>
                          </w14:textFill>
                        </w:rPr>
                      </w:pPr>
                      <w:r>
                        <w:rPr>
                          <w:rFonts w:hint="eastAsia"/>
                          <w:color w:val="000000" w:themeColor="text1"/>
                          <w:sz w:val="16"/>
                          <w14:textFill>
                            <w14:solidFill>
                              <w14:schemeClr w14:val="tx1"/>
                            </w14:solidFill>
                          </w14:textFill>
                        </w:rPr>
                        <w:t>净化厂</w:t>
                      </w:r>
                    </w:p>
                  </w:txbxContent>
                </v:textbox>
              </v:shape>
            </w:pict>
          </mc:Fallback>
        </mc:AlternateContent>
      </w:r>
      <w:r>
        <w:rPr>
          <w:rFonts w:cs="Times New Roman"/>
          <w:color w:val="000000" w:themeColor="text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2705100</wp:posOffset>
                </wp:positionH>
                <wp:positionV relativeFrom="paragraph">
                  <wp:posOffset>1148715</wp:posOffset>
                </wp:positionV>
                <wp:extent cx="800100" cy="309245"/>
                <wp:effectExtent l="0" t="0" r="38100" b="414655"/>
                <wp:wrapNone/>
                <wp:docPr id="7" name="圆角矩形标注 7"/>
                <wp:cNvGraphicFramePr/>
                <a:graphic xmlns:a="http://schemas.openxmlformats.org/drawingml/2006/main">
                  <a:graphicData uri="http://schemas.microsoft.com/office/word/2010/wordprocessingShape">
                    <wps:wsp>
                      <wps:cNvSpPr/>
                      <wps:spPr>
                        <a:xfrm>
                          <a:off x="0" y="0"/>
                          <a:ext cx="800100" cy="309245"/>
                        </a:xfrm>
                        <a:prstGeom prst="wedgeRoundRectCallout">
                          <a:avLst>
                            <a:gd name="adj1" fmla="val 52479"/>
                            <a:gd name="adj2" fmla="val 181952"/>
                            <a:gd name="adj3" fmla="val 16667"/>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firstLine="0" w:firstLineChars="0"/>
                              <w:jc w:val="center"/>
                              <w:rPr>
                                <w:color w:val="000000" w:themeColor="text1"/>
                                <w:sz w:val="16"/>
                                <w14:textFill>
                                  <w14:solidFill>
                                    <w14:schemeClr w14:val="tx1"/>
                                  </w14:solidFill>
                                </w14:textFill>
                              </w:rPr>
                            </w:pPr>
                            <w:r>
                              <w:rPr>
                                <w:rFonts w:hint="eastAsia"/>
                                <w:color w:val="000000" w:themeColor="text1"/>
                                <w:sz w:val="16"/>
                                <w14:textFill>
                                  <w14:solidFill>
                                    <w14:schemeClr w14:val="tx1"/>
                                  </w14:solidFill>
                                </w14:textFill>
                              </w:rPr>
                              <w:t>P301集气站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13pt;margin-top:90.45pt;height:24.35pt;width:63pt;z-index:251673600;v-text-anchor:middle;mso-width-relative:page;mso-height-relative:page;" fillcolor="#FFC000" filled="t" stroked="f" coordsize="21600,21600" o:gfxdata="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g5SLutwAAAALAQAADwAA&#10;AAAAAAABACAAAAAiAAAAZHJzL2Rvd25yZXYueG1sUEsBAhQAFAAAAAgAh07iQEgEhwW9AgAAaAUA&#10;AA4AAAAAAAAAAQAgAAAAKwEAAGRycy9lMm9Eb2MueG1sUEsFBgAAAAAGAAYAWQEAAFoGAAAAAA==&#10;" adj="22135,50102,14400">
                <v:fill on="t" focussize="0,0"/>
                <v:stroke on="f" weight="1pt" miterlimit="8" joinstyle="miter"/>
                <v:imagedata o:title=""/>
                <o:lock v:ext="edit" aspectratio="f"/>
                <v:textbox>
                  <w:txbxContent>
                    <w:p>
                      <w:pPr>
                        <w:spacing w:line="240" w:lineRule="auto"/>
                        <w:ind w:firstLine="0" w:firstLineChars="0"/>
                        <w:jc w:val="center"/>
                        <w:rPr>
                          <w:color w:val="000000" w:themeColor="text1"/>
                          <w:sz w:val="16"/>
                          <w14:textFill>
                            <w14:solidFill>
                              <w14:schemeClr w14:val="tx1"/>
                            </w14:solidFill>
                          </w14:textFill>
                        </w:rPr>
                      </w:pPr>
                      <w:r>
                        <w:rPr>
                          <w:rFonts w:hint="eastAsia"/>
                          <w:color w:val="000000" w:themeColor="text1"/>
                          <w:sz w:val="16"/>
                          <w14:textFill>
                            <w14:solidFill>
                              <w14:schemeClr w14:val="tx1"/>
                            </w14:solidFill>
                          </w14:textFill>
                        </w:rPr>
                        <w:t>P301集气站</w:t>
                      </w:r>
                    </w:p>
                  </w:txbxContent>
                </v:textbox>
              </v:shape>
            </w:pict>
          </mc:Fallback>
        </mc:AlternateContent>
      </w:r>
      <w:r>
        <w:rPr>
          <w:rFonts w:cs="Times New Roman"/>
          <w:color w:val="000000" w:themeColor="text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4114800</wp:posOffset>
                </wp:positionH>
                <wp:positionV relativeFrom="paragraph">
                  <wp:posOffset>2053590</wp:posOffset>
                </wp:positionV>
                <wp:extent cx="718820" cy="309245"/>
                <wp:effectExtent l="476250" t="95250" r="5080" b="0"/>
                <wp:wrapNone/>
                <wp:docPr id="6" name="圆角矩形标注 6"/>
                <wp:cNvGraphicFramePr/>
                <a:graphic xmlns:a="http://schemas.openxmlformats.org/drawingml/2006/main">
                  <a:graphicData uri="http://schemas.microsoft.com/office/word/2010/wordprocessingShape">
                    <wps:wsp>
                      <wps:cNvSpPr/>
                      <wps:spPr>
                        <a:xfrm>
                          <a:off x="0" y="0"/>
                          <a:ext cx="718820" cy="309245"/>
                        </a:xfrm>
                        <a:prstGeom prst="wedgeRoundRectCallout">
                          <a:avLst>
                            <a:gd name="adj1" fmla="val -115233"/>
                            <a:gd name="adj2" fmla="val -75235"/>
                            <a:gd name="adj3" fmla="val 16667"/>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firstLine="0" w:firstLineChars="0"/>
                              <w:jc w:val="center"/>
                              <w:rPr>
                                <w:color w:val="000000" w:themeColor="text1"/>
                                <w:sz w:val="16"/>
                                <w14:textFill>
                                  <w14:solidFill>
                                    <w14:schemeClr w14:val="tx1"/>
                                  </w14:solidFill>
                                </w14:textFill>
                              </w:rPr>
                            </w:pPr>
                            <w:r>
                              <w:rPr>
                                <w:rFonts w:hint="eastAsia"/>
                                <w:color w:val="000000" w:themeColor="text1"/>
                                <w:sz w:val="16"/>
                                <w14:textFill>
                                  <w14:solidFill>
                                    <w14:schemeClr w14:val="tx1"/>
                                  </w14:solidFill>
                                </w14:textFill>
                              </w:rPr>
                              <w:t>P3011</w:t>
                            </w:r>
                            <w:r>
                              <w:rPr>
                                <w:color w:val="000000" w:themeColor="text1"/>
                                <w:sz w:val="16"/>
                                <w14:textFill>
                                  <w14:solidFill>
                                    <w14:schemeClr w14:val="tx1"/>
                                  </w14:solidFill>
                                </w14:textFill>
                              </w:rPr>
                              <w:t>-6</w:t>
                            </w:r>
                            <w:r>
                              <w:rPr>
                                <w:rFonts w:hint="eastAsia"/>
                                <w:color w:val="000000" w:themeColor="text1"/>
                                <w:sz w:val="16"/>
                                <w14:textFill>
                                  <w14:solidFill>
                                    <w14:schemeClr w14:val="tx1"/>
                                  </w14:solidFill>
                                </w14:textFill>
                              </w:rPr>
                              <w:t>井</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4pt;margin-top:161.7pt;height:24.35pt;width:56.6pt;z-index:251672576;v-text-anchor:middle;mso-width-relative:page;mso-height-relative:page;" fillcolor="#FFC000" filled="t" stroked="f" coordsize="21600,21600" o:gfxdata="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FlnyjjaAAAA&#10;CwEAAA8AAAAAAAAAAQAgAAAAIgAAAGRycy9kb3ducmV2LnhtbFBLAQIUABQAAAAIAIdO4kCk/Dwf&#10;xgIAAGoFAAAOAAAAAAAAAAEAIAAAACkBAABkcnMvZTJvRG9jLnhtbFBLBQYAAAAABgAGAFkBAABh&#10;BgAAAAA=&#10;" adj="-14090,-5451,14400">
                <v:fill on="t" focussize="0,0"/>
                <v:stroke on="f" weight="1pt" miterlimit="8" joinstyle="miter"/>
                <v:imagedata o:title=""/>
                <o:lock v:ext="edit" aspectratio="f"/>
                <v:textbox>
                  <w:txbxContent>
                    <w:p>
                      <w:pPr>
                        <w:spacing w:line="240" w:lineRule="auto"/>
                        <w:ind w:firstLine="0" w:firstLineChars="0"/>
                        <w:jc w:val="center"/>
                        <w:rPr>
                          <w:color w:val="000000" w:themeColor="text1"/>
                          <w:sz w:val="16"/>
                          <w14:textFill>
                            <w14:solidFill>
                              <w14:schemeClr w14:val="tx1"/>
                            </w14:solidFill>
                          </w14:textFill>
                        </w:rPr>
                      </w:pPr>
                      <w:r>
                        <w:rPr>
                          <w:rFonts w:hint="eastAsia"/>
                          <w:color w:val="000000" w:themeColor="text1"/>
                          <w:sz w:val="16"/>
                          <w14:textFill>
                            <w14:solidFill>
                              <w14:schemeClr w14:val="tx1"/>
                            </w14:solidFill>
                          </w14:textFill>
                        </w:rPr>
                        <w:t>P3011</w:t>
                      </w:r>
                      <w:r>
                        <w:rPr>
                          <w:color w:val="000000" w:themeColor="text1"/>
                          <w:sz w:val="16"/>
                          <w14:textFill>
                            <w14:solidFill>
                              <w14:schemeClr w14:val="tx1"/>
                            </w14:solidFill>
                          </w14:textFill>
                        </w:rPr>
                        <w:t>-6</w:t>
                      </w:r>
                      <w:r>
                        <w:rPr>
                          <w:rFonts w:hint="eastAsia"/>
                          <w:color w:val="000000" w:themeColor="text1"/>
                          <w:sz w:val="16"/>
                          <w14:textFill>
                            <w14:solidFill>
                              <w14:schemeClr w14:val="tx1"/>
                            </w14:solidFill>
                          </w14:textFill>
                        </w:rPr>
                        <w:t>井</w:t>
                      </w:r>
                    </w:p>
                  </w:txbxContent>
                </v:textbox>
              </v:shape>
            </w:pict>
          </mc:Fallback>
        </mc:AlternateContent>
      </w:r>
      <w:r>
        <w:rPr>
          <w:rFonts w:cs="Times New Roman"/>
          <w:color w:val="000000" w:themeColor="text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3569970</wp:posOffset>
                </wp:positionH>
                <wp:positionV relativeFrom="paragraph">
                  <wp:posOffset>1917700</wp:posOffset>
                </wp:positionV>
                <wp:extent cx="62230" cy="69215"/>
                <wp:effectExtent l="0" t="0" r="13970" b="26670"/>
                <wp:wrapNone/>
                <wp:docPr id="5" name="椭圆 5"/>
                <wp:cNvGraphicFramePr/>
                <a:graphic xmlns:a="http://schemas.openxmlformats.org/drawingml/2006/main">
                  <a:graphicData uri="http://schemas.microsoft.com/office/word/2010/wordprocessingShape">
                    <wps:wsp>
                      <wps:cNvSpPr/>
                      <wps:spPr>
                        <a:xfrm>
                          <a:off x="0" y="0"/>
                          <a:ext cx="62495" cy="69074"/>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1.1pt;margin-top:151pt;height:5.45pt;width:4.9pt;z-index:251671552;v-text-anchor:middle;mso-width-relative:page;mso-height-relative:page;" fillcolor="#FFC000" filled="t" stroked="t" coordsize="21600,21600" o:gfxdata="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Kl2yb7ZAAAACwEAAA8AAAAAAAAAAQAgAAAAIgAAAGRycy9kb3du&#10;cmV2LnhtbFBLAQIUABQAAAAIAIdO4kCVnCO1cAIAAPQEAAAOAAAAAAAAAAEAIAAAACgBAABkcnMv&#10;ZTJvRG9jLnhtbFBLBQYAAAAABgAGAFkBAAAKBgAAAAA=&#10;">
                <v:fill on="t" focussize="0,0"/>
                <v:stroke weight="1pt" color="#FF0000 [3204]" miterlimit="8" joinstyle="miter"/>
                <v:imagedata o:title=""/>
                <o:lock v:ext="edit" aspectratio="f"/>
              </v:shape>
            </w:pict>
          </mc:Fallback>
        </mc:AlternateContent>
      </w:r>
      <w:r>
        <w:rPr>
          <w:rFonts w:cs="Times New Roman"/>
          <w:color w:val="000000" w:themeColor="text1"/>
          <w14:textFill>
            <w14:solidFill>
              <w14:schemeClr w14:val="tx1"/>
            </w14:solidFill>
          </w14:textFill>
        </w:rPr>
        <w:drawing>
          <wp:inline distT="0" distB="0" distL="0" distR="0">
            <wp:extent cx="5276850" cy="309308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276850" cy="3093259"/>
                    </a:xfrm>
                    <a:prstGeom prst="rect">
                      <a:avLst/>
                    </a:prstGeom>
                    <a:noFill/>
                    <a:ln>
                      <a:noFill/>
                    </a:ln>
                  </pic:spPr>
                </pic:pic>
              </a:graphicData>
            </a:graphic>
          </wp:inline>
        </w:drawing>
      </w:r>
    </w:p>
    <w:p>
      <w:pPr>
        <w:widowControl/>
        <w:tabs>
          <w:tab w:val="left" w:pos="3864"/>
        </w:tabs>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图</w:t>
      </w:r>
      <w:r>
        <w:rPr>
          <w:rFonts w:cs="Times New Roman"/>
          <w:color w:val="000000" w:themeColor="text1"/>
          <w:kern w:val="0"/>
          <w:sz w:val="21"/>
          <w:szCs w:val="21"/>
          <w14:textFill>
            <w14:solidFill>
              <w14:schemeClr w14:val="tx1"/>
            </w14:solidFill>
          </w14:textFill>
        </w:rPr>
        <w:fldChar w:fldCharType="begin"/>
      </w:r>
      <w:r>
        <w:rPr>
          <w:rFonts w:cs="Times New Roman"/>
          <w:color w:val="000000" w:themeColor="text1"/>
          <w:kern w:val="0"/>
          <w:sz w:val="21"/>
          <w:szCs w:val="21"/>
          <w14:textFill>
            <w14:solidFill>
              <w14:schemeClr w14:val="tx1"/>
            </w14:solidFill>
          </w14:textFill>
        </w:rPr>
        <w:instrText xml:space="preserve"> STYLEREF 2 \s </w:instrText>
      </w:r>
      <w:r>
        <w:rPr>
          <w:rFonts w:cs="Times New Roman"/>
          <w:color w:val="000000" w:themeColor="text1"/>
          <w:kern w:val="0"/>
          <w:sz w:val="21"/>
          <w:szCs w:val="21"/>
          <w14:textFill>
            <w14:solidFill>
              <w14:schemeClr w14:val="tx1"/>
            </w14:solidFill>
          </w14:textFill>
        </w:rPr>
        <w:fldChar w:fldCharType="separate"/>
      </w:r>
      <w:r>
        <w:rPr>
          <w:rFonts w:cs="Times New Roman"/>
          <w:color w:val="000000" w:themeColor="text1"/>
          <w:kern w:val="0"/>
          <w:sz w:val="21"/>
          <w:szCs w:val="21"/>
          <w14:textFill>
            <w14:solidFill>
              <w14:schemeClr w14:val="tx1"/>
            </w14:solidFill>
          </w14:textFill>
        </w:rPr>
        <w:t>3.1</w:t>
      </w:r>
      <w:r>
        <w:rPr>
          <w:rFonts w:cs="Times New Roman"/>
          <w:color w:val="000000" w:themeColor="text1"/>
          <w:kern w:val="0"/>
          <w:sz w:val="21"/>
          <w:szCs w:val="21"/>
          <w14:textFill>
            <w14:solidFill>
              <w14:schemeClr w14:val="tx1"/>
            </w14:solidFill>
          </w14:textFill>
        </w:rPr>
        <w:fldChar w:fldCharType="end"/>
      </w:r>
      <w:r>
        <w:rPr>
          <w:rFonts w:cs="Times New Roman"/>
          <w:color w:val="000000" w:themeColor="text1"/>
          <w:kern w:val="0"/>
          <w:sz w:val="21"/>
          <w:szCs w:val="21"/>
          <w14:textFill>
            <w14:solidFill>
              <w14:schemeClr w14:val="tx1"/>
            </w14:solidFill>
          </w14:textFill>
        </w:rPr>
        <w:noBreakHyphen/>
      </w:r>
      <w:r>
        <w:rPr>
          <w:rFonts w:cs="Times New Roman"/>
          <w:color w:val="000000" w:themeColor="text1"/>
          <w:kern w:val="0"/>
          <w:sz w:val="21"/>
          <w:szCs w:val="21"/>
          <w14:textFill>
            <w14:solidFill>
              <w14:schemeClr w14:val="tx1"/>
            </w14:solidFill>
          </w14:textFill>
        </w:rPr>
        <w:t>3 普光气田管网分布图</w:t>
      </w:r>
    </w:p>
    <w:p>
      <w:pPr>
        <w:pStyle w:val="3"/>
      </w:pPr>
      <w:bookmarkStart w:id="90" w:name="_Toc164667018"/>
      <w:r>
        <w:rPr>
          <w:rFonts w:hint="eastAsia"/>
        </w:rPr>
        <w:t>3.2</w:t>
      </w:r>
      <w:r>
        <w:t>项目概况</w:t>
      </w:r>
      <w:bookmarkEnd w:id="90"/>
    </w:p>
    <w:p>
      <w:pPr>
        <w:pStyle w:val="4"/>
        <w:ind w:firstLine="241"/>
        <w:rPr>
          <w:b w:val="0"/>
        </w:rPr>
      </w:pPr>
      <w:bookmarkStart w:id="91" w:name="_Toc120173099"/>
      <w:r>
        <w:t>3.2.1建设项目基本情况</w:t>
      </w:r>
      <w:bookmarkEnd w:id="91"/>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项目名称：普光3011-6井钻井及试采工程；</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建设单位：中国石油化工股份有限公司中原油田普光分公司；</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建设性质：扩建；</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建设地点：宣汉县普光镇陡梯村；</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建设规模：项目对普光3011采气站进行扩建，扩建区域内新建1口气井普光3011-6井，项目投产后普光3011-6井配产15×10</w:t>
      </w:r>
      <w:r>
        <w:rPr>
          <w:rFonts w:cs="Times New Roman"/>
          <w:color w:val="000000" w:themeColor="text1"/>
          <w:szCs w:val="24"/>
          <w:vertAlign w:val="superscript"/>
          <w14:textFill>
            <w14:solidFill>
              <w14:schemeClr w14:val="tx1"/>
            </w14:solidFill>
          </w14:textFill>
        </w:rPr>
        <w:t>4</w:t>
      </w:r>
      <w:r>
        <w:rPr>
          <w:rFonts w:cs="Times New Roman"/>
          <w:color w:val="000000" w:themeColor="text1"/>
          <w:szCs w:val="24"/>
          <w14:textFill>
            <w14:solidFill>
              <w14:schemeClr w14:val="tx1"/>
            </w14:solidFill>
          </w14:textFill>
        </w:rPr>
        <w:t>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/d；</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项目投资：11641万元；</w:t>
      </w:r>
    </w:p>
    <w:p>
      <w:pPr>
        <w:widowControl/>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构造位置：川东断褶带东北段双石庙—普光北东向构造；</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井型：普光3011-6井为定向井；</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设计井深：普光3011-6井：5707.65米（斜深），垂深5656.80米；</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目的层：飞仙关组一二段；</w:t>
      </w:r>
    </w:p>
    <w:p>
      <w:pPr>
        <w:tabs>
          <w:tab w:val="left" w:pos="0"/>
        </w:tabs>
        <w:ind w:firstLine="480"/>
        <w:rPr>
          <w:rFonts w:cs="Times New Roman"/>
          <w:color w:val="000000" w:themeColor="text1"/>
          <w:szCs w:val="24"/>
          <w14:textFill>
            <w14:solidFill>
              <w14:schemeClr w14:val="tx1"/>
            </w14:solidFill>
          </w14:textFill>
        </w:rPr>
      </w:pPr>
      <w:bookmarkStart w:id="92" w:name="_Hlk97284111"/>
      <w:r>
        <w:rPr>
          <w:rFonts w:cs="Times New Roman"/>
          <w:color w:val="000000" w:themeColor="text1"/>
          <w:szCs w:val="24"/>
          <w14:textFill>
            <w14:solidFill>
              <w14:schemeClr w14:val="tx1"/>
            </w14:solidFill>
          </w14:textFill>
        </w:rPr>
        <w:t>完钻层</w:t>
      </w:r>
      <w:bookmarkEnd w:id="92"/>
      <w:r>
        <w:rPr>
          <w:rFonts w:cs="Times New Roman"/>
          <w:color w:val="000000" w:themeColor="text1"/>
          <w:szCs w:val="24"/>
          <w14:textFill>
            <w14:solidFill>
              <w14:schemeClr w14:val="tx1"/>
            </w14:solidFill>
          </w14:textFill>
        </w:rPr>
        <w:t>：飞仙关组；</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完井方式：三开套管完井；</w:t>
      </w:r>
    </w:p>
    <w:p>
      <w:pPr>
        <w:ind w:firstLine="480"/>
        <w:rPr>
          <w:rFonts w:cs="Times New Roman"/>
          <w:b/>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项目基本情况：建设内容包括施工期钻前工程、钻完井工程、储层改造工程和试采期的油气集输工程。具体建设内容为：</w:t>
      </w:r>
    </w:p>
    <w:p>
      <w:pPr>
        <w:pStyle w:val="122"/>
        <w:rPr>
          <w:color w:val="000000" w:themeColor="text1"/>
          <w14:textFill>
            <w14:solidFill>
              <w14:schemeClr w14:val="tx1"/>
            </w14:solidFill>
          </w14:textFill>
        </w:rPr>
      </w:pPr>
      <w:r>
        <w:rPr>
          <w:color w:val="000000" w:themeColor="text1"/>
          <w14:textFill>
            <w14:solidFill>
              <w14:schemeClr w14:val="tx1"/>
            </w14:solidFill>
          </w14:textFill>
        </w:rPr>
        <w:t>（1）钻前工程</w:t>
      </w:r>
    </w:p>
    <w:p>
      <w:pPr>
        <w:pStyle w:val="122"/>
        <w:rPr>
          <w:color w:val="000000" w:themeColor="text1"/>
          <w14:textFill>
            <w14:solidFill>
              <w14:schemeClr w14:val="tx1"/>
            </w14:solidFill>
          </w14:textFill>
        </w:rPr>
      </w:pPr>
      <w:r>
        <w:rPr>
          <w:color w:val="000000" w:themeColor="text1"/>
          <w14:textFill>
            <w14:solidFill>
              <w14:schemeClr w14:val="tx1"/>
            </w14:solidFill>
          </w14:textFill>
        </w:rPr>
        <w:t>钻井井场利用P3011采气站北侧剩余位置进行扩建井场，新建方井1口、新建井架基础1座；新建材料棚基础、泥浆不落地基础、危废处理房基础、储备罐基础、泥浆泵基础、油罐基础、高压房基础等；利旧修复放喷池2座，利旧修复清水池1座；新建1条80m长进场道路、硬化场地及边坡支护工程。</w:t>
      </w:r>
    </w:p>
    <w:p>
      <w:pPr>
        <w:pStyle w:val="122"/>
        <w:rPr>
          <w:color w:val="000000" w:themeColor="text1"/>
          <w14:textFill>
            <w14:solidFill>
              <w14:schemeClr w14:val="tx1"/>
            </w14:solidFill>
          </w14:textFill>
        </w:rPr>
      </w:pPr>
      <w:r>
        <w:rPr>
          <w:color w:val="000000" w:themeColor="text1"/>
          <w14:textFill>
            <w14:solidFill>
              <w14:schemeClr w14:val="tx1"/>
            </w14:solidFill>
          </w14:textFill>
        </w:rPr>
        <w:t>（2）钻井工程</w:t>
      </w:r>
    </w:p>
    <w:p>
      <w:pPr>
        <w:pStyle w:val="122"/>
        <w:rPr>
          <w:color w:val="000000" w:themeColor="text1"/>
          <w14:textFill>
            <w14:solidFill>
              <w14:schemeClr w14:val="tx1"/>
            </w14:solidFill>
          </w14:textFill>
        </w:rPr>
      </w:pPr>
      <w:r>
        <w:rPr>
          <w:color w:val="000000" w:themeColor="text1"/>
          <w14:textFill>
            <w14:solidFill>
              <w14:schemeClr w14:val="tx1"/>
            </w14:solidFill>
          </w14:textFill>
        </w:rPr>
        <w:t>新钻井1口，总进尺5707.65米。目的层为飞仙关组一二段，井型为定向井，套管完井。采用三开井身结构：导管下深250米；一开采用Φ406.4mm钻头钻进至井深2263m，Φ339.7mm套管下深2261m，封过下沙溪庙组底部50m，水泥浆返至地面。二开采用Φ311.2mm钻头开钻，下入Φ244.5mm套管，封过飞四段，为下一开次揭示低压目的层和安全钻井创造条件，固井水泥返至地面。盐膏层段及其上下50m采用Φ260.4mm外加厚套管。三开采用Φ215.9mm钻头钻至设计完钻井深，为满足采气工程安置井下安全阀的要求，井口段150m下入177.8mm套管，下部采用139.7mm套管，盐膏层段及其上下50m采用Φ146.1mm外加厚套管。生产套管采用尾管回接的方式下入，回接筒位置位于嘉四五段以上150m，回接Φ139.7mm+Φ177.8套管至井口，水泥浆分别返至尾管悬挂器及地面。产层套管采用防硫材质，依据采气工程要求，自飞四段底部之上80m采用镍基合金套管。合金套管以下井段使用内壁镀钨套管。</w:t>
      </w:r>
    </w:p>
    <w:p>
      <w:pPr>
        <w:pStyle w:val="122"/>
        <w:rPr>
          <w:color w:val="000000" w:themeColor="text1"/>
          <w14:textFill>
            <w14:solidFill>
              <w14:schemeClr w14:val="tx1"/>
            </w14:solidFill>
          </w14:textFill>
        </w:rPr>
      </w:pPr>
      <w:r>
        <w:rPr>
          <w:color w:val="000000" w:themeColor="text1"/>
          <w14:textFill>
            <w14:solidFill>
              <w14:schemeClr w14:val="tx1"/>
            </w14:solidFill>
          </w14:textFill>
        </w:rPr>
        <w:t>（3）储层改造工程</w:t>
      </w:r>
    </w:p>
    <w:p>
      <w:pPr>
        <w:pStyle w:val="122"/>
        <w:rPr>
          <w:color w:val="000000" w:themeColor="text1"/>
          <w14:textFill>
            <w14:solidFill>
              <w14:schemeClr w14:val="tx1"/>
            </w14:solidFill>
          </w14:textFill>
        </w:rPr>
      </w:pPr>
      <w:r>
        <w:rPr>
          <w:color w:val="000000" w:themeColor="text1"/>
          <w14:textFill>
            <w14:solidFill>
              <w14:schemeClr w14:val="tx1"/>
            </w14:solidFill>
          </w14:textFill>
        </w:rPr>
        <w:t>普光3011-6井采用“钻采一体化”投产模式，自上而下为井下安全阀+永久封隔器+悬挂封隔器+（投球滑套+分段封隔器）+压差滑套+隔断球座+浮鞋，永久封隔器以上4c类镍基合金材油管；永久封隔器及以下采用110SS油管。采用分三级酸化技术模式，对夹缝带三个断块实施分级酸化改造，设计总液量320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，其中前置酸60m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，清洁酸210 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，活性水50 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pPr>
        <w:pStyle w:val="122"/>
        <w:rPr>
          <w:color w:val="000000" w:themeColor="text1"/>
          <w14:textFill>
            <w14:solidFill>
              <w14:schemeClr w14:val="tx1"/>
            </w14:solidFill>
          </w14:textFill>
        </w:rPr>
      </w:pPr>
      <w:r>
        <w:rPr>
          <w:color w:val="000000" w:themeColor="text1"/>
          <w14:textFill>
            <w14:solidFill>
              <w14:schemeClr w14:val="tx1"/>
            </w14:solidFill>
          </w14:textFill>
        </w:rPr>
        <w:t>（4）油气集输工程</w:t>
      </w:r>
    </w:p>
    <w:p>
      <w:pPr>
        <w:pStyle w:val="122"/>
        <w:rPr>
          <w:color w:val="000000" w:themeColor="text1"/>
          <w14:textFill>
            <w14:solidFill>
              <w14:schemeClr w14:val="tx1"/>
            </w14:solidFill>
          </w14:textFill>
        </w:rPr>
      </w:pPr>
      <w:r>
        <w:rPr>
          <w:color w:val="000000" w:themeColor="text1"/>
          <w14:textFill>
            <w14:solidFill>
              <w14:schemeClr w14:val="tx1"/>
            </w14:solidFill>
          </w14:textFill>
        </w:rPr>
        <w:t>钻井完毕后，通过测试并获得天然气产量后，本次</w:t>
      </w:r>
      <w:r>
        <w:rPr>
          <w:rFonts w:hint="eastAsia"/>
          <w:color w:val="000000" w:themeColor="text1"/>
          <w14:textFill>
            <w14:solidFill>
              <w14:schemeClr w14:val="tx1"/>
            </w14:solidFill>
          </w14:textFill>
        </w:rPr>
        <w:t>扩建P</w:t>
      </w:r>
      <w:r>
        <w:rPr>
          <w:color w:val="000000" w:themeColor="text1"/>
          <w14:textFill>
            <w14:solidFill>
              <w14:schemeClr w14:val="tx1"/>
            </w14:solidFill>
          </w14:textFill>
        </w:rPr>
        <w:t>3011试采站，</w:t>
      </w:r>
      <w:r>
        <w:rPr>
          <w:rFonts w:hint="eastAsia"/>
          <w:color w:val="000000" w:themeColor="text1"/>
          <w14:textFill>
            <w14:solidFill>
              <w14:schemeClr w14:val="tx1"/>
            </w14:solidFill>
          </w14:textFill>
        </w:rPr>
        <w:t>普光3011-6井</w:t>
      </w:r>
      <w:r>
        <w:rPr>
          <w:color w:val="000000" w:themeColor="text1"/>
          <w14:textFill>
            <w14:solidFill>
              <w14:schemeClr w14:val="tx1"/>
            </w14:solidFill>
          </w14:textFill>
        </w:rPr>
        <w:t>采出气经过</w:t>
      </w:r>
      <w:r>
        <w:rPr>
          <w:rFonts w:hint="eastAsia"/>
          <w:color w:val="000000" w:themeColor="text1"/>
          <w14:textFill>
            <w14:solidFill>
              <w14:schemeClr w14:val="tx1"/>
            </w14:solidFill>
          </w14:textFill>
        </w:rPr>
        <w:t>P3011</w:t>
      </w:r>
      <w:r>
        <w:rPr>
          <w:color w:val="000000" w:themeColor="text1"/>
          <w14:textFill>
            <w14:solidFill>
              <w14:schemeClr w14:val="tx1"/>
            </w14:solidFill>
          </w14:textFill>
        </w:rPr>
        <w:t>采气站内一、二级节流、加热、三次节流之后输送至下游已建P301集气站，依托P301集气站计量分离后外输至天然气净化厂。本工程将配套建设新建普光3011-6试采站内的</w:t>
      </w:r>
      <w:r>
        <w:rPr>
          <w:color w:val="000000" w:themeColor="text1"/>
          <w:kern w:val="0"/>
          <w14:textFill>
            <w14:solidFill>
              <w14:schemeClr w14:val="tx1"/>
            </w14:solidFill>
          </w14:textFill>
        </w:rPr>
        <w:t>自控、电力、结构、消防等设施；</w:t>
      </w:r>
      <w:r>
        <w:rPr>
          <w:color w:val="000000" w:themeColor="text1"/>
          <w14:textFill>
            <w14:solidFill>
              <w14:schemeClr w14:val="tx1"/>
            </w14:solidFill>
          </w14:textFill>
        </w:rPr>
        <w:t>本工程还将利旧新建临时分酸分离器和酸液缓冲罐。</w:t>
      </w:r>
    </w:p>
    <w:p>
      <w:pPr>
        <w:pStyle w:val="4"/>
        <w:ind w:firstLine="241"/>
        <w:rPr>
          <w:b w:val="0"/>
        </w:rPr>
      </w:pPr>
      <w:bookmarkStart w:id="93" w:name="_Toc120173100"/>
      <w:r>
        <w:rPr>
          <w:rFonts w:hint="eastAsia"/>
        </w:rPr>
        <w:t>3.2.2</w:t>
      </w:r>
      <w:r>
        <w:t>气藏地质特征</w:t>
      </w:r>
      <w:bookmarkEnd w:id="93"/>
    </w:p>
    <w:p>
      <w:pPr>
        <w:pStyle w:val="5"/>
      </w:pPr>
      <w:r>
        <w:t>3.2.2.1气藏地质概况</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普光气田主体位于四川省宣汉县境内，构造上介于大巴山推覆带前缘褶断带与川中平缓褶皱带之间，属于川东断褶带东北段双石庙—普光北东向构造带上的一个鼻状构造。地层南西高北东低、主要呈单斜特征。断裂系统以北东向断层为主，主要包括东岳寨—普光断层、普光7断层、老君庙南断层及普光3等4条断层。其中，普光3断层将主体构造分为普光2块、普光3块。为构造-岩性控制的、高含HS、带边水的裂缝-孔隙型气藏。</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普光气田主体探明含气层系为下三叠统飞仙关组和上二叠统长兴组，储层岩性为溶孔白云岩、鲕粒白云岩等，储集空间类型以孔隙为主，裂缝发育较少。储层物性总体较好，平均孔隙度8.2%，以中-高孔隙储层为主；平均渗透率1.11mD，以中-低渗储层为主。其中，飞一二段储层物性较好，平均孔隙度9.1%，平均渗透率1.77mD。飞一二段储层呈现强非均质性特征，水平井开发方式致使部分井区储量动用不充分。</w:t>
      </w:r>
    </w:p>
    <w:p>
      <w:pPr>
        <w:pStyle w:val="5"/>
      </w:pPr>
      <w:r>
        <w:rPr>
          <w:rFonts w:hint="eastAsia"/>
        </w:rPr>
        <w:t>3.2.2.2</w:t>
      </w:r>
      <w:r>
        <w:t>地层特征</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钻井揭示及地表露头，普光地区下古生界地层较完整，仅缺失志留系上统；上古生界缺失了泥盆系全部和石炭系大部，仅残留中石炭统黄龙组，二叠系齐全；中生界三叠系、侏罗系保留较全，早白垩世地层保留较好，上白垩统缺失；新生界基本没有沉积保留。受构造运动的影响，地层间发育较多不整合面，在海相地层中，志留系与石炭系、石炭系与二叠系、上、下二叠统之间皆为平行不整合接触关系。晚三叠世末期的印支运动，四川盆地整体抬升成陆，古特提斯海海水彻底退出扬子地台，接受以陆相碎屑岩为主的湖泊～三角洲～河流沉积。普光地区已探明含气层系主要为二叠系上统的长兴组及三叠系下统飞仙关组。普光2-普光301-4-普光302-1井区飞仙关组地层较厚，向边部地层减薄。</w:t>
      </w:r>
    </w:p>
    <w:p>
      <w:pPr>
        <w:pStyle w:val="95"/>
      </w:pPr>
      <w:r>
        <w:t>表</w:t>
      </w:r>
      <w:r>
        <w:fldChar w:fldCharType="begin"/>
      </w:r>
      <w:r>
        <w:instrText xml:space="preserve"> STYLEREF 2 \s </w:instrText>
      </w:r>
      <w:r>
        <w:fldChar w:fldCharType="separate"/>
      </w:r>
      <w:r>
        <w:t>3.2</w:t>
      </w:r>
      <w:r>
        <w:fldChar w:fldCharType="end"/>
      </w:r>
      <w:r>
        <w:noBreakHyphen/>
      </w:r>
      <w:r>
        <w:fldChar w:fldCharType="begin"/>
      </w:r>
      <w:r>
        <w:instrText xml:space="preserve"> SEQ 表 \* ARABIC \s 2 </w:instrText>
      </w:r>
      <w:r>
        <w:fldChar w:fldCharType="separate"/>
      </w:r>
      <w:r>
        <w:t>1</w:t>
      </w:r>
      <w:r>
        <w:fldChar w:fldCharType="end"/>
      </w:r>
      <w:r>
        <w:t xml:space="preserve"> 川东北宣汉～达县地区地层岩性特征（普光构造）表</w:t>
      </w:r>
    </w:p>
    <w:tbl>
      <w:tblPr>
        <w:tblStyle w:val="549"/>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484"/>
        <w:gridCol w:w="781"/>
        <w:gridCol w:w="653"/>
        <w:gridCol w:w="950"/>
        <w:gridCol w:w="3148"/>
        <w:gridCol w:w="975"/>
        <w:gridCol w:w="629"/>
        <w:gridCol w:w="906"/>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35" w:hRule="atLeast"/>
          <w:jc w:val="center"/>
        </w:trPr>
        <w:tc>
          <w:tcPr>
            <w:tcW w:w="284" w:type="pct"/>
            <w:tcBorders>
              <w:bottom w:val="single" w:color="000000" w:sz="12" w:space="0"/>
              <w:insideH w:val="single" w:sz="12" w:space="0"/>
              <w:tl2br w:val="nil"/>
              <w:tr2bl w:val="nil"/>
            </w:tcBorders>
            <w:shd w:val="clear" w:color="auto" w:fill="auto"/>
            <w:vAlign w:val="center"/>
          </w:tcPr>
          <w:p>
            <w:pPr>
              <w:pStyle w:val="294"/>
              <w:widowControl w:val="0"/>
              <w:rPr>
                <w:b/>
                <w:bCs/>
                <w:color w:val="000080"/>
              </w:rPr>
            </w:pPr>
            <w:r>
              <w:rPr>
                <w:b/>
                <w:bCs/>
                <w:color w:val="000080"/>
              </w:rPr>
              <w:t>系</w:t>
            </w:r>
          </w:p>
        </w:tc>
        <w:tc>
          <w:tcPr>
            <w:tcW w:w="458" w:type="pct"/>
            <w:tcBorders>
              <w:bottom w:val="single" w:color="000000" w:sz="12" w:space="0"/>
              <w:insideH w:val="single" w:sz="12" w:space="0"/>
              <w:tl2br w:val="nil"/>
              <w:tr2bl w:val="nil"/>
            </w:tcBorders>
            <w:shd w:val="clear" w:color="auto" w:fill="auto"/>
            <w:vAlign w:val="center"/>
          </w:tcPr>
          <w:p>
            <w:pPr>
              <w:pStyle w:val="294"/>
              <w:widowControl w:val="0"/>
              <w:rPr>
                <w:b/>
                <w:bCs/>
                <w:color w:val="000080"/>
              </w:rPr>
            </w:pPr>
            <w:r>
              <w:rPr>
                <w:b/>
                <w:bCs/>
                <w:color w:val="000080"/>
              </w:rPr>
              <w:t>组</w:t>
            </w:r>
          </w:p>
        </w:tc>
        <w:tc>
          <w:tcPr>
            <w:tcW w:w="383" w:type="pct"/>
            <w:tcBorders>
              <w:bottom w:val="single" w:color="000000" w:sz="12" w:space="0"/>
              <w:insideH w:val="single" w:sz="12" w:space="0"/>
              <w:tl2br w:val="nil"/>
              <w:tr2bl w:val="nil"/>
            </w:tcBorders>
            <w:shd w:val="clear" w:color="auto" w:fill="auto"/>
            <w:vAlign w:val="center"/>
          </w:tcPr>
          <w:p>
            <w:pPr>
              <w:pStyle w:val="294"/>
              <w:widowControl w:val="0"/>
              <w:rPr>
                <w:b/>
                <w:bCs/>
                <w:color w:val="000080"/>
              </w:rPr>
            </w:pPr>
            <w:r>
              <w:rPr>
                <w:b/>
                <w:bCs/>
                <w:color w:val="000080"/>
              </w:rPr>
              <w:t>段</w:t>
            </w:r>
          </w:p>
        </w:tc>
        <w:tc>
          <w:tcPr>
            <w:tcW w:w="557" w:type="pct"/>
            <w:tcBorders>
              <w:bottom w:val="single" w:color="000000" w:sz="12" w:space="0"/>
              <w:insideH w:val="single" w:sz="12" w:space="0"/>
              <w:tl2br w:val="nil"/>
              <w:tr2bl w:val="nil"/>
            </w:tcBorders>
            <w:shd w:val="clear" w:color="auto" w:fill="auto"/>
            <w:vAlign w:val="center"/>
          </w:tcPr>
          <w:p>
            <w:pPr>
              <w:pStyle w:val="294"/>
              <w:widowControl w:val="0"/>
              <w:rPr>
                <w:b/>
                <w:bCs/>
                <w:color w:val="000080"/>
              </w:rPr>
            </w:pPr>
            <w:r>
              <w:rPr>
                <w:b/>
                <w:bCs/>
                <w:color w:val="000080"/>
              </w:rPr>
              <w:t>厚度（m）</w:t>
            </w:r>
          </w:p>
        </w:tc>
        <w:tc>
          <w:tcPr>
            <w:tcW w:w="1846" w:type="pct"/>
            <w:tcBorders>
              <w:bottom w:val="single" w:color="000000" w:sz="12" w:space="0"/>
              <w:insideH w:val="single" w:sz="12" w:space="0"/>
              <w:tl2br w:val="nil"/>
              <w:tr2bl w:val="nil"/>
            </w:tcBorders>
            <w:shd w:val="clear" w:color="auto" w:fill="auto"/>
            <w:vAlign w:val="center"/>
          </w:tcPr>
          <w:p>
            <w:pPr>
              <w:pStyle w:val="294"/>
              <w:widowControl w:val="0"/>
              <w:rPr>
                <w:b/>
                <w:bCs/>
                <w:color w:val="000080"/>
              </w:rPr>
            </w:pPr>
            <w:r>
              <w:rPr>
                <w:b/>
                <w:bCs/>
                <w:color w:val="000080"/>
              </w:rPr>
              <w:t>岩性描述</w:t>
            </w:r>
          </w:p>
        </w:tc>
        <w:tc>
          <w:tcPr>
            <w:tcW w:w="572" w:type="pct"/>
            <w:tcBorders>
              <w:bottom w:val="single" w:color="000000" w:sz="12" w:space="0"/>
              <w:insideH w:val="single" w:sz="12" w:space="0"/>
              <w:tl2br w:val="nil"/>
              <w:tr2bl w:val="nil"/>
            </w:tcBorders>
            <w:shd w:val="clear" w:color="auto" w:fill="auto"/>
            <w:vAlign w:val="center"/>
          </w:tcPr>
          <w:p>
            <w:pPr>
              <w:pStyle w:val="294"/>
              <w:widowControl w:val="0"/>
              <w:rPr>
                <w:b/>
                <w:bCs/>
                <w:color w:val="000080"/>
              </w:rPr>
            </w:pPr>
            <w:r>
              <w:rPr>
                <w:b/>
                <w:bCs/>
                <w:color w:val="000080"/>
              </w:rPr>
              <w:t>岩相特征</w:t>
            </w:r>
          </w:p>
        </w:tc>
        <w:tc>
          <w:tcPr>
            <w:tcW w:w="369" w:type="pct"/>
            <w:tcBorders>
              <w:bottom w:val="single" w:color="000000" w:sz="12" w:space="0"/>
              <w:insideH w:val="single" w:sz="12" w:space="0"/>
              <w:tl2br w:val="nil"/>
              <w:tr2bl w:val="nil"/>
            </w:tcBorders>
            <w:shd w:val="clear" w:color="auto" w:fill="auto"/>
            <w:vAlign w:val="center"/>
          </w:tcPr>
          <w:p>
            <w:pPr>
              <w:pStyle w:val="294"/>
              <w:widowControl w:val="0"/>
              <w:rPr>
                <w:b/>
                <w:bCs/>
                <w:color w:val="000080"/>
              </w:rPr>
            </w:pPr>
            <w:r>
              <w:rPr>
                <w:b/>
                <w:bCs/>
                <w:color w:val="000080"/>
              </w:rPr>
              <w:t>构造事件</w:t>
            </w:r>
          </w:p>
        </w:tc>
        <w:tc>
          <w:tcPr>
            <w:tcW w:w="531" w:type="pct"/>
            <w:tcBorders>
              <w:bottom w:val="single" w:color="000000" w:sz="12" w:space="0"/>
              <w:insideH w:val="single" w:sz="12" w:space="0"/>
              <w:tl2br w:val="nil"/>
              <w:tr2bl w:val="nil"/>
            </w:tcBorders>
            <w:shd w:val="clear" w:color="auto" w:fill="auto"/>
            <w:vAlign w:val="center"/>
          </w:tcPr>
          <w:p>
            <w:pPr>
              <w:pStyle w:val="294"/>
              <w:widowControl w:val="0"/>
              <w:rPr>
                <w:b/>
                <w:bCs/>
                <w:color w:val="000080"/>
              </w:rPr>
            </w:pPr>
            <w:r>
              <w:rPr>
                <w:b/>
                <w:bCs/>
                <w:color w:val="000080"/>
              </w:rPr>
              <w:t>资料</w:t>
            </w:r>
          </w:p>
          <w:p>
            <w:pPr>
              <w:pStyle w:val="294"/>
              <w:widowControl w:val="0"/>
              <w:rPr>
                <w:b/>
                <w:bCs/>
                <w:color w:val="000080"/>
              </w:rPr>
            </w:pPr>
            <w:r>
              <w:rPr>
                <w:b/>
                <w:bCs/>
                <w:color w:val="000080"/>
              </w:rPr>
              <w:t>来源</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74" w:hRule="atLeast"/>
          <w:jc w:val="center"/>
        </w:trPr>
        <w:tc>
          <w:tcPr>
            <w:tcW w:w="284" w:type="pct"/>
            <w:shd w:val="clear" w:color="auto" w:fill="auto"/>
            <w:vAlign w:val="center"/>
          </w:tcPr>
          <w:p>
            <w:pPr>
              <w:pStyle w:val="294"/>
              <w:widowControl w:val="0"/>
            </w:pPr>
            <w:r>
              <w:t>白垩系</w:t>
            </w:r>
          </w:p>
        </w:tc>
        <w:tc>
          <w:tcPr>
            <w:tcW w:w="458" w:type="pct"/>
            <w:shd w:val="clear" w:color="auto" w:fill="auto"/>
            <w:vAlign w:val="center"/>
          </w:tcPr>
          <w:p>
            <w:pPr>
              <w:pStyle w:val="294"/>
              <w:widowControl w:val="0"/>
            </w:pPr>
            <w:r>
              <w:t>剑门关组</w:t>
            </w:r>
          </w:p>
        </w:tc>
        <w:tc>
          <w:tcPr>
            <w:tcW w:w="383" w:type="pct"/>
            <w:shd w:val="clear" w:color="auto" w:fill="auto"/>
            <w:vAlign w:val="center"/>
          </w:tcPr>
          <w:p>
            <w:pPr>
              <w:pStyle w:val="294"/>
              <w:widowControl w:val="0"/>
            </w:pPr>
          </w:p>
        </w:tc>
        <w:tc>
          <w:tcPr>
            <w:tcW w:w="557" w:type="pct"/>
            <w:shd w:val="clear" w:color="auto" w:fill="auto"/>
            <w:vAlign w:val="center"/>
          </w:tcPr>
          <w:p>
            <w:pPr>
              <w:pStyle w:val="294"/>
              <w:widowControl w:val="0"/>
            </w:pPr>
            <w:r>
              <w:t>680～1100</w:t>
            </w:r>
          </w:p>
        </w:tc>
        <w:tc>
          <w:tcPr>
            <w:tcW w:w="1846" w:type="pct"/>
            <w:shd w:val="clear" w:color="auto" w:fill="auto"/>
            <w:vAlign w:val="center"/>
          </w:tcPr>
          <w:p>
            <w:pPr>
              <w:pStyle w:val="294"/>
              <w:widowControl w:val="0"/>
            </w:pPr>
            <w:r>
              <w:t>棕红色泥岩与灰白色岩屑长石石英砂岩。</w:t>
            </w:r>
          </w:p>
        </w:tc>
        <w:tc>
          <w:tcPr>
            <w:tcW w:w="572" w:type="pct"/>
            <w:shd w:val="clear" w:color="auto" w:fill="auto"/>
            <w:vAlign w:val="center"/>
          </w:tcPr>
          <w:p>
            <w:pPr>
              <w:pStyle w:val="294"/>
              <w:widowControl w:val="0"/>
            </w:pPr>
            <w:r>
              <w:t>浅湖与河流相</w:t>
            </w:r>
          </w:p>
        </w:tc>
        <w:tc>
          <w:tcPr>
            <w:tcW w:w="369" w:type="pct"/>
            <w:vMerge w:val="restart"/>
            <w:shd w:val="clear" w:color="auto" w:fill="auto"/>
            <w:vAlign w:val="center"/>
          </w:tcPr>
          <w:p>
            <w:pPr>
              <w:pStyle w:val="294"/>
              <w:widowControl w:val="0"/>
            </w:pPr>
          </w:p>
          <w:p>
            <w:pPr>
              <w:pStyle w:val="294"/>
              <w:widowControl w:val="0"/>
            </w:pPr>
            <w:r>
              <w:t>燕山中幕</w:t>
            </w:r>
          </w:p>
        </w:tc>
        <w:tc>
          <w:tcPr>
            <w:tcW w:w="531" w:type="pct"/>
            <w:vMerge w:val="restart"/>
            <w:shd w:val="clear" w:color="auto" w:fill="auto"/>
            <w:vAlign w:val="center"/>
          </w:tcPr>
          <w:p>
            <w:pPr>
              <w:pStyle w:val="294"/>
              <w:widowControl w:val="0"/>
            </w:pPr>
            <w:r>
              <w:t>地表</w:t>
            </w:r>
          </w:p>
          <w:p>
            <w:pPr>
              <w:pStyle w:val="294"/>
              <w:widowControl w:val="0"/>
            </w:pPr>
            <w:r>
              <w:t>资料</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35" w:hRule="atLeast"/>
          <w:jc w:val="center"/>
        </w:trPr>
        <w:tc>
          <w:tcPr>
            <w:tcW w:w="284" w:type="pct"/>
            <w:vMerge w:val="restart"/>
            <w:shd w:val="clear" w:color="auto" w:fill="auto"/>
            <w:vAlign w:val="center"/>
          </w:tcPr>
          <w:p>
            <w:pPr>
              <w:pStyle w:val="294"/>
              <w:widowControl w:val="0"/>
            </w:pPr>
            <w:r>
              <w:t>侏</w:t>
            </w:r>
          </w:p>
          <w:p>
            <w:pPr>
              <w:pStyle w:val="294"/>
              <w:widowControl w:val="0"/>
            </w:pPr>
          </w:p>
          <w:p>
            <w:pPr>
              <w:pStyle w:val="294"/>
              <w:widowControl w:val="0"/>
            </w:pPr>
            <w:r>
              <w:t>罗</w:t>
            </w:r>
          </w:p>
          <w:p>
            <w:pPr>
              <w:pStyle w:val="294"/>
              <w:widowControl w:val="0"/>
            </w:pPr>
          </w:p>
          <w:p>
            <w:pPr>
              <w:pStyle w:val="294"/>
              <w:widowControl w:val="0"/>
            </w:pPr>
            <w:r>
              <w:t>系</w:t>
            </w:r>
          </w:p>
        </w:tc>
        <w:tc>
          <w:tcPr>
            <w:tcW w:w="458" w:type="pct"/>
            <w:shd w:val="clear" w:color="auto" w:fill="auto"/>
            <w:vAlign w:val="center"/>
          </w:tcPr>
          <w:p>
            <w:pPr>
              <w:pStyle w:val="294"/>
              <w:widowControl w:val="0"/>
            </w:pPr>
            <w:r>
              <w:t>蓬莱镇组</w:t>
            </w:r>
          </w:p>
        </w:tc>
        <w:tc>
          <w:tcPr>
            <w:tcW w:w="383" w:type="pct"/>
            <w:shd w:val="clear" w:color="auto" w:fill="auto"/>
            <w:vAlign w:val="center"/>
          </w:tcPr>
          <w:p>
            <w:pPr>
              <w:pStyle w:val="294"/>
              <w:widowControl w:val="0"/>
            </w:pPr>
          </w:p>
        </w:tc>
        <w:tc>
          <w:tcPr>
            <w:tcW w:w="557" w:type="pct"/>
            <w:shd w:val="clear" w:color="auto" w:fill="auto"/>
            <w:vAlign w:val="center"/>
          </w:tcPr>
          <w:p>
            <w:pPr>
              <w:pStyle w:val="294"/>
              <w:widowControl w:val="0"/>
            </w:pPr>
            <w:r>
              <w:t>600～1000</w:t>
            </w:r>
          </w:p>
        </w:tc>
        <w:tc>
          <w:tcPr>
            <w:tcW w:w="1846" w:type="pct"/>
            <w:shd w:val="clear" w:color="auto" w:fill="auto"/>
            <w:vAlign w:val="center"/>
          </w:tcPr>
          <w:p>
            <w:pPr>
              <w:pStyle w:val="294"/>
              <w:widowControl w:val="0"/>
            </w:pPr>
            <w:r>
              <w:t>棕灰、棕红色泥岩与棕灰、紫色长石岩屑砂岩。</w:t>
            </w:r>
          </w:p>
        </w:tc>
        <w:tc>
          <w:tcPr>
            <w:tcW w:w="572" w:type="pct"/>
            <w:shd w:val="clear" w:color="auto" w:fill="auto"/>
            <w:vAlign w:val="center"/>
          </w:tcPr>
          <w:p>
            <w:pPr>
              <w:pStyle w:val="294"/>
              <w:widowControl w:val="0"/>
            </w:pPr>
            <w:r>
              <w:t>浅湖与河流相</w:t>
            </w:r>
          </w:p>
        </w:tc>
        <w:tc>
          <w:tcPr>
            <w:tcW w:w="369" w:type="pct"/>
            <w:vMerge w:val="continue"/>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shd w:val="clear" w:color="auto" w:fill="auto"/>
            <w:vAlign w:val="center"/>
          </w:tcPr>
          <w:p>
            <w:pPr>
              <w:pStyle w:val="294"/>
              <w:widowControl w:val="0"/>
            </w:pPr>
            <w:r>
              <w:t>遂宁组</w:t>
            </w:r>
          </w:p>
        </w:tc>
        <w:tc>
          <w:tcPr>
            <w:tcW w:w="383" w:type="pct"/>
            <w:shd w:val="clear" w:color="auto" w:fill="auto"/>
            <w:vAlign w:val="center"/>
          </w:tcPr>
          <w:p>
            <w:pPr>
              <w:pStyle w:val="294"/>
              <w:widowControl w:val="0"/>
            </w:pPr>
          </w:p>
        </w:tc>
        <w:tc>
          <w:tcPr>
            <w:tcW w:w="557" w:type="pct"/>
            <w:shd w:val="clear" w:color="auto" w:fill="auto"/>
            <w:vAlign w:val="center"/>
          </w:tcPr>
          <w:p>
            <w:pPr>
              <w:pStyle w:val="294"/>
              <w:widowControl w:val="0"/>
            </w:pPr>
            <w:r>
              <w:t>310～420</w:t>
            </w:r>
          </w:p>
        </w:tc>
        <w:tc>
          <w:tcPr>
            <w:tcW w:w="1846" w:type="pct"/>
            <w:shd w:val="clear" w:color="auto" w:fill="auto"/>
            <w:vAlign w:val="center"/>
          </w:tcPr>
          <w:p>
            <w:pPr>
              <w:pStyle w:val="294"/>
              <w:widowControl w:val="0"/>
            </w:pPr>
            <w:r>
              <w:t>棕红色泥岩夹细粒岩屑砂岩。</w:t>
            </w:r>
          </w:p>
        </w:tc>
        <w:tc>
          <w:tcPr>
            <w:tcW w:w="572" w:type="pct"/>
            <w:shd w:val="clear" w:color="auto" w:fill="auto"/>
            <w:vAlign w:val="center"/>
          </w:tcPr>
          <w:p>
            <w:pPr>
              <w:pStyle w:val="294"/>
              <w:widowControl w:val="0"/>
            </w:pPr>
            <w:r>
              <w:t>浅湖与滨湖</w:t>
            </w:r>
          </w:p>
        </w:tc>
        <w:tc>
          <w:tcPr>
            <w:tcW w:w="369" w:type="pct"/>
            <w:vMerge w:val="restart"/>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shd w:val="clear" w:color="auto" w:fill="auto"/>
            <w:vAlign w:val="center"/>
          </w:tcPr>
          <w:p>
            <w:pPr>
              <w:pStyle w:val="294"/>
              <w:widowControl w:val="0"/>
            </w:pPr>
            <w:r>
              <w:t>上沙溪庙组</w:t>
            </w:r>
          </w:p>
        </w:tc>
        <w:tc>
          <w:tcPr>
            <w:tcW w:w="383" w:type="pct"/>
            <w:shd w:val="clear" w:color="auto" w:fill="auto"/>
            <w:vAlign w:val="center"/>
          </w:tcPr>
          <w:p>
            <w:pPr>
              <w:pStyle w:val="294"/>
              <w:widowControl w:val="0"/>
            </w:pPr>
          </w:p>
        </w:tc>
        <w:tc>
          <w:tcPr>
            <w:tcW w:w="557" w:type="pct"/>
            <w:shd w:val="clear" w:color="auto" w:fill="auto"/>
            <w:vAlign w:val="center"/>
          </w:tcPr>
          <w:p>
            <w:pPr>
              <w:pStyle w:val="294"/>
              <w:widowControl w:val="0"/>
            </w:pPr>
            <w:r>
              <w:t>1305～2273</w:t>
            </w:r>
          </w:p>
        </w:tc>
        <w:tc>
          <w:tcPr>
            <w:tcW w:w="1846" w:type="pct"/>
            <w:shd w:val="clear" w:color="auto" w:fill="auto"/>
            <w:vAlign w:val="center"/>
          </w:tcPr>
          <w:p>
            <w:pPr>
              <w:pStyle w:val="294"/>
              <w:widowControl w:val="0"/>
            </w:pPr>
            <w:r>
              <w:t>棕紫色泥岩与灰绿色岩屑长石石英中、细砂岩互层，含钙质团块。</w:t>
            </w:r>
          </w:p>
        </w:tc>
        <w:tc>
          <w:tcPr>
            <w:tcW w:w="572" w:type="pct"/>
            <w:shd w:val="clear" w:color="auto" w:fill="auto"/>
            <w:vAlign w:val="center"/>
          </w:tcPr>
          <w:p>
            <w:pPr>
              <w:pStyle w:val="294"/>
              <w:widowControl w:val="0"/>
            </w:pPr>
            <w:r>
              <w:t>浅湖与河流相</w:t>
            </w:r>
          </w:p>
        </w:tc>
        <w:tc>
          <w:tcPr>
            <w:tcW w:w="369" w:type="pct"/>
            <w:vMerge w:val="continue"/>
            <w:shd w:val="clear" w:color="auto" w:fill="auto"/>
            <w:vAlign w:val="center"/>
          </w:tcPr>
          <w:p>
            <w:pPr>
              <w:pStyle w:val="294"/>
              <w:widowControl w:val="0"/>
            </w:pPr>
          </w:p>
        </w:tc>
        <w:tc>
          <w:tcPr>
            <w:tcW w:w="531" w:type="pct"/>
            <w:vMerge w:val="restart"/>
            <w:shd w:val="clear" w:color="auto" w:fill="auto"/>
            <w:vAlign w:val="center"/>
          </w:tcPr>
          <w:p>
            <w:pPr>
              <w:pStyle w:val="294"/>
              <w:widowControl w:val="0"/>
            </w:pPr>
            <w:r>
              <w:t>普光1</w:t>
            </w:r>
          </w:p>
          <w:p>
            <w:pPr>
              <w:pStyle w:val="294"/>
              <w:widowControl w:val="0"/>
            </w:pPr>
            <w:r>
              <w:t>普光2</w:t>
            </w:r>
          </w:p>
          <w:p>
            <w:pPr>
              <w:pStyle w:val="294"/>
              <w:widowControl w:val="0"/>
            </w:pPr>
            <w:r>
              <w:t>普光3</w:t>
            </w:r>
          </w:p>
          <w:p>
            <w:pPr>
              <w:pStyle w:val="294"/>
              <w:widowControl w:val="0"/>
            </w:pPr>
            <w:r>
              <w:t>普光4</w:t>
            </w:r>
          </w:p>
          <w:p>
            <w:pPr>
              <w:pStyle w:val="294"/>
              <w:widowControl w:val="0"/>
            </w:pPr>
            <w:r>
              <w:t>普光5</w:t>
            </w:r>
          </w:p>
          <w:p>
            <w:pPr>
              <w:pStyle w:val="294"/>
              <w:widowControl w:val="0"/>
            </w:pPr>
            <w:r>
              <w:t>普光6</w:t>
            </w:r>
          </w:p>
          <w:p>
            <w:pPr>
              <w:pStyle w:val="294"/>
              <w:widowControl w:val="0"/>
            </w:pPr>
            <w:r>
              <w:t>普光7</w:t>
            </w:r>
          </w:p>
          <w:p>
            <w:pPr>
              <w:pStyle w:val="294"/>
              <w:widowControl w:val="0"/>
            </w:pPr>
            <w:r>
              <w:t>普光8</w:t>
            </w:r>
          </w:p>
          <w:p>
            <w:pPr>
              <w:pStyle w:val="294"/>
              <w:widowControl w:val="0"/>
            </w:pPr>
            <w:r>
              <w:t>普光9</w:t>
            </w:r>
          </w:p>
          <w:p>
            <w:pPr>
              <w:pStyle w:val="294"/>
              <w:widowControl w:val="0"/>
            </w:pPr>
            <w:r>
              <w:t>普光10</w:t>
            </w:r>
          </w:p>
          <w:p>
            <w:pPr>
              <w:pStyle w:val="294"/>
              <w:widowControl w:val="0"/>
            </w:pPr>
            <w:r>
              <w:t>普光11普光101</w:t>
            </w:r>
          </w:p>
          <w:p>
            <w:pPr>
              <w:pStyle w:val="294"/>
              <w:widowControl w:val="0"/>
            </w:pPr>
            <w:r>
              <w:t>P102-2</w:t>
            </w:r>
          </w:p>
          <w:p>
            <w:pPr>
              <w:pStyle w:val="294"/>
              <w:widowControl w:val="0"/>
            </w:pPr>
            <w:r>
              <w:t>老君701-2</w:t>
            </w:r>
          </w:p>
          <w:p>
            <w:pPr>
              <w:pStyle w:val="294"/>
              <w:widowControl w:val="0"/>
            </w:pPr>
            <w:r>
              <w:t>P104-2</w:t>
            </w:r>
          </w:p>
          <w:p>
            <w:pPr>
              <w:pStyle w:val="294"/>
              <w:widowControl w:val="0"/>
            </w:pPr>
            <w:r>
              <w:t>P201-2</w:t>
            </w:r>
          </w:p>
          <w:p>
            <w:pPr>
              <w:pStyle w:val="294"/>
              <w:widowControl w:val="0"/>
            </w:pPr>
            <w:r>
              <w:t>P202-1</w:t>
            </w:r>
          </w:p>
          <w:p>
            <w:pPr>
              <w:pStyle w:val="294"/>
              <w:widowControl w:val="0"/>
            </w:pPr>
            <w:r>
              <w:t>P301-3</w:t>
            </w:r>
          </w:p>
          <w:p>
            <w:pPr>
              <w:pStyle w:val="294"/>
              <w:widowControl w:val="0"/>
            </w:pPr>
            <w:r>
              <w:t>P301-4</w:t>
            </w:r>
          </w:p>
          <w:p>
            <w:pPr>
              <w:pStyle w:val="294"/>
              <w:widowControl w:val="0"/>
            </w:pPr>
            <w:r>
              <w:t>P302-1</w:t>
            </w:r>
          </w:p>
          <w:p>
            <w:pPr>
              <w:pStyle w:val="294"/>
              <w:widowControl w:val="0"/>
            </w:pPr>
            <w:r>
              <w:t>P302-2</w:t>
            </w:r>
          </w:p>
          <w:p>
            <w:pPr>
              <w:pStyle w:val="294"/>
              <w:widowControl w:val="0"/>
            </w:pPr>
            <w:r>
              <w:t>P302-3</w:t>
            </w:r>
          </w:p>
          <w:p>
            <w:pPr>
              <w:pStyle w:val="294"/>
              <w:widowControl w:val="0"/>
            </w:pPr>
            <w:r>
              <w:t>P303-1</w:t>
            </w:r>
          </w:p>
          <w:p>
            <w:pPr>
              <w:pStyle w:val="294"/>
              <w:widowControl w:val="0"/>
            </w:pPr>
            <w:r>
              <w:t>P303-2</w:t>
            </w:r>
          </w:p>
          <w:p>
            <w:pPr>
              <w:pStyle w:val="294"/>
              <w:widowControl w:val="0"/>
            </w:pPr>
            <w:r>
              <w:t>P304-3等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shd w:val="clear" w:color="auto" w:fill="auto"/>
            <w:vAlign w:val="center"/>
          </w:tcPr>
          <w:p>
            <w:pPr>
              <w:pStyle w:val="294"/>
              <w:widowControl w:val="0"/>
            </w:pPr>
            <w:r>
              <w:t>下沙溪庙组</w:t>
            </w:r>
          </w:p>
        </w:tc>
        <w:tc>
          <w:tcPr>
            <w:tcW w:w="383" w:type="pct"/>
            <w:shd w:val="clear" w:color="auto" w:fill="auto"/>
            <w:vAlign w:val="center"/>
          </w:tcPr>
          <w:p>
            <w:pPr>
              <w:pStyle w:val="294"/>
              <w:widowControl w:val="0"/>
            </w:pPr>
          </w:p>
        </w:tc>
        <w:tc>
          <w:tcPr>
            <w:tcW w:w="557" w:type="pct"/>
            <w:shd w:val="clear" w:color="auto" w:fill="auto"/>
            <w:vAlign w:val="center"/>
          </w:tcPr>
          <w:p>
            <w:pPr>
              <w:pStyle w:val="294"/>
              <w:widowControl w:val="0"/>
            </w:pPr>
            <w:r>
              <w:t>328～530</w:t>
            </w:r>
          </w:p>
        </w:tc>
        <w:tc>
          <w:tcPr>
            <w:tcW w:w="1846" w:type="pct"/>
            <w:shd w:val="clear" w:color="auto" w:fill="auto"/>
            <w:vAlign w:val="center"/>
          </w:tcPr>
          <w:p>
            <w:pPr>
              <w:pStyle w:val="294"/>
              <w:widowControl w:val="0"/>
            </w:pPr>
            <w:r>
              <w:t>棕紫色泥岩与细粒长石岩屑砂岩不等厚互层，顶有黑色页岩，底部发育厚层砂岩。</w:t>
            </w:r>
          </w:p>
        </w:tc>
        <w:tc>
          <w:tcPr>
            <w:tcW w:w="572" w:type="pct"/>
            <w:shd w:val="clear" w:color="auto" w:fill="auto"/>
            <w:vAlign w:val="center"/>
          </w:tcPr>
          <w:p>
            <w:pPr>
              <w:pStyle w:val="294"/>
              <w:widowControl w:val="0"/>
            </w:pPr>
            <w:r>
              <w:t>湖泊与河流相</w:t>
            </w:r>
          </w:p>
        </w:tc>
        <w:tc>
          <w:tcPr>
            <w:tcW w:w="369" w:type="pct"/>
            <w:vMerge w:val="continue"/>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shd w:val="clear" w:color="auto" w:fill="auto"/>
            <w:vAlign w:val="center"/>
          </w:tcPr>
          <w:p>
            <w:pPr>
              <w:pStyle w:val="294"/>
              <w:widowControl w:val="0"/>
            </w:pPr>
            <w:r>
              <w:t>千佛崖组</w:t>
            </w:r>
          </w:p>
        </w:tc>
        <w:tc>
          <w:tcPr>
            <w:tcW w:w="383" w:type="pct"/>
            <w:shd w:val="clear" w:color="auto" w:fill="auto"/>
            <w:vAlign w:val="center"/>
          </w:tcPr>
          <w:p>
            <w:pPr>
              <w:pStyle w:val="294"/>
              <w:widowControl w:val="0"/>
            </w:pPr>
          </w:p>
        </w:tc>
        <w:tc>
          <w:tcPr>
            <w:tcW w:w="557" w:type="pct"/>
            <w:shd w:val="clear" w:color="auto" w:fill="auto"/>
            <w:vAlign w:val="center"/>
          </w:tcPr>
          <w:p>
            <w:pPr>
              <w:pStyle w:val="294"/>
              <w:widowControl w:val="0"/>
            </w:pPr>
            <w:r>
              <w:t>274～504</w:t>
            </w:r>
          </w:p>
        </w:tc>
        <w:tc>
          <w:tcPr>
            <w:tcW w:w="1846" w:type="pct"/>
            <w:shd w:val="clear" w:color="auto" w:fill="auto"/>
            <w:vAlign w:val="center"/>
          </w:tcPr>
          <w:p>
            <w:pPr>
              <w:pStyle w:val="294"/>
              <w:widowControl w:val="0"/>
            </w:pPr>
            <w:r>
              <w:t>中下部以棕色、灰色泥岩与浅灰、灰绿色细-中粒岩屑砂岩不等厚互层，中部夹深灰、黑色页岩。</w:t>
            </w:r>
          </w:p>
        </w:tc>
        <w:tc>
          <w:tcPr>
            <w:tcW w:w="572" w:type="pct"/>
            <w:shd w:val="clear" w:color="auto" w:fill="auto"/>
            <w:vAlign w:val="center"/>
          </w:tcPr>
          <w:p>
            <w:pPr>
              <w:pStyle w:val="294"/>
              <w:widowControl w:val="0"/>
            </w:pPr>
            <w:r>
              <w:t>浅湖与滨湖相</w:t>
            </w:r>
          </w:p>
        </w:tc>
        <w:tc>
          <w:tcPr>
            <w:tcW w:w="369" w:type="pct"/>
            <w:vMerge w:val="restart"/>
            <w:shd w:val="clear" w:color="auto" w:fill="auto"/>
            <w:vAlign w:val="center"/>
          </w:tcPr>
          <w:p>
            <w:pPr>
              <w:pStyle w:val="294"/>
              <w:widowControl w:val="0"/>
            </w:pPr>
          </w:p>
          <w:p>
            <w:pPr>
              <w:pStyle w:val="294"/>
              <w:widowControl w:val="0"/>
            </w:pPr>
            <w:r>
              <w:t>燕山早幕</w:t>
            </w:r>
          </w:p>
          <w:p>
            <w:pPr>
              <w:pStyle w:val="294"/>
              <w:widowControl w:val="0"/>
            </w:pPr>
          </w:p>
          <w:p>
            <w:pPr>
              <w:pStyle w:val="294"/>
              <w:widowControl w:val="0"/>
            </w:pPr>
          </w:p>
          <w:p>
            <w:pPr>
              <w:pStyle w:val="294"/>
              <w:widowControl w:val="0"/>
            </w:pPr>
            <w:r>
              <w:t>印支晚幕</w:t>
            </w:r>
          </w:p>
          <w:p>
            <w:pPr>
              <w:pStyle w:val="294"/>
              <w:widowControl w:val="0"/>
            </w:pPr>
            <w:r>
              <w:t>印支中幕</w:t>
            </w:r>
          </w:p>
          <w:p>
            <w:pPr>
              <w:pStyle w:val="294"/>
              <w:widowControl w:val="0"/>
            </w:pPr>
            <w:r>
              <w:t>印支早幕</w:t>
            </w: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shd w:val="clear" w:color="auto" w:fill="auto"/>
            <w:vAlign w:val="center"/>
          </w:tcPr>
          <w:p>
            <w:pPr>
              <w:pStyle w:val="294"/>
              <w:widowControl w:val="0"/>
            </w:pPr>
            <w:r>
              <w:t>自流井组</w:t>
            </w:r>
          </w:p>
        </w:tc>
        <w:tc>
          <w:tcPr>
            <w:tcW w:w="383" w:type="pct"/>
            <w:shd w:val="clear" w:color="auto" w:fill="auto"/>
            <w:vAlign w:val="center"/>
          </w:tcPr>
          <w:p>
            <w:pPr>
              <w:pStyle w:val="294"/>
              <w:widowControl w:val="0"/>
            </w:pPr>
          </w:p>
        </w:tc>
        <w:tc>
          <w:tcPr>
            <w:tcW w:w="557" w:type="pct"/>
            <w:shd w:val="clear" w:color="auto" w:fill="auto"/>
            <w:vAlign w:val="center"/>
          </w:tcPr>
          <w:p>
            <w:pPr>
              <w:pStyle w:val="294"/>
              <w:widowControl w:val="0"/>
            </w:pPr>
            <w:r>
              <w:t>253～464</w:t>
            </w:r>
          </w:p>
        </w:tc>
        <w:tc>
          <w:tcPr>
            <w:tcW w:w="1846" w:type="pct"/>
            <w:shd w:val="clear" w:color="auto" w:fill="auto"/>
            <w:vAlign w:val="center"/>
          </w:tcPr>
          <w:p>
            <w:pPr>
              <w:pStyle w:val="294"/>
              <w:widowControl w:val="0"/>
            </w:pPr>
            <w:r>
              <w:t>顶有灰褐色介壳灰岩，中下部灰绿色、灰色泥岩，与灰色岩屑砂岩互层。</w:t>
            </w:r>
          </w:p>
        </w:tc>
        <w:tc>
          <w:tcPr>
            <w:tcW w:w="572" w:type="pct"/>
            <w:shd w:val="clear" w:color="auto" w:fill="auto"/>
            <w:vAlign w:val="center"/>
          </w:tcPr>
          <w:p>
            <w:pPr>
              <w:pStyle w:val="294"/>
              <w:widowControl w:val="0"/>
            </w:pPr>
            <w:r>
              <w:t>湖相与河流相</w:t>
            </w:r>
          </w:p>
        </w:tc>
        <w:tc>
          <w:tcPr>
            <w:tcW w:w="369" w:type="pct"/>
            <w:vMerge w:val="continue"/>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069" w:hRule="atLeast"/>
          <w:jc w:val="center"/>
        </w:trPr>
        <w:tc>
          <w:tcPr>
            <w:tcW w:w="284" w:type="pct"/>
            <w:vMerge w:val="restart"/>
            <w:shd w:val="clear" w:color="auto" w:fill="auto"/>
            <w:vAlign w:val="center"/>
          </w:tcPr>
          <w:p>
            <w:pPr>
              <w:pStyle w:val="294"/>
              <w:widowControl w:val="0"/>
            </w:pPr>
            <w:r>
              <w:t>三</w:t>
            </w:r>
          </w:p>
          <w:p>
            <w:pPr>
              <w:pStyle w:val="294"/>
              <w:widowControl w:val="0"/>
            </w:pPr>
          </w:p>
          <w:p>
            <w:pPr>
              <w:pStyle w:val="294"/>
              <w:widowControl w:val="0"/>
            </w:pPr>
          </w:p>
          <w:p>
            <w:pPr>
              <w:pStyle w:val="294"/>
              <w:widowControl w:val="0"/>
            </w:pPr>
          </w:p>
          <w:p>
            <w:pPr>
              <w:pStyle w:val="294"/>
              <w:widowControl w:val="0"/>
            </w:pPr>
          </w:p>
          <w:p>
            <w:pPr>
              <w:pStyle w:val="294"/>
              <w:widowControl w:val="0"/>
            </w:pPr>
            <w:r>
              <w:t>叠</w:t>
            </w:r>
          </w:p>
          <w:p>
            <w:pPr>
              <w:pStyle w:val="294"/>
              <w:widowControl w:val="0"/>
            </w:pPr>
          </w:p>
          <w:p>
            <w:pPr>
              <w:pStyle w:val="294"/>
              <w:widowControl w:val="0"/>
            </w:pPr>
          </w:p>
          <w:p>
            <w:pPr>
              <w:pStyle w:val="294"/>
              <w:widowControl w:val="0"/>
            </w:pPr>
          </w:p>
          <w:p>
            <w:pPr>
              <w:pStyle w:val="294"/>
              <w:widowControl w:val="0"/>
            </w:pPr>
          </w:p>
          <w:p>
            <w:pPr>
              <w:pStyle w:val="294"/>
              <w:widowControl w:val="0"/>
            </w:pPr>
            <w:r>
              <w:t>系</w:t>
            </w:r>
          </w:p>
        </w:tc>
        <w:tc>
          <w:tcPr>
            <w:tcW w:w="458" w:type="pct"/>
            <w:shd w:val="clear" w:color="auto" w:fill="auto"/>
            <w:vAlign w:val="center"/>
          </w:tcPr>
          <w:p>
            <w:pPr>
              <w:pStyle w:val="294"/>
              <w:widowControl w:val="0"/>
            </w:pPr>
            <w:r>
              <w:t>须家河组</w:t>
            </w:r>
          </w:p>
        </w:tc>
        <w:tc>
          <w:tcPr>
            <w:tcW w:w="383" w:type="pct"/>
            <w:shd w:val="clear" w:color="auto" w:fill="auto"/>
            <w:vAlign w:val="center"/>
          </w:tcPr>
          <w:p>
            <w:pPr>
              <w:pStyle w:val="294"/>
              <w:widowControl w:val="0"/>
            </w:pPr>
          </w:p>
        </w:tc>
        <w:tc>
          <w:tcPr>
            <w:tcW w:w="557" w:type="pct"/>
            <w:shd w:val="clear" w:color="auto" w:fill="auto"/>
            <w:vAlign w:val="center"/>
          </w:tcPr>
          <w:p>
            <w:pPr>
              <w:pStyle w:val="294"/>
              <w:widowControl w:val="0"/>
            </w:pPr>
            <w:r>
              <w:t>468～1000</w:t>
            </w:r>
          </w:p>
        </w:tc>
        <w:tc>
          <w:tcPr>
            <w:tcW w:w="1846" w:type="pct"/>
            <w:shd w:val="clear" w:color="auto" w:fill="auto"/>
            <w:vAlign w:val="center"/>
          </w:tcPr>
          <w:p>
            <w:pPr>
              <w:pStyle w:val="294"/>
              <w:widowControl w:val="0"/>
            </w:pPr>
            <w:r>
              <w:t>中上部黑色页岩、泥岩夹岩屑砂岩、煤线，中下部灰白色块状细粒岩屑砂岩、深灰色灰色泥岩互层，夹煤线，底部黑色页岩。</w:t>
            </w:r>
          </w:p>
        </w:tc>
        <w:tc>
          <w:tcPr>
            <w:tcW w:w="572" w:type="pct"/>
            <w:shd w:val="clear" w:color="auto" w:fill="auto"/>
            <w:vAlign w:val="center"/>
          </w:tcPr>
          <w:p>
            <w:pPr>
              <w:pStyle w:val="294"/>
              <w:widowControl w:val="0"/>
            </w:pPr>
            <w:r>
              <w:t>辫状河三角洲</w:t>
            </w:r>
          </w:p>
        </w:tc>
        <w:tc>
          <w:tcPr>
            <w:tcW w:w="369" w:type="pct"/>
            <w:vMerge w:val="continue"/>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vMerge w:val="restart"/>
            <w:shd w:val="clear" w:color="auto" w:fill="auto"/>
            <w:vAlign w:val="center"/>
          </w:tcPr>
          <w:p>
            <w:pPr>
              <w:pStyle w:val="294"/>
              <w:widowControl w:val="0"/>
            </w:pPr>
            <w:r>
              <w:t>雷</w:t>
            </w:r>
          </w:p>
          <w:p>
            <w:pPr>
              <w:pStyle w:val="294"/>
              <w:widowControl w:val="0"/>
            </w:pPr>
            <w:r>
              <w:t>口</w:t>
            </w:r>
          </w:p>
          <w:p>
            <w:pPr>
              <w:pStyle w:val="294"/>
              <w:widowControl w:val="0"/>
            </w:pPr>
            <w:r>
              <w:t>坡</w:t>
            </w:r>
          </w:p>
          <w:p>
            <w:pPr>
              <w:pStyle w:val="294"/>
              <w:widowControl w:val="0"/>
            </w:pPr>
            <w:r>
              <w:t>组</w:t>
            </w:r>
          </w:p>
        </w:tc>
        <w:tc>
          <w:tcPr>
            <w:tcW w:w="383" w:type="pct"/>
            <w:shd w:val="clear" w:color="auto" w:fill="auto"/>
            <w:vAlign w:val="center"/>
          </w:tcPr>
          <w:p>
            <w:pPr>
              <w:pStyle w:val="294"/>
              <w:widowControl w:val="0"/>
            </w:pPr>
            <w:r>
              <w:t>三段</w:t>
            </w:r>
          </w:p>
        </w:tc>
        <w:tc>
          <w:tcPr>
            <w:tcW w:w="557" w:type="pct"/>
            <w:shd w:val="clear" w:color="auto" w:fill="auto"/>
            <w:vAlign w:val="center"/>
          </w:tcPr>
          <w:p>
            <w:pPr>
              <w:pStyle w:val="294"/>
              <w:widowControl w:val="0"/>
            </w:pPr>
            <w:r>
              <w:t>15～333</w:t>
            </w:r>
          </w:p>
        </w:tc>
        <w:tc>
          <w:tcPr>
            <w:tcW w:w="1846" w:type="pct"/>
            <w:shd w:val="clear" w:color="auto" w:fill="auto"/>
            <w:vAlign w:val="center"/>
          </w:tcPr>
          <w:p>
            <w:pPr>
              <w:pStyle w:val="294"/>
              <w:widowControl w:val="0"/>
            </w:pPr>
            <w:r>
              <w:t>深灰色灰岩、云岩为主夹硬石膏灰岩</w:t>
            </w:r>
          </w:p>
        </w:tc>
        <w:tc>
          <w:tcPr>
            <w:tcW w:w="572" w:type="pct"/>
            <w:shd w:val="clear" w:color="auto" w:fill="auto"/>
            <w:vAlign w:val="center"/>
          </w:tcPr>
          <w:p>
            <w:pPr>
              <w:pStyle w:val="294"/>
              <w:widowControl w:val="0"/>
            </w:pPr>
            <w:r>
              <w:t>浅滩、潮间</w:t>
            </w:r>
          </w:p>
        </w:tc>
        <w:tc>
          <w:tcPr>
            <w:tcW w:w="369" w:type="pct"/>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vMerge w:val="continue"/>
            <w:shd w:val="clear" w:color="auto" w:fill="auto"/>
            <w:vAlign w:val="center"/>
          </w:tcPr>
          <w:p>
            <w:pPr>
              <w:pStyle w:val="294"/>
              <w:widowControl w:val="0"/>
            </w:pPr>
          </w:p>
        </w:tc>
        <w:tc>
          <w:tcPr>
            <w:tcW w:w="383" w:type="pct"/>
            <w:shd w:val="clear" w:color="auto" w:fill="auto"/>
            <w:vAlign w:val="center"/>
          </w:tcPr>
          <w:p>
            <w:pPr>
              <w:pStyle w:val="294"/>
              <w:widowControl w:val="0"/>
            </w:pPr>
            <w:r>
              <w:t>二段</w:t>
            </w:r>
          </w:p>
        </w:tc>
        <w:tc>
          <w:tcPr>
            <w:tcW w:w="557" w:type="pct"/>
            <w:shd w:val="clear" w:color="auto" w:fill="auto"/>
            <w:vAlign w:val="center"/>
          </w:tcPr>
          <w:p>
            <w:pPr>
              <w:pStyle w:val="294"/>
              <w:widowControl w:val="0"/>
            </w:pPr>
            <w:r>
              <w:t>55～590</w:t>
            </w:r>
          </w:p>
        </w:tc>
        <w:tc>
          <w:tcPr>
            <w:tcW w:w="1846" w:type="pct"/>
            <w:shd w:val="clear" w:color="auto" w:fill="auto"/>
            <w:vAlign w:val="center"/>
          </w:tcPr>
          <w:p>
            <w:pPr>
              <w:pStyle w:val="294"/>
              <w:widowControl w:val="0"/>
            </w:pPr>
            <w:r>
              <w:t>深灰色云岩、灰岩或与硬石膏互层</w:t>
            </w:r>
          </w:p>
        </w:tc>
        <w:tc>
          <w:tcPr>
            <w:tcW w:w="572" w:type="pct"/>
            <w:shd w:val="clear" w:color="auto" w:fill="auto"/>
            <w:vAlign w:val="center"/>
          </w:tcPr>
          <w:p>
            <w:pPr>
              <w:pStyle w:val="294"/>
              <w:widowControl w:val="0"/>
            </w:pPr>
            <w:r>
              <w:t>潮间</w:t>
            </w:r>
          </w:p>
        </w:tc>
        <w:tc>
          <w:tcPr>
            <w:tcW w:w="369" w:type="pct"/>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vMerge w:val="continue"/>
            <w:shd w:val="clear" w:color="auto" w:fill="auto"/>
            <w:vAlign w:val="center"/>
          </w:tcPr>
          <w:p>
            <w:pPr>
              <w:pStyle w:val="294"/>
              <w:widowControl w:val="0"/>
            </w:pPr>
          </w:p>
        </w:tc>
        <w:tc>
          <w:tcPr>
            <w:tcW w:w="383" w:type="pct"/>
            <w:shd w:val="clear" w:color="auto" w:fill="auto"/>
            <w:vAlign w:val="center"/>
          </w:tcPr>
          <w:p>
            <w:pPr>
              <w:pStyle w:val="294"/>
              <w:widowControl w:val="0"/>
            </w:pPr>
            <w:r>
              <w:t>一段</w:t>
            </w:r>
          </w:p>
        </w:tc>
        <w:tc>
          <w:tcPr>
            <w:tcW w:w="557" w:type="pct"/>
            <w:shd w:val="clear" w:color="auto" w:fill="auto"/>
            <w:vAlign w:val="center"/>
          </w:tcPr>
          <w:p>
            <w:pPr>
              <w:pStyle w:val="294"/>
              <w:widowControl w:val="0"/>
            </w:pPr>
            <w:r>
              <w:t>35～243</w:t>
            </w:r>
          </w:p>
        </w:tc>
        <w:tc>
          <w:tcPr>
            <w:tcW w:w="1846" w:type="pct"/>
            <w:shd w:val="clear" w:color="auto" w:fill="auto"/>
            <w:vAlign w:val="center"/>
          </w:tcPr>
          <w:p>
            <w:pPr>
              <w:pStyle w:val="294"/>
              <w:widowControl w:val="0"/>
            </w:pPr>
            <w:r>
              <w:t>硬石膏夹云岩及砂屑灰岩，底为“绿豆岩”。</w:t>
            </w:r>
          </w:p>
        </w:tc>
        <w:tc>
          <w:tcPr>
            <w:tcW w:w="572" w:type="pct"/>
            <w:shd w:val="clear" w:color="auto" w:fill="auto"/>
            <w:vAlign w:val="center"/>
          </w:tcPr>
          <w:p>
            <w:pPr>
              <w:pStyle w:val="294"/>
              <w:widowControl w:val="0"/>
            </w:pPr>
            <w:r>
              <w:t>潮间</w:t>
            </w:r>
          </w:p>
        </w:tc>
        <w:tc>
          <w:tcPr>
            <w:tcW w:w="369" w:type="pct"/>
            <w:vMerge w:val="restart"/>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891" w:hRule="atLeast"/>
          <w:jc w:val="center"/>
        </w:trPr>
        <w:tc>
          <w:tcPr>
            <w:tcW w:w="284" w:type="pct"/>
            <w:vMerge w:val="continue"/>
            <w:shd w:val="clear" w:color="auto" w:fill="auto"/>
            <w:vAlign w:val="center"/>
          </w:tcPr>
          <w:p>
            <w:pPr>
              <w:pStyle w:val="294"/>
              <w:widowControl w:val="0"/>
            </w:pPr>
          </w:p>
        </w:tc>
        <w:tc>
          <w:tcPr>
            <w:tcW w:w="458" w:type="pct"/>
            <w:vMerge w:val="restart"/>
            <w:shd w:val="clear" w:color="auto" w:fill="auto"/>
            <w:vAlign w:val="center"/>
          </w:tcPr>
          <w:p>
            <w:pPr>
              <w:pStyle w:val="294"/>
              <w:widowControl w:val="0"/>
            </w:pPr>
            <w:r>
              <w:t>嘉</w:t>
            </w:r>
          </w:p>
          <w:p>
            <w:pPr>
              <w:pStyle w:val="294"/>
              <w:widowControl w:val="0"/>
            </w:pPr>
            <w:r>
              <w:t>陵</w:t>
            </w:r>
          </w:p>
          <w:p>
            <w:pPr>
              <w:pStyle w:val="294"/>
              <w:widowControl w:val="0"/>
            </w:pPr>
            <w:r>
              <w:t>江</w:t>
            </w:r>
          </w:p>
          <w:p>
            <w:pPr>
              <w:pStyle w:val="294"/>
              <w:widowControl w:val="0"/>
            </w:pPr>
            <w:r>
              <w:t>组</w:t>
            </w:r>
          </w:p>
        </w:tc>
        <w:tc>
          <w:tcPr>
            <w:tcW w:w="383" w:type="pct"/>
            <w:shd w:val="clear" w:color="auto" w:fill="auto"/>
            <w:vAlign w:val="center"/>
          </w:tcPr>
          <w:p>
            <w:pPr>
              <w:pStyle w:val="294"/>
              <w:widowControl w:val="0"/>
            </w:pPr>
            <w:r>
              <w:t>五～四段</w:t>
            </w:r>
          </w:p>
        </w:tc>
        <w:tc>
          <w:tcPr>
            <w:tcW w:w="557" w:type="pct"/>
            <w:shd w:val="clear" w:color="auto" w:fill="auto"/>
            <w:vAlign w:val="center"/>
          </w:tcPr>
          <w:p>
            <w:pPr>
              <w:pStyle w:val="294"/>
              <w:widowControl w:val="0"/>
            </w:pPr>
            <w:r>
              <w:t>88～673</w:t>
            </w:r>
          </w:p>
        </w:tc>
        <w:tc>
          <w:tcPr>
            <w:tcW w:w="1846" w:type="pct"/>
            <w:shd w:val="clear" w:color="auto" w:fill="auto"/>
            <w:vAlign w:val="center"/>
          </w:tcPr>
          <w:p>
            <w:pPr>
              <w:pStyle w:val="294"/>
              <w:widowControl w:val="0"/>
            </w:pPr>
            <w:r>
              <w:t>硬石膏、盐岩互层，夹云岩、膏质灰岩、云质灰岩、灰质云岩，局部表现为上部膏盐岩为主，下部夹云岩夹鲕或粒屑云岩。</w:t>
            </w:r>
          </w:p>
        </w:tc>
        <w:tc>
          <w:tcPr>
            <w:tcW w:w="572" w:type="pct"/>
            <w:shd w:val="clear" w:color="auto" w:fill="auto"/>
            <w:vAlign w:val="center"/>
          </w:tcPr>
          <w:p>
            <w:pPr>
              <w:pStyle w:val="294"/>
              <w:widowControl w:val="0"/>
            </w:pPr>
            <w:r>
              <w:t>潮间</w:t>
            </w:r>
          </w:p>
        </w:tc>
        <w:tc>
          <w:tcPr>
            <w:tcW w:w="369" w:type="pct"/>
            <w:vMerge w:val="continue"/>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vMerge w:val="continue"/>
            <w:shd w:val="clear" w:color="auto" w:fill="auto"/>
            <w:vAlign w:val="center"/>
          </w:tcPr>
          <w:p>
            <w:pPr>
              <w:pStyle w:val="294"/>
              <w:widowControl w:val="0"/>
            </w:pPr>
          </w:p>
        </w:tc>
        <w:tc>
          <w:tcPr>
            <w:tcW w:w="383" w:type="pct"/>
            <w:shd w:val="clear" w:color="auto" w:fill="auto"/>
            <w:vAlign w:val="center"/>
          </w:tcPr>
          <w:p>
            <w:pPr>
              <w:pStyle w:val="294"/>
              <w:widowControl w:val="0"/>
            </w:pPr>
            <w:r>
              <w:t>三段</w:t>
            </w:r>
          </w:p>
        </w:tc>
        <w:tc>
          <w:tcPr>
            <w:tcW w:w="557" w:type="pct"/>
            <w:shd w:val="clear" w:color="auto" w:fill="auto"/>
            <w:vAlign w:val="center"/>
          </w:tcPr>
          <w:p>
            <w:pPr>
              <w:pStyle w:val="294"/>
              <w:widowControl w:val="0"/>
            </w:pPr>
            <w:r>
              <w:t>100～230</w:t>
            </w:r>
          </w:p>
        </w:tc>
        <w:tc>
          <w:tcPr>
            <w:tcW w:w="1846" w:type="pct"/>
            <w:shd w:val="clear" w:color="auto" w:fill="auto"/>
            <w:vAlign w:val="center"/>
          </w:tcPr>
          <w:p>
            <w:pPr>
              <w:pStyle w:val="294"/>
              <w:widowControl w:val="0"/>
            </w:pPr>
            <w:r>
              <w:t>灰色云岩夹硬石膏及砂屑灰岩。</w:t>
            </w:r>
          </w:p>
        </w:tc>
        <w:tc>
          <w:tcPr>
            <w:tcW w:w="572" w:type="pct"/>
            <w:shd w:val="clear" w:color="auto" w:fill="auto"/>
            <w:vAlign w:val="center"/>
          </w:tcPr>
          <w:p>
            <w:pPr>
              <w:pStyle w:val="294"/>
              <w:widowControl w:val="0"/>
            </w:pPr>
            <w:r>
              <w:t>浅海台地</w:t>
            </w:r>
          </w:p>
        </w:tc>
        <w:tc>
          <w:tcPr>
            <w:tcW w:w="369" w:type="pct"/>
            <w:vMerge w:val="continue"/>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vMerge w:val="continue"/>
            <w:shd w:val="clear" w:color="auto" w:fill="auto"/>
            <w:vAlign w:val="center"/>
          </w:tcPr>
          <w:p>
            <w:pPr>
              <w:pStyle w:val="294"/>
              <w:widowControl w:val="0"/>
            </w:pPr>
          </w:p>
        </w:tc>
        <w:tc>
          <w:tcPr>
            <w:tcW w:w="383" w:type="pct"/>
            <w:shd w:val="clear" w:color="auto" w:fill="auto"/>
            <w:vAlign w:val="center"/>
          </w:tcPr>
          <w:p>
            <w:pPr>
              <w:pStyle w:val="294"/>
              <w:widowControl w:val="0"/>
            </w:pPr>
            <w:r>
              <w:t>二段</w:t>
            </w:r>
          </w:p>
        </w:tc>
        <w:tc>
          <w:tcPr>
            <w:tcW w:w="557" w:type="pct"/>
            <w:shd w:val="clear" w:color="auto" w:fill="auto"/>
            <w:vAlign w:val="center"/>
          </w:tcPr>
          <w:p>
            <w:pPr>
              <w:pStyle w:val="294"/>
              <w:widowControl w:val="0"/>
            </w:pPr>
            <w:r>
              <w:t>99～211</w:t>
            </w:r>
          </w:p>
        </w:tc>
        <w:tc>
          <w:tcPr>
            <w:tcW w:w="1846" w:type="pct"/>
            <w:shd w:val="clear" w:color="auto" w:fill="auto"/>
            <w:vAlign w:val="center"/>
          </w:tcPr>
          <w:p>
            <w:pPr>
              <w:pStyle w:val="294"/>
              <w:widowControl w:val="0"/>
            </w:pPr>
            <w:r>
              <w:t>云岩、砂屑云岩，间夹硬石膏。</w:t>
            </w:r>
          </w:p>
        </w:tc>
        <w:tc>
          <w:tcPr>
            <w:tcW w:w="572" w:type="pct"/>
            <w:shd w:val="clear" w:color="auto" w:fill="auto"/>
            <w:vAlign w:val="center"/>
          </w:tcPr>
          <w:p>
            <w:pPr>
              <w:pStyle w:val="294"/>
              <w:widowControl w:val="0"/>
            </w:pPr>
            <w:r>
              <w:t>潮间</w:t>
            </w:r>
          </w:p>
        </w:tc>
        <w:tc>
          <w:tcPr>
            <w:tcW w:w="369" w:type="pct"/>
            <w:vMerge w:val="restart"/>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vMerge w:val="continue"/>
            <w:shd w:val="clear" w:color="auto" w:fill="auto"/>
            <w:vAlign w:val="center"/>
          </w:tcPr>
          <w:p>
            <w:pPr>
              <w:pStyle w:val="294"/>
              <w:widowControl w:val="0"/>
            </w:pPr>
          </w:p>
        </w:tc>
        <w:tc>
          <w:tcPr>
            <w:tcW w:w="383" w:type="pct"/>
            <w:shd w:val="clear" w:color="auto" w:fill="auto"/>
            <w:vAlign w:val="center"/>
          </w:tcPr>
          <w:p>
            <w:pPr>
              <w:pStyle w:val="294"/>
              <w:widowControl w:val="0"/>
            </w:pPr>
            <w:r>
              <w:t>一段</w:t>
            </w:r>
          </w:p>
        </w:tc>
        <w:tc>
          <w:tcPr>
            <w:tcW w:w="557" w:type="pct"/>
            <w:shd w:val="clear" w:color="auto" w:fill="auto"/>
            <w:vAlign w:val="center"/>
          </w:tcPr>
          <w:p>
            <w:pPr>
              <w:pStyle w:val="294"/>
              <w:widowControl w:val="0"/>
            </w:pPr>
            <w:r>
              <w:t>263～382</w:t>
            </w:r>
          </w:p>
        </w:tc>
        <w:tc>
          <w:tcPr>
            <w:tcW w:w="1846" w:type="pct"/>
            <w:shd w:val="clear" w:color="auto" w:fill="auto"/>
            <w:vAlign w:val="center"/>
          </w:tcPr>
          <w:p>
            <w:pPr>
              <w:pStyle w:val="294"/>
              <w:widowControl w:val="0"/>
            </w:pPr>
            <w:r>
              <w:t>深灰色、紫灰色灰岩、泥灰岩互层。</w:t>
            </w:r>
          </w:p>
        </w:tc>
        <w:tc>
          <w:tcPr>
            <w:tcW w:w="572" w:type="pct"/>
            <w:shd w:val="clear" w:color="auto" w:fill="auto"/>
            <w:vAlign w:val="center"/>
          </w:tcPr>
          <w:p>
            <w:pPr>
              <w:pStyle w:val="294"/>
              <w:widowControl w:val="0"/>
            </w:pPr>
            <w:r>
              <w:t>浅海台地</w:t>
            </w:r>
          </w:p>
        </w:tc>
        <w:tc>
          <w:tcPr>
            <w:tcW w:w="369" w:type="pct"/>
            <w:vMerge w:val="continue"/>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vMerge w:val="restart"/>
            <w:shd w:val="clear" w:color="auto" w:fill="auto"/>
            <w:vAlign w:val="center"/>
          </w:tcPr>
          <w:p>
            <w:pPr>
              <w:pStyle w:val="294"/>
              <w:widowControl w:val="0"/>
            </w:pPr>
            <w:r>
              <w:t>飞仙关组</w:t>
            </w:r>
          </w:p>
        </w:tc>
        <w:tc>
          <w:tcPr>
            <w:tcW w:w="383" w:type="pct"/>
            <w:shd w:val="clear" w:color="auto" w:fill="auto"/>
            <w:vAlign w:val="center"/>
          </w:tcPr>
          <w:p>
            <w:pPr>
              <w:pStyle w:val="294"/>
              <w:widowControl w:val="0"/>
            </w:pPr>
            <w:r>
              <w:t>四段</w:t>
            </w:r>
          </w:p>
        </w:tc>
        <w:tc>
          <w:tcPr>
            <w:tcW w:w="557" w:type="pct"/>
            <w:shd w:val="clear" w:color="auto" w:fill="auto"/>
            <w:vAlign w:val="center"/>
          </w:tcPr>
          <w:p>
            <w:pPr>
              <w:pStyle w:val="294"/>
              <w:widowControl w:val="0"/>
            </w:pPr>
            <w:r>
              <w:t>25～74</w:t>
            </w:r>
          </w:p>
        </w:tc>
        <w:tc>
          <w:tcPr>
            <w:tcW w:w="1846" w:type="pct"/>
            <w:shd w:val="clear" w:color="auto" w:fill="auto"/>
            <w:vAlign w:val="center"/>
          </w:tcPr>
          <w:p>
            <w:pPr>
              <w:pStyle w:val="294"/>
              <w:widowControl w:val="0"/>
            </w:pPr>
            <w:r>
              <w:t>灰紫色泥岩与硬石膏，灰白色云岩。</w:t>
            </w:r>
          </w:p>
        </w:tc>
        <w:tc>
          <w:tcPr>
            <w:tcW w:w="572" w:type="pct"/>
            <w:shd w:val="clear" w:color="auto" w:fill="auto"/>
            <w:vAlign w:val="center"/>
          </w:tcPr>
          <w:p>
            <w:pPr>
              <w:pStyle w:val="294"/>
              <w:widowControl w:val="0"/>
            </w:pPr>
            <w:r>
              <w:t>蒸发台地</w:t>
            </w:r>
          </w:p>
        </w:tc>
        <w:tc>
          <w:tcPr>
            <w:tcW w:w="369" w:type="pct"/>
            <w:vMerge w:val="restart"/>
            <w:shd w:val="clear" w:color="auto" w:fill="auto"/>
            <w:vAlign w:val="center"/>
          </w:tcPr>
          <w:p>
            <w:pPr>
              <w:pStyle w:val="294"/>
              <w:widowControl w:val="0"/>
            </w:pPr>
            <w:r>
              <w:t>川黔运动</w:t>
            </w: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vMerge w:val="continue"/>
            <w:shd w:val="clear" w:color="auto" w:fill="auto"/>
            <w:vAlign w:val="center"/>
          </w:tcPr>
          <w:p>
            <w:pPr>
              <w:pStyle w:val="294"/>
              <w:widowControl w:val="0"/>
            </w:pPr>
          </w:p>
        </w:tc>
        <w:tc>
          <w:tcPr>
            <w:tcW w:w="383" w:type="pct"/>
            <w:shd w:val="clear" w:color="auto" w:fill="auto"/>
            <w:vAlign w:val="center"/>
          </w:tcPr>
          <w:p>
            <w:pPr>
              <w:pStyle w:val="294"/>
              <w:widowControl w:val="0"/>
            </w:pPr>
            <w:r>
              <w:t>三～一段</w:t>
            </w:r>
          </w:p>
        </w:tc>
        <w:tc>
          <w:tcPr>
            <w:tcW w:w="557" w:type="pct"/>
            <w:shd w:val="clear" w:color="auto" w:fill="auto"/>
            <w:vAlign w:val="center"/>
          </w:tcPr>
          <w:p>
            <w:pPr>
              <w:pStyle w:val="294"/>
              <w:widowControl w:val="0"/>
            </w:pPr>
            <w:r>
              <w:t>400～640</w:t>
            </w:r>
          </w:p>
        </w:tc>
        <w:tc>
          <w:tcPr>
            <w:tcW w:w="1846" w:type="pct"/>
            <w:shd w:val="clear" w:color="auto" w:fill="auto"/>
            <w:vAlign w:val="center"/>
          </w:tcPr>
          <w:p>
            <w:pPr>
              <w:pStyle w:val="294"/>
              <w:widowControl w:val="0"/>
            </w:pPr>
            <w:r>
              <w:t>部分地区为鲕粒云岩与灰色灰岩；部分地区为灰色灰岩，紫灰色泥质、泥灰岩，上部夹鲕灰岩。</w:t>
            </w:r>
          </w:p>
        </w:tc>
        <w:tc>
          <w:tcPr>
            <w:tcW w:w="572" w:type="pct"/>
            <w:shd w:val="clear" w:color="auto" w:fill="auto"/>
            <w:vAlign w:val="center"/>
          </w:tcPr>
          <w:p>
            <w:pPr>
              <w:pStyle w:val="294"/>
              <w:widowControl w:val="0"/>
            </w:pPr>
            <w:r>
              <w:t>陆棚－台地边缘－台地</w:t>
            </w:r>
          </w:p>
        </w:tc>
        <w:tc>
          <w:tcPr>
            <w:tcW w:w="369" w:type="pct"/>
            <w:vMerge w:val="continue"/>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35" w:hRule="atLeast"/>
          <w:jc w:val="center"/>
        </w:trPr>
        <w:tc>
          <w:tcPr>
            <w:tcW w:w="284" w:type="pct"/>
            <w:vMerge w:val="restart"/>
            <w:shd w:val="clear" w:color="auto" w:fill="auto"/>
            <w:vAlign w:val="center"/>
          </w:tcPr>
          <w:p>
            <w:pPr>
              <w:pStyle w:val="294"/>
              <w:widowControl w:val="0"/>
            </w:pPr>
            <w:r>
              <w:t>二</w:t>
            </w:r>
          </w:p>
          <w:p>
            <w:pPr>
              <w:pStyle w:val="294"/>
              <w:widowControl w:val="0"/>
            </w:pPr>
          </w:p>
          <w:p>
            <w:pPr>
              <w:pStyle w:val="294"/>
              <w:widowControl w:val="0"/>
            </w:pPr>
          </w:p>
          <w:p>
            <w:pPr>
              <w:pStyle w:val="294"/>
              <w:widowControl w:val="0"/>
            </w:pPr>
          </w:p>
          <w:p>
            <w:pPr>
              <w:pStyle w:val="294"/>
              <w:widowControl w:val="0"/>
            </w:pPr>
            <w:r>
              <w:t>叠</w:t>
            </w:r>
          </w:p>
          <w:p>
            <w:pPr>
              <w:pStyle w:val="294"/>
              <w:widowControl w:val="0"/>
            </w:pPr>
          </w:p>
          <w:p>
            <w:pPr>
              <w:pStyle w:val="294"/>
              <w:widowControl w:val="0"/>
            </w:pPr>
          </w:p>
          <w:p>
            <w:pPr>
              <w:pStyle w:val="294"/>
              <w:widowControl w:val="0"/>
            </w:pPr>
            <w:r>
              <w:t>系</w:t>
            </w:r>
          </w:p>
        </w:tc>
        <w:tc>
          <w:tcPr>
            <w:tcW w:w="458" w:type="pct"/>
            <w:shd w:val="clear" w:color="auto" w:fill="auto"/>
            <w:vAlign w:val="center"/>
          </w:tcPr>
          <w:p>
            <w:pPr>
              <w:pStyle w:val="294"/>
              <w:widowControl w:val="0"/>
            </w:pPr>
            <w:r>
              <w:t>长兴组</w:t>
            </w:r>
          </w:p>
        </w:tc>
        <w:tc>
          <w:tcPr>
            <w:tcW w:w="383" w:type="pct"/>
            <w:shd w:val="clear" w:color="auto" w:fill="auto"/>
            <w:vAlign w:val="center"/>
          </w:tcPr>
          <w:p>
            <w:pPr>
              <w:pStyle w:val="294"/>
              <w:widowControl w:val="0"/>
            </w:pPr>
          </w:p>
        </w:tc>
        <w:tc>
          <w:tcPr>
            <w:tcW w:w="557" w:type="pct"/>
            <w:shd w:val="clear" w:color="auto" w:fill="auto"/>
            <w:vAlign w:val="center"/>
          </w:tcPr>
          <w:p>
            <w:pPr>
              <w:pStyle w:val="294"/>
              <w:widowControl w:val="0"/>
            </w:pPr>
            <w:r>
              <w:t>92～240</w:t>
            </w:r>
          </w:p>
        </w:tc>
        <w:tc>
          <w:tcPr>
            <w:tcW w:w="1846" w:type="pct"/>
            <w:shd w:val="clear" w:color="auto" w:fill="auto"/>
            <w:vAlign w:val="center"/>
          </w:tcPr>
          <w:p>
            <w:pPr>
              <w:pStyle w:val="294"/>
              <w:widowControl w:val="0"/>
            </w:pPr>
            <w:r>
              <w:t>灰色生物灰岩和/或溶孔云岩，含燧石层。</w:t>
            </w:r>
          </w:p>
        </w:tc>
        <w:tc>
          <w:tcPr>
            <w:tcW w:w="572" w:type="pct"/>
            <w:shd w:val="clear" w:color="auto" w:fill="auto"/>
            <w:vAlign w:val="center"/>
          </w:tcPr>
          <w:p>
            <w:pPr>
              <w:pStyle w:val="294"/>
              <w:widowControl w:val="0"/>
            </w:pPr>
            <w:r>
              <w:t>陆棚－浅海台地</w:t>
            </w:r>
          </w:p>
        </w:tc>
        <w:tc>
          <w:tcPr>
            <w:tcW w:w="369" w:type="pct"/>
            <w:vMerge w:val="continue"/>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shd w:val="clear" w:color="auto" w:fill="auto"/>
            <w:vAlign w:val="center"/>
          </w:tcPr>
          <w:p>
            <w:pPr>
              <w:pStyle w:val="294"/>
              <w:widowControl w:val="0"/>
            </w:pPr>
            <w:r>
              <w:t>龙潭组</w:t>
            </w:r>
          </w:p>
        </w:tc>
        <w:tc>
          <w:tcPr>
            <w:tcW w:w="383" w:type="pct"/>
            <w:shd w:val="clear" w:color="auto" w:fill="auto"/>
            <w:vAlign w:val="center"/>
          </w:tcPr>
          <w:p>
            <w:pPr>
              <w:pStyle w:val="294"/>
              <w:widowControl w:val="0"/>
            </w:pPr>
          </w:p>
        </w:tc>
        <w:tc>
          <w:tcPr>
            <w:tcW w:w="557" w:type="pct"/>
            <w:shd w:val="clear" w:color="auto" w:fill="auto"/>
            <w:vAlign w:val="center"/>
          </w:tcPr>
          <w:p>
            <w:pPr>
              <w:pStyle w:val="294"/>
              <w:widowControl w:val="0"/>
            </w:pPr>
            <w:r>
              <w:t>91～210</w:t>
            </w:r>
          </w:p>
        </w:tc>
        <w:tc>
          <w:tcPr>
            <w:tcW w:w="1846" w:type="pct"/>
            <w:shd w:val="clear" w:color="auto" w:fill="auto"/>
            <w:vAlign w:val="center"/>
          </w:tcPr>
          <w:p>
            <w:pPr>
              <w:pStyle w:val="294"/>
              <w:widowControl w:val="0"/>
            </w:pPr>
            <w:r>
              <w:t>灰色燧石灰岩含燧石层，底为黑色页岩。</w:t>
            </w:r>
          </w:p>
        </w:tc>
        <w:tc>
          <w:tcPr>
            <w:tcW w:w="572" w:type="pct"/>
            <w:shd w:val="clear" w:color="auto" w:fill="auto"/>
            <w:vAlign w:val="center"/>
          </w:tcPr>
          <w:p>
            <w:pPr>
              <w:pStyle w:val="294"/>
              <w:widowControl w:val="0"/>
            </w:pPr>
            <w:r>
              <w:t>浅海台地兼有台凹</w:t>
            </w:r>
          </w:p>
        </w:tc>
        <w:tc>
          <w:tcPr>
            <w:tcW w:w="369" w:type="pct"/>
            <w:vMerge w:val="continue"/>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shd w:val="clear" w:color="auto" w:fill="auto"/>
            <w:vAlign w:val="center"/>
          </w:tcPr>
          <w:p>
            <w:pPr>
              <w:pStyle w:val="294"/>
              <w:widowControl w:val="0"/>
            </w:pPr>
            <w:r>
              <w:t>茅口组</w:t>
            </w:r>
          </w:p>
        </w:tc>
        <w:tc>
          <w:tcPr>
            <w:tcW w:w="383" w:type="pct"/>
            <w:shd w:val="clear" w:color="auto" w:fill="auto"/>
            <w:vAlign w:val="center"/>
          </w:tcPr>
          <w:p>
            <w:pPr>
              <w:pStyle w:val="294"/>
              <w:widowControl w:val="0"/>
            </w:pPr>
          </w:p>
        </w:tc>
        <w:tc>
          <w:tcPr>
            <w:tcW w:w="557" w:type="pct"/>
            <w:shd w:val="clear" w:color="auto" w:fill="auto"/>
            <w:vAlign w:val="center"/>
          </w:tcPr>
          <w:p>
            <w:pPr>
              <w:pStyle w:val="294"/>
              <w:widowControl w:val="0"/>
            </w:pPr>
            <w:r>
              <w:t>181～270</w:t>
            </w:r>
          </w:p>
        </w:tc>
        <w:tc>
          <w:tcPr>
            <w:tcW w:w="1846" w:type="pct"/>
            <w:shd w:val="clear" w:color="auto" w:fill="auto"/>
            <w:vAlign w:val="center"/>
          </w:tcPr>
          <w:p>
            <w:pPr>
              <w:pStyle w:val="294"/>
              <w:widowControl w:val="0"/>
            </w:pPr>
            <w:r>
              <w:t>深灰色灰岩，顶有硅质，下部夹泥质灰岩。</w:t>
            </w:r>
          </w:p>
        </w:tc>
        <w:tc>
          <w:tcPr>
            <w:tcW w:w="572" w:type="pct"/>
            <w:shd w:val="clear" w:color="auto" w:fill="auto"/>
            <w:vAlign w:val="center"/>
          </w:tcPr>
          <w:p>
            <w:pPr>
              <w:pStyle w:val="294"/>
              <w:widowControl w:val="0"/>
            </w:pPr>
            <w:r>
              <w:t>浅海台地</w:t>
            </w:r>
          </w:p>
        </w:tc>
        <w:tc>
          <w:tcPr>
            <w:tcW w:w="369" w:type="pct"/>
            <w:vMerge w:val="continue"/>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shd w:val="clear" w:color="auto" w:fill="auto"/>
            <w:vAlign w:val="center"/>
          </w:tcPr>
          <w:p>
            <w:pPr>
              <w:pStyle w:val="294"/>
              <w:widowControl w:val="0"/>
            </w:pPr>
            <w:r>
              <w:t>栖霞组</w:t>
            </w:r>
          </w:p>
        </w:tc>
        <w:tc>
          <w:tcPr>
            <w:tcW w:w="383" w:type="pct"/>
            <w:shd w:val="clear" w:color="auto" w:fill="auto"/>
            <w:vAlign w:val="center"/>
          </w:tcPr>
          <w:p>
            <w:pPr>
              <w:pStyle w:val="294"/>
              <w:widowControl w:val="0"/>
            </w:pPr>
          </w:p>
        </w:tc>
        <w:tc>
          <w:tcPr>
            <w:tcW w:w="557" w:type="pct"/>
            <w:shd w:val="clear" w:color="auto" w:fill="auto"/>
            <w:vAlign w:val="center"/>
          </w:tcPr>
          <w:p>
            <w:pPr>
              <w:pStyle w:val="294"/>
              <w:widowControl w:val="0"/>
            </w:pPr>
            <w:r>
              <w:t>100～130</w:t>
            </w:r>
          </w:p>
        </w:tc>
        <w:tc>
          <w:tcPr>
            <w:tcW w:w="1846" w:type="pct"/>
            <w:shd w:val="clear" w:color="auto" w:fill="auto"/>
            <w:vAlign w:val="center"/>
          </w:tcPr>
          <w:p>
            <w:pPr>
              <w:pStyle w:val="294"/>
              <w:widowControl w:val="0"/>
            </w:pPr>
            <w:r>
              <w:t>深灰色灰岩，含燧石结核。</w:t>
            </w:r>
          </w:p>
        </w:tc>
        <w:tc>
          <w:tcPr>
            <w:tcW w:w="572" w:type="pct"/>
            <w:shd w:val="clear" w:color="auto" w:fill="auto"/>
            <w:vAlign w:val="center"/>
          </w:tcPr>
          <w:p>
            <w:pPr>
              <w:pStyle w:val="294"/>
              <w:widowControl w:val="0"/>
            </w:pPr>
            <w:r>
              <w:t>浅海台地</w:t>
            </w:r>
          </w:p>
        </w:tc>
        <w:tc>
          <w:tcPr>
            <w:tcW w:w="369" w:type="pct"/>
            <w:vMerge w:val="continue"/>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9" w:hRule="atLeast"/>
          <w:jc w:val="center"/>
        </w:trPr>
        <w:tc>
          <w:tcPr>
            <w:tcW w:w="284" w:type="pct"/>
            <w:vMerge w:val="continue"/>
            <w:shd w:val="clear" w:color="auto" w:fill="auto"/>
            <w:vAlign w:val="center"/>
          </w:tcPr>
          <w:p>
            <w:pPr>
              <w:pStyle w:val="294"/>
              <w:widowControl w:val="0"/>
            </w:pPr>
          </w:p>
        </w:tc>
        <w:tc>
          <w:tcPr>
            <w:tcW w:w="458" w:type="pct"/>
            <w:shd w:val="clear" w:color="auto" w:fill="auto"/>
            <w:vAlign w:val="center"/>
          </w:tcPr>
          <w:p>
            <w:pPr>
              <w:pStyle w:val="294"/>
              <w:widowControl w:val="0"/>
            </w:pPr>
            <w:r>
              <w:t>梁山组</w:t>
            </w:r>
          </w:p>
        </w:tc>
        <w:tc>
          <w:tcPr>
            <w:tcW w:w="383" w:type="pct"/>
            <w:shd w:val="clear" w:color="auto" w:fill="auto"/>
            <w:vAlign w:val="center"/>
          </w:tcPr>
          <w:p>
            <w:pPr>
              <w:pStyle w:val="294"/>
              <w:widowControl w:val="0"/>
            </w:pPr>
          </w:p>
        </w:tc>
        <w:tc>
          <w:tcPr>
            <w:tcW w:w="557" w:type="pct"/>
            <w:shd w:val="clear" w:color="auto" w:fill="auto"/>
            <w:vAlign w:val="center"/>
          </w:tcPr>
          <w:p>
            <w:pPr>
              <w:pStyle w:val="294"/>
              <w:widowControl w:val="0"/>
            </w:pPr>
            <w:r>
              <w:t>5～8</w:t>
            </w:r>
          </w:p>
        </w:tc>
        <w:tc>
          <w:tcPr>
            <w:tcW w:w="1846" w:type="pct"/>
            <w:shd w:val="clear" w:color="auto" w:fill="auto"/>
            <w:vAlign w:val="center"/>
          </w:tcPr>
          <w:p>
            <w:pPr>
              <w:pStyle w:val="294"/>
              <w:widowControl w:val="0"/>
            </w:pPr>
            <w:r>
              <w:t>黑色页岩夹砂岩</w:t>
            </w:r>
          </w:p>
        </w:tc>
        <w:tc>
          <w:tcPr>
            <w:tcW w:w="572" w:type="pct"/>
            <w:shd w:val="clear" w:color="auto" w:fill="auto"/>
            <w:vAlign w:val="center"/>
          </w:tcPr>
          <w:p>
            <w:pPr>
              <w:pStyle w:val="294"/>
              <w:widowControl w:val="0"/>
            </w:pPr>
            <w:r>
              <w:t>滨岸</w:t>
            </w:r>
          </w:p>
        </w:tc>
        <w:tc>
          <w:tcPr>
            <w:tcW w:w="369" w:type="pct"/>
            <w:vMerge w:val="restart"/>
            <w:shd w:val="clear" w:color="auto" w:fill="auto"/>
            <w:vAlign w:val="center"/>
          </w:tcPr>
          <w:p>
            <w:pPr>
              <w:pStyle w:val="294"/>
              <w:widowControl w:val="0"/>
            </w:pPr>
          </w:p>
          <w:p>
            <w:pPr>
              <w:pStyle w:val="294"/>
              <w:widowControl w:val="0"/>
            </w:pPr>
            <w:r>
              <w:t>昆明运动</w:t>
            </w:r>
          </w:p>
          <w:p>
            <w:pPr>
              <w:pStyle w:val="294"/>
              <w:widowControl w:val="0"/>
            </w:pPr>
            <w:r>
              <w:t>加里东运动</w:t>
            </w: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64" w:hRule="atLeast"/>
          <w:jc w:val="center"/>
        </w:trPr>
        <w:tc>
          <w:tcPr>
            <w:tcW w:w="284" w:type="pct"/>
            <w:shd w:val="clear" w:color="auto" w:fill="auto"/>
            <w:vAlign w:val="center"/>
          </w:tcPr>
          <w:p>
            <w:pPr>
              <w:pStyle w:val="294"/>
              <w:widowControl w:val="0"/>
            </w:pPr>
            <w:r>
              <w:t>石炭系</w:t>
            </w:r>
          </w:p>
        </w:tc>
        <w:tc>
          <w:tcPr>
            <w:tcW w:w="458" w:type="pct"/>
            <w:shd w:val="clear" w:color="auto" w:fill="auto"/>
            <w:vAlign w:val="center"/>
          </w:tcPr>
          <w:p>
            <w:pPr>
              <w:pStyle w:val="294"/>
              <w:widowControl w:val="0"/>
            </w:pPr>
            <w:r>
              <w:t>黄龙组</w:t>
            </w:r>
          </w:p>
        </w:tc>
        <w:tc>
          <w:tcPr>
            <w:tcW w:w="383" w:type="pct"/>
            <w:shd w:val="clear" w:color="auto" w:fill="auto"/>
            <w:vAlign w:val="center"/>
          </w:tcPr>
          <w:p>
            <w:pPr>
              <w:pStyle w:val="294"/>
              <w:widowControl w:val="0"/>
            </w:pPr>
          </w:p>
        </w:tc>
        <w:tc>
          <w:tcPr>
            <w:tcW w:w="557" w:type="pct"/>
            <w:shd w:val="clear" w:color="auto" w:fill="auto"/>
            <w:vAlign w:val="center"/>
          </w:tcPr>
          <w:p>
            <w:pPr>
              <w:pStyle w:val="294"/>
              <w:widowControl w:val="0"/>
            </w:pPr>
            <w:r>
              <w:t>5～70</w:t>
            </w:r>
          </w:p>
        </w:tc>
        <w:tc>
          <w:tcPr>
            <w:tcW w:w="1846" w:type="pct"/>
            <w:shd w:val="clear" w:color="auto" w:fill="auto"/>
            <w:vAlign w:val="center"/>
          </w:tcPr>
          <w:p>
            <w:pPr>
              <w:pStyle w:val="294"/>
              <w:widowControl w:val="0"/>
            </w:pPr>
            <w:r>
              <w:t>云岩夹灰岩</w:t>
            </w:r>
          </w:p>
        </w:tc>
        <w:tc>
          <w:tcPr>
            <w:tcW w:w="572" w:type="pct"/>
            <w:shd w:val="clear" w:color="auto" w:fill="auto"/>
            <w:vAlign w:val="center"/>
          </w:tcPr>
          <w:p>
            <w:pPr>
              <w:pStyle w:val="294"/>
              <w:widowControl w:val="0"/>
            </w:pPr>
            <w:r>
              <w:t>浅海台地兼潮间</w:t>
            </w:r>
          </w:p>
        </w:tc>
        <w:tc>
          <w:tcPr>
            <w:tcW w:w="369" w:type="pct"/>
            <w:vMerge w:val="continue"/>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284" w:type="pct"/>
            <w:shd w:val="clear" w:color="auto" w:fill="auto"/>
            <w:vAlign w:val="center"/>
          </w:tcPr>
          <w:p>
            <w:pPr>
              <w:pStyle w:val="294"/>
              <w:widowControl w:val="0"/>
            </w:pPr>
            <w:r>
              <w:t>志留系</w:t>
            </w:r>
          </w:p>
        </w:tc>
        <w:tc>
          <w:tcPr>
            <w:tcW w:w="458" w:type="pct"/>
            <w:shd w:val="clear" w:color="auto" w:fill="auto"/>
            <w:vAlign w:val="center"/>
          </w:tcPr>
          <w:p>
            <w:pPr>
              <w:pStyle w:val="294"/>
              <w:widowControl w:val="0"/>
            </w:pPr>
            <w:r>
              <w:t>韩家店组</w:t>
            </w:r>
          </w:p>
        </w:tc>
        <w:tc>
          <w:tcPr>
            <w:tcW w:w="383" w:type="pct"/>
            <w:shd w:val="clear" w:color="auto" w:fill="auto"/>
            <w:vAlign w:val="center"/>
          </w:tcPr>
          <w:p>
            <w:pPr>
              <w:pStyle w:val="294"/>
              <w:widowControl w:val="0"/>
            </w:pPr>
          </w:p>
        </w:tc>
        <w:tc>
          <w:tcPr>
            <w:tcW w:w="557" w:type="pct"/>
            <w:shd w:val="clear" w:color="auto" w:fill="auto"/>
            <w:vAlign w:val="center"/>
          </w:tcPr>
          <w:p>
            <w:pPr>
              <w:pStyle w:val="294"/>
              <w:widowControl w:val="0"/>
            </w:pPr>
            <w:r>
              <w:t>600～900</w:t>
            </w:r>
          </w:p>
        </w:tc>
        <w:tc>
          <w:tcPr>
            <w:tcW w:w="1846" w:type="pct"/>
            <w:shd w:val="clear" w:color="auto" w:fill="auto"/>
            <w:vAlign w:val="center"/>
          </w:tcPr>
          <w:p>
            <w:pPr>
              <w:pStyle w:val="294"/>
              <w:widowControl w:val="0"/>
            </w:pPr>
            <w:r>
              <w:t>灰绿、棕灰色砂质、粉砂质泥岩，泥岩，黑色、深灰色页岩。</w:t>
            </w:r>
          </w:p>
        </w:tc>
        <w:tc>
          <w:tcPr>
            <w:tcW w:w="572" w:type="pct"/>
            <w:shd w:val="clear" w:color="auto" w:fill="auto"/>
            <w:vAlign w:val="center"/>
          </w:tcPr>
          <w:p>
            <w:pPr>
              <w:pStyle w:val="294"/>
              <w:widowControl w:val="0"/>
            </w:pPr>
            <w:r>
              <w:t>陆棚</w:t>
            </w:r>
          </w:p>
        </w:tc>
        <w:tc>
          <w:tcPr>
            <w:tcW w:w="369" w:type="pct"/>
            <w:vMerge w:val="continue"/>
            <w:shd w:val="clear" w:color="auto" w:fill="auto"/>
            <w:vAlign w:val="center"/>
          </w:tcPr>
          <w:p>
            <w:pPr>
              <w:pStyle w:val="294"/>
              <w:widowControl w:val="0"/>
            </w:pPr>
          </w:p>
        </w:tc>
        <w:tc>
          <w:tcPr>
            <w:tcW w:w="531" w:type="pct"/>
            <w:vMerge w:val="continue"/>
            <w:shd w:val="clear" w:color="auto" w:fill="auto"/>
            <w:vAlign w:val="center"/>
          </w:tcPr>
          <w:p>
            <w:pPr>
              <w:pStyle w:val="294"/>
              <w:widowControl w:val="0"/>
            </w:pPr>
          </w:p>
        </w:tc>
      </w:tr>
    </w:tbl>
    <w:p>
      <w:pPr>
        <w:pStyle w:val="5"/>
      </w:pPr>
      <w:r>
        <w:rPr>
          <w:rFonts w:hint="eastAsia"/>
        </w:rPr>
        <w:t>3.2.2.3</w:t>
      </w:r>
      <w:r>
        <w:t>气藏构造特征</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综合研究表明，宣汉－达县三维区内上、中构造层的断层系统有明显差异，上构造层断层较多，但是规摸较小，断层走向以NW为主。同时，存在NE向调节断层；中构造层断层发育数量较上层的少，中构造层断层规模较大，断层走向主要以NE向为主，局部地区发育了部分NW向断层。纵向上，由于嘉陵江组膏岩层的存在而形成滑脱分界面。因此，上、中构造层的断层互不相通。</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依据其发育特征，中构造层断层又可分为燕山晚期与早喜山期高角度逆冲断层两种类型。采用井震结合、相干体、倾角导向滤波等技术，对区域内断裂系统进行精细构造解释。其中，对三维区内普光主体构造形成演化起到控制作用的</w:t>
      </w:r>
      <w:r>
        <w:rPr>
          <w:rFonts w:hint="eastAsia" w:ascii="宋体" w:hAnsi="宋体" w:cs="宋体"/>
          <w:color w:val="000000" w:themeColor="text1"/>
          <w:szCs w:val="24"/>
          <w14:textFill>
            <w14:solidFill>
              <w14:schemeClr w14:val="tx1"/>
            </w14:solidFill>
          </w14:textFill>
        </w:rPr>
        <w:t>Ⅱ</w:t>
      </w:r>
      <w:r>
        <w:rPr>
          <w:rFonts w:cs="Times New Roman"/>
          <w:color w:val="000000" w:themeColor="text1"/>
          <w:szCs w:val="24"/>
          <w14:textFill>
            <w14:solidFill>
              <w14:schemeClr w14:val="tx1"/>
            </w14:solidFill>
          </w14:textFill>
        </w:rPr>
        <w:t>级断层有2条，为普光东岳寨断层和普光7断层，对三级构造单元有影响的</w:t>
      </w:r>
      <w:r>
        <w:rPr>
          <w:rFonts w:hint="eastAsia" w:ascii="宋体" w:hAnsi="宋体" w:cs="宋体"/>
          <w:color w:val="000000" w:themeColor="text1"/>
          <w:szCs w:val="24"/>
          <w14:textFill>
            <w14:solidFill>
              <w14:schemeClr w14:val="tx1"/>
            </w14:solidFill>
          </w14:textFill>
        </w:rPr>
        <w:t>Ⅲ</w:t>
      </w:r>
      <w:r>
        <w:rPr>
          <w:rFonts w:cs="Times New Roman"/>
          <w:color w:val="000000" w:themeColor="text1"/>
          <w:szCs w:val="24"/>
          <w14:textFill>
            <w14:solidFill>
              <w14:schemeClr w14:val="tx1"/>
            </w14:solidFill>
          </w14:textFill>
        </w:rPr>
        <w:t>级断层主要有1条，即普光3断层。这3条断层与普光主体构造的形成有密切的关系。同时综合台缘滩体储层叠置发育特征识别普光主体南部及构造翼部多条低序级断层。</w:t>
      </w:r>
    </w:p>
    <w:p>
      <w:pPr>
        <w:pStyle w:val="5"/>
      </w:pPr>
      <w:r>
        <w:rPr>
          <w:rFonts w:hint="eastAsia"/>
        </w:rPr>
        <w:t>3.2.2.4</w:t>
      </w:r>
      <w:r>
        <w:t>地层层序及压力系数</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本项目拟建两口井地层剖面及压力系数如下：</w:t>
      </w:r>
    </w:p>
    <w:p>
      <w:pPr>
        <w:pStyle w:val="95"/>
      </w:pPr>
      <w:r>
        <w:t>表</w:t>
      </w:r>
      <w:r>
        <w:fldChar w:fldCharType="begin"/>
      </w:r>
      <w:r>
        <w:instrText xml:space="preserve"> STYLEREF 2 \s </w:instrText>
      </w:r>
      <w:r>
        <w:fldChar w:fldCharType="separate"/>
      </w:r>
      <w:r>
        <w:t>3.2</w:t>
      </w:r>
      <w:r>
        <w:fldChar w:fldCharType="end"/>
      </w:r>
      <w:r>
        <w:noBreakHyphen/>
      </w:r>
      <w:r>
        <w:fldChar w:fldCharType="begin"/>
      </w:r>
      <w:r>
        <w:instrText xml:space="preserve"> SEQ 表 \* ARABIC \s 2 </w:instrText>
      </w:r>
      <w:r>
        <w:fldChar w:fldCharType="separate"/>
      </w:r>
      <w:r>
        <w:t>2</w:t>
      </w:r>
      <w:r>
        <w:fldChar w:fldCharType="end"/>
      </w:r>
      <w:r>
        <w:t xml:space="preserve"> 设计地层剖面</w:t>
      </w:r>
    </w:p>
    <w:tbl>
      <w:tblPr>
        <w:tblStyle w:val="53"/>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69"/>
        <w:gridCol w:w="1091"/>
        <w:gridCol w:w="1173"/>
        <w:gridCol w:w="1349"/>
        <w:gridCol w:w="1351"/>
        <w:gridCol w:w="1351"/>
        <w:gridCol w:w="134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50" w:type="pct"/>
            <w:gridSpan w:val="2"/>
            <w:vAlign w:val="center"/>
          </w:tcPr>
          <w:p>
            <w:pPr>
              <w:pStyle w:val="294"/>
            </w:pPr>
            <w:r>
              <w:t>层 位</w:t>
            </w:r>
          </w:p>
        </w:tc>
        <w:tc>
          <w:tcPr>
            <w:tcW w:w="688" w:type="pct"/>
            <w:vAlign w:val="center"/>
          </w:tcPr>
          <w:p>
            <w:pPr>
              <w:pStyle w:val="294"/>
            </w:pPr>
            <w:r>
              <w:t>垂深（m）</w:t>
            </w:r>
          </w:p>
        </w:tc>
        <w:tc>
          <w:tcPr>
            <w:tcW w:w="791" w:type="pct"/>
            <w:vAlign w:val="center"/>
          </w:tcPr>
          <w:p>
            <w:pPr>
              <w:pStyle w:val="294"/>
            </w:pPr>
            <w:r>
              <w:t>断点海拔/断距（m）</w:t>
            </w:r>
          </w:p>
        </w:tc>
        <w:tc>
          <w:tcPr>
            <w:tcW w:w="792" w:type="pct"/>
            <w:vAlign w:val="center"/>
          </w:tcPr>
          <w:p>
            <w:pPr>
              <w:pStyle w:val="294"/>
            </w:pPr>
            <w:r>
              <w:t>地层倾向</w:t>
            </w:r>
          </w:p>
        </w:tc>
        <w:tc>
          <w:tcPr>
            <w:tcW w:w="792" w:type="pct"/>
            <w:vAlign w:val="center"/>
          </w:tcPr>
          <w:p>
            <w:pPr>
              <w:pStyle w:val="294"/>
            </w:pPr>
            <w:r>
              <w:t>地层倾角</w:t>
            </w:r>
          </w:p>
        </w:tc>
        <w:tc>
          <w:tcPr>
            <w:tcW w:w="787" w:type="pct"/>
            <w:vAlign w:val="center"/>
          </w:tcPr>
          <w:p>
            <w:pPr>
              <w:pStyle w:val="294"/>
            </w:pPr>
            <w:r>
              <w:t>压力系数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50" w:type="pct"/>
            <w:gridSpan w:val="2"/>
            <w:vAlign w:val="center"/>
          </w:tcPr>
          <w:p>
            <w:pPr>
              <w:pStyle w:val="294"/>
            </w:pPr>
            <w:r>
              <w:t>蓬莱镇组</w:t>
            </w:r>
          </w:p>
        </w:tc>
        <w:tc>
          <w:tcPr>
            <w:tcW w:w="688" w:type="pct"/>
            <w:vAlign w:val="center"/>
          </w:tcPr>
          <w:p>
            <w:pPr>
              <w:pStyle w:val="294"/>
            </w:pPr>
            <w:r>
              <w:t>361.55</w:t>
            </w:r>
          </w:p>
        </w:tc>
        <w:tc>
          <w:tcPr>
            <w:tcW w:w="791" w:type="pct"/>
            <w:vAlign w:val="center"/>
          </w:tcPr>
          <w:p>
            <w:pPr>
              <w:pStyle w:val="294"/>
            </w:pPr>
            <w:r>
              <w:t>/</w:t>
            </w:r>
          </w:p>
        </w:tc>
        <w:tc>
          <w:tcPr>
            <w:tcW w:w="792" w:type="pct"/>
            <w:vAlign w:val="center"/>
          </w:tcPr>
          <w:p>
            <w:pPr>
              <w:pStyle w:val="294"/>
            </w:pPr>
            <w:r>
              <w:t>NW</w:t>
            </w:r>
          </w:p>
        </w:tc>
        <w:tc>
          <w:tcPr>
            <w:tcW w:w="792" w:type="pct"/>
            <w:vAlign w:val="center"/>
          </w:tcPr>
          <w:p>
            <w:pPr>
              <w:pStyle w:val="294"/>
            </w:pPr>
            <w:r>
              <w:t>8°-12°</w:t>
            </w:r>
          </w:p>
        </w:tc>
        <w:tc>
          <w:tcPr>
            <w:tcW w:w="787" w:type="pct"/>
            <w:vMerge w:val="restart"/>
            <w:vAlign w:val="center"/>
          </w:tcPr>
          <w:p>
            <w:pPr>
              <w:pStyle w:val="294"/>
            </w:pPr>
            <w:r>
              <w:t>0.89-1.01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50" w:type="pct"/>
            <w:gridSpan w:val="2"/>
            <w:vAlign w:val="center"/>
          </w:tcPr>
          <w:p>
            <w:pPr>
              <w:pStyle w:val="294"/>
            </w:pPr>
            <w:r>
              <w:t>遂宁组</w:t>
            </w:r>
          </w:p>
        </w:tc>
        <w:tc>
          <w:tcPr>
            <w:tcW w:w="688" w:type="pct"/>
            <w:vAlign w:val="center"/>
          </w:tcPr>
          <w:p>
            <w:pPr>
              <w:pStyle w:val="294"/>
            </w:pPr>
            <w:r>
              <w:t>981.55</w:t>
            </w:r>
          </w:p>
        </w:tc>
        <w:tc>
          <w:tcPr>
            <w:tcW w:w="791" w:type="pct"/>
            <w:vAlign w:val="center"/>
          </w:tcPr>
          <w:p>
            <w:pPr>
              <w:pStyle w:val="294"/>
            </w:pPr>
            <w:r>
              <w:t>/</w:t>
            </w:r>
          </w:p>
        </w:tc>
        <w:tc>
          <w:tcPr>
            <w:tcW w:w="792" w:type="pct"/>
            <w:vAlign w:val="center"/>
          </w:tcPr>
          <w:p>
            <w:pPr>
              <w:pStyle w:val="294"/>
            </w:pPr>
            <w:r>
              <w:t>NW</w:t>
            </w:r>
          </w:p>
        </w:tc>
        <w:tc>
          <w:tcPr>
            <w:tcW w:w="792" w:type="pct"/>
            <w:vAlign w:val="center"/>
          </w:tcPr>
          <w:p>
            <w:pPr>
              <w:pStyle w:val="294"/>
            </w:pPr>
            <w:r>
              <w:t>8°-12°</w:t>
            </w:r>
          </w:p>
        </w:tc>
        <w:tc>
          <w:tcPr>
            <w:tcW w:w="787" w:type="pct"/>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50" w:type="pct"/>
            <w:gridSpan w:val="2"/>
            <w:vAlign w:val="center"/>
          </w:tcPr>
          <w:p>
            <w:pPr>
              <w:pStyle w:val="294"/>
            </w:pPr>
            <w:r>
              <w:t>上沙溪庙组</w:t>
            </w:r>
          </w:p>
        </w:tc>
        <w:tc>
          <w:tcPr>
            <w:tcW w:w="688" w:type="pct"/>
            <w:vAlign w:val="center"/>
          </w:tcPr>
          <w:p>
            <w:pPr>
              <w:pStyle w:val="294"/>
            </w:pPr>
            <w:r>
              <w:t>2431</w:t>
            </w:r>
          </w:p>
        </w:tc>
        <w:tc>
          <w:tcPr>
            <w:tcW w:w="791" w:type="pct"/>
            <w:vAlign w:val="center"/>
          </w:tcPr>
          <w:p>
            <w:pPr>
              <w:pStyle w:val="294"/>
            </w:pPr>
            <w:r>
              <w:t>/</w:t>
            </w:r>
          </w:p>
        </w:tc>
        <w:tc>
          <w:tcPr>
            <w:tcW w:w="792" w:type="pct"/>
            <w:vAlign w:val="center"/>
          </w:tcPr>
          <w:p>
            <w:pPr>
              <w:pStyle w:val="294"/>
            </w:pPr>
            <w:r>
              <w:t>NW</w:t>
            </w:r>
          </w:p>
        </w:tc>
        <w:tc>
          <w:tcPr>
            <w:tcW w:w="792" w:type="pct"/>
            <w:vAlign w:val="center"/>
          </w:tcPr>
          <w:p>
            <w:pPr>
              <w:pStyle w:val="294"/>
            </w:pPr>
            <w:r>
              <w:t>8°-12°</w:t>
            </w:r>
          </w:p>
        </w:tc>
        <w:tc>
          <w:tcPr>
            <w:tcW w:w="787" w:type="pct"/>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50" w:type="pct"/>
            <w:gridSpan w:val="2"/>
            <w:vAlign w:val="center"/>
          </w:tcPr>
          <w:p>
            <w:pPr>
              <w:pStyle w:val="294"/>
            </w:pPr>
            <w:r>
              <w:t>下沙溪庙组</w:t>
            </w:r>
          </w:p>
        </w:tc>
        <w:tc>
          <w:tcPr>
            <w:tcW w:w="688" w:type="pct"/>
            <w:vAlign w:val="center"/>
          </w:tcPr>
          <w:p>
            <w:pPr>
              <w:pStyle w:val="294"/>
            </w:pPr>
            <w:r>
              <w:t>2781</w:t>
            </w:r>
          </w:p>
        </w:tc>
        <w:tc>
          <w:tcPr>
            <w:tcW w:w="791" w:type="pct"/>
            <w:vAlign w:val="center"/>
          </w:tcPr>
          <w:p>
            <w:pPr>
              <w:pStyle w:val="294"/>
            </w:pPr>
            <w:r>
              <w:t>/</w:t>
            </w:r>
          </w:p>
        </w:tc>
        <w:tc>
          <w:tcPr>
            <w:tcW w:w="792" w:type="pct"/>
            <w:vAlign w:val="center"/>
          </w:tcPr>
          <w:p>
            <w:pPr>
              <w:pStyle w:val="294"/>
            </w:pPr>
            <w:r>
              <w:t>NW</w:t>
            </w:r>
          </w:p>
        </w:tc>
        <w:tc>
          <w:tcPr>
            <w:tcW w:w="792" w:type="pct"/>
            <w:vAlign w:val="center"/>
          </w:tcPr>
          <w:p>
            <w:pPr>
              <w:pStyle w:val="294"/>
            </w:pPr>
            <w:r>
              <w:t>8°-12°</w:t>
            </w:r>
          </w:p>
        </w:tc>
        <w:tc>
          <w:tcPr>
            <w:tcW w:w="787" w:type="pct"/>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50" w:type="pct"/>
            <w:gridSpan w:val="2"/>
            <w:vAlign w:val="center"/>
          </w:tcPr>
          <w:p>
            <w:pPr>
              <w:pStyle w:val="294"/>
            </w:pPr>
            <w:r>
              <w:t>千佛崖组</w:t>
            </w:r>
          </w:p>
        </w:tc>
        <w:tc>
          <w:tcPr>
            <w:tcW w:w="688" w:type="pct"/>
            <w:vAlign w:val="center"/>
          </w:tcPr>
          <w:p>
            <w:pPr>
              <w:pStyle w:val="294"/>
            </w:pPr>
            <w:r>
              <w:t>3391</w:t>
            </w:r>
          </w:p>
        </w:tc>
        <w:tc>
          <w:tcPr>
            <w:tcW w:w="791" w:type="pct"/>
            <w:vAlign w:val="center"/>
          </w:tcPr>
          <w:p>
            <w:pPr>
              <w:pStyle w:val="294"/>
            </w:pPr>
            <w:r>
              <w:t>/</w:t>
            </w:r>
          </w:p>
        </w:tc>
        <w:tc>
          <w:tcPr>
            <w:tcW w:w="792" w:type="pct"/>
            <w:vAlign w:val="center"/>
          </w:tcPr>
          <w:p>
            <w:pPr>
              <w:pStyle w:val="294"/>
            </w:pPr>
            <w:r>
              <w:t>NW-NE</w:t>
            </w:r>
          </w:p>
        </w:tc>
        <w:tc>
          <w:tcPr>
            <w:tcW w:w="792" w:type="pct"/>
            <w:vAlign w:val="center"/>
          </w:tcPr>
          <w:p>
            <w:pPr>
              <w:pStyle w:val="294"/>
            </w:pPr>
            <w:r>
              <w:t>20°-40°</w:t>
            </w:r>
          </w:p>
        </w:tc>
        <w:tc>
          <w:tcPr>
            <w:tcW w:w="787" w:type="pct"/>
            <w:vMerge w:val="restart"/>
            <w:vAlign w:val="center"/>
          </w:tcPr>
          <w:p>
            <w:pPr>
              <w:pStyle w:val="294"/>
            </w:pPr>
            <w:r>
              <w:t>1.09-1.27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50" w:type="pct"/>
            <w:gridSpan w:val="2"/>
            <w:vAlign w:val="center"/>
          </w:tcPr>
          <w:p>
            <w:pPr>
              <w:pStyle w:val="294"/>
            </w:pPr>
            <w:r>
              <w:t>自流井组</w:t>
            </w:r>
          </w:p>
        </w:tc>
        <w:tc>
          <w:tcPr>
            <w:tcW w:w="688" w:type="pct"/>
            <w:vAlign w:val="center"/>
          </w:tcPr>
          <w:p>
            <w:pPr>
              <w:pStyle w:val="294"/>
            </w:pPr>
            <w:r>
              <w:t>3481</w:t>
            </w:r>
          </w:p>
          <w:p>
            <w:pPr>
              <w:pStyle w:val="294"/>
            </w:pPr>
            <w:r>
              <w:t>3901</w:t>
            </w:r>
          </w:p>
        </w:tc>
        <w:tc>
          <w:tcPr>
            <w:tcW w:w="791" w:type="pct"/>
            <w:vAlign w:val="center"/>
          </w:tcPr>
          <w:p>
            <w:pPr>
              <w:pStyle w:val="294"/>
            </w:pPr>
            <w:r>
              <w:t>-23330/-2750</w:t>
            </w:r>
          </w:p>
        </w:tc>
        <w:tc>
          <w:tcPr>
            <w:tcW w:w="792" w:type="pct"/>
            <w:vAlign w:val="center"/>
          </w:tcPr>
          <w:p>
            <w:pPr>
              <w:pStyle w:val="294"/>
            </w:pPr>
            <w:r>
              <w:t>NE</w:t>
            </w:r>
          </w:p>
        </w:tc>
        <w:tc>
          <w:tcPr>
            <w:tcW w:w="792" w:type="pct"/>
            <w:vAlign w:val="center"/>
          </w:tcPr>
          <w:p>
            <w:pPr>
              <w:pStyle w:val="294"/>
            </w:pPr>
            <w:r>
              <w:t>40°-50°</w:t>
            </w:r>
          </w:p>
        </w:tc>
        <w:tc>
          <w:tcPr>
            <w:tcW w:w="787" w:type="pct"/>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50" w:type="pct"/>
            <w:gridSpan w:val="2"/>
            <w:vAlign w:val="center"/>
          </w:tcPr>
          <w:p>
            <w:pPr>
              <w:pStyle w:val="294"/>
            </w:pPr>
            <w:r>
              <w:t>须家河组</w:t>
            </w:r>
          </w:p>
        </w:tc>
        <w:tc>
          <w:tcPr>
            <w:tcW w:w="688" w:type="pct"/>
            <w:vAlign w:val="center"/>
          </w:tcPr>
          <w:p>
            <w:pPr>
              <w:pStyle w:val="294"/>
            </w:pPr>
            <w:r>
              <w:t>4551</w:t>
            </w:r>
          </w:p>
        </w:tc>
        <w:tc>
          <w:tcPr>
            <w:tcW w:w="791" w:type="pct"/>
            <w:vAlign w:val="center"/>
          </w:tcPr>
          <w:p>
            <w:pPr>
              <w:pStyle w:val="294"/>
            </w:pPr>
            <w:r>
              <w:t>/</w:t>
            </w:r>
          </w:p>
        </w:tc>
        <w:tc>
          <w:tcPr>
            <w:tcW w:w="792" w:type="pct"/>
            <w:vAlign w:val="center"/>
          </w:tcPr>
          <w:p>
            <w:pPr>
              <w:pStyle w:val="294"/>
            </w:pPr>
            <w:r>
              <w:t>NE</w:t>
            </w:r>
          </w:p>
        </w:tc>
        <w:tc>
          <w:tcPr>
            <w:tcW w:w="792" w:type="pct"/>
            <w:vAlign w:val="center"/>
          </w:tcPr>
          <w:p>
            <w:pPr>
              <w:pStyle w:val="294"/>
            </w:pPr>
            <w:r>
              <w:t>40°-50°</w:t>
            </w:r>
          </w:p>
        </w:tc>
        <w:tc>
          <w:tcPr>
            <w:tcW w:w="787" w:type="pct"/>
            <w:vAlign w:val="center"/>
          </w:tcPr>
          <w:p>
            <w:pPr>
              <w:pStyle w:val="294"/>
            </w:pPr>
            <w:r>
              <w:t>0.95-1.20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50" w:type="pct"/>
            <w:gridSpan w:val="2"/>
            <w:vAlign w:val="center"/>
          </w:tcPr>
          <w:p>
            <w:pPr>
              <w:pStyle w:val="294"/>
            </w:pPr>
            <w:r>
              <w:t>雷口坡组</w:t>
            </w:r>
          </w:p>
        </w:tc>
        <w:tc>
          <w:tcPr>
            <w:tcW w:w="688" w:type="pct"/>
            <w:vAlign w:val="center"/>
          </w:tcPr>
          <w:p>
            <w:pPr>
              <w:pStyle w:val="294"/>
            </w:pPr>
            <w:r>
              <w:t>4851</w:t>
            </w:r>
          </w:p>
        </w:tc>
        <w:tc>
          <w:tcPr>
            <w:tcW w:w="791" w:type="pct"/>
            <w:vAlign w:val="center"/>
          </w:tcPr>
          <w:p>
            <w:pPr>
              <w:pStyle w:val="294"/>
            </w:pPr>
            <w:r>
              <w:t>/</w:t>
            </w:r>
          </w:p>
        </w:tc>
        <w:tc>
          <w:tcPr>
            <w:tcW w:w="792" w:type="pct"/>
            <w:vAlign w:val="center"/>
          </w:tcPr>
          <w:p>
            <w:pPr>
              <w:pStyle w:val="294"/>
            </w:pPr>
            <w:r>
              <w:t>NE</w:t>
            </w:r>
          </w:p>
        </w:tc>
        <w:tc>
          <w:tcPr>
            <w:tcW w:w="792" w:type="pct"/>
            <w:vAlign w:val="center"/>
          </w:tcPr>
          <w:p>
            <w:pPr>
              <w:pStyle w:val="294"/>
            </w:pPr>
            <w:r>
              <w:t>10°</w:t>
            </w:r>
          </w:p>
        </w:tc>
        <w:tc>
          <w:tcPr>
            <w:tcW w:w="787" w:type="pct"/>
            <w:vMerge w:val="restart"/>
            <w:vAlign w:val="center"/>
          </w:tcPr>
          <w:p>
            <w:pPr>
              <w:pStyle w:val="294"/>
            </w:pPr>
            <w:r>
              <w:t>1.24-1.39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10" w:type="pct"/>
            <w:vMerge w:val="restart"/>
            <w:vAlign w:val="center"/>
          </w:tcPr>
          <w:p>
            <w:pPr>
              <w:pStyle w:val="294"/>
            </w:pPr>
            <w:r>
              <w:t>嘉陵江组</w:t>
            </w:r>
          </w:p>
        </w:tc>
        <w:tc>
          <w:tcPr>
            <w:tcW w:w="640" w:type="pct"/>
            <w:vAlign w:val="center"/>
          </w:tcPr>
          <w:p>
            <w:pPr>
              <w:pStyle w:val="294"/>
            </w:pPr>
            <w:r>
              <w:t>嘉四-五</w:t>
            </w:r>
          </w:p>
        </w:tc>
        <w:tc>
          <w:tcPr>
            <w:tcW w:w="688" w:type="pct"/>
            <w:vAlign w:val="center"/>
          </w:tcPr>
          <w:p>
            <w:pPr>
              <w:pStyle w:val="294"/>
            </w:pPr>
            <w:r>
              <w:t>5101</w:t>
            </w:r>
          </w:p>
        </w:tc>
        <w:tc>
          <w:tcPr>
            <w:tcW w:w="791" w:type="pct"/>
            <w:vAlign w:val="center"/>
          </w:tcPr>
          <w:p>
            <w:pPr>
              <w:pStyle w:val="294"/>
            </w:pPr>
            <w:r>
              <w:t>/</w:t>
            </w:r>
          </w:p>
        </w:tc>
        <w:tc>
          <w:tcPr>
            <w:tcW w:w="792" w:type="pct"/>
            <w:vAlign w:val="center"/>
          </w:tcPr>
          <w:p>
            <w:pPr>
              <w:pStyle w:val="294"/>
            </w:pPr>
            <w:r>
              <w:t>NE-NW</w:t>
            </w:r>
          </w:p>
        </w:tc>
        <w:tc>
          <w:tcPr>
            <w:tcW w:w="792" w:type="pct"/>
            <w:vAlign w:val="center"/>
          </w:tcPr>
          <w:p>
            <w:pPr>
              <w:pStyle w:val="294"/>
            </w:pPr>
            <w:r>
              <w:t>8°-12°</w:t>
            </w:r>
          </w:p>
        </w:tc>
        <w:tc>
          <w:tcPr>
            <w:tcW w:w="787" w:type="pct"/>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10" w:type="pct"/>
            <w:vMerge w:val="continue"/>
            <w:vAlign w:val="center"/>
          </w:tcPr>
          <w:p>
            <w:pPr>
              <w:pStyle w:val="294"/>
            </w:pPr>
          </w:p>
        </w:tc>
        <w:tc>
          <w:tcPr>
            <w:tcW w:w="640" w:type="pct"/>
            <w:vAlign w:val="center"/>
          </w:tcPr>
          <w:p>
            <w:pPr>
              <w:pStyle w:val="294"/>
            </w:pPr>
            <w:r>
              <w:t>嘉一-三</w:t>
            </w:r>
          </w:p>
        </w:tc>
        <w:tc>
          <w:tcPr>
            <w:tcW w:w="688" w:type="pct"/>
            <w:vAlign w:val="center"/>
          </w:tcPr>
          <w:p>
            <w:pPr>
              <w:pStyle w:val="294"/>
            </w:pPr>
            <w:r>
              <w:t>5791</w:t>
            </w:r>
          </w:p>
        </w:tc>
        <w:tc>
          <w:tcPr>
            <w:tcW w:w="791" w:type="pct"/>
            <w:vAlign w:val="center"/>
          </w:tcPr>
          <w:p>
            <w:pPr>
              <w:pStyle w:val="294"/>
            </w:pPr>
            <w:r>
              <w:t>/</w:t>
            </w:r>
          </w:p>
        </w:tc>
        <w:tc>
          <w:tcPr>
            <w:tcW w:w="792" w:type="pct"/>
            <w:vAlign w:val="center"/>
          </w:tcPr>
          <w:p>
            <w:pPr>
              <w:pStyle w:val="294"/>
            </w:pPr>
            <w:r>
              <w:t>NW</w:t>
            </w:r>
          </w:p>
        </w:tc>
        <w:tc>
          <w:tcPr>
            <w:tcW w:w="792" w:type="pct"/>
            <w:vAlign w:val="center"/>
          </w:tcPr>
          <w:p>
            <w:pPr>
              <w:pStyle w:val="294"/>
            </w:pPr>
            <w:r>
              <w:t>8°-12°</w:t>
            </w:r>
          </w:p>
        </w:tc>
        <w:tc>
          <w:tcPr>
            <w:tcW w:w="787" w:type="pct"/>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10" w:type="pct"/>
            <w:vMerge w:val="restart"/>
            <w:vAlign w:val="center"/>
          </w:tcPr>
          <w:p>
            <w:pPr>
              <w:pStyle w:val="294"/>
            </w:pPr>
            <w:r>
              <w:t>飞仙关组</w:t>
            </w:r>
          </w:p>
        </w:tc>
        <w:tc>
          <w:tcPr>
            <w:tcW w:w="640" w:type="pct"/>
            <w:vAlign w:val="center"/>
          </w:tcPr>
          <w:p>
            <w:pPr>
              <w:pStyle w:val="294"/>
            </w:pPr>
            <w:r>
              <w:t>飞四</w:t>
            </w:r>
          </w:p>
        </w:tc>
        <w:tc>
          <w:tcPr>
            <w:tcW w:w="688" w:type="pct"/>
            <w:vAlign w:val="center"/>
          </w:tcPr>
          <w:p>
            <w:pPr>
              <w:pStyle w:val="294"/>
            </w:pPr>
            <w:r>
              <w:t>5841</w:t>
            </w:r>
          </w:p>
        </w:tc>
        <w:tc>
          <w:tcPr>
            <w:tcW w:w="791" w:type="pct"/>
            <w:vAlign w:val="center"/>
          </w:tcPr>
          <w:p>
            <w:pPr>
              <w:pStyle w:val="294"/>
            </w:pPr>
            <w:r>
              <w:t>/</w:t>
            </w:r>
          </w:p>
        </w:tc>
        <w:tc>
          <w:tcPr>
            <w:tcW w:w="792" w:type="pct"/>
            <w:vAlign w:val="center"/>
          </w:tcPr>
          <w:p>
            <w:pPr>
              <w:pStyle w:val="294"/>
            </w:pPr>
            <w:r>
              <w:t>NW</w:t>
            </w:r>
          </w:p>
        </w:tc>
        <w:tc>
          <w:tcPr>
            <w:tcW w:w="792" w:type="pct"/>
            <w:vAlign w:val="center"/>
          </w:tcPr>
          <w:p>
            <w:pPr>
              <w:pStyle w:val="294"/>
            </w:pPr>
            <w:r>
              <w:t>10°</w:t>
            </w:r>
          </w:p>
        </w:tc>
        <w:tc>
          <w:tcPr>
            <w:tcW w:w="787" w:type="pct"/>
            <w:vMerge w:val="restart"/>
            <w:vAlign w:val="center"/>
          </w:tcPr>
          <w:p>
            <w:pPr>
              <w:pStyle w:val="294"/>
            </w:pPr>
            <w:r>
              <w:t>0.94-1.11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10" w:type="pct"/>
            <w:vMerge w:val="continue"/>
            <w:vAlign w:val="center"/>
          </w:tcPr>
          <w:p>
            <w:pPr>
              <w:pStyle w:val="294"/>
            </w:pPr>
          </w:p>
        </w:tc>
        <w:tc>
          <w:tcPr>
            <w:tcW w:w="640" w:type="pct"/>
            <w:vAlign w:val="center"/>
          </w:tcPr>
          <w:p>
            <w:pPr>
              <w:pStyle w:val="294"/>
            </w:pPr>
            <w:r>
              <w:t>飞三</w:t>
            </w:r>
          </w:p>
        </w:tc>
        <w:tc>
          <w:tcPr>
            <w:tcW w:w="688" w:type="pct"/>
            <w:vAlign w:val="center"/>
          </w:tcPr>
          <w:p>
            <w:pPr>
              <w:pStyle w:val="294"/>
            </w:pPr>
            <w:r>
              <w:t>6006</w:t>
            </w:r>
          </w:p>
        </w:tc>
        <w:tc>
          <w:tcPr>
            <w:tcW w:w="791" w:type="pct"/>
            <w:vAlign w:val="center"/>
          </w:tcPr>
          <w:p>
            <w:pPr>
              <w:pStyle w:val="294"/>
            </w:pPr>
            <w:r>
              <w:t>/</w:t>
            </w:r>
          </w:p>
        </w:tc>
        <w:tc>
          <w:tcPr>
            <w:tcW w:w="792" w:type="pct"/>
            <w:vAlign w:val="center"/>
          </w:tcPr>
          <w:p>
            <w:pPr>
              <w:pStyle w:val="294"/>
            </w:pPr>
            <w:r>
              <w:t>NW</w:t>
            </w:r>
          </w:p>
        </w:tc>
        <w:tc>
          <w:tcPr>
            <w:tcW w:w="792" w:type="pct"/>
            <w:vAlign w:val="center"/>
          </w:tcPr>
          <w:p>
            <w:pPr>
              <w:pStyle w:val="294"/>
            </w:pPr>
            <w:r>
              <w:t>10°</w:t>
            </w:r>
          </w:p>
        </w:tc>
        <w:tc>
          <w:tcPr>
            <w:tcW w:w="787" w:type="pct"/>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10" w:type="pct"/>
            <w:vMerge w:val="continue"/>
            <w:vAlign w:val="center"/>
          </w:tcPr>
          <w:p>
            <w:pPr>
              <w:pStyle w:val="294"/>
            </w:pPr>
          </w:p>
        </w:tc>
        <w:tc>
          <w:tcPr>
            <w:tcW w:w="640" w:type="pct"/>
            <w:vAlign w:val="center"/>
          </w:tcPr>
          <w:p>
            <w:pPr>
              <w:pStyle w:val="294"/>
            </w:pPr>
            <w:r>
              <w:t>飞一二</w:t>
            </w:r>
          </w:p>
        </w:tc>
        <w:tc>
          <w:tcPr>
            <w:tcW w:w="688" w:type="pct"/>
            <w:vAlign w:val="center"/>
          </w:tcPr>
          <w:p>
            <w:pPr>
              <w:pStyle w:val="294"/>
            </w:pPr>
            <w:r>
              <w:t>6091</w:t>
            </w:r>
          </w:p>
        </w:tc>
        <w:tc>
          <w:tcPr>
            <w:tcW w:w="791" w:type="pct"/>
            <w:vAlign w:val="center"/>
          </w:tcPr>
          <w:p>
            <w:pPr>
              <w:pStyle w:val="294"/>
            </w:pPr>
            <w:r>
              <w:t>/</w:t>
            </w:r>
          </w:p>
        </w:tc>
        <w:tc>
          <w:tcPr>
            <w:tcW w:w="792" w:type="pct"/>
            <w:vAlign w:val="center"/>
          </w:tcPr>
          <w:p>
            <w:pPr>
              <w:pStyle w:val="294"/>
            </w:pPr>
            <w:r>
              <w:t>NW</w:t>
            </w:r>
          </w:p>
        </w:tc>
        <w:tc>
          <w:tcPr>
            <w:tcW w:w="792" w:type="pct"/>
            <w:vAlign w:val="center"/>
          </w:tcPr>
          <w:p>
            <w:pPr>
              <w:pStyle w:val="294"/>
            </w:pPr>
            <w:r>
              <w:t>10°</w:t>
            </w:r>
          </w:p>
        </w:tc>
        <w:tc>
          <w:tcPr>
            <w:tcW w:w="787" w:type="pct"/>
            <w:vMerge w:val="continue"/>
            <w:vAlign w:val="center"/>
          </w:tcPr>
          <w:p>
            <w:pPr>
              <w:pStyle w:val="294"/>
            </w:pPr>
          </w:p>
        </w:tc>
      </w:tr>
    </w:tbl>
    <w:p>
      <w:pPr>
        <w:pStyle w:val="95"/>
      </w:pPr>
      <w:r>
        <w:t>表</w:t>
      </w:r>
      <w:r>
        <w:fldChar w:fldCharType="begin"/>
      </w:r>
      <w:r>
        <w:instrText xml:space="preserve"> STYLEREF 2 \s </w:instrText>
      </w:r>
      <w:r>
        <w:fldChar w:fldCharType="separate"/>
      </w:r>
      <w:r>
        <w:t>3.2</w:t>
      </w:r>
      <w:r>
        <w:fldChar w:fldCharType="end"/>
      </w:r>
      <w:r>
        <w:noBreakHyphen/>
      </w:r>
      <w:r>
        <w:fldChar w:fldCharType="begin"/>
      </w:r>
      <w:r>
        <w:instrText xml:space="preserve"> SEQ 表 \* ARABIC \s 2 </w:instrText>
      </w:r>
      <w:r>
        <w:fldChar w:fldCharType="separate"/>
      </w:r>
      <w:r>
        <w:t>3</w:t>
      </w:r>
      <w:r>
        <w:fldChar w:fldCharType="end"/>
      </w:r>
      <w:r>
        <w:t xml:space="preserve"> 压力系数预测表</w:t>
      </w:r>
    </w:p>
    <w:tbl>
      <w:tblPr>
        <w:tblStyle w:val="547"/>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851"/>
        <w:gridCol w:w="850"/>
        <w:gridCol w:w="532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9" w:hRule="atLeast"/>
          <w:tblHeader/>
        </w:trPr>
        <w:tc>
          <w:tcPr>
            <w:tcW w:w="1271" w:type="dxa"/>
            <w:vAlign w:val="center"/>
          </w:tcPr>
          <w:p>
            <w:pPr>
              <w:pStyle w:val="294"/>
              <w:rPr>
                <w:rFonts w:eastAsia="Times New Roman"/>
              </w:rPr>
            </w:pPr>
            <w:r>
              <w:rPr>
                <w:rFonts w:hint="eastAsia" w:ascii="宋体" w:hAnsi="宋体" w:eastAsia="Times New Roman" w:cs="宋体"/>
              </w:rPr>
              <w:t>层位</w:t>
            </w:r>
          </w:p>
        </w:tc>
        <w:tc>
          <w:tcPr>
            <w:tcW w:w="851" w:type="dxa"/>
            <w:vAlign w:val="center"/>
          </w:tcPr>
          <w:p>
            <w:pPr>
              <w:pStyle w:val="294"/>
              <w:rPr>
                <w:rFonts w:eastAsia="Times New Roman"/>
              </w:rPr>
            </w:pPr>
            <w:r>
              <w:rPr>
                <w:rFonts w:hint="eastAsia" w:ascii="宋体" w:hAnsi="宋体" w:eastAsia="Times New Roman" w:cs="宋体"/>
              </w:rPr>
              <w:t>显示</w:t>
            </w:r>
          </w:p>
          <w:p>
            <w:pPr>
              <w:pStyle w:val="294"/>
              <w:rPr>
                <w:rFonts w:eastAsia="Times New Roman"/>
              </w:rPr>
            </w:pPr>
            <w:r>
              <w:rPr>
                <w:rFonts w:hint="eastAsia" w:ascii="宋体" w:hAnsi="宋体" w:eastAsia="Times New Roman" w:cs="宋体"/>
              </w:rPr>
              <w:t>类别</w:t>
            </w:r>
          </w:p>
        </w:tc>
        <w:tc>
          <w:tcPr>
            <w:tcW w:w="850" w:type="dxa"/>
            <w:vAlign w:val="center"/>
          </w:tcPr>
          <w:p>
            <w:pPr>
              <w:pStyle w:val="294"/>
              <w:rPr>
                <w:rFonts w:eastAsia="Times New Roman"/>
              </w:rPr>
            </w:pPr>
            <w:r>
              <w:rPr>
                <w:rFonts w:hint="eastAsia" w:ascii="宋体" w:hAnsi="宋体" w:eastAsia="Times New Roman" w:cs="宋体"/>
              </w:rPr>
              <w:t>综合预测压力系数</w:t>
            </w:r>
          </w:p>
        </w:tc>
        <w:tc>
          <w:tcPr>
            <w:tcW w:w="5328" w:type="dxa"/>
            <w:noWrap/>
            <w:vAlign w:val="center"/>
          </w:tcPr>
          <w:p>
            <w:pPr>
              <w:pStyle w:val="294"/>
              <w:rPr>
                <w:rFonts w:eastAsia="Times New Roman"/>
              </w:rPr>
            </w:pPr>
            <w:r>
              <w:rPr>
                <w:rFonts w:hint="eastAsia" w:ascii="宋体" w:hAnsi="宋体" w:eastAsia="Times New Roman" w:cs="宋体"/>
              </w:rP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1271" w:type="dxa"/>
            <w:vAlign w:val="center"/>
          </w:tcPr>
          <w:p>
            <w:pPr>
              <w:pStyle w:val="294"/>
              <w:rPr>
                <w:rFonts w:eastAsia="Times New Roman"/>
              </w:rPr>
            </w:pPr>
            <w:r>
              <w:rPr>
                <w:rFonts w:hint="eastAsia" w:ascii="宋体" w:hAnsi="宋体" w:eastAsia="Times New Roman" w:cs="宋体"/>
              </w:rPr>
              <w:t>蓬莱镇组</w:t>
            </w:r>
            <w:r>
              <w:rPr>
                <w:rFonts w:eastAsia="Times New Roman"/>
              </w:rPr>
              <w:t>-</w:t>
            </w:r>
            <w:r>
              <w:rPr>
                <w:rFonts w:hint="eastAsia" w:ascii="宋体" w:hAnsi="宋体" w:eastAsia="Times New Roman" w:cs="宋体"/>
              </w:rPr>
              <w:t>下沙溪庙组</w:t>
            </w:r>
          </w:p>
        </w:tc>
        <w:tc>
          <w:tcPr>
            <w:tcW w:w="851" w:type="dxa"/>
            <w:vAlign w:val="center"/>
          </w:tcPr>
          <w:p>
            <w:pPr>
              <w:pStyle w:val="294"/>
              <w:rPr>
                <w:rFonts w:eastAsia="Times New Roman"/>
              </w:rPr>
            </w:pPr>
          </w:p>
        </w:tc>
        <w:tc>
          <w:tcPr>
            <w:tcW w:w="850" w:type="dxa"/>
            <w:vAlign w:val="center"/>
          </w:tcPr>
          <w:p>
            <w:pPr>
              <w:pStyle w:val="294"/>
              <w:rPr>
                <w:rFonts w:eastAsia="Times New Roman"/>
              </w:rPr>
            </w:pPr>
            <w:r>
              <w:rPr>
                <w:rFonts w:eastAsia="Times New Roman"/>
              </w:rPr>
              <w:t>0.89-1.01</w:t>
            </w:r>
          </w:p>
        </w:tc>
        <w:tc>
          <w:tcPr>
            <w:tcW w:w="5328" w:type="dxa"/>
            <w:noWrap/>
            <w:vAlign w:val="center"/>
          </w:tcPr>
          <w:p>
            <w:pPr>
              <w:pStyle w:val="294"/>
              <w:rPr>
                <w:rFonts w:eastAsia="Times New Roman"/>
              </w:rPr>
            </w:pPr>
            <w:r>
              <w:rPr>
                <w:rFonts w:eastAsia="Times New Roma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1271" w:type="dxa"/>
            <w:vAlign w:val="center"/>
          </w:tcPr>
          <w:p>
            <w:pPr>
              <w:pStyle w:val="294"/>
              <w:rPr>
                <w:rFonts w:eastAsia="Times New Roman"/>
              </w:rPr>
            </w:pPr>
            <w:r>
              <w:rPr>
                <w:rFonts w:hint="eastAsia" w:ascii="宋体" w:hAnsi="宋体" w:eastAsia="Times New Roman" w:cs="宋体"/>
              </w:rPr>
              <w:t>千佛崖组</w:t>
            </w:r>
            <w:r>
              <w:rPr>
                <w:rFonts w:eastAsia="Times New Roman"/>
              </w:rPr>
              <w:t>-</w:t>
            </w:r>
            <w:r>
              <w:rPr>
                <w:rFonts w:hint="eastAsia" w:ascii="宋体" w:hAnsi="宋体" w:eastAsia="Times New Roman" w:cs="宋体"/>
              </w:rPr>
              <w:t>自</w:t>
            </w:r>
            <w:r>
              <w:rPr>
                <w:rFonts w:eastAsia="Times New Roman"/>
              </w:rPr>
              <w:t xml:space="preserve"> </w:t>
            </w:r>
            <w:r>
              <w:rPr>
                <w:rFonts w:hint="eastAsia" w:ascii="宋体" w:hAnsi="宋体" w:eastAsia="Times New Roman" w:cs="宋体"/>
              </w:rPr>
              <w:t>流井组</w:t>
            </w:r>
          </w:p>
        </w:tc>
        <w:tc>
          <w:tcPr>
            <w:tcW w:w="851" w:type="dxa"/>
            <w:vAlign w:val="center"/>
          </w:tcPr>
          <w:p>
            <w:pPr>
              <w:pStyle w:val="294"/>
              <w:rPr>
                <w:rFonts w:eastAsia="Times New Roman"/>
              </w:rPr>
            </w:pPr>
          </w:p>
        </w:tc>
        <w:tc>
          <w:tcPr>
            <w:tcW w:w="850" w:type="dxa"/>
            <w:vAlign w:val="center"/>
          </w:tcPr>
          <w:p>
            <w:pPr>
              <w:pStyle w:val="294"/>
              <w:rPr>
                <w:rFonts w:eastAsia="Times New Roman"/>
              </w:rPr>
            </w:pPr>
            <w:r>
              <w:rPr>
                <w:rFonts w:eastAsia="Times New Roman"/>
              </w:rPr>
              <w:t>1.09-1.27</w:t>
            </w:r>
          </w:p>
        </w:tc>
        <w:tc>
          <w:tcPr>
            <w:tcW w:w="5328" w:type="dxa"/>
            <w:noWrap/>
            <w:vAlign w:val="center"/>
          </w:tcPr>
          <w:p>
            <w:pPr>
              <w:pStyle w:val="294"/>
              <w:rPr>
                <w:rFonts w:eastAsia="Times New Roman"/>
              </w:rPr>
            </w:pPr>
            <w:r>
              <w:rPr>
                <w:rFonts w:hint="eastAsia" w:ascii="宋体" w:hAnsi="宋体" w:eastAsia="Times New Roman" w:cs="宋体"/>
              </w:rPr>
              <w:t>老君</w:t>
            </w:r>
            <w:r>
              <w:rPr>
                <w:rFonts w:eastAsia="Times New Roman"/>
              </w:rPr>
              <w:t>1</w:t>
            </w:r>
            <w:r>
              <w:rPr>
                <w:rFonts w:hint="eastAsia" w:ascii="宋体" w:hAnsi="宋体" w:eastAsia="Times New Roman" w:cs="宋体"/>
              </w:rPr>
              <w:t>井</w:t>
            </w:r>
            <w:r>
              <w:rPr>
                <w:rFonts w:eastAsia="Times New Roman"/>
              </w:rPr>
              <w:t xml:space="preserve"> 2822.5-3253m</w:t>
            </w:r>
            <w:r>
              <w:rPr>
                <w:rFonts w:hint="eastAsia" w:ascii="宋体" w:hAnsi="宋体" w:eastAsia="Times New Roman" w:cs="宋体"/>
              </w:rPr>
              <w:t>为空气钻进，自千佛崖组</w:t>
            </w:r>
            <w:r>
              <w:rPr>
                <w:rFonts w:eastAsia="Times New Roman"/>
              </w:rPr>
              <w:t>3253.7-</w:t>
            </w:r>
            <w:r>
              <w:rPr>
                <w:rFonts w:hint="eastAsia" w:ascii="宋体" w:hAnsi="宋体" w:eastAsia="Times New Roman" w:cs="宋体"/>
              </w:rPr>
              <w:t>自流井组使用钻</w:t>
            </w:r>
            <w:r>
              <w:rPr>
                <w:rFonts w:eastAsia="Times New Roman"/>
              </w:rPr>
              <w:t xml:space="preserve"> </w:t>
            </w:r>
            <w:r>
              <w:rPr>
                <w:rFonts w:hint="eastAsia" w:ascii="宋体" w:hAnsi="宋体" w:eastAsia="Times New Roman" w:cs="宋体"/>
              </w:rPr>
              <w:t>井液密度</w:t>
            </w:r>
            <w:r>
              <w:rPr>
                <w:rFonts w:eastAsia="Times New Roman"/>
              </w:rPr>
              <w:t>1.26</w:t>
            </w:r>
            <w:r>
              <w:rPr>
                <w:rFonts w:hint="eastAsia" w:ascii="宋体" w:hAnsi="宋体" w:eastAsia="Times New Roman" w:cs="宋体"/>
              </w:rPr>
              <w:t>～</w:t>
            </w:r>
            <w:r>
              <w:rPr>
                <w:rFonts w:eastAsia="Times New Roman"/>
              </w:rPr>
              <w:t>1.42</w:t>
            </w:r>
            <w:r>
              <w:rPr>
                <w:rFonts w:hint="eastAsia" w:ascii="宋体" w:hAnsi="宋体" w:eastAsia="Times New Roman" w:cs="宋体"/>
              </w:rPr>
              <w:t>；井深</w:t>
            </w:r>
            <w:r>
              <w:rPr>
                <w:rFonts w:eastAsia="Times New Roman"/>
              </w:rPr>
              <w:t>3524.18m</w:t>
            </w:r>
            <w:r>
              <w:rPr>
                <w:rFonts w:hint="eastAsia" w:ascii="宋体" w:hAnsi="宋体" w:eastAsia="Times New Roman" w:cs="宋体"/>
              </w:rPr>
              <w:t>时，钻井液密度</w:t>
            </w:r>
            <w:r>
              <w:rPr>
                <w:rFonts w:eastAsia="Times New Roman"/>
              </w:rPr>
              <w:t>1.35g/cm</w:t>
            </w:r>
            <w:r>
              <w:rPr>
                <w:rFonts w:eastAsia="Times New Roman"/>
                <w:vertAlign w:val="superscript"/>
              </w:rPr>
              <w:t>3</w:t>
            </w:r>
            <w:r>
              <w:rPr>
                <w:rFonts w:hint="eastAsia" w:ascii="宋体" w:hAnsi="宋体" w:eastAsia="Times New Roman" w:cs="宋体"/>
              </w:rPr>
              <w:t>时，循环测量后效显示全烃最高达到</w:t>
            </w:r>
            <w:r>
              <w:rPr>
                <w:rFonts w:eastAsia="Times New Roman"/>
              </w:rPr>
              <w:t>77.40</w:t>
            </w:r>
            <w:r>
              <w:rPr>
                <w:rFonts w:hint="eastAsia" w:ascii="宋体" w:hAnsi="宋体" w:eastAsia="Times New Roman" w:cs="宋体"/>
              </w:rPr>
              <w:t>％，气侵严重，将钻井液密度提高到</w:t>
            </w:r>
            <w:r>
              <w:rPr>
                <w:rFonts w:eastAsia="Times New Roman"/>
              </w:rPr>
              <w:t>1.45g/cm</w:t>
            </w:r>
            <w:r>
              <w:rPr>
                <w:rFonts w:eastAsia="Times New Roman"/>
                <w:vertAlign w:val="superscript"/>
              </w:rPr>
              <w:t>3</w:t>
            </w:r>
            <w:r>
              <w:rPr>
                <w:rFonts w:hint="eastAsia" w:ascii="宋体" w:hAnsi="宋体" w:eastAsia="Times New Roman" w:cs="宋体"/>
              </w:rPr>
              <w:t>，后效显示微弱，达到近平衡。在井深</w:t>
            </w:r>
            <w:r>
              <w:rPr>
                <w:rFonts w:eastAsia="Times New Roman"/>
              </w:rPr>
              <w:t>3453.0m</w:t>
            </w:r>
            <w:r>
              <w:rPr>
                <w:rFonts w:hint="eastAsia" w:ascii="宋体" w:hAnsi="宋体" w:eastAsia="Times New Roman" w:cs="宋体"/>
              </w:rPr>
              <w:t>时，由于气测出现异常，全烃值达到</w:t>
            </w:r>
            <w:r>
              <w:rPr>
                <w:rFonts w:eastAsia="Times New Roman"/>
              </w:rPr>
              <w:t>55.75%</w:t>
            </w:r>
            <w:r>
              <w:rPr>
                <w:rFonts w:hint="eastAsia" w:ascii="宋体" w:hAnsi="宋体" w:eastAsia="Times New Roman" w:cs="宋体"/>
              </w:rPr>
              <w:t>，于是提高钻井液密度至</w:t>
            </w:r>
            <w:r>
              <w:rPr>
                <w:rFonts w:eastAsia="Times New Roman"/>
              </w:rPr>
              <w:t>1.42g/cm</w:t>
            </w:r>
            <w:r>
              <w:rPr>
                <w:rFonts w:eastAsia="Times New Roman"/>
                <w:vertAlign w:val="superscript"/>
              </w:rPr>
              <w:t>3</w:t>
            </w:r>
            <w:r>
              <w:rPr>
                <w:rFonts w:eastAsia="Times New Roman"/>
              </w:rPr>
              <w:t xml:space="preserve"> </w:t>
            </w:r>
            <w:r>
              <w:rPr>
                <w:rFonts w:hint="eastAsia" w:ascii="宋体" w:hAnsi="宋体" w:eastAsia="Times New Roman" w:cs="宋体"/>
              </w:rPr>
              <w:t>进行钻进，在该密度钻井液下，气测显示依然较为活跃，在井深</w:t>
            </w:r>
            <w:r>
              <w:rPr>
                <w:rFonts w:eastAsia="Times New Roman"/>
              </w:rPr>
              <w:t>3519.0m</w:t>
            </w:r>
            <w:r>
              <w:rPr>
                <w:rFonts w:hint="eastAsia" w:ascii="宋体" w:hAnsi="宋体" w:eastAsia="Times New Roman" w:cs="宋体"/>
              </w:rPr>
              <w:t>和</w:t>
            </w:r>
            <w:r>
              <w:rPr>
                <w:rFonts w:eastAsia="Times New Roman"/>
              </w:rPr>
              <w:t>3644.0m</w:t>
            </w:r>
            <w:r>
              <w:rPr>
                <w:rFonts w:hint="eastAsia" w:ascii="宋体" w:hAnsi="宋体" w:eastAsia="Times New Roman" w:cs="宋体"/>
              </w:rPr>
              <w:t>时，全烃值达到</w:t>
            </w:r>
            <w:r>
              <w:rPr>
                <w:rFonts w:eastAsia="Times New Roman"/>
              </w:rPr>
              <w:t>90.4%</w:t>
            </w:r>
            <w:r>
              <w:rPr>
                <w:rFonts w:hint="eastAsia" w:ascii="宋体" w:hAnsi="宋体" w:eastAsia="Times New Roman" w:cs="宋体"/>
              </w:rPr>
              <w:t>和</w:t>
            </w:r>
            <w:r>
              <w:rPr>
                <w:rFonts w:eastAsia="Times New Roman"/>
              </w:rPr>
              <w:t>75.94%</w:t>
            </w:r>
            <w:r>
              <w:rPr>
                <w:rFonts w:hint="eastAsia" w:ascii="宋体" w:hAnsi="宋体" w:eastAsia="Times New Roman" w:cs="宋体"/>
              </w:rPr>
              <w:t>。提高钻井液密度至</w:t>
            </w:r>
            <w:r>
              <w:rPr>
                <w:rFonts w:eastAsia="Times New Roman"/>
              </w:rPr>
              <w:t>1.45g/cm</w:t>
            </w:r>
            <w:r>
              <w:rPr>
                <w:rFonts w:eastAsia="Times New Roman"/>
                <w:vertAlign w:val="superscript"/>
              </w:rPr>
              <w:t>3</w:t>
            </w:r>
            <w:r>
              <w:rPr>
                <w:rFonts w:eastAsia="Times New Roman"/>
              </w:rPr>
              <w:t xml:space="preserve"> </w:t>
            </w:r>
            <w:r>
              <w:rPr>
                <w:rFonts w:hint="eastAsia" w:ascii="宋体" w:hAnsi="宋体" w:eastAsia="Times New Roman" w:cs="宋体"/>
              </w:rPr>
              <w:t>进行钻进；老君</w:t>
            </w:r>
            <w:r>
              <w:rPr>
                <w:rFonts w:eastAsia="Times New Roman"/>
              </w:rPr>
              <w:t>3</w:t>
            </w:r>
            <w:r>
              <w:rPr>
                <w:rFonts w:hint="eastAsia" w:ascii="宋体" w:hAnsi="宋体" w:eastAsia="Times New Roman" w:cs="宋体"/>
              </w:rPr>
              <w:t>井</w:t>
            </w:r>
            <w:r>
              <w:rPr>
                <w:rFonts w:eastAsia="Times New Roman"/>
              </w:rPr>
              <w:t>1635-1745m</w:t>
            </w:r>
            <w:r>
              <w:rPr>
                <w:rFonts w:hint="eastAsia" w:ascii="宋体" w:hAnsi="宋体" w:eastAsia="Times New Roman" w:cs="宋体"/>
              </w:rPr>
              <w:t>空气钻进，井深</w:t>
            </w:r>
            <w:r>
              <w:rPr>
                <w:rFonts w:eastAsia="Times New Roman"/>
              </w:rPr>
              <w:t>1745.05m</w:t>
            </w:r>
            <w:r>
              <w:rPr>
                <w:rFonts w:hint="eastAsia" w:ascii="宋体" w:hAnsi="宋体" w:eastAsia="Times New Roman" w:cs="宋体"/>
              </w:rPr>
              <w:t>，漏失钻井液</w:t>
            </w:r>
            <w:r>
              <w:rPr>
                <w:rFonts w:eastAsia="Times New Roman"/>
              </w:rPr>
              <w:t>42.0m</w:t>
            </w:r>
            <w:r>
              <w:rPr>
                <w:rFonts w:eastAsia="Times New Roman"/>
                <w:vertAlign w:val="superscript"/>
              </w:rPr>
              <w:t>3</w:t>
            </w:r>
            <w:r>
              <w:rPr>
                <w:rFonts w:hint="eastAsia" w:ascii="宋体" w:hAnsi="宋体" w:eastAsia="Times New Roman" w:cs="宋体"/>
              </w:rPr>
              <w:t>，密度</w:t>
            </w:r>
            <w:r>
              <w:rPr>
                <w:rFonts w:eastAsia="Times New Roman"/>
              </w:rPr>
              <w:t>1.22g/cm</w:t>
            </w:r>
            <w:r>
              <w:rPr>
                <w:rFonts w:eastAsia="Times New Roman"/>
                <w:vertAlign w:val="superscript"/>
              </w:rPr>
              <w:t>3</w:t>
            </w:r>
            <w:r>
              <w:rPr>
                <w:rFonts w:hint="eastAsia" w:ascii="宋体" w:hAnsi="宋体" w:eastAsia="Times New Roman" w:cs="宋体"/>
              </w:rPr>
              <w:t>，自</w:t>
            </w:r>
            <w:r>
              <w:rPr>
                <w:rFonts w:eastAsia="Times New Roman"/>
              </w:rPr>
              <w:t>1745-</w:t>
            </w:r>
            <w:r>
              <w:rPr>
                <w:rFonts w:hint="eastAsia" w:ascii="宋体" w:hAnsi="宋体" w:eastAsia="Times New Roman" w:cs="宋体"/>
              </w:rPr>
              <w:t>下溪庙组使用钻井液密度</w:t>
            </w:r>
            <w:r>
              <w:rPr>
                <w:rFonts w:eastAsia="Times New Roman"/>
              </w:rPr>
              <w:t xml:space="preserve">1.25-1.30 </w:t>
            </w:r>
            <w:r>
              <w:rPr>
                <w:rFonts w:hint="eastAsia" w:ascii="宋体" w:hAnsi="宋体" w:eastAsia="Times New Roman" w:cs="宋体"/>
              </w:rPr>
              <w:t>正</w:t>
            </w:r>
            <w:r>
              <w:rPr>
                <w:rFonts w:eastAsia="Times New Roman"/>
              </w:rPr>
              <w:t xml:space="preserve"> </w:t>
            </w:r>
            <w:r>
              <w:rPr>
                <w:rFonts w:hint="eastAsia" w:ascii="宋体" w:hAnsi="宋体" w:eastAsia="Times New Roman" w:cs="宋体"/>
              </w:rPr>
              <w:t>常钻进；老君</w:t>
            </w:r>
            <w:r>
              <w:rPr>
                <w:rFonts w:eastAsia="Times New Roman"/>
              </w:rPr>
              <w:t>2</w:t>
            </w:r>
            <w:r>
              <w:rPr>
                <w:rFonts w:hint="eastAsia" w:ascii="宋体" w:hAnsi="宋体" w:eastAsia="Times New Roman" w:cs="宋体"/>
              </w:rPr>
              <w:t>井空气正常钻进。</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271" w:type="dxa"/>
            <w:noWrap/>
            <w:vAlign w:val="center"/>
          </w:tcPr>
          <w:p>
            <w:pPr>
              <w:pStyle w:val="294"/>
              <w:rPr>
                <w:rFonts w:eastAsia="Times New Roman"/>
              </w:rPr>
            </w:pPr>
            <w:r>
              <w:rPr>
                <w:rFonts w:hint="eastAsia" w:ascii="宋体" w:hAnsi="宋体" w:eastAsia="Times New Roman" w:cs="宋体"/>
              </w:rPr>
              <w:t>须家河组</w:t>
            </w:r>
          </w:p>
        </w:tc>
        <w:tc>
          <w:tcPr>
            <w:tcW w:w="851" w:type="dxa"/>
            <w:noWrap/>
            <w:vAlign w:val="center"/>
          </w:tcPr>
          <w:p>
            <w:pPr>
              <w:pStyle w:val="294"/>
              <w:rPr>
                <w:rFonts w:eastAsia="Times New Roman"/>
              </w:rPr>
            </w:pPr>
          </w:p>
        </w:tc>
        <w:tc>
          <w:tcPr>
            <w:tcW w:w="850" w:type="dxa"/>
            <w:vAlign w:val="center"/>
          </w:tcPr>
          <w:p>
            <w:pPr>
              <w:pStyle w:val="294"/>
              <w:rPr>
                <w:rFonts w:eastAsia="Times New Roman"/>
              </w:rPr>
            </w:pPr>
            <w:r>
              <w:rPr>
                <w:rFonts w:eastAsia="Times New Roman"/>
              </w:rPr>
              <w:t>0.95-1.20</w:t>
            </w:r>
          </w:p>
        </w:tc>
        <w:tc>
          <w:tcPr>
            <w:tcW w:w="5328" w:type="dxa"/>
            <w:noWrap/>
            <w:vAlign w:val="center"/>
          </w:tcPr>
          <w:p>
            <w:pPr>
              <w:pStyle w:val="294"/>
              <w:rPr>
                <w:rFonts w:eastAsia="Times New Roman"/>
              </w:rPr>
            </w:pPr>
            <w:r>
              <w:rPr>
                <w:rFonts w:hint="eastAsia" w:ascii="宋体" w:hAnsi="宋体" w:eastAsia="Times New Roman" w:cs="宋体"/>
              </w:rPr>
              <w:t>普陆</w:t>
            </w:r>
            <w:r>
              <w:rPr>
                <w:rFonts w:eastAsia="Times New Roman"/>
              </w:rPr>
              <w:t>1</w:t>
            </w:r>
            <w:r>
              <w:rPr>
                <w:rFonts w:hint="eastAsia" w:ascii="宋体" w:hAnsi="宋体" w:eastAsia="Times New Roman" w:cs="宋体"/>
              </w:rPr>
              <w:t>井须家河组测试压力系数</w:t>
            </w:r>
            <w:r>
              <w:rPr>
                <w:rFonts w:eastAsia="Times New Roman"/>
              </w:rPr>
              <w:t>0.95</w:t>
            </w:r>
            <w:r>
              <w:rPr>
                <w:rFonts w:hint="eastAsia" w:ascii="宋体" w:hAnsi="宋体" w:eastAsia="Times New Roman" w:cs="宋体"/>
              </w:rPr>
              <w:t>；老君</w:t>
            </w:r>
            <w:r>
              <w:rPr>
                <w:rFonts w:eastAsia="Times New Roman"/>
              </w:rPr>
              <w:t>1</w:t>
            </w:r>
            <w:r>
              <w:rPr>
                <w:rFonts w:hint="eastAsia" w:ascii="宋体" w:hAnsi="宋体" w:eastAsia="Times New Roman" w:cs="宋体"/>
              </w:rPr>
              <w:t>井使用钻井液密度</w:t>
            </w:r>
            <w:r>
              <w:rPr>
                <w:rFonts w:eastAsia="Times New Roman"/>
              </w:rPr>
              <w:t>1.38</w:t>
            </w:r>
            <w:r>
              <w:rPr>
                <w:rFonts w:hint="eastAsia" w:ascii="宋体" w:hAnsi="宋体" w:eastAsia="Times New Roman" w:cs="宋体"/>
              </w:rPr>
              <w:t>～</w:t>
            </w:r>
            <w:r>
              <w:rPr>
                <w:rFonts w:eastAsia="Times New Roman"/>
              </w:rPr>
              <w:t>1.46</w:t>
            </w:r>
            <w:r>
              <w:rPr>
                <w:rFonts w:hint="eastAsia" w:ascii="宋体" w:hAnsi="宋体" w:eastAsia="Times New Roman" w:cs="宋体"/>
              </w:rPr>
              <w:t>，须家河组在井段</w:t>
            </w:r>
            <w:r>
              <w:rPr>
                <w:rFonts w:eastAsia="Times New Roman"/>
              </w:rPr>
              <w:t>3942.69-4424.97m</w:t>
            </w:r>
            <w:r>
              <w:rPr>
                <w:rFonts w:hint="eastAsia" w:ascii="宋体" w:hAnsi="宋体" w:eastAsia="Times New Roman" w:cs="宋体"/>
              </w:rPr>
              <w:t>共计漏失密度为</w:t>
            </w:r>
            <w:r>
              <w:rPr>
                <w:rFonts w:eastAsia="Times New Roman"/>
              </w:rPr>
              <w:t>1.40</w:t>
            </w:r>
            <w:r>
              <w:rPr>
                <w:rFonts w:hint="eastAsia" w:ascii="宋体" w:hAnsi="宋体" w:eastAsia="Times New Roman" w:cs="宋体"/>
              </w:rPr>
              <w:t>～</w:t>
            </w:r>
            <w:r>
              <w:rPr>
                <w:rFonts w:eastAsia="Times New Roman"/>
              </w:rPr>
              <w:t>1.4g/cm</w:t>
            </w:r>
            <w:r>
              <w:rPr>
                <w:rFonts w:eastAsia="Times New Roman"/>
                <w:vertAlign w:val="superscript"/>
              </w:rPr>
              <w:t>3</w:t>
            </w:r>
            <w:r>
              <w:rPr>
                <w:rFonts w:hint="eastAsia" w:ascii="宋体" w:hAnsi="宋体" w:eastAsia="Times New Roman" w:cs="宋体"/>
              </w:rPr>
              <w:t>钻井液</w:t>
            </w:r>
            <w:r>
              <w:rPr>
                <w:rFonts w:eastAsia="Times New Roman"/>
              </w:rPr>
              <w:t>110.84m</w:t>
            </w:r>
            <w:r>
              <w:rPr>
                <w:rFonts w:eastAsia="Times New Roman"/>
                <w:vertAlign w:val="superscript"/>
              </w:rPr>
              <w:t>3</w:t>
            </w:r>
            <w:r>
              <w:rPr>
                <w:rFonts w:hint="eastAsia" w:ascii="宋体" w:hAnsi="宋体" w:eastAsia="Times New Roman" w:cs="宋体"/>
              </w:rPr>
              <w:t>；老君</w:t>
            </w:r>
            <w:r>
              <w:rPr>
                <w:rFonts w:eastAsia="Times New Roman"/>
              </w:rPr>
              <w:t>2</w:t>
            </w:r>
            <w:r>
              <w:rPr>
                <w:rFonts w:hint="eastAsia" w:ascii="宋体" w:hAnsi="宋体" w:eastAsia="Times New Roman" w:cs="宋体"/>
              </w:rPr>
              <w:t>井使用钻井液密度</w:t>
            </w:r>
            <w:r>
              <w:rPr>
                <w:rFonts w:eastAsia="Times New Roman"/>
              </w:rPr>
              <w:t>1.20</w:t>
            </w:r>
            <w:r>
              <w:rPr>
                <w:rFonts w:hint="eastAsia" w:ascii="宋体" w:hAnsi="宋体" w:eastAsia="Times New Roman" w:cs="宋体"/>
              </w:rPr>
              <w:t>～</w:t>
            </w:r>
            <w:r>
              <w:rPr>
                <w:rFonts w:eastAsia="Times New Roman"/>
              </w:rPr>
              <w:t>1.77</w:t>
            </w:r>
            <w:r>
              <w:rPr>
                <w:rFonts w:hint="eastAsia" w:ascii="宋体" w:hAnsi="宋体" w:eastAsia="Times New Roman" w:cs="宋体"/>
              </w:rPr>
              <w:t>，钻至井深</w:t>
            </w:r>
            <w:r>
              <w:rPr>
                <w:rFonts w:eastAsia="Times New Roman"/>
              </w:rPr>
              <w:t>3425.94m</w:t>
            </w:r>
            <w:r>
              <w:rPr>
                <w:rFonts w:hint="eastAsia" w:ascii="宋体" w:hAnsi="宋体" w:eastAsia="Times New Roman" w:cs="宋体"/>
              </w:rPr>
              <w:t>，在溢流后节流循环压井中发生井漏，</w:t>
            </w:r>
            <w:r>
              <w:rPr>
                <w:rFonts w:eastAsia="Times New Roman"/>
              </w:rPr>
              <w:t>3425.94-3543.95m</w:t>
            </w:r>
            <w:r>
              <w:rPr>
                <w:rFonts w:hint="eastAsia" w:ascii="宋体" w:hAnsi="宋体" w:eastAsia="Times New Roman" w:cs="宋体"/>
              </w:rPr>
              <w:t>共发生井漏</w:t>
            </w:r>
            <w:r>
              <w:rPr>
                <w:rFonts w:eastAsia="Times New Roman"/>
              </w:rPr>
              <w:t>31</w:t>
            </w:r>
            <w:r>
              <w:rPr>
                <w:rFonts w:hint="eastAsia" w:ascii="宋体" w:hAnsi="宋体" w:eastAsia="Times New Roman" w:cs="宋体"/>
              </w:rPr>
              <w:t>次，累计漏失钻井液</w:t>
            </w:r>
            <w:r>
              <w:rPr>
                <w:rFonts w:eastAsia="Times New Roman"/>
              </w:rPr>
              <w:t>2249.38m</w:t>
            </w:r>
            <w:r>
              <w:rPr>
                <w:rFonts w:eastAsia="Times New Roman"/>
                <w:vertAlign w:val="superscript"/>
              </w:rPr>
              <w:t>3</w:t>
            </w:r>
            <w:r>
              <w:rPr>
                <w:rFonts w:hint="eastAsia" w:ascii="宋体" w:hAnsi="宋体" w:eastAsia="Times New Roman" w:cs="宋体"/>
              </w:rPr>
              <w:t>；老君</w:t>
            </w:r>
            <w:r>
              <w:rPr>
                <w:rFonts w:eastAsia="Times New Roman"/>
              </w:rPr>
              <w:t>3</w:t>
            </w:r>
            <w:r>
              <w:rPr>
                <w:rFonts w:hint="eastAsia" w:ascii="宋体" w:hAnsi="宋体" w:eastAsia="Times New Roman" w:cs="宋体"/>
              </w:rPr>
              <w:t>井使用钻井液密度</w:t>
            </w:r>
            <w:r>
              <w:rPr>
                <w:rFonts w:eastAsia="Times New Roman"/>
              </w:rPr>
              <w:t>1.30</w:t>
            </w:r>
            <w:r>
              <w:rPr>
                <w:rFonts w:hint="eastAsia" w:ascii="宋体" w:hAnsi="宋体" w:eastAsia="Times New Roman" w:cs="宋体"/>
              </w:rPr>
              <w:t>～</w:t>
            </w:r>
            <w:r>
              <w:rPr>
                <w:rFonts w:eastAsia="Times New Roman"/>
              </w:rPr>
              <w:t>1.35</w:t>
            </w:r>
            <w:r>
              <w:rPr>
                <w:rFonts w:hint="eastAsia" w:ascii="宋体" w:hAnsi="宋体" w:eastAsia="Times New Roman" w:cs="宋体"/>
              </w:rPr>
              <w:t>；分</w:t>
            </w:r>
            <w:r>
              <w:rPr>
                <w:rFonts w:eastAsia="Times New Roman"/>
              </w:rPr>
              <w:t xml:space="preserve">1 </w:t>
            </w:r>
            <w:r>
              <w:rPr>
                <w:rFonts w:hint="eastAsia" w:ascii="宋体" w:hAnsi="宋体" w:eastAsia="Times New Roman" w:cs="宋体"/>
              </w:rPr>
              <w:t>井须家河组测试压力系数</w:t>
            </w:r>
            <w:r>
              <w:rPr>
                <w:rFonts w:eastAsia="Times New Roman"/>
              </w:rPr>
              <w:t>1.01</w:t>
            </w:r>
            <w:r>
              <w:rPr>
                <w:rFonts w:hint="eastAsia" w:ascii="宋体" w:hAnsi="宋体" w:eastAsia="Times New Roman" w:cs="宋体"/>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271" w:type="dxa"/>
            <w:noWrap/>
            <w:vAlign w:val="center"/>
          </w:tcPr>
          <w:p>
            <w:pPr>
              <w:pStyle w:val="294"/>
              <w:rPr>
                <w:rFonts w:eastAsia="Times New Roman"/>
              </w:rPr>
            </w:pPr>
            <w:r>
              <w:rPr>
                <w:rFonts w:hint="eastAsia" w:ascii="宋体" w:hAnsi="宋体" w:eastAsia="Times New Roman" w:cs="宋体"/>
              </w:rPr>
              <w:t>雷口坡组</w:t>
            </w:r>
          </w:p>
        </w:tc>
        <w:tc>
          <w:tcPr>
            <w:tcW w:w="851" w:type="dxa"/>
            <w:noWrap/>
            <w:vAlign w:val="center"/>
          </w:tcPr>
          <w:p>
            <w:pPr>
              <w:pStyle w:val="294"/>
              <w:rPr>
                <w:rFonts w:eastAsia="Times New Roman"/>
              </w:rPr>
            </w:pPr>
          </w:p>
        </w:tc>
        <w:tc>
          <w:tcPr>
            <w:tcW w:w="850" w:type="dxa"/>
            <w:vAlign w:val="center"/>
          </w:tcPr>
          <w:p>
            <w:pPr>
              <w:pStyle w:val="294"/>
              <w:rPr>
                <w:rFonts w:eastAsia="Times New Roman"/>
              </w:rPr>
            </w:pPr>
            <w:r>
              <w:rPr>
                <w:rFonts w:eastAsia="Times New Roman"/>
              </w:rPr>
              <w:t>1.24-1.39</w:t>
            </w:r>
          </w:p>
        </w:tc>
        <w:tc>
          <w:tcPr>
            <w:tcW w:w="5328" w:type="dxa"/>
            <w:noWrap/>
            <w:vAlign w:val="center"/>
          </w:tcPr>
          <w:p>
            <w:pPr>
              <w:pStyle w:val="294"/>
              <w:rPr>
                <w:rFonts w:eastAsia="Times New Roman"/>
              </w:rPr>
            </w:pPr>
            <w:r>
              <w:rPr>
                <w:rFonts w:hint="eastAsia" w:ascii="宋体" w:hAnsi="宋体" w:eastAsia="Times New Roman" w:cs="宋体"/>
              </w:rPr>
              <w:t>老君</w:t>
            </w:r>
            <w:r>
              <w:rPr>
                <w:rFonts w:eastAsia="Times New Roman"/>
              </w:rPr>
              <w:t>1</w:t>
            </w:r>
            <w:r>
              <w:rPr>
                <w:rFonts w:hint="eastAsia" w:ascii="宋体" w:hAnsi="宋体" w:eastAsia="Times New Roman" w:cs="宋体"/>
              </w:rPr>
              <w:t>实钻泥浆密度</w:t>
            </w:r>
            <w:r>
              <w:rPr>
                <w:rFonts w:eastAsia="Times New Roman"/>
              </w:rPr>
              <w:t>1.39</w:t>
            </w:r>
            <w:r>
              <w:rPr>
                <w:rFonts w:hint="eastAsia" w:ascii="宋体" w:hAnsi="宋体" w:eastAsia="Times New Roman" w:cs="宋体"/>
              </w:rPr>
              <w:t>～</w:t>
            </w:r>
            <w:r>
              <w:rPr>
                <w:rFonts w:eastAsia="Times New Roman"/>
              </w:rPr>
              <w:t>1.54</w:t>
            </w:r>
            <w:r>
              <w:rPr>
                <w:rFonts w:hint="eastAsia" w:ascii="宋体" w:hAnsi="宋体" w:eastAsia="Times New Roman" w:cs="宋体"/>
              </w:rPr>
              <w:t>，井段</w:t>
            </w:r>
            <w:r>
              <w:rPr>
                <w:rFonts w:eastAsia="Times New Roman"/>
              </w:rPr>
              <w:t>4622.0-4626.27m</w:t>
            </w:r>
            <w:r>
              <w:rPr>
                <w:rFonts w:hint="eastAsia" w:ascii="宋体" w:hAnsi="宋体" w:eastAsia="Times New Roman" w:cs="宋体"/>
              </w:rPr>
              <w:t>处漏失密度为</w:t>
            </w:r>
            <w:r>
              <w:rPr>
                <w:rFonts w:eastAsia="Times New Roman"/>
              </w:rPr>
              <w:t>1.15</w:t>
            </w:r>
            <w:r>
              <w:rPr>
                <w:rFonts w:hint="eastAsia" w:ascii="宋体" w:hAnsi="宋体" w:eastAsia="Times New Roman" w:cs="宋体"/>
              </w:rPr>
              <w:t>～</w:t>
            </w:r>
            <w:r>
              <w:rPr>
                <w:rFonts w:eastAsia="Times New Roman"/>
              </w:rPr>
              <w:t>1.22g/cm</w:t>
            </w:r>
            <w:r>
              <w:rPr>
                <w:rFonts w:eastAsia="Times New Roman"/>
                <w:vertAlign w:val="superscript"/>
              </w:rPr>
              <w:t>3</w:t>
            </w:r>
            <w:r>
              <w:rPr>
                <w:rFonts w:hint="eastAsia" w:ascii="宋体" w:hAnsi="宋体" w:eastAsia="Times New Roman" w:cs="宋体"/>
              </w:rPr>
              <w:t>钻井液</w:t>
            </w:r>
            <w:r>
              <w:rPr>
                <w:rFonts w:eastAsia="Times New Roman"/>
              </w:rPr>
              <w:t>14.69m</w:t>
            </w:r>
            <w:r>
              <w:rPr>
                <w:rFonts w:eastAsia="Times New Roman"/>
                <w:vertAlign w:val="superscript"/>
              </w:rPr>
              <w:t>3</w:t>
            </w:r>
            <w:r>
              <w:rPr>
                <w:rFonts w:hint="eastAsia" w:ascii="宋体" w:hAnsi="宋体" w:eastAsia="Times New Roman" w:cs="宋体"/>
              </w:rPr>
              <w:t>；老君</w:t>
            </w:r>
            <w:r>
              <w:rPr>
                <w:rFonts w:eastAsia="Times New Roman"/>
              </w:rPr>
              <w:t>2</w:t>
            </w:r>
            <w:r>
              <w:rPr>
                <w:rFonts w:hint="eastAsia" w:ascii="宋体" w:hAnsi="宋体" w:eastAsia="Times New Roman" w:cs="宋体"/>
              </w:rPr>
              <w:t>钻井液密度</w:t>
            </w:r>
            <w:r>
              <w:rPr>
                <w:rFonts w:eastAsia="Times New Roman"/>
              </w:rPr>
              <w:t>1.28-1.58</w:t>
            </w:r>
            <w:r>
              <w:rPr>
                <w:rFonts w:hint="eastAsia" w:ascii="宋体" w:hAnsi="宋体" w:eastAsia="Times New Roman" w:cs="宋体"/>
              </w:rPr>
              <w:t>；老君</w:t>
            </w:r>
            <w:r>
              <w:rPr>
                <w:rFonts w:eastAsia="Times New Roman"/>
              </w:rPr>
              <w:t>3</w:t>
            </w:r>
            <w:r>
              <w:rPr>
                <w:rFonts w:hint="eastAsia" w:ascii="宋体" w:hAnsi="宋体" w:eastAsia="Times New Roman" w:cs="宋体"/>
              </w:rPr>
              <w:t>井</w:t>
            </w:r>
            <w:r>
              <w:rPr>
                <w:rFonts w:eastAsia="Times New Roman"/>
              </w:rPr>
              <w:t xml:space="preserve"> </w:t>
            </w:r>
            <w:r>
              <w:rPr>
                <w:rFonts w:hint="eastAsia" w:ascii="宋体" w:hAnsi="宋体" w:eastAsia="Times New Roman" w:cs="宋体"/>
              </w:rPr>
              <w:t>使用钻井液密度</w:t>
            </w:r>
            <w:r>
              <w:rPr>
                <w:rFonts w:eastAsia="Times New Roman"/>
              </w:rPr>
              <w:t>1.32</w:t>
            </w:r>
            <w:r>
              <w:rPr>
                <w:rFonts w:hint="eastAsia" w:ascii="宋体" w:hAnsi="宋体" w:eastAsia="Times New Roman" w:cs="宋体"/>
              </w:rPr>
              <w:t>～</w:t>
            </w:r>
            <w:r>
              <w:rPr>
                <w:rFonts w:eastAsia="Times New Roman"/>
              </w:rPr>
              <w:t>1.35</w:t>
            </w:r>
            <w:r>
              <w:rPr>
                <w:rFonts w:hint="eastAsia" w:ascii="宋体" w:hAnsi="宋体" w:eastAsia="Times New Roman" w:cs="宋体"/>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271" w:type="dxa"/>
            <w:noWrap/>
            <w:vAlign w:val="center"/>
          </w:tcPr>
          <w:p>
            <w:pPr>
              <w:pStyle w:val="294"/>
              <w:rPr>
                <w:rFonts w:eastAsia="Times New Roman"/>
              </w:rPr>
            </w:pPr>
            <w:r>
              <w:rPr>
                <w:rFonts w:hint="eastAsia" w:ascii="宋体" w:hAnsi="宋体" w:eastAsia="Times New Roman" w:cs="宋体"/>
              </w:rPr>
              <w:t>嘉陵江组</w:t>
            </w:r>
          </w:p>
        </w:tc>
        <w:tc>
          <w:tcPr>
            <w:tcW w:w="851" w:type="dxa"/>
            <w:noWrap/>
            <w:vAlign w:val="center"/>
          </w:tcPr>
          <w:p>
            <w:pPr>
              <w:pStyle w:val="294"/>
              <w:rPr>
                <w:rFonts w:eastAsia="Times New Roman"/>
              </w:rPr>
            </w:pPr>
          </w:p>
        </w:tc>
        <w:tc>
          <w:tcPr>
            <w:tcW w:w="850" w:type="dxa"/>
            <w:vAlign w:val="center"/>
          </w:tcPr>
          <w:p>
            <w:pPr>
              <w:pStyle w:val="294"/>
              <w:rPr>
                <w:rFonts w:eastAsia="Times New Roman"/>
              </w:rPr>
            </w:pPr>
            <w:r>
              <w:rPr>
                <w:rFonts w:eastAsia="Times New Roman"/>
              </w:rPr>
              <w:t>0.94-1.11</w:t>
            </w:r>
          </w:p>
        </w:tc>
        <w:tc>
          <w:tcPr>
            <w:tcW w:w="5328" w:type="dxa"/>
            <w:noWrap/>
            <w:vAlign w:val="center"/>
          </w:tcPr>
          <w:p>
            <w:pPr>
              <w:pStyle w:val="294"/>
              <w:rPr>
                <w:rFonts w:eastAsia="Times New Roman"/>
              </w:rPr>
            </w:pPr>
            <w:r>
              <w:rPr>
                <w:rFonts w:hint="eastAsia" w:ascii="宋体" w:hAnsi="宋体" w:eastAsia="Times New Roman" w:cs="宋体"/>
              </w:rPr>
              <w:t>老君</w:t>
            </w:r>
            <w:r>
              <w:rPr>
                <w:rFonts w:eastAsia="Times New Roman"/>
              </w:rPr>
              <w:t>2</w:t>
            </w:r>
            <w:r>
              <w:rPr>
                <w:rFonts w:hint="eastAsia" w:ascii="宋体" w:hAnsi="宋体" w:eastAsia="Times New Roman" w:cs="宋体"/>
              </w:rPr>
              <w:t>实钻泥浆密度</w:t>
            </w:r>
            <w:r>
              <w:rPr>
                <w:rFonts w:eastAsia="Times New Roman"/>
              </w:rPr>
              <w:t>1.39</w:t>
            </w:r>
            <w:r>
              <w:rPr>
                <w:rFonts w:hint="eastAsia" w:ascii="宋体" w:hAnsi="宋体" w:eastAsia="Times New Roman" w:cs="宋体"/>
              </w:rPr>
              <w:t>～</w:t>
            </w:r>
            <w:r>
              <w:rPr>
                <w:rFonts w:eastAsia="Times New Roman"/>
              </w:rPr>
              <w:t>1.54</w:t>
            </w:r>
            <w:r>
              <w:rPr>
                <w:rFonts w:hint="eastAsia" w:ascii="宋体" w:hAnsi="宋体" w:eastAsia="Times New Roman" w:cs="宋体"/>
              </w:rPr>
              <w:t>；老君</w:t>
            </w:r>
            <w:r>
              <w:rPr>
                <w:rFonts w:eastAsia="Times New Roman"/>
              </w:rPr>
              <w:t xml:space="preserve"> 2 </w:t>
            </w:r>
            <w:r>
              <w:rPr>
                <w:rFonts w:hint="eastAsia" w:ascii="宋体" w:hAnsi="宋体" w:eastAsia="Times New Roman" w:cs="宋体"/>
              </w:rPr>
              <w:t>钻井液密度</w:t>
            </w:r>
            <w:r>
              <w:rPr>
                <w:rFonts w:eastAsia="Times New Roman"/>
              </w:rPr>
              <w:t xml:space="preserve"> 1.35</w:t>
            </w:r>
            <w:r>
              <w:rPr>
                <w:rFonts w:hint="eastAsia" w:ascii="宋体" w:hAnsi="宋体" w:eastAsia="Times New Roman" w:cs="宋体"/>
              </w:rPr>
              <w:t>～</w:t>
            </w:r>
            <w:r>
              <w:rPr>
                <w:rFonts w:eastAsia="Times New Roman"/>
              </w:rPr>
              <w:t>1.59</w:t>
            </w:r>
            <w:r>
              <w:rPr>
                <w:rFonts w:hint="eastAsia" w:ascii="宋体" w:hAnsi="宋体" w:eastAsia="Times New Roman" w:cs="宋体"/>
              </w:rPr>
              <w:t>，钻达井</w:t>
            </w:r>
            <w:r>
              <w:rPr>
                <w:rFonts w:eastAsia="Times New Roman"/>
              </w:rPr>
              <w:t xml:space="preserve"> </w:t>
            </w:r>
            <w:r>
              <w:rPr>
                <w:rFonts w:hint="eastAsia" w:ascii="宋体" w:hAnsi="宋体" w:eastAsia="Times New Roman" w:cs="宋体"/>
              </w:rPr>
              <w:t>深</w:t>
            </w:r>
            <w:r>
              <w:rPr>
                <w:rFonts w:eastAsia="Times New Roman"/>
              </w:rPr>
              <w:t xml:space="preserve"> 4747.80m</w:t>
            </w:r>
            <w:r>
              <w:rPr>
                <w:rFonts w:hint="eastAsia" w:ascii="宋体" w:hAnsi="宋体" w:eastAsia="Times New Roman" w:cs="宋体"/>
              </w:rPr>
              <w:t>，层位嘉陵江组嘉四段，定向钻进中发生井漏，共漏失钻井</w:t>
            </w:r>
            <w:r>
              <w:rPr>
                <w:rFonts w:eastAsia="Times New Roman"/>
              </w:rPr>
              <w:t xml:space="preserve"> </w:t>
            </w:r>
            <w:r>
              <w:rPr>
                <w:rFonts w:hint="eastAsia" w:ascii="宋体" w:hAnsi="宋体" w:eastAsia="Times New Roman" w:cs="宋体"/>
              </w:rPr>
              <w:t>液</w:t>
            </w:r>
            <w:r>
              <w:rPr>
                <w:rFonts w:eastAsia="Times New Roman"/>
              </w:rPr>
              <w:t xml:space="preserve"> 8.10m3</w:t>
            </w:r>
            <w:r>
              <w:rPr>
                <w:rFonts w:hint="eastAsia" w:ascii="宋体" w:hAnsi="宋体" w:eastAsia="Times New Roman" w:cs="宋体"/>
              </w:rPr>
              <w:t>，钻井液密度</w:t>
            </w:r>
            <w:r>
              <w:rPr>
                <w:rFonts w:eastAsia="Times New Roman"/>
              </w:rPr>
              <w:t xml:space="preserve"> 1.53-1.54g/cm3</w:t>
            </w:r>
            <w:r>
              <w:rPr>
                <w:rFonts w:hint="eastAsia" w:ascii="宋体" w:hAnsi="宋体" w:eastAsia="Times New Roman" w:cs="宋体"/>
              </w:rPr>
              <w:t>、黏度</w:t>
            </w:r>
            <w:r>
              <w:rPr>
                <w:rFonts w:eastAsia="Times New Roman"/>
              </w:rPr>
              <w:t xml:space="preserve"> 58-62s</w:t>
            </w:r>
            <w:r>
              <w:rPr>
                <w:rFonts w:hint="eastAsia" w:ascii="宋体" w:hAnsi="宋体" w:eastAsia="Times New Roman" w:cs="宋体"/>
              </w:rPr>
              <w:t>。；老君</w:t>
            </w:r>
            <w:r>
              <w:rPr>
                <w:rFonts w:eastAsia="Times New Roman"/>
              </w:rPr>
              <w:t xml:space="preserve"> 3 </w:t>
            </w:r>
            <w:r>
              <w:rPr>
                <w:rFonts w:hint="eastAsia" w:ascii="宋体" w:hAnsi="宋体" w:eastAsia="Times New Roman" w:cs="宋体"/>
              </w:rPr>
              <w:t>井使用钻</w:t>
            </w:r>
            <w:r>
              <w:rPr>
                <w:rFonts w:eastAsia="Times New Roman"/>
              </w:rPr>
              <w:t xml:space="preserve"> </w:t>
            </w:r>
            <w:r>
              <w:rPr>
                <w:rFonts w:hint="eastAsia" w:ascii="宋体" w:hAnsi="宋体" w:eastAsia="Times New Roman" w:cs="宋体"/>
              </w:rPr>
              <w:t>井液密度</w:t>
            </w:r>
            <w:r>
              <w:rPr>
                <w:rFonts w:eastAsia="Times New Roman"/>
              </w:rPr>
              <w:t xml:space="preserve"> 1.29</w:t>
            </w:r>
            <w:r>
              <w:rPr>
                <w:rFonts w:hint="eastAsia" w:ascii="宋体" w:hAnsi="宋体" w:eastAsia="Times New Roman" w:cs="宋体"/>
              </w:rPr>
              <w:t>～</w:t>
            </w:r>
            <w:r>
              <w:rPr>
                <w:rFonts w:eastAsia="Times New Roman"/>
              </w:rPr>
              <w:t>1.36</w:t>
            </w:r>
            <w:r>
              <w:rPr>
                <w:rFonts w:hint="eastAsia" w:ascii="宋体" w:hAnsi="宋体" w:eastAsia="Times New Roman" w:cs="宋体"/>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271" w:type="dxa"/>
            <w:noWrap/>
            <w:vAlign w:val="center"/>
          </w:tcPr>
          <w:p>
            <w:pPr>
              <w:pStyle w:val="294"/>
              <w:rPr>
                <w:rFonts w:eastAsia="Times New Roman"/>
              </w:rPr>
            </w:pPr>
            <w:r>
              <w:rPr>
                <w:rFonts w:hint="eastAsia" w:ascii="宋体" w:hAnsi="宋体" w:eastAsia="Times New Roman" w:cs="宋体"/>
              </w:rPr>
              <w:t>飞仙关组</w:t>
            </w:r>
          </w:p>
        </w:tc>
        <w:tc>
          <w:tcPr>
            <w:tcW w:w="851" w:type="dxa"/>
            <w:noWrap/>
            <w:vAlign w:val="center"/>
          </w:tcPr>
          <w:p>
            <w:pPr>
              <w:pStyle w:val="294"/>
              <w:rPr>
                <w:rFonts w:eastAsia="Times New Roman"/>
              </w:rPr>
            </w:pPr>
            <w:r>
              <w:rPr>
                <w:rFonts w:hint="eastAsia" w:ascii="宋体" w:hAnsi="宋体" w:eastAsia="Times New Roman" w:cs="宋体"/>
              </w:rPr>
              <w:t>气层</w:t>
            </w:r>
          </w:p>
        </w:tc>
        <w:tc>
          <w:tcPr>
            <w:tcW w:w="850" w:type="dxa"/>
            <w:vAlign w:val="center"/>
          </w:tcPr>
          <w:p>
            <w:pPr>
              <w:pStyle w:val="294"/>
              <w:rPr>
                <w:rFonts w:eastAsia="Times New Roman"/>
              </w:rPr>
            </w:pPr>
            <w:r>
              <w:rPr>
                <w:rFonts w:eastAsia="Times New Roman"/>
              </w:rPr>
              <w:t>0.96</w:t>
            </w:r>
          </w:p>
        </w:tc>
        <w:tc>
          <w:tcPr>
            <w:tcW w:w="5328" w:type="dxa"/>
            <w:noWrap/>
            <w:vAlign w:val="center"/>
          </w:tcPr>
          <w:p>
            <w:pPr>
              <w:pStyle w:val="294"/>
              <w:rPr>
                <w:rFonts w:eastAsia="Times New Roman"/>
              </w:rPr>
            </w:pPr>
            <w:r>
              <w:rPr>
                <w:rFonts w:hint="eastAsia" w:ascii="宋体" w:hAnsi="宋体" w:eastAsia="Times New Roman" w:cs="宋体"/>
              </w:rPr>
              <w:t>老君</w:t>
            </w:r>
            <w:r>
              <w:rPr>
                <w:rFonts w:eastAsia="Times New Roman"/>
              </w:rPr>
              <w:t>1</w:t>
            </w:r>
            <w:r>
              <w:rPr>
                <w:rFonts w:hint="eastAsia" w:ascii="宋体" w:hAnsi="宋体" w:eastAsia="Times New Roman" w:cs="宋体"/>
              </w:rPr>
              <w:t>实测压力系数</w:t>
            </w:r>
            <w:r>
              <w:rPr>
                <w:rFonts w:eastAsia="Times New Roman"/>
              </w:rPr>
              <w:t>0.964</w:t>
            </w:r>
            <w:r>
              <w:rPr>
                <w:rFonts w:hint="eastAsia" w:ascii="宋体" w:hAnsi="宋体" w:eastAsia="Times New Roman" w:cs="宋体"/>
              </w:rPr>
              <w:t>，井深</w:t>
            </w:r>
            <w:r>
              <w:rPr>
                <w:rFonts w:eastAsia="Times New Roman"/>
              </w:rPr>
              <w:t>6131.21-6170.00m</w:t>
            </w:r>
            <w:r>
              <w:rPr>
                <w:rFonts w:hint="eastAsia" w:ascii="宋体" w:hAnsi="宋体" w:eastAsia="Times New Roman" w:cs="宋体"/>
              </w:rPr>
              <w:t>，漏失钻井液</w:t>
            </w:r>
            <w:r>
              <w:rPr>
                <w:rFonts w:eastAsia="Times New Roman"/>
              </w:rPr>
              <w:t>15.95m</w:t>
            </w:r>
            <w:r>
              <w:rPr>
                <w:rFonts w:eastAsia="Times New Roman"/>
                <w:vertAlign w:val="superscript"/>
              </w:rPr>
              <w:t>3</w:t>
            </w:r>
            <w:r>
              <w:rPr>
                <w:rFonts w:hint="eastAsia" w:ascii="宋体" w:hAnsi="宋体" w:eastAsia="Times New Roman" w:cs="宋体"/>
              </w:rPr>
              <w:t>；钻至井深</w:t>
            </w:r>
            <w:r>
              <w:rPr>
                <w:rFonts w:eastAsia="Times New Roman"/>
              </w:rPr>
              <w:t>6241.16-6243.53m</w:t>
            </w:r>
            <w:r>
              <w:rPr>
                <w:rFonts w:hint="eastAsia" w:ascii="宋体" w:hAnsi="宋体" w:eastAsia="Times New Roman" w:cs="宋体"/>
              </w:rPr>
              <w:t>时，漏失密度</w:t>
            </w:r>
            <w:r>
              <w:rPr>
                <w:rFonts w:eastAsia="Times New Roman"/>
              </w:rPr>
              <w:t>1.50g/cm</w:t>
            </w:r>
            <w:r>
              <w:rPr>
                <w:rFonts w:eastAsia="Times New Roman"/>
                <w:vertAlign w:val="superscript"/>
              </w:rPr>
              <w:t>3</w:t>
            </w:r>
            <w:r>
              <w:rPr>
                <w:rFonts w:eastAsia="Times New Roman"/>
              </w:rPr>
              <w:t>,</w:t>
            </w:r>
            <w:r>
              <w:rPr>
                <w:rFonts w:hint="eastAsia" w:ascii="宋体" w:hAnsi="宋体" w:eastAsia="Times New Roman" w:cs="宋体"/>
              </w:rPr>
              <w:t>黏度</w:t>
            </w:r>
            <w:r>
              <w:rPr>
                <w:rFonts w:eastAsia="Times New Roman"/>
              </w:rPr>
              <w:t>47s</w:t>
            </w:r>
            <w:r>
              <w:rPr>
                <w:rFonts w:hint="eastAsia" w:ascii="宋体" w:hAnsi="宋体" w:eastAsia="Times New Roman" w:cs="宋体"/>
              </w:rPr>
              <w:t>漏失钻井液</w:t>
            </w:r>
            <w:r>
              <w:rPr>
                <w:rFonts w:eastAsia="Times New Roman"/>
              </w:rPr>
              <w:t>50.75m</w:t>
            </w:r>
            <w:r>
              <w:rPr>
                <w:rFonts w:eastAsia="Times New Roman"/>
                <w:vertAlign w:val="superscript"/>
              </w:rPr>
              <w:t>3</w:t>
            </w:r>
            <w:r>
              <w:rPr>
                <w:rFonts w:hint="eastAsia" w:ascii="宋体" w:hAnsi="宋体" w:eastAsia="Times New Roman" w:cs="宋体"/>
              </w:rPr>
              <w:t>；老君</w:t>
            </w:r>
            <w:r>
              <w:rPr>
                <w:rFonts w:eastAsia="Times New Roman"/>
              </w:rPr>
              <w:t>2</w:t>
            </w:r>
            <w:r>
              <w:rPr>
                <w:rFonts w:hint="eastAsia" w:ascii="宋体" w:hAnsi="宋体" w:eastAsia="Times New Roman" w:cs="宋体"/>
              </w:rPr>
              <w:t>钻井液密度</w:t>
            </w:r>
            <w:r>
              <w:rPr>
                <w:rFonts w:eastAsia="Times New Roman"/>
              </w:rPr>
              <w:t>1.25</w:t>
            </w:r>
            <w:r>
              <w:rPr>
                <w:rFonts w:hint="eastAsia" w:ascii="宋体" w:hAnsi="宋体" w:eastAsia="Times New Roman" w:cs="宋体"/>
              </w:rPr>
              <w:t>～</w:t>
            </w:r>
            <w:r>
              <w:rPr>
                <w:rFonts w:eastAsia="Times New Roman"/>
              </w:rPr>
              <w:t>1.65</w:t>
            </w:r>
            <w:r>
              <w:rPr>
                <w:rFonts w:hint="eastAsia" w:ascii="宋体" w:hAnsi="宋体" w:eastAsia="Times New Roman" w:cs="宋体"/>
              </w:rPr>
              <w:t>；老君</w:t>
            </w:r>
            <w:r>
              <w:rPr>
                <w:rFonts w:eastAsia="Times New Roman"/>
              </w:rPr>
              <w:t>3</w:t>
            </w:r>
            <w:r>
              <w:rPr>
                <w:rFonts w:hint="eastAsia" w:ascii="宋体" w:hAnsi="宋体" w:eastAsia="Times New Roman" w:cs="宋体"/>
              </w:rPr>
              <w:t>井使用钻井液密度</w:t>
            </w:r>
            <w:r>
              <w:rPr>
                <w:rFonts w:eastAsia="Times New Roman"/>
              </w:rPr>
              <w:t>1.33</w:t>
            </w:r>
            <w:r>
              <w:rPr>
                <w:rFonts w:hint="eastAsia" w:ascii="宋体" w:hAnsi="宋体" w:eastAsia="Times New Roman" w:cs="宋体"/>
              </w:rPr>
              <w:t>～</w:t>
            </w:r>
            <w:r>
              <w:rPr>
                <w:rFonts w:eastAsia="Times New Roman"/>
              </w:rPr>
              <w:t>1.35</w:t>
            </w:r>
            <w:r>
              <w:rPr>
                <w:rFonts w:hint="eastAsia" w:ascii="宋体" w:hAnsi="宋体" w:eastAsia="Times New Roman" w:cs="宋体"/>
              </w:rPr>
              <w:t>。普光</w:t>
            </w:r>
            <w:r>
              <w:rPr>
                <w:rFonts w:eastAsia="Times New Roman"/>
              </w:rPr>
              <w:t>2</w:t>
            </w:r>
            <w:r>
              <w:rPr>
                <w:rFonts w:hint="eastAsia" w:ascii="宋体" w:hAnsi="宋体" w:eastAsia="Times New Roman" w:cs="宋体"/>
              </w:rPr>
              <w:t>实测</w:t>
            </w:r>
            <w:r>
              <w:rPr>
                <w:rFonts w:eastAsia="Times New Roman"/>
              </w:rPr>
              <w:t>1.12</w:t>
            </w:r>
            <w:r>
              <w:rPr>
                <w:rFonts w:hint="eastAsia" w:ascii="宋体" w:hAnsi="宋体" w:eastAsia="Times New Roman" w:cs="宋体"/>
              </w:rPr>
              <w:t>～</w:t>
            </w:r>
            <w:r>
              <w:rPr>
                <w:rFonts w:eastAsia="Times New Roman"/>
              </w:rPr>
              <w:t>1.14</w:t>
            </w:r>
            <w:r>
              <w:rPr>
                <w:rFonts w:hint="eastAsia" w:ascii="宋体" w:hAnsi="宋体" w:eastAsia="Times New Roman" w:cs="宋体"/>
              </w:rPr>
              <w:t>、普光</w:t>
            </w:r>
            <w:r>
              <w:rPr>
                <w:rFonts w:eastAsia="Times New Roman"/>
              </w:rPr>
              <w:t>6</w:t>
            </w:r>
            <w:r>
              <w:rPr>
                <w:rFonts w:hint="eastAsia" w:ascii="宋体" w:hAnsi="宋体" w:eastAsia="Times New Roman" w:cs="宋体"/>
              </w:rPr>
              <w:t>实测</w:t>
            </w:r>
            <w:r>
              <w:rPr>
                <w:rFonts w:eastAsia="Times New Roman"/>
              </w:rPr>
              <w:t>1.11</w:t>
            </w:r>
            <w:r>
              <w:rPr>
                <w:rFonts w:hint="eastAsia" w:ascii="宋体" w:hAnsi="宋体" w:eastAsia="Times New Roman" w:cs="宋体"/>
              </w:rPr>
              <w:t>、普光</w:t>
            </w:r>
            <w:r>
              <w:rPr>
                <w:rFonts w:eastAsia="Times New Roman"/>
              </w:rPr>
              <w:t>9</w:t>
            </w:r>
            <w:r>
              <w:rPr>
                <w:rFonts w:hint="eastAsia" w:ascii="宋体" w:hAnsi="宋体" w:eastAsia="Times New Roman" w:cs="宋体"/>
              </w:rPr>
              <w:t>实测</w:t>
            </w:r>
            <w:r>
              <w:rPr>
                <w:rFonts w:eastAsia="Times New Roman"/>
              </w:rPr>
              <w:t>0.97</w:t>
            </w:r>
            <w:r>
              <w:rPr>
                <w:rFonts w:hint="eastAsia" w:ascii="宋体" w:hAnsi="宋体" w:eastAsia="Times New Roman" w:cs="宋体"/>
              </w:rPr>
              <w:t>、普光</w:t>
            </w:r>
            <w:r>
              <w:rPr>
                <w:rFonts w:eastAsia="Times New Roman"/>
              </w:rPr>
              <w:t>11</w:t>
            </w:r>
            <w:r>
              <w:rPr>
                <w:rFonts w:hint="eastAsia" w:ascii="宋体" w:hAnsi="宋体" w:eastAsia="Times New Roman" w:cs="宋体"/>
              </w:rPr>
              <w:t>实测</w:t>
            </w:r>
            <w:r>
              <w:rPr>
                <w:rFonts w:eastAsia="Times New Roman"/>
              </w:rPr>
              <w:t>1.09</w:t>
            </w:r>
            <w:r>
              <w:rPr>
                <w:rFonts w:hint="eastAsia" w:ascii="宋体" w:hAnsi="宋体" w:eastAsia="Times New Roman" w:cs="宋体"/>
              </w:rPr>
              <w:t>。</w:t>
            </w:r>
          </w:p>
        </w:tc>
      </w:tr>
    </w:tbl>
    <w:p>
      <w:pPr>
        <w:pStyle w:val="5"/>
      </w:pPr>
      <w:r>
        <w:rPr>
          <w:rFonts w:hint="eastAsia"/>
        </w:rPr>
        <w:t>3.2.2.5</w:t>
      </w:r>
      <w:r>
        <w:t>井身结构</w:t>
      </w:r>
    </w:p>
    <w:p>
      <w:pPr>
        <w:tabs>
          <w:tab w:val="left" w:pos="0"/>
        </w:tabs>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1、井身结构设计</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本项目主要目的层为飞仙关组一二段。井身结构设计如下：</w:t>
      </w:r>
    </w:p>
    <w:p>
      <w:pPr>
        <w:pStyle w:val="95"/>
        <w:numPr>
          <w:ilvl w:val="0"/>
          <w:numId w:val="4"/>
        </w:numPr>
        <w:spacing w:before="0" w:beforeLines="0"/>
        <w:ind w:firstLineChars="200"/>
        <w:jc w:val="both"/>
      </w:pPr>
      <w:r>
        <w:t>导管：Φ508mm导管下深250m左右，用水泥封固（返至地面），封隔地表松散流砂、砂砾层，封过表层水。</w:t>
      </w:r>
    </w:p>
    <w:p>
      <w:pPr>
        <w:pStyle w:val="95"/>
        <w:numPr>
          <w:ilvl w:val="0"/>
          <w:numId w:val="4"/>
        </w:numPr>
        <w:spacing w:before="0" w:beforeLines="0"/>
        <w:ind w:firstLineChars="200"/>
        <w:jc w:val="both"/>
      </w:pPr>
      <w:r>
        <w:t>一开：采用Φ406.4mm钻头钻进至井深2263m，Φ339.7mm套管下深2261m，封过下沙溪庙组底部50m，水泥浆返至地面。</w:t>
      </w:r>
    </w:p>
    <w:p>
      <w:pPr>
        <w:pStyle w:val="95"/>
        <w:numPr>
          <w:ilvl w:val="0"/>
          <w:numId w:val="4"/>
        </w:numPr>
        <w:spacing w:before="0" w:beforeLines="0"/>
        <w:ind w:firstLineChars="200"/>
        <w:jc w:val="both"/>
      </w:pPr>
      <w:r>
        <w:t>二开：采用Φ311.2mm钻头开钻，下入Φ244.5mm套管，封过飞四段，为下一开次揭示低压目的层和安全钻井创造条件，固井水泥返至地面。盐膏层段及其上下50m采用Φ260.4mm外加厚套管。</w:t>
      </w:r>
    </w:p>
    <w:p>
      <w:pPr>
        <w:pStyle w:val="95"/>
        <w:numPr>
          <w:ilvl w:val="0"/>
          <w:numId w:val="4"/>
        </w:numPr>
        <w:spacing w:before="0" w:beforeLines="0"/>
        <w:ind w:firstLineChars="200"/>
        <w:jc w:val="both"/>
      </w:pPr>
      <w:r>
        <w:t>三开：采用Φ215.9mm钻头钻至设计完钻井深，为满足采气工程安置井下安全阀的要求，井口段150m下入177.8mm套管，下部采用139.7mm套管，盐膏层段及其上下50m采用Φ146.1mm外加厚套管。生产套管采用尾管回接的方式下入，回接筒位置位于嘉四五段以上150m，回接Φ139.7mm+Φ177.8套管至井口，水泥浆分别返至尾管悬挂器及地面。产层套管采用防硫材质，依据采气工程要求，自飞四段底部之上80m采用镍基合金套管。合金套管以下井段使用内壁镀钨套管。</w:t>
      </w:r>
    </w:p>
    <w:p>
      <w:pPr>
        <w:pStyle w:val="95"/>
        <w:numPr>
          <w:ilvl w:val="0"/>
          <w:numId w:val="4"/>
        </w:numPr>
        <w:spacing w:before="0" w:beforeLines="0"/>
        <w:ind w:firstLineChars="200"/>
        <w:jc w:val="both"/>
      </w:pPr>
      <w:r>
        <w:t>各层套管的下入深度按设计原则执行，以实钻地层深度加以修正。</w:t>
      </w:r>
    </w:p>
    <w:p>
      <w:pPr>
        <w:ind w:firstLineChars="0"/>
      </w:pPr>
    </w:p>
    <w:p>
      <w:pPr>
        <w:ind w:firstLineChars="0"/>
      </w:pPr>
    </w:p>
    <w:p>
      <w:pPr>
        <w:ind w:firstLineChars="0"/>
      </w:pPr>
    </w:p>
    <w:p>
      <w:pPr>
        <w:ind w:firstLineChars="0"/>
      </w:pPr>
    </w:p>
    <w:p>
      <w:pPr>
        <w:ind w:firstLineChars="0"/>
      </w:pPr>
    </w:p>
    <w:p>
      <w:pPr>
        <w:ind w:firstLineChars="0"/>
      </w:pPr>
    </w:p>
    <w:p>
      <w:pPr>
        <w:ind w:firstLineChars="0"/>
      </w:pPr>
    </w:p>
    <w:p>
      <w:pPr>
        <w:ind w:firstLineChars="0"/>
      </w:pPr>
    </w:p>
    <w:p>
      <w:pPr>
        <w:ind w:firstLineChars="0"/>
      </w:pPr>
    </w:p>
    <w:p>
      <w:pPr>
        <w:ind w:firstLineChars="0"/>
      </w:pPr>
    </w:p>
    <w:p>
      <w:pPr>
        <w:ind w:firstLineChars="0"/>
      </w:pPr>
    </w:p>
    <w:p>
      <w:pPr>
        <w:ind w:firstLineChars="0"/>
      </w:pPr>
    </w:p>
    <w:p>
      <w:pPr>
        <w:ind w:firstLineChars="0"/>
      </w:pPr>
    </w:p>
    <w:p>
      <w:pPr>
        <w:ind w:firstLineChars="0"/>
      </w:pPr>
    </w:p>
    <w:p>
      <w:pPr>
        <w:ind w:firstLineChars="0"/>
      </w:pPr>
    </w:p>
    <w:p>
      <w:pPr>
        <w:ind w:firstLineChars="0"/>
      </w:pPr>
    </w:p>
    <w:p>
      <w:pPr>
        <w:ind w:firstLineChars="0"/>
      </w:pPr>
    </w:p>
    <w:p>
      <w:pPr>
        <w:ind w:firstLineChars="0"/>
      </w:pPr>
    </w:p>
    <w:p>
      <w:pPr>
        <w:ind w:firstLineChars="0"/>
      </w:pPr>
    </w:p>
    <w:p>
      <w:pPr>
        <w:ind w:firstLineChars="0"/>
      </w:pPr>
    </w:p>
    <w:p>
      <w:pPr>
        <w:ind w:firstLineChars="0"/>
      </w:pPr>
    </w:p>
    <w:p>
      <w:pPr>
        <w:tabs>
          <w:tab w:val="left" w:pos="0"/>
        </w:tabs>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2、井身结构</w:t>
      </w:r>
    </w:p>
    <w:p>
      <w:pPr>
        <w:pStyle w:val="95"/>
      </w:pPr>
      <w:r>
        <w:t>表</w:t>
      </w:r>
      <w:r>
        <w:fldChar w:fldCharType="begin"/>
      </w:r>
      <w:r>
        <w:instrText xml:space="preserve"> STYLEREF 2 \s </w:instrText>
      </w:r>
      <w:r>
        <w:fldChar w:fldCharType="separate"/>
      </w:r>
      <w:r>
        <w:t>3.2</w:t>
      </w:r>
      <w:r>
        <w:fldChar w:fldCharType="end"/>
      </w:r>
      <w:r>
        <w:noBreakHyphen/>
      </w:r>
      <w:r>
        <w:fldChar w:fldCharType="begin"/>
      </w:r>
      <w:r>
        <w:instrText xml:space="preserve"> SEQ 表 \* ARABIC \s 2 </w:instrText>
      </w:r>
      <w:r>
        <w:fldChar w:fldCharType="separate"/>
      </w:r>
      <w:r>
        <w:t>4</w:t>
      </w:r>
      <w:r>
        <w:fldChar w:fldCharType="end"/>
      </w:r>
      <w:r>
        <w:t xml:space="preserve"> 普光3011-6井井身结构设计</w:t>
      </w:r>
    </w:p>
    <w:tbl>
      <w:tblPr>
        <w:tblStyle w:val="52"/>
        <w:tblW w:w="5127"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476"/>
        <w:gridCol w:w="754"/>
        <w:gridCol w:w="924"/>
        <w:gridCol w:w="1236"/>
        <w:gridCol w:w="782"/>
        <w:gridCol w:w="1549"/>
        <w:gridCol w:w="2000"/>
        <w:gridCol w:w="1022"/>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03" w:type="pct"/>
            <w:gridSpan w:val="2"/>
            <w:tcBorders>
              <w:top w:val="single" w:color="auto" w:sz="8" w:space="0"/>
              <w:left w:val="single" w:color="auto" w:sz="8" w:space="0"/>
              <w:bottom w:val="single" w:color="auto" w:sz="2" w:space="0"/>
            </w:tcBorders>
            <w:vAlign w:val="center"/>
          </w:tcPr>
          <w:p>
            <w:pPr>
              <w:pStyle w:val="95"/>
              <w:spacing w:line="240" w:lineRule="auto"/>
              <w:rPr>
                <w:sz w:val="21"/>
                <w:szCs w:val="21"/>
              </w:rPr>
            </w:pPr>
            <w:r>
              <w:rPr>
                <w:sz w:val="21"/>
                <w:szCs w:val="21"/>
              </w:rPr>
              <w:t>层位</w:t>
            </w:r>
          </w:p>
        </w:tc>
        <w:tc>
          <w:tcPr>
            <w:tcW w:w="528" w:type="pct"/>
            <w:tcBorders>
              <w:top w:val="single" w:color="auto" w:sz="8" w:space="0"/>
              <w:bottom w:val="single" w:color="auto" w:sz="2" w:space="0"/>
            </w:tcBorders>
            <w:vAlign w:val="center"/>
          </w:tcPr>
          <w:p>
            <w:pPr>
              <w:pStyle w:val="95"/>
              <w:spacing w:line="240" w:lineRule="auto"/>
              <w:rPr>
                <w:sz w:val="21"/>
                <w:szCs w:val="21"/>
              </w:rPr>
            </w:pPr>
            <w:r>
              <w:rPr>
                <w:sz w:val="21"/>
                <w:szCs w:val="21"/>
              </w:rPr>
              <w:t>垂直井深  (m)</w:t>
            </w:r>
          </w:p>
        </w:tc>
        <w:tc>
          <w:tcPr>
            <w:tcW w:w="706" w:type="pct"/>
            <w:tcBorders>
              <w:top w:val="single" w:color="auto" w:sz="8" w:space="0"/>
              <w:bottom w:val="single" w:color="auto" w:sz="2" w:space="0"/>
            </w:tcBorders>
            <w:vAlign w:val="center"/>
          </w:tcPr>
          <w:p>
            <w:pPr>
              <w:pStyle w:val="95"/>
              <w:spacing w:line="240" w:lineRule="auto"/>
              <w:rPr>
                <w:sz w:val="21"/>
                <w:szCs w:val="21"/>
              </w:rPr>
            </w:pPr>
            <w:r>
              <w:rPr>
                <w:sz w:val="21"/>
                <w:szCs w:val="21"/>
              </w:rPr>
              <w:t>地层压力系数</w:t>
            </w:r>
          </w:p>
        </w:tc>
        <w:tc>
          <w:tcPr>
            <w:tcW w:w="447" w:type="pct"/>
            <w:tcBorders>
              <w:top w:val="single" w:color="auto" w:sz="8" w:space="0"/>
              <w:bottom w:val="single" w:color="auto" w:sz="2" w:space="0"/>
            </w:tcBorders>
          </w:tcPr>
          <w:p>
            <w:pPr>
              <w:pStyle w:val="95"/>
              <w:spacing w:line="240" w:lineRule="auto"/>
              <w:rPr>
                <w:sz w:val="21"/>
                <w:szCs w:val="21"/>
              </w:rPr>
            </w:pPr>
            <w:r>
              <w:rPr>
                <w:sz w:val="21"/>
                <w:szCs w:val="21"/>
              </w:rPr>
              <w:t>开钻</w:t>
            </w:r>
          </w:p>
          <w:p>
            <w:pPr>
              <w:pStyle w:val="95"/>
              <w:spacing w:line="240" w:lineRule="auto"/>
              <w:rPr>
                <w:sz w:val="21"/>
                <w:szCs w:val="21"/>
              </w:rPr>
            </w:pPr>
            <w:r>
              <w:rPr>
                <w:sz w:val="21"/>
                <w:szCs w:val="21"/>
              </w:rPr>
              <w:t>次数</w:t>
            </w:r>
          </w:p>
        </w:tc>
        <w:tc>
          <w:tcPr>
            <w:tcW w:w="885" w:type="pct"/>
            <w:tcBorders>
              <w:top w:val="single" w:color="auto" w:sz="8" w:space="0"/>
              <w:bottom w:val="single" w:color="auto" w:sz="2" w:space="0"/>
            </w:tcBorders>
          </w:tcPr>
          <w:p>
            <w:pPr>
              <w:pStyle w:val="95"/>
              <w:spacing w:line="240" w:lineRule="auto"/>
              <w:rPr>
                <w:sz w:val="21"/>
                <w:szCs w:val="21"/>
              </w:rPr>
            </w:pPr>
            <w:r>
              <w:rPr>
                <w:sz w:val="21"/>
                <w:szCs w:val="21"/>
              </w:rPr>
              <w:t>钻头直(mm)</w:t>
            </w:r>
          </w:p>
          <w:p>
            <w:pPr>
              <w:pStyle w:val="95"/>
              <w:spacing w:line="240" w:lineRule="auto"/>
              <w:rPr>
                <w:sz w:val="21"/>
                <w:szCs w:val="21"/>
              </w:rPr>
            </w:pPr>
            <w:r>
              <w:rPr>
                <w:sz w:val="21"/>
                <w:szCs w:val="21"/>
              </w:rPr>
              <w:t>×钻深（m）</w:t>
            </w:r>
          </w:p>
        </w:tc>
        <w:tc>
          <w:tcPr>
            <w:tcW w:w="1143" w:type="pct"/>
            <w:tcBorders>
              <w:top w:val="single" w:color="auto" w:sz="8" w:space="0"/>
              <w:bottom w:val="single" w:color="auto" w:sz="2" w:space="0"/>
            </w:tcBorders>
          </w:tcPr>
          <w:p>
            <w:pPr>
              <w:pStyle w:val="95"/>
              <w:spacing w:line="240" w:lineRule="auto"/>
              <w:rPr>
                <w:sz w:val="21"/>
                <w:szCs w:val="21"/>
              </w:rPr>
            </w:pPr>
            <w:r>
              <w:rPr>
                <w:sz w:val="21"/>
                <w:szCs w:val="21"/>
              </w:rPr>
              <w:t>套管直径（mm）</w:t>
            </w:r>
          </w:p>
          <w:p>
            <w:pPr>
              <w:pStyle w:val="95"/>
              <w:spacing w:line="240" w:lineRule="auto"/>
              <w:rPr>
                <w:sz w:val="21"/>
                <w:szCs w:val="21"/>
              </w:rPr>
            </w:pPr>
            <w:r>
              <w:rPr>
                <w:sz w:val="21"/>
                <w:szCs w:val="21"/>
              </w:rPr>
              <w:t>×下深（m）</w:t>
            </w:r>
          </w:p>
        </w:tc>
        <w:tc>
          <w:tcPr>
            <w:tcW w:w="584" w:type="pct"/>
            <w:tcBorders>
              <w:top w:val="single" w:color="auto" w:sz="8" w:space="0"/>
              <w:bottom w:val="single" w:color="auto" w:sz="2" w:space="0"/>
              <w:right w:val="single" w:color="auto" w:sz="8" w:space="0"/>
            </w:tcBorders>
          </w:tcPr>
          <w:p>
            <w:pPr>
              <w:pStyle w:val="95"/>
              <w:spacing w:line="240" w:lineRule="auto"/>
              <w:rPr>
                <w:sz w:val="21"/>
                <w:szCs w:val="21"/>
              </w:rPr>
            </w:pPr>
            <w:r>
              <w:rPr>
                <w:sz w:val="21"/>
                <w:szCs w:val="21"/>
              </w:rPr>
              <w:t>井身</w:t>
            </w:r>
          </w:p>
          <w:p>
            <w:pPr>
              <w:pStyle w:val="95"/>
              <w:spacing w:line="240" w:lineRule="auto"/>
              <w:rPr>
                <w:sz w:val="21"/>
                <w:szCs w:val="21"/>
              </w:rPr>
            </w:pPr>
            <w:r>
              <w:rPr>
                <w:sz w:val="21"/>
                <w:szCs w:val="21"/>
              </w:rPr>
              <w:t>结构</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843" w:hRule="atLeast"/>
          <w:jc w:val="center"/>
        </w:trPr>
        <w:tc>
          <w:tcPr>
            <w:tcW w:w="703" w:type="pct"/>
            <w:gridSpan w:val="2"/>
            <w:tcBorders>
              <w:top w:val="single" w:color="auto" w:sz="2" w:space="0"/>
              <w:left w:val="single" w:color="auto" w:sz="8" w:space="0"/>
              <w:bottom w:val="single" w:color="auto" w:sz="2" w:space="0"/>
            </w:tcBorders>
            <w:vAlign w:val="center"/>
          </w:tcPr>
          <w:p>
            <w:pPr>
              <w:pStyle w:val="95"/>
              <w:spacing w:line="240" w:lineRule="auto"/>
              <w:rPr>
                <w:sz w:val="21"/>
                <w:szCs w:val="21"/>
              </w:rPr>
            </w:pPr>
            <w:r>
              <w:rPr>
                <w:sz w:val="21"/>
                <w:szCs w:val="21"/>
              </w:rPr>
              <w:t>下沙溪庙组</w:t>
            </w:r>
          </w:p>
        </w:tc>
        <w:tc>
          <w:tcPr>
            <w:tcW w:w="528" w:type="pct"/>
            <w:tcBorders>
              <w:top w:val="single" w:color="auto" w:sz="2" w:space="0"/>
              <w:bottom w:val="single" w:color="auto" w:sz="2" w:space="0"/>
            </w:tcBorders>
            <w:vAlign w:val="center"/>
          </w:tcPr>
          <w:p>
            <w:pPr>
              <w:pStyle w:val="95"/>
              <w:spacing w:line="240" w:lineRule="auto"/>
              <w:rPr>
                <w:sz w:val="21"/>
                <w:szCs w:val="21"/>
              </w:rPr>
            </w:pPr>
            <w:r>
              <w:rPr>
                <w:sz w:val="21"/>
                <w:szCs w:val="21"/>
              </w:rPr>
              <w:t>2210.12</w:t>
            </w:r>
          </w:p>
        </w:tc>
        <w:tc>
          <w:tcPr>
            <w:tcW w:w="706" w:type="pct"/>
            <w:tcBorders>
              <w:top w:val="single" w:color="auto" w:sz="2" w:space="0"/>
              <w:bottom w:val="single" w:color="auto" w:sz="2" w:space="0"/>
            </w:tcBorders>
            <w:vAlign w:val="center"/>
          </w:tcPr>
          <w:p>
            <w:pPr>
              <w:pStyle w:val="95"/>
              <w:spacing w:line="240" w:lineRule="auto"/>
              <w:rPr>
                <w:sz w:val="21"/>
                <w:szCs w:val="21"/>
              </w:rPr>
            </w:pPr>
            <w:r>
              <w:rPr>
                <w:sz w:val="21"/>
                <w:szCs w:val="21"/>
              </w:rPr>
              <w:t>1.0-1.1</w:t>
            </w:r>
          </w:p>
        </w:tc>
        <w:tc>
          <w:tcPr>
            <w:tcW w:w="447" w:type="pct"/>
            <w:vMerge w:val="restart"/>
            <w:tcBorders>
              <w:top w:val="single" w:color="auto" w:sz="2" w:space="0"/>
              <w:bottom w:val="single" w:color="auto" w:sz="2" w:space="0"/>
            </w:tcBorders>
          </w:tcPr>
          <w:p>
            <w:pPr>
              <w:pStyle w:val="95"/>
              <w:spacing w:line="240" w:lineRule="auto"/>
              <w:rPr>
                <w:sz w:val="21"/>
                <w:szCs w:val="21"/>
              </w:rPr>
            </w:pPr>
            <w:r>
              <w:rPr>
                <w:sz w:val="21"/>
                <w:szCs w:val="21"/>
              </w:rPr>
              <w:t>0</w:t>
            </w:r>
          </w:p>
          <w:p>
            <w:pPr>
              <w:pStyle w:val="95"/>
              <w:spacing w:line="240" w:lineRule="auto"/>
              <w:rPr>
                <w:sz w:val="21"/>
                <w:szCs w:val="21"/>
              </w:rPr>
            </w:pPr>
            <w:r>
              <w:rPr>
                <w:sz w:val="21"/>
                <w:szCs w:val="21"/>
              </w:rPr>
              <w:t>1</w:t>
            </w: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r>
              <w:rPr>
                <w:sz w:val="21"/>
                <w:szCs w:val="21"/>
              </w:rPr>
              <w:t>2</w:t>
            </w: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r>
              <w:rPr>
                <w:sz w:val="21"/>
                <w:szCs w:val="21"/>
              </w:rPr>
              <w:t>3</w:t>
            </w:r>
          </w:p>
        </w:tc>
        <w:tc>
          <w:tcPr>
            <w:tcW w:w="885" w:type="pct"/>
            <w:vMerge w:val="restart"/>
            <w:tcBorders>
              <w:top w:val="single" w:color="auto" w:sz="2" w:space="0"/>
              <w:bottom w:val="single" w:color="auto" w:sz="2" w:space="0"/>
            </w:tcBorders>
          </w:tcPr>
          <w:p>
            <w:pPr>
              <w:pStyle w:val="95"/>
              <w:spacing w:line="240" w:lineRule="auto"/>
              <w:rPr>
                <w:sz w:val="21"/>
                <w:szCs w:val="21"/>
              </w:rPr>
            </w:pPr>
            <w:r>
              <w:rPr>
                <w:sz w:val="21"/>
                <w:szCs w:val="21"/>
              </w:rPr>
              <w:t>660.4×251</w:t>
            </w:r>
          </w:p>
          <w:p>
            <w:pPr>
              <w:pStyle w:val="95"/>
              <w:spacing w:line="240" w:lineRule="auto"/>
              <w:rPr>
                <w:sz w:val="21"/>
                <w:szCs w:val="21"/>
              </w:rPr>
            </w:pPr>
          </w:p>
          <w:p>
            <w:pPr>
              <w:pStyle w:val="95"/>
              <w:spacing w:line="240" w:lineRule="auto"/>
              <w:rPr>
                <w:sz w:val="21"/>
                <w:szCs w:val="21"/>
              </w:rPr>
            </w:pPr>
            <w:r>
              <w:rPr>
                <w:sz w:val="21"/>
                <w:szCs w:val="21"/>
              </w:rPr>
              <w:t>406.4×2263</w:t>
            </w: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r>
              <w:rPr>
                <w:sz w:val="21"/>
                <w:szCs w:val="21"/>
              </w:rPr>
              <w:t>311.2×4800</w:t>
            </w: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r>
              <w:rPr>
                <w:sz w:val="21"/>
                <w:szCs w:val="21"/>
              </w:rPr>
              <w:t>215.9×5707.65</w:t>
            </w:r>
          </w:p>
        </w:tc>
        <w:tc>
          <w:tcPr>
            <w:tcW w:w="1143" w:type="pct"/>
            <w:vMerge w:val="restart"/>
            <w:tcBorders>
              <w:top w:val="single" w:color="auto" w:sz="2" w:space="0"/>
              <w:bottom w:val="single" w:color="auto" w:sz="2" w:space="0"/>
            </w:tcBorders>
          </w:tcPr>
          <w:p>
            <w:pPr>
              <w:pStyle w:val="95"/>
              <w:spacing w:line="240" w:lineRule="auto"/>
              <w:rPr>
                <w:sz w:val="21"/>
                <w:szCs w:val="21"/>
              </w:rPr>
            </w:pPr>
            <w:r>
              <w:rPr>
                <w:sz w:val="21"/>
                <w:szCs w:val="21"/>
              </w:rPr>
              <w:t>508×250封隔漏层（218m）</w:t>
            </w:r>
          </w:p>
          <w:p>
            <w:pPr>
              <w:pStyle w:val="95"/>
              <w:spacing w:line="240" w:lineRule="auto"/>
              <w:rPr>
                <w:sz w:val="21"/>
                <w:szCs w:val="21"/>
              </w:rPr>
            </w:pPr>
            <w:r>
              <w:rPr>
                <w:sz w:val="21"/>
                <w:szCs w:val="21"/>
              </w:rPr>
              <w:t>339.7×2261</w:t>
            </w:r>
          </w:p>
          <w:p>
            <w:pPr>
              <w:pStyle w:val="95"/>
              <w:spacing w:line="240" w:lineRule="auto"/>
              <w:rPr>
                <w:sz w:val="21"/>
                <w:szCs w:val="21"/>
              </w:rPr>
            </w:pPr>
            <w:r>
              <w:rPr>
                <w:sz w:val="21"/>
                <w:szCs w:val="21"/>
              </w:rPr>
              <w:t>封下沙50m</w:t>
            </w: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p>
          <w:p>
            <w:pPr>
              <w:pStyle w:val="95"/>
              <w:spacing w:line="240" w:lineRule="auto"/>
              <w:rPr>
                <w:sz w:val="21"/>
                <w:szCs w:val="21"/>
              </w:rPr>
            </w:pPr>
            <w:r>
              <w:rPr>
                <w:sz w:val="21"/>
                <w:szCs w:val="21"/>
              </w:rPr>
              <w:t>（244.5+260.4）×4798</w:t>
            </w:r>
          </w:p>
          <w:p>
            <w:pPr>
              <w:pStyle w:val="95"/>
              <w:spacing w:line="240" w:lineRule="auto"/>
              <w:rPr>
                <w:sz w:val="21"/>
                <w:szCs w:val="21"/>
              </w:rPr>
            </w:pPr>
            <w:r>
              <w:rPr>
                <w:sz w:val="21"/>
                <w:szCs w:val="21"/>
              </w:rPr>
              <w:t>封隔飞四及以上层位</w:t>
            </w:r>
          </w:p>
          <w:p>
            <w:pPr>
              <w:pStyle w:val="95"/>
              <w:spacing w:line="240" w:lineRule="auto"/>
              <w:rPr>
                <w:sz w:val="21"/>
                <w:szCs w:val="21"/>
              </w:rPr>
            </w:pPr>
          </w:p>
          <w:p>
            <w:pPr>
              <w:pStyle w:val="95"/>
              <w:spacing w:line="240" w:lineRule="auto"/>
              <w:rPr>
                <w:sz w:val="21"/>
                <w:szCs w:val="21"/>
              </w:rPr>
            </w:pPr>
            <w:r>
              <w:rPr>
                <w:sz w:val="21"/>
                <w:szCs w:val="21"/>
              </w:rPr>
              <w:t>（177.8×150m +139.7+146.1）×5704</w:t>
            </w:r>
          </w:p>
        </w:tc>
        <w:tc>
          <w:tcPr>
            <w:tcW w:w="584" w:type="pct"/>
            <w:vMerge w:val="restart"/>
            <w:tcBorders>
              <w:top w:val="single" w:color="auto" w:sz="2" w:space="0"/>
              <w:bottom w:val="single" w:color="auto" w:sz="2" w:space="0"/>
              <w:right w:val="single" w:color="auto" w:sz="8" w:space="0"/>
            </w:tcBorders>
          </w:tcPr>
          <w:p>
            <w:pPr>
              <w:pStyle w:val="95"/>
              <w:spacing w:line="240" w:lineRule="auto"/>
              <w:rPr>
                <w:sz w:val="21"/>
                <w:szCs w:val="21"/>
              </w:rPr>
            </w:pPr>
            <w:r>
              <w:rPr>
                <w:sz w:val="21"/>
                <w:szCs w:val="21"/>
              </w:rPr>
              <mc:AlternateContent>
                <mc:Choice Requires="wps">
                  <w:drawing>
                    <wp:anchor distT="0" distB="0" distL="114300" distR="114300" simplePos="0" relativeHeight="251678720" behindDoc="0" locked="0" layoutInCell="1" allowOverlap="1">
                      <wp:simplePos x="0" y="0"/>
                      <wp:positionH relativeFrom="column">
                        <wp:posOffset>429895</wp:posOffset>
                      </wp:positionH>
                      <wp:positionV relativeFrom="paragraph">
                        <wp:posOffset>4424680</wp:posOffset>
                      </wp:positionV>
                      <wp:extent cx="107950" cy="107950"/>
                      <wp:effectExtent l="19050" t="19050" r="25400" b="25400"/>
                      <wp:wrapNone/>
                      <wp:docPr id="31" name="直角三角形 31"/>
                      <wp:cNvGraphicFramePr/>
                      <a:graphic xmlns:a="http://schemas.openxmlformats.org/drawingml/2006/main">
                        <a:graphicData uri="http://schemas.microsoft.com/office/word/2010/wordprocessingShape">
                          <wps:wsp>
                            <wps:cNvSpPr>
                              <a:spLocks noChangeArrowheads="1"/>
                            </wps:cNvSpPr>
                            <wps:spPr bwMode="auto">
                              <a:xfrm flipH="1">
                                <a:off x="0" y="0"/>
                                <a:ext cx="107950" cy="107950"/>
                              </a:xfrm>
                              <a:prstGeom prst="rtTriangle">
                                <a:avLst/>
                              </a:prstGeom>
                              <a:gradFill rotWithShape="1">
                                <a:gsLst>
                                  <a:gs pos="0">
                                    <a:srgbClr val="000000"/>
                                  </a:gs>
                                  <a:gs pos="100000">
                                    <a:srgbClr val="000000">
                                      <a:gamma/>
                                      <a:shade val="46275"/>
                                      <a:invGamma/>
                                    </a:srgbClr>
                                  </a:gs>
                                </a:gsLst>
                                <a:lin ang="5400000" scaled="1"/>
                              </a:gra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_x0000_s1026" o:spid="_x0000_s1026" o:spt="6" type="#_x0000_t6" style="position:absolute;left:0pt;flip:x;margin-left:33.85pt;margin-top:348.4pt;height:8.5pt;width:8.5pt;z-index:251678720;mso-width-relative:page;mso-height-relative:page;" fillcolor="#000000" filled="t" stroked="t" coordsize="21600,21600" o:gfxdata="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ku0vj2gAAAAkBAAAPAAAAAAAAAAEAIAAAACIAAABkcnMvZG93bnJldi54bWxQ&#10;SwECFAAUAAAACACHTuJA18CB+qACAABMBQAADgAAAAAAAAABACAAAAApAQAAZHJzL2Uyb0RvYy54&#10;bWxQSwUGAAAAAAYABgBZAQAAOwYAAAAA&#10;">
                      <v:fill type="gradient" on="t" color2="#000000" focus="100%" focussize="0,0" rotate="t"/>
                      <v:stroke color="#000000" miterlimit="8" joinstyle="miter"/>
                      <v:imagedata o:title=""/>
                      <o:lock v:ext="edit" aspectratio="f"/>
                    </v:shape>
                  </w:pict>
                </mc:Fallback>
              </mc:AlternateContent>
            </w:r>
            <w:r>
              <w:rPr>
                <w:sz w:val="21"/>
                <w:szCs w:val="21"/>
              </w:rPr>
              <mc:AlternateContent>
                <mc:Choice Requires="wps">
                  <w:drawing>
                    <wp:anchor distT="0" distB="0" distL="114300" distR="114300" simplePos="0" relativeHeight="251679744" behindDoc="0" locked="0" layoutInCell="1" allowOverlap="1">
                      <wp:simplePos x="0" y="0"/>
                      <wp:positionH relativeFrom="column">
                        <wp:posOffset>527685</wp:posOffset>
                      </wp:positionH>
                      <wp:positionV relativeFrom="paragraph">
                        <wp:posOffset>10160</wp:posOffset>
                      </wp:positionV>
                      <wp:extent cx="8255" cy="4526280"/>
                      <wp:effectExtent l="10160" t="10160" r="10160" b="16510"/>
                      <wp:wrapNone/>
                      <wp:docPr id="30" name="直接箭头连接符 30"/>
                      <wp:cNvGraphicFramePr/>
                      <a:graphic xmlns:a="http://schemas.openxmlformats.org/drawingml/2006/main">
                        <a:graphicData uri="http://schemas.microsoft.com/office/word/2010/wordprocessingShape">
                          <wps:wsp>
                            <wps:cNvCnPr>
                              <a:cxnSpLocks noChangeShapeType="1"/>
                            </wps:cNvCnPr>
                            <wps:spPr bwMode="auto">
                              <a:xfrm>
                                <a:off x="0" y="0"/>
                                <a:ext cx="8255" cy="4526280"/>
                              </a:xfrm>
                              <a:prstGeom prst="straightConnector1">
                                <a:avLst/>
                              </a:prstGeom>
                              <a:noFill/>
                              <a:ln w="19050" cmpd="sng">
                                <a:solidFill>
                                  <a:srgbClr val="000000"/>
                                </a:solidFill>
                                <a:round/>
                              </a:ln>
                            </wps:spPr>
                            <wps:bodyPr/>
                          </wps:wsp>
                        </a:graphicData>
                      </a:graphic>
                    </wp:anchor>
                  </w:drawing>
                </mc:Choice>
                <mc:Fallback>
                  <w:pict>
                    <v:shape id="_x0000_s1026" o:spid="_x0000_s1026" o:spt="32" type="#_x0000_t32" style="position:absolute;left:0pt;margin-left:41.55pt;margin-top:0.8pt;height:356.4pt;width:0.65pt;z-index:251679744;mso-width-relative:page;mso-height-relative:page;" filled="f" stroked="t" coordsize="21600,21600" o:gfxdata="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PfGxJPTAAAABwEAAA8AAAAAAAAAAQAgAAAAIgAAAGRycy9kb3ducmV2&#10;LnhtbFBLAQIUABQAAAAIAIdO4kAQosQIAQIAAM8DAAAOAAAAAAAAAAEAIAAAACIBAABkcnMvZTJv&#10;RG9jLnhtbFBLBQYAAAAABgAGAFkBAACVBQAAAAA=&#10;">
                      <v:fill on="f" focussize="0,0"/>
                      <v:stroke weight="1.5pt" color="#000000" joinstyle="round"/>
                      <v:imagedata o:title=""/>
                      <o:lock v:ext="edit" aspectratio="f"/>
                    </v:shape>
                  </w:pict>
                </mc:Fallback>
              </mc:AlternateContent>
            </w:r>
            <w:r>
              <w:rPr>
                <w:sz w:val="21"/>
                <w:szCs w:val="21"/>
              </w:rPr>
              <mc:AlternateContent>
                <mc:Choice Requires="wps">
                  <w:drawing>
                    <wp:anchor distT="0" distB="0" distL="114300" distR="114300" simplePos="0" relativeHeight="251683840" behindDoc="0" locked="0" layoutInCell="1" allowOverlap="1">
                      <wp:simplePos x="0" y="0"/>
                      <wp:positionH relativeFrom="column">
                        <wp:posOffset>369570</wp:posOffset>
                      </wp:positionH>
                      <wp:positionV relativeFrom="paragraph">
                        <wp:posOffset>2153920</wp:posOffset>
                      </wp:positionV>
                      <wp:extent cx="156845" cy="167640"/>
                      <wp:effectExtent l="10795" t="13335" r="13335" b="9525"/>
                      <wp:wrapNone/>
                      <wp:docPr id="27" name="矩形 27"/>
                      <wp:cNvGraphicFramePr/>
                      <a:graphic xmlns:a="http://schemas.openxmlformats.org/drawingml/2006/main">
                        <a:graphicData uri="http://schemas.microsoft.com/office/word/2010/wordprocessingShape">
                          <wps:wsp>
                            <wps:cNvSpPr>
                              <a:spLocks noChangeArrowheads="1"/>
                            </wps:cNvSpPr>
                            <wps:spPr bwMode="auto">
                              <a:xfrm>
                                <a:off x="0" y="0"/>
                                <a:ext cx="156845" cy="167640"/>
                              </a:xfrm>
                              <a:prstGeom prst="rect">
                                <a:avLst/>
                              </a:prstGeom>
                              <a:solidFill>
                                <a:srgbClr val="000000"/>
                              </a:solidFill>
                              <a:ln w="9525" cmpd="sng">
                                <a:solidFill>
                                  <a:srgbClr val="00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9.1pt;margin-top:169.6pt;height:13.2pt;width:12.35pt;z-index:251683840;mso-width-relative:page;mso-height-relative:page;" fillcolor="#000000" filled="t" stroked="t" coordsize="21600,21600" o:gfxdata="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LqyK27YAAAACQEAAA8AAAAAAAAAAQAgAAAAIgAAAGRycy9kb3ducmV2&#10;LnhtbFBLAQIUABQAAAAIAIdO4kAL440eNQIAAHsEAAAOAAAAAAAAAAEAIAAAACcBAABkcnMvZTJv&#10;RG9jLnhtbFBLBQYAAAAABgAGAFkBAADOBQAAAAA=&#10;">
                      <v:fill on="t" focussize="0,0"/>
                      <v:stroke color="#000000" miterlimit="8" joinstyle="miter"/>
                      <v:imagedata o:title=""/>
                      <o:lock v:ext="edit" aspectratio="f"/>
                    </v:rect>
                  </w:pict>
                </mc:Fallback>
              </mc:AlternateContent>
            </w:r>
            <w:r>
              <w:rPr>
                <w:sz w:val="21"/>
                <w:szCs w:val="21"/>
              </w:rPr>
              <mc:AlternateContent>
                <mc:Choice Requires="wps">
                  <w:drawing>
                    <wp:anchor distT="0" distB="0" distL="114300" distR="114300" simplePos="0" relativeHeight="251677696" behindDoc="0" locked="0" layoutInCell="1" allowOverlap="1">
                      <wp:simplePos x="0" y="0"/>
                      <wp:positionH relativeFrom="column">
                        <wp:posOffset>221615</wp:posOffset>
                      </wp:positionH>
                      <wp:positionV relativeFrom="paragraph">
                        <wp:posOffset>3314065</wp:posOffset>
                      </wp:positionV>
                      <wp:extent cx="107950" cy="107950"/>
                      <wp:effectExtent l="19050" t="19050" r="25400" b="25400"/>
                      <wp:wrapNone/>
                      <wp:docPr id="22" name="直角三角形 22"/>
                      <wp:cNvGraphicFramePr/>
                      <a:graphic xmlns:a="http://schemas.openxmlformats.org/drawingml/2006/main">
                        <a:graphicData uri="http://schemas.microsoft.com/office/word/2010/wordprocessingShape">
                          <wps:wsp>
                            <wps:cNvSpPr>
                              <a:spLocks noChangeArrowheads="1"/>
                            </wps:cNvSpPr>
                            <wps:spPr bwMode="auto">
                              <a:xfrm flipH="1">
                                <a:off x="0" y="0"/>
                                <a:ext cx="107950" cy="107950"/>
                              </a:xfrm>
                              <a:prstGeom prst="rtTriangle">
                                <a:avLst/>
                              </a:prstGeom>
                              <a:gradFill rotWithShape="1">
                                <a:gsLst>
                                  <a:gs pos="0">
                                    <a:srgbClr val="000000"/>
                                  </a:gs>
                                  <a:gs pos="100000">
                                    <a:srgbClr val="000000">
                                      <a:gamma/>
                                      <a:shade val="46275"/>
                                      <a:invGamma/>
                                    </a:srgbClr>
                                  </a:gs>
                                </a:gsLst>
                                <a:lin ang="5400000" scaled="1"/>
                              </a:gra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_x0000_s1026" o:spid="_x0000_s1026" o:spt="6" type="#_x0000_t6" style="position:absolute;left:0pt;flip:x;margin-left:17.45pt;margin-top:260.95pt;height:8.5pt;width:8.5pt;z-index:251677696;mso-width-relative:page;mso-height-relative:page;" fillcolor="#000000" filled="t" stroked="t" coordsize="21600,21600" o:gfxdata="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BLPzZ52QAAAAkBAAAPAAAAAAAAAAEAIAAAACIAAABkcnMvZG93bnJldi54bWxQ&#10;SwECFAAUAAAACACHTuJAQpFe0aECAABMBQAADgAAAAAAAAABACAAAAAoAQAAZHJzL2Uyb0RvYy54&#10;bWxQSwUGAAAAAAYABgBZAQAAOwYAAAAA&#10;">
                      <v:fill type="gradient" on="t" color2="#000000" focus="100%" focussize="0,0" rotate="t"/>
                      <v:stroke color="#000000" miterlimit="8" joinstyle="miter"/>
                      <v:imagedata o:title=""/>
                      <o:lock v:ext="edit" aspectratio="f"/>
                    </v:shape>
                  </w:pict>
                </mc:Fallback>
              </mc:AlternateContent>
            </w:r>
            <w:r>
              <w:rPr>
                <w:sz w:val="21"/>
                <w:szCs w:val="21"/>
              </w:rPr>
              <mc:AlternateContent>
                <mc:Choice Requires="wps">
                  <w:drawing>
                    <wp:anchor distT="0" distB="0" distL="114300" distR="114300" simplePos="0" relativeHeight="251680768" behindDoc="0" locked="0" layoutInCell="1" allowOverlap="1">
                      <wp:simplePos x="0" y="0"/>
                      <wp:positionH relativeFrom="column">
                        <wp:posOffset>335915</wp:posOffset>
                      </wp:positionH>
                      <wp:positionV relativeFrom="paragraph">
                        <wp:posOffset>17780</wp:posOffset>
                      </wp:positionV>
                      <wp:extent cx="0" cy="3411220"/>
                      <wp:effectExtent l="17145" t="17780" r="11430" b="9525"/>
                      <wp:wrapNone/>
                      <wp:docPr id="26" name="直接箭头连接符 26"/>
                      <wp:cNvGraphicFramePr/>
                      <a:graphic xmlns:a="http://schemas.openxmlformats.org/drawingml/2006/main">
                        <a:graphicData uri="http://schemas.microsoft.com/office/word/2010/wordprocessingShape">
                          <wps:wsp>
                            <wps:cNvCnPr>
                              <a:cxnSpLocks noChangeShapeType="1"/>
                            </wps:cNvCnPr>
                            <wps:spPr bwMode="auto">
                              <a:xfrm>
                                <a:off x="0" y="0"/>
                                <a:ext cx="0" cy="3411220"/>
                              </a:xfrm>
                              <a:prstGeom prst="straightConnector1">
                                <a:avLst/>
                              </a:prstGeom>
                              <a:noFill/>
                              <a:ln w="19050" cmpd="sng">
                                <a:solidFill>
                                  <a:srgbClr val="000000"/>
                                </a:solidFill>
                                <a:round/>
                              </a:ln>
                            </wps:spPr>
                            <wps:bodyPr/>
                          </wps:wsp>
                        </a:graphicData>
                      </a:graphic>
                    </wp:anchor>
                  </w:drawing>
                </mc:Choice>
                <mc:Fallback>
                  <w:pict>
                    <v:shape id="_x0000_s1026" o:spid="_x0000_s1026" o:spt="32" type="#_x0000_t32" style="position:absolute;left:0pt;margin-left:26.45pt;margin-top:1.4pt;height:268.6pt;width:0pt;z-index:251680768;mso-width-relative:page;mso-height-relative:page;" filled="f" stroked="t" coordsize="21600,21600" o:gfxdata="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LAJU50gAAAAcBAAAPAAAAAAAAAAEAIAAAACIAAABkcnMvZG93bnJldi54bWxQ&#10;SwECFAAUAAAACACHTuJAqW3SWv0BAADMAwAADgAAAAAAAAABACAAAAAhAQAAZHJzL2Uyb0RvYy54&#10;bWxQSwUGAAAAAAYABgBZAQAAkAUAAAAA&#10;">
                      <v:fill on="f" focussize="0,0"/>
                      <v:stroke weight="1.5pt" color="#000000" joinstyle="round"/>
                      <v:imagedata o:title=""/>
                      <o:lock v:ext="edit" aspectratio="f"/>
                    </v:shape>
                  </w:pict>
                </mc:Fallback>
              </mc:AlternateContent>
            </w:r>
            <w:r>
              <w:rPr>
                <w:sz w:val="21"/>
                <w:szCs w:val="21"/>
              </w:rPr>
              <mc:AlternateContent>
                <mc:Choice Requires="wps">
                  <w:drawing>
                    <wp:anchor distT="0" distB="0" distL="114300" distR="114300" simplePos="0" relativeHeight="251681792" behindDoc="0" locked="0" layoutInCell="1" allowOverlap="1">
                      <wp:simplePos x="0" y="0"/>
                      <wp:positionH relativeFrom="column">
                        <wp:posOffset>220980</wp:posOffset>
                      </wp:positionH>
                      <wp:positionV relativeFrom="paragraph">
                        <wp:posOffset>19050</wp:posOffset>
                      </wp:positionV>
                      <wp:extent cx="0" cy="523240"/>
                      <wp:effectExtent l="17145" t="17780" r="11430" b="11430"/>
                      <wp:wrapNone/>
                      <wp:docPr id="29" name="直接箭头连接符 29"/>
                      <wp:cNvGraphicFramePr/>
                      <a:graphic xmlns:a="http://schemas.openxmlformats.org/drawingml/2006/main">
                        <a:graphicData uri="http://schemas.microsoft.com/office/word/2010/wordprocessingShape">
                          <wps:wsp>
                            <wps:cNvCnPr>
                              <a:cxnSpLocks noChangeShapeType="1"/>
                            </wps:cNvCnPr>
                            <wps:spPr bwMode="auto">
                              <a:xfrm>
                                <a:off x="0" y="0"/>
                                <a:ext cx="0" cy="523240"/>
                              </a:xfrm>
                              <a:prstGeom prst="straightConnector1">
                                <a:avLst/>
                              </a:prstGeom>
                              <a:noFill/>
                              <a:ln w="19050" cmpd="sng">
                                <a:solidFill>
                                  <a:srgbClr val="000000"/>
                                </a:solidFill>
                                <a:round/>
                              </a:ln>
                            </wps:spPr>
                            <wps:bodyPr/>
                          </wps:wsp>
                        </a:graphicData>
                      </a:graphic>
                    </wp:anchor>
                  </w:drawing>
                </mc:Choice>
                <mc:Fallback>
                  <w:pict>
                    <v:shape id="_x0000_s1026" o:spid="_x0000_s1026" o:spt="32" type="#_x0000_t32" style="position:absolute;left:0pt;margin-left:17.4pt;margin-top:1.5pt;height:41.2pt;width:0pt;z-index:251681792;mso-width-relative:page;mso-height-relative:page;" filled="f" stroked="t" coordsize="21600,21600" o:gfxdata="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wRbOvSAAAABgEAAA8AAAAAAAAAAQAgAAAAIgAAAGRycy9kb3ducmV2LnhtbFBL&#10;AQIUABQAAAAIAIdO4kDJjSSE/AEAAMsDAAAOAAAAAAAAAAEAIAAAACEBAABkcnMvZTJvRG9jLnht&#10;bFBLBQYAAAAABgAGAFkBAACPBQAAAAA=&#10;">
                      <v:fill on="f" focussize="0,0"/>
                      <v:stroke weight="1.5pt" color="#000000" joinstyle="round"/>
                      <v:imagedata o:title=""/>
                      <o:lock v:ext="edit" aspectratio="f"/>
                    </v:shape>
                  </w:pict>
                </mc:Fallback>
              </mc:AlternateContent>
            </w:r>
            <w:r>
              <w:rPr>
                <w:sz w:val="21"/>
                <w:szCs w:val="21"/>
              </w:rPr>
              <mc:AlternateContent>
                <mc:Choice Requires="wps">
                  <w:drawing>
                    <wp:anchor distT="0" distB="0" distL="114300" distR="114300" simplePos="0" relativeHeight="251675648" behindDoc="0" locked="0" layoutInCell="1" allowOverlap="1">
                      <wp:simplePos x="0" y="0"/>
                      <wp:positionH relativeFrom="column">
                        <wp:posOffset>-8255</wp:posOffset>
                      </wp:positionH>
                      <wp:positionV relativeFrom="paragraph">
                        <wp:posOffset>32385</wp:posOffset>
                      </wp:positionV>
                      <wp:extent cx="107950" cy="107950"/>
                      <wp:effectExtent l="19050" t="19050" r="25400" b="25400"/>
                      <wp:wrapNone/>
                      <wp:docPr id="25" name="直角三角形 25"/>
                      <wp:cNvGraphicFramePr/>
                      <a:graphic xmlns:a="http://schemas.openxmlformats.org/drawingml/2006/main">
                        <a:graphicData uri="http://schemas.microsoft.com/office/word/2010/wordprocessingShape">
                          <wps:wsp>
                            <wps:cNvSpPr>
                              <a:spLocks noChangeArrowheads="1"/>
                            </wps:cNvSpPr>
                            <wps:spPr bwMode="auto">
                              <a:xfrm flipH="1">
                                <a:off x="0" y="0"/>
                                <a:ext cx="107950" cy="107950"/>
                              </a:xfrm>
                              <a:prstGeom prst="rtTriangle">
                                <a:avLst/>
                              </a:prstGeom>
                              <a:gradFill rotWithShape="1">
                                <a:gsLst>
                                  <a:gs pos="0">
                                    <a:srgbClr val="000000"/>
                                  </a:gs>
                                  <a:gs pos="100000">
                                    <a:srgbClr val="000000">
                                      <a:gamma/>
                                      <a:shade val="46275"/>
                                      <a:invGamma/>
                                    </a:srgbClr>
                                  </a:gs>
                                </a:gsLst>
                                <a:lin ang="5400000" scaled="1"/>
                              </a:gra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_x0000_s1026" o:spid="_x0000_s1026" o:spt="6" type="#_x0000_t6" style="position:absolute;left:0pt;flip:x;margin-left:-0.65pt;margin-top:2.55pt;height:8.5pt;width:8.5pt;z-index:251675648;mso-width-relative:page;mso-height-relative:page;" fillcolor="#000000" filled="t" stroked="t" coordsize="21600,21600" o:gfxdata="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OmI9XzWAAAABgEAAA8AAAAAAAAAAQAgAAAAIgAAAGRycy9kb3ducmV2LnhtbFBLAQIU&#10;ABQAAAAIAIdO4kAGflgGoAIAAEwFAAAOAAAAAAAAAAEAIAAAACUBAABkcnMvZTJvRG9jLnhtbFBL&#10;BQYAAAAABgAGAFkBAAA3BgAAAAA=&#10;">
                      <v:fill type="gradient" on="t" color2="#000000" focus="100%" focussize="0,0" rotate="t"/>
                      <v:stroke color="#000000" miterlimit="8" joinstyle="miter"/>
                      <v:imagedata o:title=""/>
                      <o:lock v:ext="edit" aspectratio="f"/>
                    </v:shape>
                  </w:pict>
                </mc:Fallback>
              </mc:AlternateContent>
            </w:r>
            <w:r>
              <w:rPr>
                <w:sz w:val="21"/>
                <w:szCs w:val="21"/>
              </w:rPr>
              <mc:AlternateContent>
                <mc:Choice Requires="wps">
                  <w:drawing>
                    <wp:anchor distT="0" distB="0" distL="114300" distR="114300" simplePos="0" relativeHeight="251676672" behindDoc="0" locked="0" layoutInCell="1" allowOverlap="1">
                      <wp:simplePos x="0" y="0"/>
                      <wp:positionH relativeFrom="column">
                        <wp:posOffset>107315</wp:posOffset>
                      </wp:positionH>
                      <wp:positionV relativeFrom="paragraph">
                        <wp:posOffset>435610</wp:posOffset>
                      </wp:positionV>
                      <wp:extent cx="107950" cy="107950"/>
                      <wp:effectExtent l="19050" t="19050" r="25400" b="25400"/>
                      <wp:wrapNone/>
                      <wp:docPr id="24" name="直角三角形 24"/>
                      <wp:cNvGraphicFramePr/>
                      <a:graphic xmlns:a="http://schemas.openxmlformats.org/drawingml/2006/main">
                        <a:graphicData uri="http://schemas.microsoft.com/office/word/2010/wordprocessingShape">
                          <wps:wsp>
                            <wps:cNvSpPr>
                              <a:spLocks noChangeArrowheads="1"/>
                            </wps:cNvSpPr>
                            <wps:spPr bwMode="auto">
                              <a:xfrm flipH="1">
                                <a:off x="0" y="0"/>
                                <a:ext cx="107950" cy="107950"/>
                              </a:xfrm>
                              <a:prstGeom prst="rtTriangle">
                                <a:avLst/>
                              </a:prstGeom>
                              <a:gradFill rotWithShape="1">
                                <a:gsLst>
                                  <a:gs pos="0">
                                    <a:srgbClr val="000000"/>
                                  </a:gs>
                                  <a:gs pos="100000">
                                    <a:srgbClr val="000000">
                                      <a:gamma/>
                                      <a:shade val="46275"/>
                                      <a:invGamma/>
                                    </a:srgbClr>
                                  </a:gs>
                                </a:gsLst>
                                <a:lin ang="5400000" scaled="1"/>
                              </a:gra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_x0000_s1026" o:spid="_x0000_s1026" o:spt="6" type="#_x0000_t6" style="position:absolute;left:0pt;flip:x;margin-left:8.45pt;margin-top:34.3pt;height:8.5pt;width:8.5pt;z-index:251676672;mso-width-relative:page;mso-height-relative:page;" fillcolor="#000000" filled="t" stroked="t" coordsize="21600,21600" o:gfxdata="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AgFHgF1gAAAAcBAAAPAAAAAAAAAAEAIAAAACIAAABkcnMvZG93bnJldi54bWxQSwEC&#10;FAAUAAAACACHTuJAnF4UpqECAABMBQAADgAAAAAAAAABACAAAAAlAQAAZHJzL2Uyb0RvYy54bWxQ&#10;SwUGAAAAAAYABgBZAQAAOAYAAAAA&#10;">
                      <v:fill type="gradient" on="t" color2="#000000" focus="100%" focussize="0,0" rotate="t"/>
                      <v:stroke color="#000000" miterlimit="8" joinstyle="miter"/>
                      <v:imagedata o:title=""/>
                      <o:lock v:ext="edit" aspectratio="f"/>
                    </v:shape>
                  </w:pict>
                </mc:Fallback>
              </mc:AlternateContent>
            </w:r>
            <w:r>
              <w:rPr>
                <w:sz w:val="21"/>
                <w:szCs w:val="21"/>
              </w:rPr>
              <mc:AlternateContent>
                <mc:Choice Requires="wps">
                  <w:drawing>
                    <wp:anchor distT="0" distB="0" distL="114300" distR="114300" simplePos="0" relativeHeight="251682816" behindDoc="0" locked="0" layoutInCell="1" allowOverlap="1">
                      <wp:simplePos x="0" y="0"/>
                      <wp:positionH relativeFrom="column">
                        <wp:posOffset>113030</wp:posOffset>
                      </wp:positionH>
                      <wp:positionV relativeFrom="paragraph">
                        <wp:posOffset>19050</wp:posOffset>
                      </wp:positionV>
                      <wp:extent cx="0" cy="127000"/>
                      <wp:effectExtent l="13970" t="17780" r="14605" b="17145"/>
                      <wp:wrapNone/>
                      <wp:docPr id="23" name="直接箭头连接符 23"/>
                      <wp:cNvGraphicFramePr/>
                      <a:graphic xmlns:a="http://schemas.openxmlformats.org/drawingml/2006/main">
                        <a:graphicData uri="http://schemas.microsoft.com/office/word/2010/wordprocessingShape">
                          <wps:wsp>
                            <wps:cNvCnPr>
                              <a:cxnSpLocks noChangeShapeType="1"/>
                            </wps:cNvCnPr>
                            <wps:spPr bwMode="auto">
                              <a:xfrm>
                                <a:off x="0" y="0"/>
                                <a:ext cx="0" cy="127000"/>
                              </a:xfrm>
                              <a:prstGeom prst="straightConnector1">
                                <a:avLst/>
                              </a:prstGeom>
                              <a:noFill/>
                              <a:ln w="19050" cmpd="sng">
                                <a:solidFill>
                                  <a:srgbClr val="000000"/>
                                </a:solidFill>
                                <a:round/>
                              </a:ln>
                            </wps:spPr>
                            <wps:bodyPr/>
                          </wps:wsp>
                        </a:graphicData>
                      </a:graphic>
                    </wp:anchor>
                  </w:drawing>
                </mc:Choice>
                <mc:Fallback>
                  <w:pict>
                    <v:shape id="_x0000_s1026" o:spid="_x0000_s1026" o:spt="32" type="#_x0000_t32" style="position:absolute;left:0pt;margin-left:8.9pt;margin-top:1.5pt;height:10pt;width:0pt;z-index:251682816;mso-width-relative:page;mso-height-relative:page;" filled="f" stroked="t" coordsize="21600,21600" o:gfxdata="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plekHs8AAAAGAQAADwAAAAAAAAABACAAAAAiAAAAZHJzL2Rvd25yZXYueG1sUEsBAhQA&#10;FAAAAAgAh07iQNOMhKT7AQAAywMAAA4AAAAAAAAAAQAgAAAAHgEAAGRycy9lMm9Eb2MueG1sUEsF&#10;BgAAAAAGAAYAWQEAAIsFAAAAAA==&#10;">
                      <v:fill on="f" focussize="0,0"/>
                      <v:stroke weight="1.5pt" color="#000000" joinstyle="round"/>
                      <v:imagedata o:title=""/>
                      <o:lock v:ext="edit" aspectratio="f"/>
                    </v:shape>
                  </w:pict>
                </mc:Fallback>
              </mc:AlternateConten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700" w:hRule="atLeast"/>
          <w:jc w:val="center"/>
        </w:trPr>
        <w:tc>
          <w:tcPr>
            <w:tcW w:w="703" w:type="pct"/>
            <w:gridSpan w:val="2"/>
            <w:tcBorders>
              <w:top w:val="single" w:color="auto" w:sz="2" w:space="0"/>
              <w:left w:val="single" w:color="auto" w:sz="8" w:space="0"/>
              <w:bottom w:val="single" w:color="auto" w:sz="2" w:space="0"/>
            </w:tcBorders>
            <w:vAlign w:val="center"/>
          </w:tcPr>
          <w:p>
            <w:pPr>
              <w:pStyle w:val="95"/>
              <w:spacing w:line="240" w:lineRule="auto"/>
              <w:rPr>
                <w:sz w:val="21"/>
                <w:szCs w:val="21"/>
              </w:rPr>
            </w:pPr>
            <w:r>
              <w:rPr>
                <w:sz w:val="21"/>
                <w:szCs w:val="21"/>
              </w:rPr>
              <w:t>千佛崖组</w:t>
            </w:r>
          </w:p>
        </w:tc>
        <w:tc>
          <w:tcPr>
            <w:tcW w:w="528" w:type="pct"/>
            <w:tcBorders>
              <w:top w:val="single" w:color="auto" w:sz="2" w:space="0"/>
              <w:bottom w:val="single" w:color="auto" w:sz="2" w:space="0"/>
            </w:tcBorders>
            <w:vAlign w:val="center"/>
          </w:tcPr>
          <w:p>
            <w:pPr>
              <w:pStyle w:val="95"/>
              <w:spacing w:line="240" w:lineRule="auto"/>
              <w:rPr>
                <w:sz w:val="21"/>
                <w:szCs w:val="21"/>
              </w:rPr>
            </w:pPr>
            <w:r>
              <w:rPr>
                <w:sz w:val="21"/>
                <w:szCs w:val="21"/>
              </w:rPr>
              <w:t>2685.12</w:t>
            </w:r>
          </w:p>
        </w:tc>
        <w:tc>
          <w:tcPr>
            <w:tcW w:w="706" w:type="pct"/>
            <w:tcBorders>
              <w:top w:val="single" w:color="auto" w:sz="2" w:space="0"/>
              <w:bottom w:val="single" w:color="auto" w:sz="2" w:space="0"/>
            </w:tcBorders>
            <w:vAlign w:val="center"/>
          </w:tcPr>
          <w:p>
            <w:pPr>
              <w:pStyle w:val="95"/>
              <w:spacing w:line="240" w:lineRule="auto"/>
              <w:rPr>
                <w:sz w:val="21"/>
                <w:szCs w:val="21"/>
              </w:rPr>
            </w:pPr>
            <w:r>
              <w:rPr>
                <w:sz w:val="21"/>
                <w:szCs w:val="21"/>
              </w:rPr>
              <w:t>1.1-1.3</w:t>
            </w:r>
          </w:p>
        </w:tc>
        <w:tc>
          <w:tcPr>
            <w:tcW w:w="447" w:type="pct"/>
            <w:vMerge w:val="continue"/>
            <w:tcBorders>
              <w:top w:val="single" w:color="auto" w:sz="2" w:space="0"/>
              <w:bottom w:val="single" w:color="auto" w:sz="2" w:space="0"/>
            </w:tcBorders>
          </w:tcPr>
          <w:p>
            <w:pPr>
              <w:pStyle w:val="95"/>
              <w:spacing w:line="240" w:lineRule="auto"/>
              <w:rPr>
                <w:sz w:val="21"/>
                <w:szCs w:val="21"/>
              </w:rPr>
            </w:pPr>
          </w:p>
        </w:tc>
        <w:tc>
          <w:tcPr>
            <w:tcW w:w="885" w:type="pct"/>
            <w:vMerge w:val="continue"/>
            <w:tcBorders>
              <w:top w:val="single" w:color="auto" w:sz="2" w:space="0"/>
              <w:bottom w:val="single" w:color="auto" w:sz="2" w:space="0"/>
            </w:tcBorders>
          </w:tcPr>
          <w:p>
            <w:pPr>
              <w:pStyle w:val="95"/>
              <w:spacing w:line="240" w:lineRule="auto"/>
              <w:rPr>
                <w:sz w:val="21"/>
                <w:szCs w:val="21"/>
              </w:rPr>
            </w:pPr>
          </w:p>
        </w:tc>
        <w:tc>
          <w:tcPr>
            <w:tcW w:w="1143" w:type="pct"/>
            <w:vMerge w:val="continue"/>
            <w:tcBorders>
              <w:top w:val="single" w:color="auto" w:sz="2" w:space="0"/>
              <w:bottom w:val="single" w:color="auto" w:sz="2" w:space="0"/>
            </w:tcBorders>
          </w:tcPr>
          <w:p>
            <w:pPr>
              <w:pStyle w:val="95"/>
              <w:spacing w:line="240" w:lineRule="auto"/>
              <w:rPr>
                <w:sz w:val="21"/>
                <w:szCs w:val="21"/>
              </w:rPr>
            </w:pPr>
          </w:p>
        </w:tc>
        <w:tc>
          <w:tcPr>
            <w:tcW w:w="584" w:type="pct"/>
            <w:vMerge w:val="continue"/>
            <w:tcBorders>
              <w:top w:val="single" w:color="auto" w:sz="2" w:space="0"/>
              <w:bottom w:val="single" w:color="auto" w:sz="2" w:space="0"/>
              <w:right w:val="single" w:color="auto" w:sz="8" w:space="0"/>
            </w:tcBorders>
          </w:tcPr>
          <w:p>
            <w:pPr>
              <w:pStyle w:val="95"/>
              <w:spacing w:line="240" w:lineRule="auto"/>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68" w:hRule="atLeast"/>
          <w:jc w:val="center"/>
        </w:trPr>
        <w:tc>
          <w:tcPr>
            <w:tcW w:w="703" w:type="pct"/>
            <w:gridSpan w:val="2"/>
            <w:tcBorders>
              <w:top w:val="single" w:color="auto" w:sz="2" w:space="0"/>
              <w:left w:val="single" w:color="auto" w:sz="8" w:space="0"/>
              <w:bottom w:val="single" w:color="auto" w:sz="2" w:space="0"/>
            </w:tcBorders>
            <w:vAlign w:val="center"/>
          </w:tcPr>
          <w:p>
            <w:pPr>
              <w:pStyle w:val="95"/>
              <w:spacing w:line="240" w:lineRule="auto"/>
              <w:rPr>
                <w:sz w:val="21"/>
                <w:szCs w:val="21"/>
              </w:rPr>
            </w:pPr>
            <w:r>
              <w:rPr>
                <w:sz w:val="21"/>
                <w:szCs w:val="21"/>
              </w:rPr>
              <w:t>自流井组</w:t>
            </w:r>
          </w:p>
        </w:tc>
        <w:tc>
          <w:tcPr>
            <w:tcW w:w="528" w:type="pct"/>
            <w:tcBorders>
              <w:top w:val="single" w:color="auto" w:sz="2" w:space="0"/>
              <w:bottom w:val="single" w:color="auto" w:sz="2" w:space="0"/>
            </w:tcBorders>
            <w:vAlign w:val="center"/>
          </w:tcPr>
          <w:p>
            <w:pPr>
              <w:pStyle w:val="95"/>
              <w:spacing w:line="240" w:lineRule="auto"/>
              <w:rPr>
                <w:sz w:val="21"/>
                <w:szCs w:val="21"/>
              </w:rPr>
            </w:pPr>
            <w:r>
              <w:rPr>
                <w:sz w:val="21"/>
                <w:szCs w:val="21"/>
              </w:rPr>
              <w:t>3025.12</w:t>
            </w:r>
          </w:p>
        </w:tc>
        <w:tc>
          <w:tcPr>
            <w:tcW w:w="706" w:type="pct"/>
            <w:tcBorders>
              <w:top w:val="single" w:color="auto" w:sz="2" w:space="0"/>
              <w:bottom w:val="single" w:color="auto" w:sz="2" w:space="0"/>
            </w:tcBorders>
            <w:vAlign w:val="center"/>
          </w:tcPr>
          <w:p>
            <w:pPr>
              <w:pStyle w:val="95"/>
              <w:spacing w:line="240" w:lineRule="auto"/>
              <w:rPr>
                <w:sz w:val="21"/>
                <w:szCs w:val="21"/>
              </w:rPr>
            </w:pPr>
            <w:r>
              <w:rPr>
                <w:sz w:val="21"/>
                <w:szCs w:val="21"/>
              </w:rPr>
              <w:t>1.05-1.1</w:t>
            </w:r>
          </w:p>
        </w:tc>
        <w:tc>
          <w:tcPr>
            <w:tcW w:w="447" w:type="pct"/>
            <w:vMerge w:val="continue"/>
            <w:tcBorders>
              <w:top w:val="single" w:color="auto" w:sz="2" w:space="0"/>
              <w:bottom w:val="single" w:color="auto" w:sz="2" w:space="0"/>
            </w:tcBorders>
          </w:tcPr>
          <w:p>
            <w:pPr>
              <w:pStyle w:val="95"/>
              <w:spacing w:line="240" w:lineRule="auto"/>
              <w:rPr>
                <w:sz w:val="21"/>
                <w:szCs w:val="21"/>
              </w:rPr>
            </w:pPr>
          </w:p>
        </w:tc>
        <w:tc>
          <w:tcPr>
            <w:tcW w:w="885" w:type="pct"/>
            <w:vMerge w:val="continue"/>
            <w:tcBorders>
              <w:top w:val="single" w:color="auto" w:sz="2" w:space="0"/>
              <w:bottom w:val="single" w:color="auto" w:sz="2" w:space="0"/>
            </w:tcBorders>
          </w:tcPr>
          <w:p>
            <w:pPr>
              <w:pStyle w:val="95"/>
              <w:spacing w:line="240" w:lineRule="auto"/>
              <w:rPr>
                <w:sz w:val="21"/>
                <w:szCs w:val="21"/>
              </w:rPr>
            </w:pPr>
          </w:p>
        </w:tc>
        <w:tc>
          <w:tcPr>
            <w:tcW w:w="1143" w:type="pct"/>
            <w:vMerge w:val="continue"/>
            <w:tcBorders>
              <w:top w:val="single" w:color="auto" w:sz="2" w:space="0"/>
              <w:bottom w:val="single" w:color="auto" w:sz="2" w:space="0"/>
            </w:tcBorders>
          </w:tcPr>
          <w:p>
            <w:pPr>
              <w:pStyle w:val="95"/>
              <w:spacing w:line="240" w:lineRule="auto"/>
              <w:rPr>
                <w:sz w:val="21"/>
                <w:szCs w:val="21"/>
              </w:rPr>
            </w:pPr>
          </w:p>
        </w:tc>
        <w:tc>
          <w:tcPr>
            <w:tcW w:w="584" w:type="pct"/>
            <w:vMerge w:val="continue"/>
            <w:tcBorders>
              <w:top w:val="single" w:color="auto" w:sz="2" w:space="0"/>
              <w:bottom w:val="single" w:color="auto" w:sz="2" w:space="0"/>
              <w:right w:val="single" w:color="auto" w:sz="8" w:space="0"/>
            </w:tcBorders>
          </w:tcPr>
          <w:p>
            <w:pPr>
              <w:pStyle w:val="95"/>
              <w:spacing w:line="240" w:lineRule="auto"/>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845" w:hRule="atLeast"/>
          <w:jc w:val="center"/>
        </w:trPr>
        <w:tc>
          <w:tcPr>
            <w:tcW w:w="703" w:type="pct"/>
            <w:gridSpan w:val="2"/>
            <w:tcBorders>
              <w:top w:val="single" w:color="auto" w:sz="2" w:space="0"/>
              <w:left w:val="single" w:color="auto" w:sz="8" w:space="0"/>
              <w:bottom w:val="single" w:color="auto" w:sz="2" w:space="0"/>
            </w:tcBorders>
            <w:vAlign w:val="center"/>
          </w:tcPr>
          <w:p>
            <w:pPr>
              <w:pStyle w:val="95"/>
              <w:spacing w:line="240" w:lineRule="auto"/>
              <w:rPr>
                <w:sz w:val="21"/>
                <w:szCs w:val="21"/>
              </w:rPr>
            </w:pPr>
            <w:r>
              <w:rPr>
                <w:sz w:val="21"/>
                <w:szCs w:val="21"/>
              </w:rPr>
              <w:t>须家河组</w:t>
            </w:r>
          </w:p>
        </w:tc>
        <w:tc>
          <w:tcPr>
            <w:tcW w:w="528" w:type="pct"/>
            <w:tcBorders>
              <w:top w:val="single" w:color="auto" w:sz="2" w:space="0"/>
              <w:bottom w:val="single" w:color="auto" w:sz="2" w:space="0"/>
            </w:tcBorders>
            <w:vAlign w:val="center"/>
          </w:tcPr>
          <w:p>
            <w:pPr>
              <w:pStyle w:val="95"/>
              <w:spacing w:line="240" w:lineRule="auto"/>
              <w:rPr>
                <w:sz w:val="21"/>
                <w:szCs w:val="21"/>
              </w:rPr>
            </w:pPr>
            <w:r>
              <w:rPr>
                <w:sz w:val="21"/>
                <w:szCs w:val="21"/>
              </w:rPr>
              <w:t>3544.12</w:t>
            </w:r>
          </w:p>
        </w:tc>
        <w:tc>
          <w:tcPr>
            <w:tcW w:w="706" w:type="pct"/>
            <w:tcBorders>
              <w:top w:val="single" w:color="auto" w:sz="2" w:space="0"/>
              <w:bottom w:val="single" w:color="auto" w:sz="2" w:space="0"/>
            </w:tcBorders>
            <w:vAlign w:val="center"/>
          </w:tcPr>
          <w:p>
            <w:pPr>
              <w:pStyle w:val="95"/>
              <w:spacing w:line="240" w:lineRule="auto"/>
              <w:rPr>
                <w:sz w:val="21"/>
                <w:szCs w:val="21"/>
              </w:rPr>
            </w:pPr>
            <w:r>
              <w:rPr>
                <w:sz w:val="21"/>
                <w:szCs w:val="21"/>
              </w:rPr>
              <w:t>1.05-1.1</w:t>
            </w:r>
          </w:p>
        </w:tc>
        <w:tc>
          <w:tcPr>
            <w:tcW w:w="447" w:type="pct"/>
            <w:vMerge w:val="continue"/>
            <w:tcBorders>
              <w:top w:val="single" w:color="auto" w:sz="2" w:space="0"/>
              <w:bottom w:val="single" w:color="auto" w:sz="2" w:space="0"/>
            </w:tcBorders>
          </w:tcPr>
          <w:p>
            <w:pPr>
              <w:pStyle w:val="95"/>
              <w:spacing w:line="240" w:lineRule="auto"/>
              <w:rPr>
                <w:sz w:val="21"/>
                <w:szCs w:val="21"/>
              </w:rPr>
            </w:pPr>
          </w:p>
        </w:tc>
        <w:tc>
          <w:tcPr>
            <w:tcW w:w="885" w:type="pct"/>
            <w:vMerge w:val="continue"/>
            <w:tcBorders>
              <w:top w:val="single" w:color="auto" w:sz="2" w:space="0"/>
              <w:bottom w:val="single" w:color="auto" w:sz="2" w:space="0"/>
            </w:tcBorders>
          </w:tcPr>
          <w:p>
            <w:pPr>
              <w:pStyle w:val="95"/>
              <w:spacing w:line="240" w:lineRule="auto"/>
              <w:rPr>
                <w:sz w:val="21"/>
                <w:szCs w:val="21"/>
              </w:rPr>
            </w:pPr>
          </w:p>
        </w:tc>
        <w:tc>
          <w:tcPr>
            <w:tcW w:w="1143" w:type="pct"/>
            <w:vMerge w:val="continue"/>
            <w:tcBorders>
              <w:top w:val="single" w:color="auto" w:sz="2" w:space="0"/>
              <w:bottom w:val="single" w:color="auto" w:sz="2" w:space="0"/>
            </w:tcBorders>
          </w:tcPr>
          <w:p>
            <w:pPr>
              <w:pStyle w:val="95"/>
              <w:spacing w:line="240" w:lineRule="auto"/>
              <w:rPr>
                <w:sz w:val="21"/>
                <w:szCs w:val="21"/>
              </w:rPr>
            </w:pPr>
          </w:p>
        </w:tc>
        <w:tc>
          <w:tcPr>
            <w:tcW w:w="584" w:type="pct"/>
            <w:vMerge w:val="continue"/>
            <w:tcBorders>
              <w:top w:val="single" w:color="auto" w:sz="2" w:space="0"/>
              <w:bottom w:val="single" w:color="auto" w:sz="2" w:space="0"/>
              <w:right w:val="single" w:color="auto" w:sz="8" w:space="0"/>
            </w:tcBorders>
          </w:tcPr>
          <w:p>
            <w:pPr>
              <w:pStyle w:val="95"/>
              <w:spacing w:line="240" w:lineRule="auto"/>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845" w:hRule="atLeast"/>
          <w:jc w:val="center"/>
        </w:trPr>
        <w:tc>
          <w:tcPr>
            <w:tcW w:w="703" w:type="pct"/>
            <w:gridSpan w:val="2"/>
            <w:tcBorders>
              <w:top w:val="single" w:color="auto" w:sz="2" w:space="0"/>
              <w:left w:val="single" w:color="auto" w:sz="8" w:space="0"/>
              <w:bottom w:val="single" w:color="auto" w:sz="2" w:space="0"/>
            </w:tcBorders>
            <w:vAlign w:val="center"/>
          </w:tcPr>
          <w:p>
            <w:pPr>
              <w:pStyle w:val="95"/>
              <w:spacing w:line="240" w:lineRule="auto"/>
              <w:rPr>
                <w:sz w:val="21"/>
                <w:szCs w:val="21"/>
              </w:rPr>
            </w:pPr>
            <w:r>
              <w:rPr>
                <w:sz w:val="21"/>
                <w:szCs w:val="21"/>
              </w:rPr>
              <w:t>雷口坡组</w:t>
            </w:r>
          </w:p>
        </w:tc>
        <w:tc>
          <w:tcPr>
            <w:tcW w:w="528" w:type="pct"/>
            <w:tcBorders>
              <w:top w:val="single" w:color="auto" w:sz="2" w:space="0"/>
              <w:bottom w:val="single" w:color="auto" w:sz="2" w:space="0"/>
            </w:tcBorders>
            <w:vAlign w:val="center"/>
          </w:tcPr>
          <w:p>
            <w:pPr>
              <w:pStyle w:val="95"/>
              <w:spacing w:line="240" w:lineRule="auto"/>
              <w:rPr>
                <w:sz w:val="21"/>
                <w:szCs w:val="21"/>
              </w:rPr>
            </w:pPr>
            <w:r>
              <w:rPr>
                <w:sz w:val="21"/>
                <w:szCs w:val="21"/>
              </w:rPr>
              <w:t>3930.12</w:t>
            </w:r>
          </w:p>
        </w:tc>
        <w:tc>
          <w:tcPr>
            <w:tcW w:w="706" w:type="pct"/>
            <w:tcBorders>
              <w:top w:val="single" w:color="auto" w:sz="2" w:space="0"/>
              <w:bottom w:val="single" w:color="auto" w:sz="2" w:space="0"/>
            </w:tcBorders>
            <w:vAlign w:val="center"/>
          </w:tcPr>
          <w:p>
            <w:pPr>
              <w:pStyle w:val="95"/>
              <w:spacing w:line="240" w:lineRule="auto"/>
              <w:rPr>
                <w:sz w:val="21"/>
                <w:szCs w:val="21"/>
              </w:rPr>
            </w:pPr>
            <w:r>
              <w:rPr>
                <w:sz w:val="21"/>
                <w:szCs w:val="21"/>
              </w:rPr>
              <w:t>1.05-1.20</w:t>
            </w:r>
          </w:p>
        </w:tc>
        <w:tc>
          <w:tcPr>
            <w:tcW w:w="447" w:type="pct"/>
            <w:vMerge w:val="continue"/>
            <w:tcBorders>
              <w:top w:val="single" w:color="auto" w:sz="2" w:space="0"/>
              <w:bottom w:val="single" w:color="auto" w:sz="2" w:space="0"/>
            </w:tcBorders>
          </w:tcPr>
          <w:p>
            <w:pPr>
              <w:pStyle w:val="95"/>
              <w:spacing w:line="240" w:lineRule="auto"/>
              <w:rPr>
                <w:sz w:val="21"/>
                <w:szCs w:val="21"/>
              </w:rPr>
            </w:pPr>
          </w:p>
        </w:tc>
        <w:tc>
          <w:tcPr>
            <w:tcW w:w="885" w:type="pct"/>
            <w:vMerge w:val="continue"/>
            <w:tcBorders>
              <w:top w:val="single" w:color="auto" w:sz="2" w:space="0"/>
              <w:bottom w:val="single" w:color="auto" w:sz="2" w:space="0"/>
            </w:tcBorders>
          </w:tcPr>
          <w:p>
            <w:pPr>
              <w:pStyle w:val="95"/>
              <w:spacing w:line="240" w:lineRule="auto"/>
              <w:rPr>
                <w:sz w:val="21"/>
                <w:szCs w:val="21"/>
              </w:rPr>
            </w:pPr>
          </w:p>
        </w:tc>
        <w:tc>
          <w:tcPr>
            <w:tcW w:w="1143" w:type="pct"/>
            <w:vMerge w:val="continue"/>
            <w:tcBorders>
              <w:top w:val="single" w:color="auto" w:sz="2" w:space="0"/>
              <w:bottom w:val="single" w:color="auto" w:sz="2" w:space="0"/>
            </w:tcBorders>
          </w:tcPr>
          <w:p>
            <w:pPr>
              <w:pStyle w:val="95"/>
              <w:spacing w:line="240" w:lineRule="auto"/>
              <w:rPr>
                <w:sz w:val="21"/>
                <w:szCs w:val="21"/>
              </w:rPr>
            </w:pPr>
          </w:p>
        </w:tc>
        <w:tc>
          <w:tcPr>
            <w:tcW w:w="584" w:type="pct"/>
            <w:vMerge w:val="continue"/>
            <w:tcBorders>
              <w:top w:val="single" w:color="auto" w:sz="2" w:space="0"/>
              <w:bottom w:val="single" w:color="auto" w:sz="2" w:space="0"/>
              <w:right w:val="single" w:color="auto" w:sz="8" w:space="0"/>
            </w:tcBorders>
          </w:tcPr>
          <w:p>
            <w:pPr>
              <w:pStyle w:val="95"/>
              <w:spacing w:line="240" w:lineRule="auto"/>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52" w:hRule="atLeast"/>
          <w:jc w:val="center"/>
        </w:trPr>
        <w:tc>
          <w:tcPr>
            <w:tcW w:w="272" w:type="pct"/>
            <w:vMerge w:val="restart"/>
            <w:tcBorders>
              <w:top w:val="single" w:color="auto" w:sz="2" w:space="0"/>
              <w:left w:val="single" w:color="auto" w:sz="8" w:space="0"/>
              <w:bottom w:val="single" w:color="auto" w:sz="2" w:space="0"/>
            </w:tcBorders>
            <w:vAlign w:val="center"/>
          </w:tcPr>
          <w:p>
            <w:pPr>
              <w:pStyle w:val="95"/>
              <w:spacing w:line="240" w:lineRule="auto"/>
              <w:rPr>
                <w:sz w:val="21"/>
                <w:szCs w:val="21"/>
              </w:rPr>
            </w:pPr>
            <w:r>
              <w:rPr>
                <w:sz w:val="21"/>
                <w:szCs w:val="21"/>
              </w:rPr>
              <w:t>嘉陵江组</w:t>
            </w:r>
          </w:p>
        </w:tc>
        <w:tc>
          <w:tcPr>
            <w:tcW w:w="431" w:type="pct"/>
            <w:tcBorders>
              <w:top w:val="single" w:color="auto" w:sz="2" w:space="0"/>
              <w:bottom w:val="single" w:color="auto" w:sz="2" w:space="0"/>
            </w:tcBorders>
            <w:vAlign w:val="center"/>
          </w:tcPr>
          <w:p>
            <w:pPr>
              <w:pStyle w:val="95"/>
              <w:spacing w:line="240" w:lineRule="auto"/>
              <w:rPr>
                <w:sz w:val="21"/>
                <w:szCs w:val="21"/>
              </w:rPr>
            </w:pPr>
            <w:r>
              <w:rPr>
                <w:sz w:val="21"/>
                <w:szCs w:val="21"/>
              </w:rPr>
              <w:t>嘉四五</w:t>
            </w:r>
          </w:p>
        </w:tc>
        <w:tc>
          <w:tcPr>
            <w:tcW w:w="528" w:type="pct"/>
            <w:tcBorders>
              <w:top w:val="single" w:color="auto" w:sz="2" w:space="0"/>
              <w:bottom w:val="single" w:color="auto" w:sz="2" w:space="0"/>
            </w:tcBorders>
            <w:vAlign w:val="center"/>
          </w:tcPr>
          <w:p>
            <w:pPr>
              <w:pStyle w:val="95"/>
              <w:spacing w:line="240" w:lineRule="auto"/>
              <w:rPr>
                <w:sz w:val="21"/>
                <w:szCs w:val="21"/>
              </w:rPr>
            </w:pPr>
            <w:r>
              <w:rPr>
                <w:sz w:val="21"/>
                <w:szCs w:val="21"/>
              </w:rPr>
              <w:t>4145.12</w:t>
            </w:r>
          </w:p>
        </w:tc>
        <w:tc>
          <w:tcPr>
            <w:tcW w:w="706" w:type="pct"/>
            <w:vMerge w:val="restart"/>
            <w:tcBorders>
              <w:top w:val="single" w:color="auto" w:sz="2" w:space="0"/>
              <w:bottom w:val="single" w:color="auto" w:sz="2" w:space="0"/>
            </w:tcBorders>
            <w:vAlign w:val="center"/>
          </w:tcPr>
          <w:p>
            <w:pPr>
              <w:pStyle w:val="95"/>
              <w:spacing w:line="240" w:lineRule="auto"/>
              <w:rPr>
                <w:sz w:val="21"/>
                <w:szCs w:val="21"/>
              </w:rPr>
            </w:pPr>
            <w:r>
              <w:rPr>
                <w:sz w:val="21"/>
                <w:szCs w:val="21"/>
              </w:rPr>
              <w:t>1.05-1.20</w:t>
            </w:r>
          </w:p>
        </w:tc>
        <w:tc>
          <w:tcPr>
            <w:tcW w:w="447" w:type="pct"/>
            <w:vMerge w:val="continue"/>
            <w:tcBorders>
              <w:top w:val="single" w:color="auto" w:sz="2" w:space="0"/>
              <w:bottom w:val="single" w:color="auto" w:sz="2" w:space="0"/>
            </w:tcBorders>
          </w:tcPr>
          <w:p>
            <w:pPr>
              <w:pStyle w:val="95"/>
              <w:spacing w:line="240" w:lineRule="auto"/>
              <w:rPr>
                <w:sz w:val="21"/>
                <w:szCs w:val="21"/>
              </w:rPr>
            </w:pPr>
          </w:p>
        </w:tc>
        <w:tc>
          <w:tcPr>
            <w:tcW w:w="885" w:type="pct"/>
            <w:vMerge w:val="continue"/>
            <w:tcBorders>
              <w:top w:val="single" w:color="auto" w:sz="2" w:space="0"/>
              <w:bottom w:val="single" w:color="auto" w:sz="2" w:space="0"/>
            </w:tcBorders>
          </w:tcPr>
          <w:p>
            <w:pPr>
              <w:pStyle w:val="95"/>
              <w:spacing w:line="240" w:lineRule="auto"/>
              <w:rPr>
                <w:sz w:val="21"/>
                <w:szCs w:val="21"/>
              </w:rPr>
            </w:pPr>
          </w:p>
        </w:tc>
        <w:tc>
          <w:tcPr>
            <w:tcW w:w="1143" w:type="pct"/>
            <w:vMerge w:val="continue"/>
            <w:tcBorders>
              <w:top w:val="single" w:color="auto" w:sz="2" w:space="0"/>
              <w:bottom w:val="single" w:color="auto" w:sz="2" w:space="0"/>
            </w:tcBorders>
          </w:tcPr>
          <w:p>
            <w:pPr>
              <w:pStyle w:val="95"/>
              <w:spacing w:line="240" w:lineRule="auto"/>
              <w:rPr>
                <w:sz w:val="21"/>
                <w:szCs w:val="21"/>
              </w:rPr>
            </w:pPr>
          </w:p>
        </w:tc>
        <w:tc>
          <w:tcPr>
            <w:tcW w:w="584" w:type="pct"/>
            <w:vMerge w:val="continue"/>
            <w:tcBorders>
              <w:top w:val="single" w:color="auto" w:sz="2" w:space="0"/>
              <w:bottom w:val="single" w:color="auto" w:sz="2" w:space="0"/>
              <w:right w:val="single" w:color="auto" w:sz="8" w:space="0"/>
            </w:tcBorders>
          </w:tcPr>
          <w:p>
            <w:pPr>
              <w:pStyle w:val="95"/>
              <w:spacing w:line="240" w:lineRule="auto"/>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09" w:hRule="atLeast"/>
          <w:jc w:val="center"/>
        </w:trPr>
        <w:tc>
          <w:tcPr>
            <w:tcW w:w="272" w:type="pct"/>
            <w:vMerge w:val="continue"/>
            <w:tcBorders>
              <w:top w:val="single" w:color="auto" w:sz="2" w:space="0"/>
              <w:left w:val="single" w:color="auto" w:sz="8" w:space="0"/>
              <w:bottom w:val="single" w:color="auto" w:sz="2" w:space="0"/>
            </w:tcBorders>
            <w:vAlign w:val="center"/>
          </w:tcPr>
          <w:p>
            <w:pPr>
              <w:pStyle w:val="95"/>
              <w:spacing w:line="240" w:lineRule="auto"/>
              <w:rPr>
                <w:sz w:val="21"/>
                <w:szCs w:val="21"/>
              </w:rPr>
            </w:pPr>
          </w:p>
        </w:tc>
        <w:tc>
          <w:tcPr>
            <w:tcW w:w="431" w:type="pct"/>
            <w:tcBorders>
              <w:top w:val="single" w:color="auto" w:sz="2" w:space="0"/>
              <w:bottom w:val="single" w:color="auto" w:sz="2" w:space="0"/>
            </w:tcBorders>
            <w:vAlign w:val="center"/>
          </w:tcPr>
          <w:p>
            <w:pPr>
              <w:pStyle w:val="95"/>
              <w:spacing w:line="240" w:lineRule="auto"/>
              <w:rPr>
                <w:sz w:val="21"/>
                <w:szCs w:val="21"/>
              </w:rPr>
            </w:pPr>
            <w:r>
              <w:rPr>
                <w:sz w:val="21"/>
                <w:szCs w:val="21"/>
              </w:rPr>
              <w:t>嘉一三</w:t>
            </w:r>
          </w:p>
        </w:tc>
        <w:tc>
          <w:tcPr>
            <w:tcW w:w="528" w:type="pct"/>
            <w:tcBorders>
              <w:top w:val="single" w:color="auto" w:sz="2" w:space="0"/>
              <w:bottom w:val="single" w:color="auto" w:sz="2" w:space="0"/>
            </w:tcBorders>
            <w:vAlign w:val="center"/>
          </w:tcPr>
          <w:p>
            <w:pPr>
              <w:pStyle w:val="95"/>
              <w:spacing w:line="240" w:lineRule="auto"/>
              <w:rPr>
                <w:sz w:val="21"/>
                <w:szCs w:val="21"/>
              </w:rPr>
            </w:pPr>
            <w:r>
              <w:rPr>
                <w:sz w:val="21"/>
                <w:szCs w:val="21"/>
              </w:rPr>
              <w:t>4735.12</w:t>
            </w:r>
          </w:p>
        </w:tc>
        <w:tc>
          <w:tcPr>
            <w:tcW w:w="706" w:type="pct"/>
            <w:vMerge w:val="continue"/>
            <w:tcBorders>
              <w:top w:val="single" w:color="auto" w:sz="2" w:space="0"/>
              <w:bottom w:val="single" w:color="auto" w:sz="2" w:space="0"/>
            </w:tcBorders>
            <w:vAlign w:val="center"/>
          </w:tcPr>
          <w:p>
            <w:pPr>
              <w:pStyle w:val="95"/>
              <w:spacing w:line="240" w:lineRule="auto"/>
              <w:rPr>
                <w:sz w:val="21"/>
                <w:szCs w:val="21"/>
              </w:rPr>
            </w:pPr>
          </w:p>
        </w:tc>
        <w:tc>
          <w:tcPr>
            <w:tcW w:w="447" w:type="pct"/>
            <w:vMerge w:val="continue"/>
            <w:tcBorders>
              <w:top w:val="single" w:color="auto" w:sz="2" w:space="0"/>
              <w:bottom w:val="single" w:color="auto" w:sz="2" w:space="0"/>
            </w:tcBorders>
          </w:tcPr>
          <w:p>
            <w:pPr>
              <w:pStyle w:val="95"/>
              <w:spacing w:line="240" w:lineRule="auto"/>
              <w:rPr>
                <w:sz w:val="21"/>
                <w:szCs w:val="21"/>
              </w:rPr>
            </w:pPr>
          </w:p>
        </w:tc>
        <w:tc>
          <w:tcPr>
            <w:tcW w:w="885" w:type="pct"/>
            <w:vMerge w:val="continue"/>
            <w:tcBorders>
              <w:top w:val="single" w:color="auto" w:sz="2" w:space="0"/>
              <w:bottom w:val="single" w:color="auto" w:sz="2" w:space="0"/>
            </w:tcBorders>
          </w:tcPr>
          <w:p>
            <w:pPr>
              <w:pStyle w:val="95"/>
              <w:spacing w:line="240" w:lineRule="auto"/>
              <w:rPr>
                <w:sz w:val="21"/>
                <w:szCs w:val="21"/>
              </w:rPr>
            </w:pPr>
          </w:p>
        </w:tc>
        <w:tc>
          <w:tcPr>
            <w:tcW w:w="1143" w:type="pct"/>
            <w:vMerge w:val="continue"/>
            <w:tcBorders>
              <w:top w:val="single" w:color="auto" w:sz="2" w:space="0"/>
              <w:bottom w:val="single" w:color="auto" w:sz="2" w:space="0"/>
            </w:tcBorders>
          </w:tcPr>
          <w:p>
            <w:pPr>
              <w:pStyle w:val="95"/>
              <w:spacing w:line="240" w:lineRule="auto"/>
              <w:rPr>
                <w:sz w:val="21"/>
                <w:szCs w:val="21"/>
              </w:rPr>
            </w:pPr>
          </w:p>
        </w:tc>
        <w:tc>
          <w:tcPr>
            <w:tcW w:w="584" w:type="pct"/>
            <w:vMerge w:val="continue"/>
            <w:tcBorders>
              <w:top w:val="single" w:color="auto" w:sz="2" w:space="0"/>
              <w:bottom w:val="single" w:color="auto" w:sz="2" w:space="0"/>
              <w:right w:val="single" w:color="auto" w:sz="8" w:space="0"/>
            </w:tcBorders>
          </w:tcPr>
          <w:p>
            <w:pPr>
              <w:pStyle w:val="95"/>
              <w:spacing w:line="240" w:lineRule="auto"/>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78" w:hRule="atLeast"/>
          <w:jc w:val="center"/>
        </w:trPr>
        <w:tc>
          <w:tcPr>
            <w:tcW w:w="272" w:type="pct"/>
            <w:vMerge w:val="restart"/>
            <w:tcBorders>
              <w:top w:val="single" w:color="auto" w:sz="2" w:space="0"/>
              <w:left w:val="single" w:color="auto" w:sz="8" w:space="0"/>
              <w:bottom w:val="single" w:color="auto" w:sz="2" w:space="0"/>
            </w:tcBorders>
            <w:vAlign w:val="center"/>
          </w:tcPr>
          <w:p>
            <w:pPr>
              <w:pStyle w:val="95"/>
              <w:spacing w:line="240" w:lineRule="auto"/>
              <w:rPr>
                <w:sz w:val="21"/>
                <w:szCs w:val="21"/>
              </w:rPr>
            </w:pPr>
            <w:r>
              <w:rPr>
                <w:sz w:val="21"/>
                <w:szCs w:val="21"/>
              </w:rPr>
              <w:t>飞仙关组</w:t>
            </w:r>
          </w:p>
        </w:tc>
        <w:tc>
          <w:tcPr>
            <w:tcW w:w="431" w:type="pct"/>
            <w:tcBorders>
              <w:top w:val="single" w:color="auto" w:sz="2" w:space="0"/>
              <w:bottom w:val="single" w:color="auto" w:sz="2" w:space="0"/>
            </w:tcBorders>
            <w:vAlign w:val="center"/>
          </w:tcPr>
          <w:p>
            <w:pPr>
              <w:pStyle w:val="95"/>
              <w:spacing w:line="240" w:lineRule="auto"/>
              <w:rPr>
                <w:sz w:val="21"/>
                <w:szCs w:val="21"/>
              </w:rPr>
            </w:pPr>
            <w:r>
              <w:rPr>
                <w:sz w:val="21"/>
                <w:szCs w:val="21"/>
              </w:rPr>
              <w:t>飞四段</w:t>
            </w:r>
          </w:p>
        </w:tc>
        <w:tc>
          <w:tcPr>
            <w:tcW w:w="528" w:type="pct"/>
            <w:tcBorders>
              <w:top w:val="single" w:color="auto" w:sz="2" w:space="0"/>
              <w:bottom w:val="single" w:color="auto" w:sz="2" w:space="0"/>
            </w:tcBorders>
            <w:vAlign w:val="center"/>
          </w:tcPr>
          <w:p>
            <w:pPr>
              <w:pStyle w:val="95"/>
              <w:spacing w:line="240" w:lineRule="auto"/>
              <w:rPr>
                <w:sz w:val="21"/>
                <w:szCs w:val="21"/>
              </w:rPr>
            </w:pPr>
            <w:r>
              <w:rPr>
                <w:sz w:val="21"/>
                <w:szCs w:val="21"/>
              </w:rPr>
              <w:t>4794.12</w:t>
            </w:r>
          </w:p>
        </w:tc>
        <w:tc>
          <w:tcPr>
            <w:tcW w:w="706" w:type="pct"/>
            <w:tcBorders>
              <w:top w:val="single" w:color="auto" w:sz="2" w:space="0"/>
              <w:bottom w:val="single" w:color="auto" w:sz="2" w:space="0"/>
            </w:tcBorders>
            <w:vAlign w:val="center"/>
          </w:tcPr>
          <w:p>
            <w:pPr>
              <w:pStyle w:val="95"/>
              <w:spacing w:line="240" w:lineRule="auto"/>
              <w:rPr>
                <w:sz w:val="21"/>
                <w:szCs w:val="21"/>
              </w:rPr>
            </w:pPr>
            <w:r>
              <w:rPr>
                <w:sz w:val="21"/>
                <w:szCs w:val="21"/>
              </w:rPr>
              <w:t>1.05-1.20</w:t>
            </w:r>
          </w:p>
        </w:tc>
        <w:tc>
          <w:tcPr>
            <w:tcW w:w="447" w:type="pct"/>
            <w:vMerge w:val="continue"/>
            <w:tcBorders>
              <w:top w:val="single" w:color="auto" w:sz="2" w:space="0"/>
              <w:bottom w:val="single" w:color="auto" w:sz="2" w:space="0"/>
            </w:tcBorders>
          </w:tcPr>
          <w:p>
            <w:pPr>
              <w:pStyle w:val="95"/>
              <w:spacing w:line="240" w:lineRule="auto"/>
              <w:rPr>
                <w:sz w:val="21"/>
                <w:szCs w:val="21"/>
              </w:rPr>
            </w:pPr>
          </w:p>
        </w:tc>
        <w:tc>
          <w:tcPr>
            <w:tcW w:w="885" w:type="pct"/>
            <w:vMerge w:val="continue"/>
            <w:tcBorders>
              <w:top w:val="single" w:color="auto" w:sz="2" w:space="0"/>
              <w:bottom w:val="single" w:color="auto" w:sz="2" w:space="0"/>
            </w:tcBorders>
          </w:tcPr>
          <w:p>
            <w:pPr>
              <w:pStyle w:val="95"/>
              <w:spacing w:line="240" w:lineRule="auto"/>
              <w:rPr>
                <w:sz w:val="21"/>
                <w:szCs w:val="21"/>
              </w:rPr>
            </w:pPr>
          </w:p>
        </w:tc>
        <w:tc>
          <w:tcPr>
            <w:tcW w:w="1143" w:type="pct"/>
            <w:vMerge w:val="continue"/>
            <w:tcBorders>
              <w:top w:val="single" w:color="auto" w:sz="2" w:space="0"/>
              <w:bottom w:val="single" w:color="auto" w:sz="2" w:space="0"/>
            </w:tcBorders>
          </w:tcPr>
          <w:p>
            <w:pPr>
              <w:pStyle w:val="95"/>
              <w:spacing w:line="240" w:lineRule="auto"/>
              <w:rPr>
                <w:sz w:val="21"/>
                <w:szCs w:val="21"/>
              </w:rPr>
            </w:pPr>
          </w:p>
        </w:tc>
        <w:tc>
          <w:tcPr>
            <w:tcW w:w="584" w:type="pct"/>
            <w:vMerge w:val="continue"/>
            <w:tcBorders>
              <w:top w:val="single" w:color="auto" w:sz="2" w:space="0"/>
              <w:bottom w:val="single" w:color="auto" w:sz="2" w:space="0"/>
              <w:right w:val="single" w:color="auto" w:sz="8" w:space="0"/>
            </w:tcBorders>
          </w:tcPr>
          <w:p>
            <w:pPr>
              <w:pStyle w:val="95"/>
              <w:spacing w:line="240" w:lineRule="auto"/>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74" w:hRule="atLeast"/>
          <w:jc w:val="center"/>
        </w:trPr>
        <w:tc>
          <w:tcPr>
            <w:tcW w:w="272" w:type="pct"/>
            <w:vMerge w:val="continue"/>
            <w:tcBorders>
              <w:top w:val="single" w:color="auto" w:sz="2" w:space="0"/>
              <w:left w:val="single" w:color="auto" w:sz="8" w:space="0"/>
              <w:bottom w:val="single" w:color="auto" w:sz="2" w:space="0"/>
            </w:tcBorders>
            <w:vAlign w:val="center"/>
          </w:tcPr>
          <w:p>
            <w:pPr>
              <w:pStyle w:val="95"/>
              <w:spacing w:line="240" w:lineRule="auto"/>
              <w:rPr>
                <w:sz w:val="21"/>
                <w:szCs w:val="21"/>
              </w:rPr>
            </w:pPr>
          </w:p>
        </w:tc>
        <w:tc>
          <w:tcPr>
            <w:tcW w:w="431" w:type="pct"/>
            <w:tcBorders>
              <w:top w:val="single" w:color="auto" w:sz="2" w:space="0"/>
              <w:bottom w:val="single" w:color="auto" w:sz="2" w:space="0"/>
            </w:tcBorders>
            <w:vAlign w:val="center"/>
          </w:tcPr>
          <w:p>
            <w:pPr>
              <w:pStyle w:val="95"/>
              <w:spacing w:line="240" w:lineRule="auto"/>
              <w:rPr>
                <w:sz w:val="21"/>
                <w:szCs w:val="21"/>
              </w:rPr>
            </w:pPr>
            <w:r>
              <w:rPr>
                <w:sz w:val="21"/>
                <w:szCs w:val="21"/>
              </w:rPr>
              <w:t>飞三段</w:t>
            </w:r>
          </w:p>
        </w:tc>
        <w:tc>
          <w:tcPr>
            <w:tcW w:w="528" w:type="pct"/>
            <w:tcBorders>
              <w:top w:val="single" w:color="auto" w:sz="2" w:space="0"/>
              <w:bottom w:val="single" w:color="auto" w:sz="2" w:space="0"/>
            </w:tcBorders>
            <w:vAlign w:val="center"/>
          </w:tcPr>
          <w:p>
            <w:pPr>
              <w:pStyle w:val="95"/>
              <w:spacing w:line="240" w:lineRule="auto"/>
              <w:rPr>
                <w:sz w:val="21"/>
                <w:szCs w:val="21"/>
              </w:rPr>
            </w:pPr>
            <w:r>
              <w:rPr>
                <w:sz w:val="21"/>
                <w:szCs w:val="21"/>
              </w:rPr>
              <w:t>4908.12</w:t>
            </w:r>
          </w:p>
        </w:tc>
        <w:tc>
          <w:tcPr>
            <w:tcW w:w="706" w:type="pct"/>
            <w:tcBorders>
              <w:top w:val="single" w:color="auto" w:sz="2" w:space="0"/>
              <w:bottom w:val="single" w:color="auto" w:sz="2" w:space="0"/>
            </w:tcBorders>
            <w:vAlign w:val="center"/>
          </w:tcPr>
          <w:p>
            <w:pPr>
              <w:pStyle w:val="95"/>
              <w:spacing w:line="240" w:lineRule="auto"/>
              <w:rPr>
                <w:sz w:val="21"/>
                <w:szCs w:val="21"/>
              </w:rPr>
            </w:pPr>
            <w:r>
              <w:rPr>
                <w:sz w:val="21"/>
                <w:szCs w:val="21"/>
              </w:rPr>
              <w:t>0.43-0.52</w:t>
            </w:r>
          </w:p>
        </w:tc>
        <w:tc>
          <w:tcPr>
            <w:tcW w:w="447" w:type="pct"/>
            <w:vMerge w:val="continue"/>
            <w:tcBorders>
              <w:top w:val="single" w:color="auto" w:sz="2" w:space="0"/>
              <w:bottom w:val="single" w:color="auto" w:sz="2" w:space="0"/>
            </w:tcBorders>
          </w:tcPr>
          <w:p>
            <w:pPr>
              <w:pStyle w:val="95"/>
              <w:spacing w:line="240" w:lineRule="auto"/>
              <w:rPr>
                <w:sz w:val="21"/>
                <w:szCs w:val="21"/>
              </w:rPr>
            </w:pPr>
          </w:p>
        </w:tc>
        <w:tc>
          <w:tcPr>
            <w:tcW w:w="885" w:type="pct"/>
            <w:vMerge w:val="continue"/>
            <w:tcBorders>
              <w:top w:val="single" w:color="auto" w:sz="2" w:space="0"/>
              <w:bottom w:val="single" w:color="auto" w:sz="2" w:space="0"/>
            </w:tcBorders>
          </w:tcPr>
          <w:p>
            <w:pPr>
              <w:pStyle w:val="95"/>
              <w:spacing w:line="240" w:lineRule="auto"/>
              <w:rPr>
                <w:sz w:val="21"/>
                <w:szCs w:val="21"/>
              </w:rPr>
            </w:pPr>
          </w:p>
        </w:tc>
        <w:tc>
          <w:tcPr>
            <w:tcW w:w="1143" w:type="pct"/>
            <w:vMerge w:val="continue"/>
            <w:tcBorders>
              <w:top w:val="single" w:color="auto" w:sz="2" w:space="0"/>
              <w:bottom w:val="single" w:color="auto" w:sz="2" w:space="0"/>
            </w:tcBorders>
          </w:tcPr>
          <w:p>
            <w:pPr>
              <w:pStyle w:val="95"/>
              <w:spacing w:line="240" w:lineRule="auto"/>
              <w:rPr>
                <w:sz w:val="21"/>
                <w:szCs w:val="21"/>
              </w:rPr>
            </w:pPr>
          </w:p>
        </w:tc>
        <w:tc>
          <w:tcPr>
            <w:tcW w:w="584" w:type="pct"/>
            <w:vMerge w:val="continue"/>
            <w:tcBorders>
              <w:top w:val="single" w:color="auto" w:sz="2" w:space="0"/>
              <w:bottom w:val="single" w:color="auto" w:sz="2" w:space="0"/>
              <w:right w:val="single" w:color="auto" w:sz="8" w:space="0"/>
            </w:tcBorders>
          </w:tcPr>
          <w:p>
            <w:pPr>
              <w:pStyle w:val="95"/>
              <w:spacing w:line="240" w:lineRule="auto"/>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74" w:hRule="atLeast"/>
          <w:jc w:val="center"/>
        </w:trPr>
        <w:tc>
          <w:tcPr>
            <w:tcW w:w="272" w:type="pct"/>
            <w:vMerge w:val="continue"/>
            <w:tcBorders>
              <w:top w:val="single" w:color="auto" w:sz="2" w:space="0"/>
              <w:left w:val="single" w:color="auto" w:sz="8" w:space="0"/>
              <w:bottom w:val="single" w:color="auto" w:sz="2" w:space="0"/>
            </w:tcBorders>
            <w:vAlign w:val="center"/>
          </w:tcPr>
          <w:p>
            <w:pPr>
              <w:pStyle w:val="95"/>
              <w:spacing w:line="240" w:lineRule="auto"/>
              <w:rPr>
                <w:sz w:val="21"/>
                <w:szCs w:val="21"/>
              </w:rPr>
            </w:pPr>
          </w:p>
        </w:tc>
        <w:tc>
          <w:tcPr>
            <w:tcW w:w="431" w:type="pct"/>
            <w:tcBorders>
              <w:top w:val="single" w:color="auto" w:sz="2" w:space="0"/>
              <w:bottom w:val="single" w:color="auto" w:sz="2" w:space="0"/>
            </w:tcBorders>
            <w:vAlign w:val="center"/>
          </w:tcPr>
          <w:p>
            <w:pPr>
              <w:pStyle w:val="95"/>
              <w:spacing w:line="240" w:lineRule="auto"/>
              <w:rPr>
                <w:sz w:val="21"/>
                <w:szCs w:val="21"/>
              </w:rPr>
            </w:pPr>
            <w:r>
              <w:rPr>
                <w:sz w:val="21"/>
                <w:szCs w:val="21"/>
              </w:rPr>
              <w:t>飞一二段</w:t>
            </w:r>
          </w:p>
        </w:tc>
        <w:tc>
          <w:tcPr>
            <w:tcW w:w="528" w:type="pct"/>
            <w:tcBorders>
              <w:top w:val="single" w:color="auto" w:sz="2" w:space="0"/>
              <w:bottom w:val="single" w:color="auto" w:sz="2" w:space="0"/>
            </w:tcBorders>
            <w:vAlign w:val="center"/>
          </w:tcPr>
          <w:p>
            <w:pPr>
              <w:pStyle w:val="95"/>
              <w:spacing w:line="240" w:lineRule="auto"/>
              <w:rPr>
                <w:sz w:val="21"/>
                <w:szCs w:val="21"/>
              </w:rPr>
            </w:pPr>
            <w:r>
              <w:rPr>
                <w:sz w:val="21"/>
                <w:szCs w:val="21"/>
              </w:rPr>
              <w:t>5145.12</w:t>
            </w:r>
          </w:p>
        </w:tc>
        <w:tc>
          <w:tcPr>
            <w:tcW w:w="706" w:type="pct"/>
            <w:tcBorders>
              <w:top w:val="single" w:color="auto" w:sz="2" w:space="0"/>
              <w:bottom w:val="single" w:color="auto" w:sz="2" w:space="0"/>
            </w:tcBorders>
            <w:vAlign w:val="center"/>
          </w:tcPr>
          <w:p>
            <w:pPr>
              <w:pStyle w:val="95"/>
              <w:spacing w:line="240" w:lineRule="auto"/>
              <w:rPr>
                <w:sz w:val="21"/>
                <w:szCs w:val="21"/>
              </w:rPr>
            </w:pPr>
            <w:r>
              <w:rPr>
                <w:sz w:val="21"/>
                <w:szCs w:val="21"/>
              </w:rPr>
              <w:t>0.491</w:t>
            </w:r>
          </w:p>
        </w:tc>
        <w:tc>
          <w:tcPr>
            <w:tcW w:w="447" w:type="pct"/>
            <w:vMerge w:val="continue"/>
            <w:tcBorders>
              <w:top w:val="single" w:color="auto" w:sz="2" w:space="0"/>
              <w:bottom w:val="single" w:color="auto" w:sz="2" w:space="0"/>
            </w:tcBorders>
          </w:tcPr>
          <w:p>
            <w:pPr>
              <w:pStyle w:val="95"/>
              <w:spacing w:line="240" w:lineRule="auto"/>
              <w:rPr>
                <w:sz w:val="21"/>
                <w:szCs w:val="21"/>
              </w:rPr>
            </w:pPr>
          </w:p>
        </w:tc>
        <w:tc>
          <w:tcPr>
            <w:tcW w:w="885" w:type="pct"/>
            <w:vMerge w:val="continue"/>
            <w:tcBorders>
              <w:top w:val="single" w:color="auto" w:sz="2" w:space="0"/>
              <w:bottom w:val="single" w:color="auto" w:sz="2" w:space="0"/>
            </w:tcBorders>
          </w:tcPr>
          <w:p>
            <w:pPr>
              <w:pStyle w:val="95"/>
              <w:spacing w:line="240" w:lineRule="auto"/>
              <w:rPr>
                <w:sz w:val="21"/>
                <w:szCs w:val="21"/>
              </w:rPr>
            </w:pPr>
          </w:p>
        </w:tc>
        <w:tc>
          <w:tcPr>
            <w:tcW w:w="1143" w:type="pct"/>
            <w:vMerge w:val="continue"/>
            <w:tcBorders>
              <w:top w:val="single" w:color="auto" w:sz="2" w:space="0"/>
              <w:bottom w:val="single" w:color="auto" w:sz="2" w:space="0"/>
            </w:tcBorders>
          </w:tcPr>
          <w:p>
            <w:pPr>
              <w:pStyle w:val="95"/>
              <w:spacing w:line="240" w:lineRule="auto"/>
              <w:rPr>
                <w:sz w:val="21"/>
                <w:szCs w:val="21"/>
              </w:rPr>
            </w:pPr>
          </w:p>
        </w:tc>
        <w:tc>
          <w:tcPr>
            <w:tcW w:w="584" w:type="pct"/>
            <w:vMerge w:val="continue"/>
            <w:tcBorders>
              <w:top w:val="single" w:color="auto" w:sz="2" w:space="0"/>
              <w:bottom w:val="single" w:color="auto" w:sz="2" w:space="0"/>
              <w:right w:val="single" w:color="auto" w:sz="8" w:space="0"/>
            </w:tcBorders>
          </w:tcPr>
          <w:p>
            <w:pPr>
              <w:pStyle w:val="95"/>
              <w:spacing w:line="240" w:lineRule="auto"/>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74" w:hRule="atLeast"/>
          <w:jc w:val="center"/>
        </w:trPr>
        <w:tc>
          <w:tcPr>
            <w:tcW w:w="272" w:type="pct"/>
            <w:vMerge w:val="continue"/>
            <w:tcBorders>
              <w:top w:val="single" w:color="auto" w:sz="2" w:space="0"/>
              <w:left w:val="single" w:color="auto" w:sz="8" w:space="0"/>
              <w:bottom w:val="single" w:color="auto" w:sz="8" w:space="0"/>
            </w:tcBorders>
            <w:vAlign w:val="center"/>
          </w:tcPr>
          <w:p>
            <w:pPr>
              <w:pStyle w:val="95"/>
              <w:spacing w:line="240" w:lineRule="auto"/>
              <w:rPr>
                <w:sz w:val="21"/>
                <w:szCs w:val="21"/>
              </w:rPr>
            </w:pPr>
          </w:p>
        </w:tc>
        <w:tc>
          <w:tcPr>
            <w:tcW w:w="431" w:type="pct"/>
            <w:tcBorders>
              <w:top w:val="single" w:color="auto" w:sz="2" w:space="0"/>
              <w:bottom w:val="single" w:color="auto" w:sz="8" w:space="0"/>
            </w:tcBorders>
            <w:vAlign w:val="center"/>
          </w:tcPr>
          <w:p>
            <w:pPr>
              <w:pStyle w:val="95"/>
              <w:spacing w:line="240" w:lineRule="auto"/>
              <w:rPr>
                <w:sz w:val="21"/>
                <w:szCs w:val="21"/>
              </w:rPr>
            </w:pPr>
            <w:r>
              <w:rPr>
                <w:sz w:val="21"/>
                <w:szCs w:val="21"/>
              </w:rPr>
              <w:t>夹缝带飞一二段</w:t>
            </w:r>
          </w:p>
        </w:tc>
        <w:tc>
          <w:tcPr>
            <w:tcW w:w="528" w:type="pct"/>
            <w:tcBorders>
              <w:top w:val="single" w:color="auto" w:sz="2" w:space="0"/>
              <w:bottom w:val="single" w:color="auto" w:sz="8" w:space="0"/>
            </w:tcBorders>
            <w:vAlign w:val="center"/>
          </w:tcPr>
          <w:p>
            <w:pPr>
              <w:pStyle w:val="95"/>
              <w:spacing w:line="240" w:lineRule="auto"/>
              <w:rPr>
                <w:sz w:val="21"/>
                <w:szCs w:val="21"/>
              </w:rPr>
            </w:pPr>
            <w:r>
              <w:rPr>
                <w:sz w:val="21"/>
                <w:szCs w:val="21"/>
              </w:rPr>
              <w:t>5382.12 5538.12  5610.12</w:t>
            </w:r>
          </w:p>
        </w:tc>
        <w:tc>
          <w:tcPr>
            <w:tcW w:w="706" w:type="pct"/>
            <w:tcBorders>
              <w:top w:val="single" w:color="auto" w:sz="2" w:space="0"/>
              <w:bottom w:val="single" w:color="auto" w:sz="8" w:space="0"/>
            </w:tcBorders>
            <w:vAlign w:val="center"/>
          </w:tcPr>
          <w:p>
            <w:pPr>
              <w:pStyle w:val="95"/>
              <w:spacing w:line="240" w:lineRule="auto"/>
              <w:rPr>
                <w:sz w:val="21"/>
                <w:szCs w:val="21"/>
              </w:rPr>
            </w:pPr>
            <w:r>
              <w:rPr>
                <w:sz w:val="21"/>
                <w:szCs w:val="21"/>
              </w:rPr>
              <w:t>1.0-1.18</w:t>
            </w:r>
          </w:p>
        </w:tc>
        <w:tc>
          <w:tcPr>
            <w:tcW w:w="447" w:type="pct"/>
            <w:vMerge w:val="continue"/>
            <w:tcBorders>
              <w:top w:val="single" w:color="auto" w:sz="2" w:space="0"/>
              <w:bottom w:val="single" w:color="auto" w:sz="8" w:space="0"/>
            </w:tcBorders>
          </w:tcPr>
          <w:p>
            <w:pPr>
              <w:pStyle w:val="95"/>
              <w:spacing w:line="240" w:lineRule="auto"/>
              <w:rPr>
                <w:sz w:val="21"/>
                <w:szCs w:val="21"/>
              </w:rPr>
            </w:pPr>
          </w:p>
        </w:tc>
        <w:tc>
          <w:tcPr>
            <w:tcW w:w="885" w:type="pct"/>
            <w:vMerge w:val="continue"/>
            <w:tcBorders>
              <w:top w:val="single" w:color="auto" w:sz="2" w:space="0"/>
              <w:bottom w:val="single" w:color="auto" w:sz="8" w:space="0"/>
            </w:tcBorders>
          </w:tcPr>
          <w:p>
            <w:pPr>
              <w:pStyle w:val="95"/>
              <w:spacing w:line="240" w:lineRule="auto"/>
              <w:rPr>
                <w:sz w:val="21"/>
                <w:szCs w:val="21"/>
              </w:rPr>
            </w:pPr>
          </w:p>
        </w:tc>
        <w:tc>
          <w:tcPr>
            <w:tcW w:w="1143" w:type="pct"/>
            <w:vMerge w:val="continue"/>
            <w:tcBorders>
              <w:top w:val="single" w:color="auto" w:sz="2" w:space="0"/>
              <w:bottom w:val="single" w:color="auto" w:sz="8" w:space="0"/>
            </w:tcBorders>
          </w:tcPr>
          <w:p>
            <w:pPr>
              <w:pStyle w:val="95"/>
              <w:spacing w:line="240" w:lineRule="auto"/>
              <w:rPr>
                <w:sz w:val="21"/>
                <w:szCs w:val="21"/>
              </w:rPr>
            </w:pPr>
          </w:p>
        </w:tc>
        <w:tc>
          <w:tcPr>
            <w:tcW w:w="584" w:type="pct"/>
            <w:vMerge w:val="continue"/>
            <w:tcBorders>
              <w:top w:val="single" w:color="auto" w:sz="2" w:space="0"/>
              <w:bottom w:val="single" w:color="auto" w:sz="8" w:space="0"/>
              <w:right w:val="single" w:color="auto" w:sz="8" w:space="0"/>
            </w:tcBorders>
          </w:tcPr>
          <w:p>
            <w:pPr>
              <w:pStyle w:val="95"/>
              <w:spacing w:line="240" w:lineRule="auto"/>
              <w:rPr>
                <w:sz w:val="21"/>
                <w:szCs w:val="21"/>
              </w:rPr>
            </w:pPr>
          </w:p>
        </w:tc>
      </w:tr>
    </w:tbl>
    <w:p>
      <w:pPr>
        <w:pStyle w:val="5"/>
      </w:pPr>
      <w:r>
        <w:rPr>
          <w:rFonts w:hint="eastAsia"/>
        </w:rPr>
        <w:t>3.2.2.6</w:t>
      </w:r>
      <w:r>
        <w:t>地层产量预测</w:t>
      </w:r>
    </w:p>
    <w:p>
      <w:pPr>
        <w:ind w:firstLine="480"/>
        <w:rPr>
          <w:rFonts w:cs="Times New Roman"/>
          <w:color w:val="000000" w:themeColor="text1"/>
          <w:szCs w:val="24"/>
          <w14:textFill>
            <w14:solidFill>
              <w14:schemeClr w14:val="tx1"/>
            </w14:solidFill>
          </w14:textFill>
        </w:rPr>
      </w:pPr>
      <w:bookmarkStart w:id="94" w:name="_Hlk142465119"/>
      <w:r>
        <w:rPr>
          <w:rFonts w:cs="Times New Roman"/>
          <w:color w:val="000000" w:themeColor="text1"/>
          <w:szCs w:val="24"/>
          <w14:textFill>
            <w14:solidFill>
              <w14:schemeClr w14:val="tx1"/>
            </w14:solidFill>
          </w14:textFill>
        </w:rPr>
        <w:t>根据地质方案，普光3011-6井配产日产气15×10</w:t>
      </w:r>
      <w:r>
        <w:rPr>
          <w:rFonts w:cs="Times New Roman"/>
          <w:color w:val="000000" w:themeColor="text1"/>
          <w:szCs w:val="24"/>
          <w:vertAlign w:val="superscript"/>
          <w14:textFill>
            <w14:solidFill>
              <w14:schemeClr w14:val="tx1"/>
            </w14:solidFill>
          </w14:textFill>
        </w:rPr>
        <w:t>4</w:t>
      </w:r>
      <w:r>
        <w:rPr>
          <w:rFonts w:cs="Times New Roman"/>
          <w:color w:val="000000" w:themeColor="text1"/>
          <w:szCs w:val="24"/>
          <w14:textFill>
            <w14:solidFill>
              <w14:schemeClr w14:val="tx1"/>
            </w14:solidFill>
          </w14:textFill>
        </w:rPr>
        <w:t>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/d</w:t>
      </w:r>
      <w:bookmarkEnd w:id="94"/>
      <w:r>
        <w:rPr>
          <w:rFonts w:cs="Times New Roman"/>
          <w:color w:val="000000" w:themeColor="text1"/>
          <w:szCs w:val="24"/>
          <w14:textFill>
            <w14:solidFill>
              <w14:schemeClr w14:val="tx1"/>
            </w14:solidFill>
          </w14:textFill>
        </w:rPr>
        <w:t>。</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（1）井口主要参数（预测）</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关井压力：42Mpa</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井口流动压力：35MPa</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井口油温：50</w:t>
      </w:r>
      <w:r>
        <w:rPr>
          <w:rFonts w:hint="eastAsia" w:ascii="宋体" w:hAnsi="宋体" w:cs="宋体"/>
          <w:color w:val="000000" w:themeColor="text1"/>
          <w:szCs w:val="24"/>
          <w14:textFill>
            <w14:solidFill>
              <w14:schemeClr w14:val="tx1"/>
            </w14:solidFill>
          </w14:textFill>
        </w:rPr>
        <w:t>℃</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单井产量：15×10</w:t>
      </w:r>
      <w:r>
        <w:rPr>
          <w:rFonts w:cs="Times New Roman"/>
          <w:color w:val="000000" w:themeColor="text1"/>
          <w:szCs w:val="24"/>
          <w:vertAlign w:val="superscript"/>
          <w14:textFill>
            <w14:solidFill>
              <w14:schemeClr w14:val="tx1"/>
            </w14:solidFill>
          </w14:textFill>
        </w:rPr>
        <w:t>4</w:t>
      </w:r>
      <w:r>
        <w:rPr>
          <w:rFonts w:cs="Times New Roman"/>
          <w:color w:val="000000" w:themeColor="text1"/>
          <w:szCs w:val="24"/>
          <w14:textFill>
            <w14:solidFill>
              <w14:schemeClr w14:val="tx1"/>
            </w14:solidFill>
          </w14:textFill>
        </w:rPr>
        <w:t>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/d</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（2）原料气组成及物性</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根据普光分公司天然气技术管理部提供的相关资料，参考周边已建的目的层为飞仙关组</w:t>
      </w:r>
      <w:r>
        <w:rPr>
          <w:rFonts w:cs="Times New Roman"/>
          <w:color w:val="000000" w:themeColor="text1"/>
          <w14:textFill>
            <w14:solidFill>
              <w14:schemeClr w14:val="tx1"/>
            </w14:solidFill>
          </w14:textFill>
        </w:rPr>
        <w:t>P3011-1</w:t>
      </w:r>
      <w:r>
        <w:rPr>
          <w:rFonts w:cs="Times New Roman"/>
          <w:color w:val="000000" w:themeColor="text1"/>
          <w:szCs w:val="24"/>
          <w14:textFill>
            <w14:solidFill>
              <w14:schemeClr w14:val="tx1"/>
            </w14:solidFill>
          </w14:textFill>
        </w:rPr>
        <w:t>井的气质组成及物性，本项目所产的酸性天然气组分预测见</w:t>
      </w:r>
      <w:r>
        <w:rPr>
          <w:rFonts w:cs="Times New Roman"/>
          <w:color w:val="000000" w:themeColor="text1"/>
          <w:szCs w:val="24"/>
          <w14:textFill>
            <w14:solidFill>
              <w14:schemeClr w14:val="tx1"/>
            </w14:solidFill>
          </w14:textFill>
        </w:rPr>
        <w:fldChar w:fldCharType="begin"/>
      </w:r>
      <w:r>
        <w:rPr>
          <w:rFonts w:cs="Times New Roman"/>
          <w:color w:val="000000" w:themeColor="text1"/>
          <w:szCs w:val="24"/>
          <w14:textFill>
            <w14:solidFill>
              <w14:schemeClr w14:val="tx1"/>
            </w14:solidFill>
          </w14:textFill>
        </w:rPr>
        <w:instrText xml:space="preserve"> REF _Ref142593258 \h  \* MERGEFORMAT </w:instrText>
      </w:r>
      <w:r>
        <w:rPr>
          <w:rFonts w:cs="Times New Roman"/>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表3.2</w:t>
      </w:r>
      <w:r>
        <w:rPr>
          <w:rFonts w:cs="Times New Roman"/>
          <w:color w:val="000000" w:themeColor="text1"/>
          <w14:textFill>
            <w14:solidFill>
              <w14:schemeClr w14:val="tx1"/>
            </w14:solidFill>
          </w14:textFill>
        </w:rPr>
        <w:noBreakHyphen/>
      </w:r>
      <w:r>
        <w:rPr>
          <w:rFonts w:cs="Times New Roman"/>
          <w:color w:val="000000" w:themeColor="text1"/>
          <w:szCs w:val="24"/>
          <w14:textFill>
            <w14:solidFill>
              <w14:schemeClr w14:val="tx1"/>
            </w14:solidFill>
          </w14:textFill>
        </w:rPr>
        <w:fldChar w:fldCharType="end"/>
      </w:r>
      <w:r>
        <w:rPr>
          <w:rFonts w:cs="Times New Roman"/>
          <w:color w:val="000000" w:themeColor="text1"/>
          <w:szCs w:val="24"/>
          <w14:textFill>
            <w14:solidFill>
              <w14:schemeClr w14:val="tx1"/>
            </w14:solidFill>
          </w14:textFill>
        </w:rPr>
        <w:t>5：</w:t>
      </w:r>
    </w:p>
    <w:p>
      <w:pPr>
        <w:pStyle w:val="95"/>
      </w:pPr>
      <w:bookmarkStart w:id="95" w:name="_Ref142593258"/>
      <w:r>
        <w:t>表</w:t>
      </w:r>
      <w:r>
        <w:fldChar w:fldCharType="begin"/>
      </w:r>
      <w:r>
        <w:instrText xml:space="preserve"> STYLEREF 2 \s </w:instrText>
      </w:r>
      <w:r>
        <w:fldChar w:fldCharType="separate"/>
      </w:r>
      <w:r>
        <w:t>3.2</w:t>
      </w:r>
      <w:r>
        <w:fldChar w:fldCharType="end"/>
      </w:r>
      <w:r>
        <w:noBreakHyphen/>
      </w:r>
      <w:bookmarkEnd w:id="95"/>
      <w:r>
        <w:t>5  本项目酸性天然气组分预测</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065"/>
        <w:gridCol w:w="895"/>
        <w:gridCol w:w="1069"/>
        <w:gridCol w:w="1067"/>
        <w:gridCol w:w="1067"/>
        <w:gridCol w:w="791"/>
        <w:gridCol w:w="787"/>
        <w:gridCol w:w="78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11" w:type="pct"/>
            <w:vAlign w:val="center"/>
          </w:tcPr>
          <w:p>
            <w:pPr>
              <w:pStyle w:val="294"/>
            </w:pPr>
            <w:r>
              <w:t>组分</w:t>
            </w:r>
          </w:p>
        </w:tc>
        <w:tc>
          <w:tcPr>
            <w:tcW w:w="525" w:type="pct"/>
            <w:vAlign w:val="center"/>
          </w:tcPr>
          <w:p>
            <w:pPr>
              <w:pStyle w:val="294"/>
            </w:pPr>
            <w:r>
              <w:t>CO</w:t>
            </w:r>
            <w:r>
              <w:rPr>
                <w:vertAlign w:val="subscript"/>
              </w:rPr>
              <w:t>2</w:t>
            </w:r>
          </w:p>
        </w:tc>
        <w:tc>
          <w:tcPr>
            <w:tcW w:w="627" w:type="pct"/>
            <w:vAlign w:val="center"/>
          </w:tcPr>
          <w:p>
            <w:pPr>
              <w:pStyle w:val="294"/>
            </w:pPr>
            <w:r>
              <w:t>H</w:t>
            </w:r>
            <w:r>
              <w:rPr>
                <w:vertAlign w:val="subscript"/>
              </w:rPr>
              <w:t>2</w:t>
            </w:r>
            <w:r>
              <w:t>S</w:t>
            </w:r>
          </w:p>
        </w:tc>
        <w:tc>
          <w:tcPr>
            <w:tcW w:w="626" w:type="pct"/>
            <w:vAlign w:val="center"/>
          </w:tcPr>
          <w:p>
            <w:pPr>
              <w:pStyle w:val="294"/>
            </w:pPr>
            <w:r>
              <w:t>CH</w:t>
            </w:r>
            <w:r>
              <w:rPr>
                <w:vertAlign w:val="subscript"/>
              </w:rPr>
              <w:t>4</w:t>
            </w:r>
          </w:p>
        </w:tc>
        <w:tc>
          <w:tcPr>
            <w:tcW w:w="626" w:type="pct"/>
            <w:vAlign w:val="center"/>
          </w:tcPr>
          <w:p>
            <w:pPr>
              <w:pStyle w:val="294"/>
            </w:pPr>
            <w:r>
              <w:t>C</w:t>
            </w:r>
            <w:r>
              <w:rPr>
                <w:vertAlign w:val="subscript"/>
              </w:rPr>
              <w:t>2</w:t>
            </w:r>
            <w:r>
              <w:t>H</w:t>
            </w:r>
            <w:r>
              <w:rPr>
                <w:vertAlign w:val="subscript"/>
              </w:rPr>
              <w:t>6</w:t>
            </w:r>
          </w:p>
        </w:tc>
        <w:tc>
          <w:tcPr>
            <w:tcW w:w="464" w:type="pct"/>
            <w:vAlign w:val="center"/>
          </w:tcPr>
          <w:p>
            <w:pPr>
              <w:pStyle w:val="294"/>
            </w:pPr>
            <w:r>
              <w:t>N</w:t>
            </w:r>
            <w:r>
              <w:rPr>
                <w:vertAlign w:val="subscript"/>
              </w:rPr>
              <w:t>2</w:t>
            </w:r>
          </w:p>
        </w:tc>
        <w:tc>
          <w:tcPr>
            <w:tcW w:w="461" w:type="pct"/>
            <w:vAlign w:val="center"/>
          </w:tcPr>
          <w:p>
            <w:pPr>
              <w:pStyle w:val="294"/>
            </w:pPr>
            <w:r>
              <w:t>H</w:t>
            </w:r>
            <w:r>
              <w:rPr>
                <w:vertAlign w:val="subscript"/>
              </w:rPr>
              <w:t>2</w:t>
            </w:r>
          </w:p>
        </w:tc>
        <w:tc>
          <w:tcPr>
            <w:tcW w:w="460" w:type="pct"/>
            <w:vAlign w:val="center"/>
          </w:tcPr>
          <w:p>
            <w:pPr>
              <w:pStyle w:val="294"/>
            </w:pPr>
            <w:r>
              <w:t>He</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11" w:type="pct"/>
            <w:vAlign w:val="center"/>
          </w:tcPr>
          <w:p>
            <w:pPr>
              <w:pStyle w:val="294"/>
            </w:pPr>
            <w:r>
              <w:t>含量（mol%）</w:t>
            </w:r>
          </w:p>
        </w:tc>
        <w:tc>
          <w:tcPr>
            <w:tcW w:w="525" w:type="pct"/>
            <w:vAlign w:val="center"/>
          </w:tcPr>
          <w:p>
            <w:pPr>
              <w:pStyle w:val="294"/>
            </w:pPr>
            <w:r>
              <w:t>8.64</w:t>
            </w:r>
          </w:p>
        </w:tc>
        <w:tc>
          <w:tcPr>
            <w:tcW w:w="627" w:type="pct"/>
            <w:vAlign w:val="center"/>
          </w:tcPr>
          <w:p>
            <w:pPr>
              <w:pStyle w:val="294"/>
            </w:pPr>
            <w:r>
              <w:t>15.16</w:t>
            </w:r>
          </w:p>
        </w:tc>
        <w:tc>
          <w:tcPr>
            <w:tcW w:w="626" w:type="pct"/>
            <w:vAlign w:val="center"/>
          </w:tcPr>
          <w:p>
            <w:pPr>
              <w:pStyle w:val="294"/>
            </w:pPr>
            <w:r>
              <w:t>73.02</w:t>
            </w:r>
          </w:p>
        </w:tc>
        <w:tc>
          <w:tcPr>
            <w:tcW w:w="626" w:type="pct"/>
            <w:vAlign w:val="center"/>
          </w:tcPr>
          <w:p>
            <w:pPr>
              <w:pStyle w:val="294"/>
            </w:pPr>
            <w:r>
              <w:t>0.03</w:t>
            </w:r>
          </w:p>
        </w:tc>
        <w:tc>
          <w:tcPr>
            <w:tcW w:w="464" w:type="pct"/>
            <w:vAlign w:val="center"/>
          </w:tcPr>
          <w:p>
            <w:pPr>
              <w:pStyle w:val="294"/>
            </w:pPr>
            <w:r>
              <w:t>1.11</w:t>
            </w:r>
          </w:p>
        </w:tc>
        <w:tc>
          <w:tcPr>
            <w:tcW w:w="461" w:type="pct"/>
          </w:tcPr>
          <w:p>
            <w:pPr>
              <w:pStyle w:val="294"/>
            </w:pPr>
            <w:r>
              <w:t>0.1</w:t>
            </w:r>
          </w:p>
        </w:tc>
        <w:tc>
          <w:tcPr>
            <w:tcW w:w="460" w:type="pct"/>
          </w:tcPr>
          <w:p>
            <w:pPr>
              <w:pStyle w:val="294"/>
            </w:pPr>
            <w:r>
              <w:t>0.02</w:t>
            </w:r>
          </w:p>
        </w:tc>
      </w:tr>
    </w:tbl>
    <w:p>
      <w:pPr>
        <w:tabs>
          <w:tab w:val="left" w:pos="0"/>
        </w:tabs>
        <w:spacing w:before="120" w:beforeLines="5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（3）燃料气组成及物性</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仪表风、吹扫用燃料气依托采气站已建的燃料气系统，自P3011采气站已建燃料气管线上接出，管线规格Φ60.3×3.91，设计压力1.6MPa，设计温度50</w:t>
      </w:r>
      <w:r>
        <w:rPr>
          <w:rFonts w:hint="eastAsia" w:ascii="宋体" w:hAnsi="宋体" w:cs="宋体"/>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，实际运行压力为0.6~0.8MPa，运行温度0~20</w:t>
      </w:r>
      <w:r>
        <w:rPr>
          <w:rFonts w:hint="eastAsia" w:ascii="宋体" w:hAnsi="宋体" w:cs="宋体"/>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燃料气物性和组分如下：</w:t>
      </w:r>
    </w:p>
    <w:p>
      <w:pPr>
        <w:tabs>
          <w:tab w:val="left" w:pos="0"/>
        </w:tabs>
        <w:ind w:firstLine="480"/>
        <w:rPr>
          <w:rFonts w:cs="Times New Roman"/>
          <w:color w:val="000000" w:themeColor="text1"/>
          <w:szCs w:val="24"/>
          <w:vertAlign w:val="superscript"/>
          <w14:textFill>
            <w14:solidFill>
              <w14:schemeClr w14:val="tx1"/>
            </w14:solidFill>
          </w14:textFill>
        </w:rPr>
      </w:pPr>
      <w:r>
        <w:rPr>
          <w:rFonts w:cs="Times New Roman"/>
          <w:color w:val="000000" w:themeColor="text1"/>
          <w:szCs w:val="24"/>
          <w14:textFill>
            <w14:solidFill>
              <w14:schemeClr w14:val="tx1"/>
            </w14:solidFill>
          </w14:textFill>
        </w:rPr>
        <w:t>密度：0.571kg/m</w:t>
      </w:r>
      <w:r>
        <w:rPr>
          <w:rFonts w:cs="Times New Roman"/>
          <w:color w:val="000000" w:themeColor="text1"/>
          <w:szCs w:val="24"/>
          <w:vertAlign w:val="superscript"/>
          <w14:textFill>
            <w14:solidFill>
              <w14:schemeClr w14:val="tx1"/>
            </w14:solidFill>
          </w14:textFill>
        </w:rPr>
        <w:t>3</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分子量：16.81</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燃料气温度：常温</w:t>
      </w:r>
    </w:p>
    <w:p>
      <w:pPr>
        <w:tabs>
          <w:tab w:val="left" w:pos="0"/>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水露点：≤-30</w:t>
      </w:r>
      <w:r>
        <w:rPr>
          <w:rFonts w:hint="eastAsia" w:ascii="宋体" w:hAnsi="宋体" w:cs="宋体"/>
          <w:color w:val="000000" w:themeColor="text1"/>
          <w:szCs w:val="24"/>
          <w14:textFill>
            <w14:solidFill>
              <w14:schemeClr w14:val="tx1"/>
            </w14:solidFill>
          </w14:textFill>
        </w:rPr>
        <w:t>℃</w:t>
      </w:r>
    </w:p>
    <w:p>
      <w:pPr>
        <w:pStyle w:val="95"/>
      </w:pPr>
      <w:r>
        <w:t>表3.2-6  燃料气组分表</w:t>
      </w:r>
    </w:p>
    <w:tbl>
      <w:tblPr>
        <w:tblStyle w:val="52"/>
        <w:tblW w:w="822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627"/>
        <w:gridCol w:w="282"/>
        <w:gridCol w:w="463"/>
        <w:gridCol w:w="463"/>
        <w:gridCol w:w="463"/>
        <w:gridCol w:w="591"/>
        <w:gridCol w:w="536"/>
        <w:gridCol w:w="825"/>
        <w:gridCol w:w="919"/>
        <w:gridCol w:w="856"/>
        <w:gridCol w:w="984"/>
        <w:gridCol w:w="121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627"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组分</w:t>
            </w:r>
          </w:p>
        </w:tc>
        <w:tc>
          <w:tcPr>
            <w:tcW w:w="282"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H</w:t>
            </w:r>
            <w:r>
              <w:rPr>
                <w:rFonts w:cs="Times New Roman"/>
                <w:color w:val="000000" w:themeColor="text1"/>
                <w:sz w:val="21"/>
                <w:szCs w:val="21"/>
                <w:vertAlign w:val="subscript"/>
                <w14:textFill>
                  <w14:solidFill>
                    <w14:schemeClr w14:val="tx1"/>
                  </w14:solidFill>
                </w14:textFill>
              </w:rPr>
              <w:t>2</w:t>
            </w:r>
          </w:p>
        </w:tc>
        <w:tc>
          <w:tcPr>
            <w:tcW w:w="463"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He</w:t>
            </w:r>
          </w:p>
        </w:tc>
        <w:tc>
          <w:tcPr>
            <w:tcW w:w="463"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N</w:t>
            </w:r>
            <w:r>
              <w:rPr>
                <w:rFonts w:cs="Times New Roman"/>
                <w:color w:val="000000" w:themeColor="text1"/>
                <w:sz w:val="21"/>
                <w:szCs w:val="21"/>
                <w:vertAlign w:val="subscript"/>
                <w14:textFill>
                  <w14:solidFill>
                    <w14:schemeClr w14:val="tx1"/>
                  </w14:solidFill>
                </w14:textFill>
              </w:rPr>
              <w:t>2</w:t>
            </w:r>
          </w:p>
        </w:tc>
        <w:tc>
          <w:tcPr>
            <w:tcW w:w="463"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CO</w:t>
            </w:r>
            <w:r>
              <w:rPr>
                <w:rFonts w:cs="Times New Roman"/>
                <w:color w:val="000000" w:themeColor="text1"/>
                <w:sz w:val="21"/>
                <w:szCs w:val="21"/>
                <w:vertAlign w:val="subscript"/>
                <w14:textFill>
                  <w14:solidFill>
                    <w14:schemeClr w14:val="tx1"/>
                  </w14:solidFill>
                </w14:textFill>
              </w:rPr>
              <w:t>2</w:t>
            </w:r>
          </w:p>
        </w:tc>
        <w:tc>
          <w:tcPr>
            <w:tcW w:w="591"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CH</w:t>
            </w:r>
            <w:r>
              <w:rPr>
                <w:rFonts w:cs="Times New Roman"/>
                <w:color w:val="000000" w:themeColor="text1"/>
                <w:sz w:val="21"/>
                <w:szCs w:val="21"/>
                <w:vertAlign w:val="subscript"/>
                <w14:textFill>
                  <w14:solidFill>
                    <w14:schemeClr w14:val="tx1"/>
                  </w14:solidFill>
                </w14:textFill>
              </w:rPr>
              <w:t>4</w:t>
            </w:r>
          </w:p>
        </w:tc>
        <w:tc>
          <w:tcPr>
            <w:tcW w:w="536"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C</w:t>
            </w:r>
            <w:r>
              <w:rPr>
                <w:rFonts w:cs="Times New Roman"/>
                <w:color w:val="000000" w:themeColor="text1"/>
                <w:sz w:val="21"/>
                <w:szCs w:val="21"/>
                <w:vertAlign w:val="subscript"/>
                <w14:textFill>
                  <w14:solidFill>
                    <w14:schemeClr w14:val="tx1"/>
                  </w14:solidFill>
                </w14:textFill>
              </w:rPr>
              <w:t>2</w:t>
            </w:r>
            <w:r>
              <w:rPr>
                <w:rFonts w:cs="Times New Roman"/>
                <w:color w:val="000000" w:themeColor="text1"/>
                <w:sz w:val="21"/>
                <w:szCs w:val="21"/>
                <w14:textFill>
                  <w14:solidFill>
                    <w14:schemeClr w14:val="tx1"/>
                  </w14:solidFill>
                </w14:textFill>
              </w:rPr>
              <w:t>H</w:t>
            </w:r>
            <w:r>
              <w:rPr>
                <w:rFonts w:cs="Times New Roman"/>
                <w:color w:val="000000" w:themeColor="text1"/>
                <w:sz w:val="21"/>
                <w:szCs w:val="21"/>
                <w:vertAlign w:val="subscript"/>
                <w14:textFill>
                  <w14:solidFill>
                    <w14:schemeClr w14:val="tx1"/>
                  </w14:solidFill>
                </w14:textFill>
              </w:rPr>
              <w:t>6</w:t>
            </w:r>
          </w:p>
        </w:tc>
        <w:tc>
          <w:tcPr>
            <w:tcW w:w="825"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H</w:t>
            </w:r>
            <w:r>
              <w:rPr>
                <w:rFonts w:cs="Times New Roman"/>
                <w:color w:val="000000" w:themeColor="text1"/>
                <w:sz w:val="21"/>
                <w:szCs w:val="21"/>
                <w:vertAlign w:val="subscript"/>
                <w14:textFill>
                  <w14:solidFill>
                    <w14:schemeClr w14:val="tx1"/>
                  </w14:solidFill>
                </w14:textFill>
              </w:rPr>
              <w:t>2</w:t>
            </w:r>
            <w:r>
              <w:rPr>
                <w:rFonts w:cs="Times New Roman"/>
                <w:color w:val="000000" w:themeColor="text1"/>
                <w:sz w:val="21"/>
                <w:szCs w:val="21"/>
                <w14:textFill>
                  <w14:solidFill>
                    <w14:schemeClr w14:val="tx1"/>
                  </w14:solidFill>
                </w14:textFill>
              </w:rPr>
              <w:t>S</w:t>
            </w:r>
          </w:p>
        </w:tc>
        <w:tc>
          <w:tcPr>
            <w:tcW w:w="919"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COS</w:t>
            </w:r>
          </w:p>
        </w:tc>
        <w:tc>
          <w:tcPr>
            <w:tcW w:w="856"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甲硫醇</w:t>
            </w:r>
          </w:p>
        </w:tc>
        <w:tc>
          <w:tcPr>
            <w:tcW w:w="984"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乙硫醇</w:t>
            </w:r>
          </w:p>
        </w:tc>
        <w:tc>
          <w:tcPr>
            <w:tcW w:w="1211"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总硫</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627"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mol%</w:t>
            </w:r>
          </w:p>
        </w:tc>
        <w:tc>
          <w:tcPr>
            <w:tcW w:w="282"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w:t>
            </w:r>
          </w:p>
        </w:tc>
        <w:tc>
          <w:tcPr>
            <w:tcW w:w="463"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0.01</w:t>
            </w:r>
          </w:p>
        </w:tc>
        <w:tc>
          <w:tcPr>
            <w:tcW w:w="463"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0.74</w:t>
            </w:r>
          </w:p>
        </w:tc>
        <w:tc>
          <w:tcPr>
            <w:tcW w:w="463"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4.42</w:t>
            </w:r>
          </w:p>
        </w:tc>
        <w:tc>
          <w:tcPr>
            <w:tcW w:w="591"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97.87</w:t>
            </w:r>
          </w:p>
        </w:tc>
        <w:tc>
          <w:tcPr>
            <w:tcW w:w="536"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0.04</w:t>
            </w:r>
          </w:p>
        </w:tc>
        <w:tc>
          <w:tcPr>
            <w:tcW w:w="825"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0mg/m</w:t>
            </w:r>
            <w:r>
              <w:rPr>
                <w:rFonts w:cs="Times New Roman"/>
                <w:color w:val="000000" w:themeColor="text1"/>
                <w:sz w:val="21"/>
                <w:szCs w:val="21"/>
                <w:vertAlign w:val="superscript"/>
                <w14:textFill>
                  <w14:solidFill>
                    <w14:schemeClr w14:val="tx1"/>
                  </w14:solidFill>
                </w14:textFill>
              </w:rPr>
              <w:t>3</w:t>
            </w:r>
          </w:p>
        </w:tc>
        <w:tc>
          <w:tcPr>
            <w:tcW w:w="919"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0.23ppm</w:t>
            </w:r>
          </w:p>
        </w:tc>
        <w:tc>
          <w:tcPr>
            <w:tcW w:w="856"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0.1 ppm</w:t>
            </w:r>
          </w:p>
        </w:tc>
        <w:tc>
          <w:tcPr>
            <w:tcW w:w="984"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0.01 ppm</w:t>
            </w:r>
          </w:p>
        </w:tc>
        <w:tc>
          <w:tcPr>
            <w:tcW w:w="1211"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3.64 mg/m</w:t>
            </w:r>
            <w:r>
              <w:rPr>
                <w:rFonts w:cs="Times New Roman"/>
                <w:color w:val="000000" w:themeColor="text1"/>
                <w:sz w:val="21"/>
                <w:szCs w:val="21"/>
                <w:vertAlign w:val="superscript"/>
                <w14:textFill>
                  <w14:solidFill>
                    <w14:schemeClr w14:val="tx1"/>
                  </w14:solidFill>
                </w14:textFill>
              </w:rPr>
              <w:t>3</w:t>
            </w:r>
          </w:p>
        </w:tc>
      </w:tr>
    </w:tbl>
    <w:p>
      <w:pPr>
        <w:pStyle w:val="4"/>
        <w:ind w:firstLine="241"/>
        <w:rPr>
          <w:b w:val="0"/>
        </w:rPr>
      </w:pPr>
      <w:bookmarkStart w:id="96" w:name="_Toc120173101"/>
      <w:r>
        <w:rPr>
          <w:rFonts w:hint="eastAsia"/>
        </w:rPr>
        <w:t>3.2.3</w:t>
      </w:r>
      <w:r>
        <w:t>项目组成及建设内容</w:t>
      </w:r>
      <w:bookmarkEnd w:id="96"/>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本项目组成包括施工期钻前工程、钻完井工程、</w:t>
      </w:r>
      <w:r>
        <w:rPr>
          <w:rFonts w:cs="Times New Roman"/>
          <w:color w:val="000000" w:themeColor="text1"/>
          <w:szCs w:val="24"/>
          <w14:textFill>
            <w14:solidFill>
              <w14:schemeClr w14:val="tx1"/>
            </w14:solidFill>
          </w14:textFill>
        </w:rPr>
        <w:t>储层改造工程</w:t>
      </w:r>
      <w:r>
        <w:rPr>
          <w:rFonts w:cs="Times New Roman"/>
          <w:color w:val="000000" w:themeColor="text1"/>
          <w14:textFill>
            <w14:solidFill>
              <w14:schemeClr w14:val="tx1"/>
            </w14:solidFill>
          </w14:textFill>
        </w:rPr>
        <w:t>和试采期的油气集输工程。其中钻前工程主要利用P3011采气站北侧剩余位置进行扩建井场，井场长125m，宽48m，其中老井场利旧约1180m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，新建材料棚基础、泥浆不落地基础、危废处理房基础、储备罐基础、泥浆泵基础、油罐基础、高压房基础等；利旧修复放喷池2座，利旧修复清水池1座；新建1条80m长进场道路、硬化场地及边坡支护工程。</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钻井工程及储层改造工程主要包括利用钻前工程构筑的井场以及设备基础对场内布置的1口井实施钻井、套管固井、储层改造及试气作业。</w:t>
      </w:r>
    </w:p>
    <w:p>
      <w:pPr>
        <w:ind w:firstLine="480"/>
        <w:rPr>
          <w:rFonts w:cs="Times New Roman"/>
          <w:b/>
          <w:bCs/>
          <w:color w:val="000000" w:themeColor="text1"/>
          <w14:textFill>
            <w14:solidFill>
              <w14:schemeClr w14:val="tx1"/>
            </w14:solidFill>
          </w14:textFill>
        </w:rPr>
      </w:pPr>
      <w:r>
        <w:rPr>
          <w:rFonts w:cs="Times New Roman"/>
          <w:color w:val="000000" w:themeColor="text1"/>
          <w14:textFill>
            <w14:solidFill>
              <w14:schemeClr w14:val="tx1"/>
            </w14:solidFill>
          </w14:textFill>
        </w:rPr>
        <w:t>钻井</w:t>
      </w:r>
      <w:r>
        <w:rPr>
          <w:rFonts w:cs="Times New Roman"/>
          <w:color w:val="000000" w:themeColor="text1"/>
          <w:szCs w:val="24"/>
          <w14:textFill>
            <w14:solidFill>
              <w14:schemeClr w14:val="tx1"/>
            </w14:solidFill>
          </w14:textFill>
        </w:rPr>
        <w:t>完毕后，通过测试并获得天然气产量后，</w:t>
      </w:r>
      <w:r>
        <w:rPr>
          <w:rFonts w:cs="Times New Roman"/>
          <w:color w:val="000000" w:themeColor="text1"/>
          <w14:textFill>
            <w14:solidFill>
              <w14:schemeClr w14:val="tx1"/>
            </w14:solidFill>
          </w14:textFill>
        </w:rPr>
        <w:t>本次</w:t>
      </w:r>
      <w:r>
        <w:rPr>
          <w:rFonts w:hint="eastAsia" w:cs="Times New Roman"/>
          <w:color w:val="000000" w:themeColor="text1"/>
          <w14:textFill>
            <w14:solidFill>
              <w14:schemeClr w14:val="tx1"/>
            </w14:solidFill>
          </w14:textFill>
        </w:rPr>
        <w:t>扩建</w:t>
      </w:r>
      <w:r>
        <w:rPr>
          <w:rFonts w:cs="Times New Roman"/>
          <w:color w:val="000000" w:themeColor="text1"/>
          <w14:textFill>
            <w14:solidFill>
              <w14:schemeClr w14:val="tx1"/>
            </w14:solidFill>
          </w14:textFill>
        </w:rPr>
        <w:t>普光3011试采站，</w:t>
      </w:r>
      <w:r>
        <w:rPr>
          <w:rFonts w:hint="eastAsia" w:cs="Times New Roman"/>
          <w:color w:val="000000" w:themeColor="text1"/>
          <w14:textFill>
            <w14:solidFill>
              <w14:schemeClr w14:val="tx1"/>
            </w14:solidFill>
          </w14:textFill>
        </w:rPr>
        <w:t>普光3011-6井</w:t>
      </w:r>
      <w:r>
        <w:rPr>
          <w:rFonts w:cs="Times New Roman"/>
          <w:color w:val="000000" w:themeColor="text1"/>
          <w14:textFill>
            <w14:solidFill>
              <w14:schemeClr w14:val="tx1"/>
            </w14:solidFill>
          </w14:textFill>
        </w:rPr>
        <w:t>采出气经过</w:t>
      </w:r>
      <w:r>
        <w:rPr>
          <w:rFonts w:hint="eastAsia" w:cs="Times New Roman"/>
          <w:color w:val="000000" w:themeColor="text1"/>
          <w14:textFill>
            <w14:solidFill>
              <w14:schemeClr w14:val="tx1"/>
            </w14:solidFill>
          </w14:textFill>
        </w:rPr>
        <w:t>P3011</w:t>
      </w:r>
      <w:r>
        <w:rPr>
          <w:rFonts w:cs="Times New Roman"/>
          <w:color w:val="000000" w:themeColor="text1"/>
          <w14:textFill>
            <w14:solidFill>
              <w14:schemeClr w14:val="tx1"/>
            </w14:solidFill>
          </w14:textFill>
        </w:rPr>
        <w:t>采气站内一、二级节流、加热、三次节流之后输送至下游已建P301集气站，依托P301集气站计量分离后外输至天然气净化厂。本工程将配套建设</w:t>
      </w:r>
      <w:r>
        <w:rPr>
          <w:rFonts w:hint="eastAsia" w:cs="Times New Roman"/>
          <w:color w:val="000000" w:themeColor="text1"/>
          <w14:textFill>
            <w14:solidFill>
              <w14:schemeClr w14:val="tx1"/>
            </w14:solidFill>
          </w14:textFill>
        </w:rPr>
        <w:t>扩建</w:t>
      </w:r>
      <w:r>
        <w:rPr>
          <w:rFonts w:cs="Times New Roman"/>
          <w:color w:val="000000" w:themeColor="text1"/>
          <w14:textFill>
            <w14:solidFill>
              <w14:schemeClr w14:val="tx1"/>
            </w14:solidFill>
          </w14:textFill>
        </w:rPr>
        <w:t>普光3011试采站内的</w:t>
      </w:r>
      <w:r>
        <w:rPr>
          <w:rFonts w:cs="Times New Roman"/>
          <w:color w:val="000000" w:themeColor="text1"/>
          <w:kern w:val="0"/>
          <w14:textFill>
            <w14:solidFill>
              <w14:schemeClr w14:val="tx1"/>
            </w14:solidFill>
          </w14:textFill>
        </w:rPr>
        <w:t>自控、电力、结构、消防等设施；</w:t>
      </w:r>
      <w:r>
        <w:rPr>
          <w:rFonts w:cs="Times New Roman"/>
          <w:color w:val="000000" w:themeColor="text1"/>
          <w14:textFill>
            <w14:solidFill>
              <w14:schemeClr w14:val="tx1"/>
            </w14:solidFill>
          </w14:textFill>
        </w:rPr>
        <w:t>本工程还将利旧新建临时分酸分离器和酸液缓冲罐。</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本项目项目组成见表3.2-7。</w:t>
      </w:r>
    </w:p>
    <w:p>
      <w:pPr>
        <w:pStyle w:val="95"/>
      </w:pPr>
      <w:bookmarkStart w:id="97" w:name="_Ref142591523"/>
      <w:r>
        <w:t>表</w:t>
      </w:r>
      <w:r>
        <w:fldChar w:fldCharType="begin"/>
      </w:r>
      <w:r>
        <w:instrText xml:space="preserve"> STYLEREF 2 \s </w:instrText>
      </w:r>
      <w:r>
        <w:fldChar w:fldCharType="separate"/>
      </w:r>
      <w:r>
        <w:t>3.2</w:t>
      </w:r>
      <w:r>
        <w:fldChar w:fldCharType="end"/>
      </w:r>
      <w:r>
        <w:noBreakHyphen/>
      </w:r>
      <w:bookmarkEnd w:id="97"/>
      <w:r>
        <w:t>7  本项目组成及主要环境影响一览表</w:t>
      </w:r>
    </w:p>
    <w:tbl>
      <w:tblPr>
        <w:tblStyle w:val="52"/>
        <w:tblW w:w="82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581"/>
        <w:gridCol w:w="832"/>
        <w:gridCol w:w="992"/>
        <w:gridCol w:w="3402"/>
        <w:gridCol w:w="1843"/>
        <w:gridCol w:w="57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blHeader/>
          <w:jc w:val="center"/>
        </w:trPr>
        <w:tc>
          <w:tcPr>
            <w:tcW w:w="581" w:type="dxa"/>
            <w:tcBorders>
              <w:top w:val="single" w:color="auto" w:sz="8"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b/>
                <w:bCs/>
                <w:color w:val="000000" w:themeColor="text1"/>
                <w:sz w:val="21"/>
                <w:szCs w:val="20"/>
                <w14:textFill>
                  <w14:solidFill>
                    <w14:schemeClr w14:val="tx1"/>
                  </w14:solidFill>
                </w14:textFill>
              </w:rPr>
            </w:pPr>
            <w:r>
              <w:rPr>
                <w:rFonts w:cs="Times New Roman"/>
                <w:b/>
                <w:bCs/>
                <w:color w:val="000000" w:themeColor="text1"/>
                <w:sz w:val="21"/>
                <w:szCs w:val="20"/>
                <w14:textFill>
                  <w14:solidFill>
                    <w14:schemeClr w14:val="tx1"/>
                  </w14:solidFill>
                </w14:textFill>
              </w:rPr>
              <w:t>工程分类</w:t>
            </w:r>
          </w:p>
        </w:tc>
        <w:tc>
          <w:tcPr>
            <w:tcW w:w="1824" w:type="dxa"/>
            <w:gridSpan w:val="2"/>
            <w:tcBorders>
              <w:top w:val="single" w:color="auto" w:sz="8" w:space="0"/>
              <w:bottom w:val="single" w:color="auto" w:sz="6" w:space="0"/>
            </w:tcBorders>
            <w:vAlign w:val="center"/>
          </w:tcPr>
          <w:p>
            <w:pPr>
              <w:widowControl/>
              <w:spacing w:line="240" w:lineRule="auto"/>
              <w:ind w:firstLine="0" w:firstLineChars="0"/>
              <w:jc w:val="center"/>
              <w:textAlignment w:val="baseline"/>
              <w:rPr>
                <w:rFonts w:cs="Times New Roman"/>
                <w:b/>
                <w:bCs/>
                <w:color w:val="000000" w:themeColor="text1"/>
                <w:sz w:val="21"/>
                <w:szCs w:val="20"/>
                <w14:textFill>
                  <w14:solidFill>
                    <w14:schemeClr w14:val="tx1"/>
                  </w14:solidFill>
                </w14:textFill>
              </w:rPr>
            </w:pPr>
            <w:r>
              <w:rPr>
                <w:rFonts w:cs="Times New Roman"/>
                <w:b/>
                <w:bCs/>
                <w:color w:val="000000" w:themeColor="text1"/>
                <w:sz w:val="21"/>
                <w:szCs w:val="20"/>
                <w14:textFill>
                  <w14:solidFill>
                    <w14:schemeClr w14:val="tx1"/>
                  </w14:solidFill>
                </w14:textFill>
              </w:rPr>
              <w:t>项目名称</w:t>
            </w:r>
          </w:p>
        </w:tc>
        <w:tc>
          <w:tcPr>
            <w:tcW w:w="3402" w:type="dxa"/>
            <w:tcBorders>
              <w:top w:val="single" w:color="auto" w:sz="8" w:space="0"/>
              <w:bottom w:val="single" w:color="auto" w:sz="6" w:space="0"/>
            </w:tcBorders>
            <w:vAlign w:val="center"/>
          </w:tcPr>
          <w:p>
            <w:pPr>
              <w:widowControl/>
              <w:spacing w:line="240" w:lineRule="auto"/>
              <w:ind w:firstLine="0" w:firstLineChars="0"/>
              <w:jc w:val="center"/>
              <w:textAlignment w:val="baseline"/>
              <w:rPr>
                <w:rFonts w:cs="Times New Roman"/>
                <w:b/>
                <w:bCs/>
                <w:color w:val="000000" w:themeColor="text1"/>
                <w:sz w:val="21"/>
                <w:szCs w:val="20"/>
                <w14:textFill>
                  <w14:solidFill>
                    <w14:schemeClr w14:val="tx1"/>
                  </w14:solidFill>
                </w14:textFill>
              </w:rPr>
            </w:pPr>
            <w:r>
              <w:rPr>
                <w:rFonts w:cs="Times New Roman"/>
                <w:b/>
                <w:bCs/>
                <w:color w:val="000000" w:themeColor="text1"/>
                <w:sz w:val="21"/>
                <w:szCs w:val="20"/>
                <w14:textFill>
                  <w14:solidFill>
                    <w14:schemeClr w14:val="tx1"/>
                  </w14:solidFill>
                </w14:textFill>
              </w:rPr>
              <w:t>主要建设内容</w:t>
            </w:r>
          </w:p>
        </w:tc>
        <w:tc>
          <w:tcPr>
            <w:tcW w:w="1843" w:type="dxa"/>
            <w:tcBorders>
              <w:top w:val="single" w:color="auto" w:sz="8" w:space="0"/>
              <w:bottom w:val="single" w:color="auto" w:sz="6" w:space="0"/>
            </w:tcBorders>
            <w:vAlign w:val="center"/>
          </w:tcPr>
          <w:p>
            <w:pPr>
              <w:widowControl/>
              <w:spacing w:line="240" w:lineRule="auto"/>
              <w:ind w:firstLine="0" w:firstLineChars="0"/>
              <w:jc w:val="center"/>
              <w:textAlignment w:val="baseline"/>
              <w:rPr>
                <w:rFonts w:cs="Times New Roman"/>
                <w:b/>
                <w:bCs/>
                <w:color w:val="000000" w:themeColor="text1"/>
                <w:sz w:val="21"/>
                <w:szCs w:val="20"/>
                <w14:textFill>
                  <w14:solidFill>
                    <w14:schemeClr w14:val="tx1"/>
                  </w14:solidFill>
                </w14:textFill>
              </w:rPr>
            </w:pPr>
            <w:r>
              <w:rPr>
                <w:rFonts w:cs="Times New Roman"/>
                <w:b/>
                <w:bCs/>
                <w:color w:val="000000" w:themeColor="text1"/>
                <w:sz w:val="21"/>
                <w:szCs w:val="20"/>
                <w14:textFill>
                  <w14:solidFill>
                    <w14:schemeClr w14:val="tx1"/>
                  </w14:solidFill>
                </w14:textFill>
              </w:rPr>
              <w:t>可能存在的环境问题</w:t>
            </w:r>
          </w:p>
        </w:tc>
        <w:tc>
          <w:tcPr>
            <w:tcW w:w="572" w:type="dxa"/>
            <w:tcBorders>
              <w:top w:val="single" w:color="auto" w:sz="8"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b/>
                <w:bCs/>
                <w:color w:val="000000" w:themeColor="text1"/>
                <w:sz w:val="21"/>
                <w:szCs w:val="20"/>
                <w14:textFill>
                  <w14:solidFill>
                    <w14:schemeClr w14:val="tx1"/>
                  </w14:solidFill>
                </w14:textFill>
              </w:rPr>
            </w:pPr>
            <w:r>
              <w:rPr>
                <w:rFonts w:cs="Times New Roman"/>
                <w:b/>
                <w:bCs/>
                <w:color w:val="000000" w:themeColor="text1"/>
                <w:sz w:val="21"/>
                <w:szCs w:val="20"/>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restart"/>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主体工程</w:t>
            </w:r>
          </w:p>
        </w:tc>
        <w:tc>
          <w:tcPr>
            <w:tcW w:w="832"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钻前工程</w:t>
            </w: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场地平整</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新建井架基础、材料棚基础、泥浆不落地基础、危废处理房基础、储备罐基础、泥浆泵基础、油罐基础、高压房基础等</w:t>
            </w:r>
          </w:p>
        </w:tc>
        <w:tc>
          <w:tcPr>
            <w:tcW w:w="1843"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新增水土流失、施工扬尘、废水和施工人员生活污水、生活垃圾等</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井口方井</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新建1口方井井口</w:t>
            </w:r>
          </w:p>
        </w:tc>
        <w:tc>
          <w:tcPr>
            <w:tcW w:w="1843"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设备、设施基础</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采用ZJ70钻机设备，共计1套，井架基础以粘土层为持力层，以C25钢筋混凝土基础，重点防渗处理</w:t>
            </w:r>
          </w:p>
        </w:tc>
        <w:tc>
          <w:tcPr>
            <w:tcW w:w="1843"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放喷池</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利旧修复放喷池2座，尺寸均为20m×10m×1.5m，容积为300m</w:t>
            </w:r>
            <w:r>
              <w:rPr>
                <w:rFonts w:cs="Times New Roman"/>
                <w:color w:val="000000" w:themeColor="text1"/>
                <w:sz w:val="21"/>
                <w:szCs w:val="20"/>
                <w:vertAlign w:val="superscript"/>
                <w14:textFill>
                  <w14:solidFill>
                    <w14:schemeClr w14:val="tx1"/>
                  </w14:solidFill>
                </w14:textFill>
              </w:rPr>
              <w:t>3</w:t>
            </w:r>
            <w:r>
              <w:rPr>
                <w:rFonts w:cs="Times New Roman"/>
                <w:color w:val="000000" w:themeColor="text1"/>
                <w:sz w:val="21"/>
                <w:szCs w:val="20"/>
                <w14:textFill>
                  <w14:solidFill>
                    <w14:schemeClr w14:val="tx1"/>
                  </w14:solidFill>
                </w14:textFill>
              </w:rPr>
              <w:t>，用于测试放喷，池内重点防渗。</w:t>
            </w:r>
          </w:p>
        </w:tc>
        <w:tc>
          <w:tcPr>
            <w:tcW w:w="1843"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利旧修复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清水池</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利旧修复清水池1座，尺寸为26m×12m×3.3m，池内一般防渗。</w:t>
            </w:r>
          </w:p>
        </w:tc>
        <w:tc>
          <w:tcPr>
            <w:tcW w:w="1843"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利旧修复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533" w:hRule="atLeast"/>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钻井工程</w:t>
            </w: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钻井作业</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钻井工程采用ZJ70型钻机，本次钻井深度为5707.65m，</w:t>
            </w:r>
            <w:r>
              <w:rPr>
                <w:rFonts w:cs="Times New Roman"/>
                <w:color w:val="000000" w:themeColor="text1"/>
                <w:kern w:val="0"/>
                <w:sz w:val="21"/>
                <w:szCs w:val="20"/>
                <w14:textFill>
                  <w14:solidFill>
                    <w14:schemeClr w14:val="tx1"/>
                  </w14:solidFill>
                </w14:textFill>
              </w:rPr>
              <w:t>本工程优先考虑气体钻井方式，否则选用氯化钾聚合物钻井液体系，若遇特殊地层情况，三开段可能会转为油基钻井。</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钻井废水及员工生活污水；岩屑及废泥浆、员工生活垃圾；钻井设备噪声</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储层改造工程</w:t>
            </w: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完钻测试作业</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洗井作业、压裂酸化作业、放喷测试</w:t>
            </w:r>
            <w:r>
              <w:rPr>
                <w:rFonts w:hint="eastAsia" w:cs="Times New Roman"/>
                <w:color w:val="000000" w:themeColor="text1"/>
                <w:sz w:val="21"/>
                <w:szCs w:val="20"/>
                <w14:textFill>
                  <w14:solidFill>
                    <w14:schemeClr w14:val="tx1"/>
                  </w14:solidFill>
                </w14:textFill>
              </w:rPr>
              <w:t>。</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测试产生废气、放喷气流噪声，洗井废水、酸化废水</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油气集输工程</w:t>
            </w: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试采站</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钻井</w:t>
            </w:r>
            <w:r>
              <w:rPr>
                <w:rFonts w:cs="Times New Roman"/>
                <w:color w:val="000000" w:themeColor="text1"/>
                <w:sz w:val="21"/>
                <w:szCs w:val="24"/>
                <w14:textFill>
                  <w14:solidFill>
                    <w14:schemeClr w14:val="tx1"/>
                  </w14:solidFill>
                </w14:textFill>
              </w:rPr>
              <w:t>完毕后，通过测试并获得天然气产量后，</w:t>
            </w:r>
            <w:r>
              <w:rPr>
                <w:rFonts w:cs="Times New Roman"/>
                <w:color w:val="000000" w:themeColor="text1"/>
                <w:sz w:val="21"/>
                <w:szCs w:val="20"/>
                <w14:textFill>
                  <w14:solidFill>
                    <w14:schemeClr w14:val="tx1"/>
                  </w14:solidFill>
                </w14:textFill>
              </w:rPr>
              <w:t>本次新建普光3011-6试采站，采出气经过一、二级节流、加热、三次节流之后输送至下游已建P301集气站，依托P301集气站计量分离后外输至天然气净化厂。本工程将配套建设新建普光3011-6试采站内的自控、电力、结构、消防等设施</w:t>
            </w:r>
            <w:r>
              <w:rPr>
                <w:rFonts w:hint="eastAsia" w:cs="Times New Roman"/>
                <w:color w:val="000000" w:themeColor="text1"/>
                <w:sz w:val="21"/>
                <w:szCs w:val="20"/>
                <w14:textFill>
                  <w14:solidFill>
                    <w14:schemeClr w14:val="tx1"/>
                  </w14:solidFill>
                </w14:textFill>
              </w:rPr>
              <w:t>。</w:t>
            </w:r>
          </w:p>
        </w:tc>
        <w:tc>
          <w:tcPr>
            <w:tcW w:w="1843" w:type="dxa"/>
            <w:tcBorders>
              <w:top w:val="single" w:color="auto" w:sz="6" w:space="0"/>
              <w:bottom w:val="single" w:color="auto" w:sz="6" w:space="0"/>
            </w:tcBorders>
            <w:vAlign w:val="center"/>
          </w:tcPr>
          <w:p>
            <w:pPr>
              <w:widowControl/>
              <w:spacing w:line="240" w:lineRule="auto"/>
              <w:ind w:firstLine="0" w:firstLineChars="0"/>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施工期：新增水土流失、植被破坏、扬尘、废水、噪声、固废、环境风险等；</w:t>
            </w:r>
          </w:p>
          <w:p>
            <w:pPr>
              <w:spacing w:line="240" w:lineRule="auto"/>
              <w:ind w:firstLine="0" w:firstLineChars="0"/>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运营期：废气、废水、噪声、环境风险</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499" w:hRule="atLeast"/>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输气管线</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新建普光3011-6井至P3011采气站加热炉采气管道1条，管道长度100m，</w:t>
            </w:r>
            <w:r>
              <w:rPr>
                <w:rFonts w:cs="Times New Roman"/>
                <w:color w:val="000000" w:themeColor="text1"/>
                <w:sz w:val="21"/>
                <w:szCs w:val="32"/>
                <w14:textFill>
                  <w14:solidFill>
                    <w14:schemeClr w14:val="tx1"/>
                  </w14:solidFill>
                </w14:textFill>
              </w:rPr>
              <w:t>管线设计压力为30Mpa，采用114.3×16镍基合金管；P3011采气站至P301集气站间气体输送依托现有管线。</w:t>
            </w:r>
            <w:r>
              <w:rPr>
                <w:rFonts w:cs="Times New Roman"/>
                <w:color w:val="000000" w:themeColor="text1"/>
                <w:sz w:val="21"/>
                <w:szCs w:val="20"/>
                <w14:textFill>
                  <w14:solidFill>
                    <w14:schemeClr w14:val="tx1"/>
                  </w14:solidFill>
                </w14:textFill>
              </w:rPr>
              <w:t xml:space="preserve"> </w:t>
            </w:r>
          </w:p>
        </w:tc>
        <w:tc>
          <w:tcPr>
            <w:tcW w:w="1843" w:type="dxa"/>
            <w:tcBorders>
              <w:top w:val="single" w:color="auto" w:sz="6" w:space="0"/>
              <w:bottom w:val="single" w:color="auto" w:sz="6" w:space="0"/>
            </w:tcBorders>
            <w:vAlign w:val="center"/>
          </w:tcPr>
          <w:p>
            <w:pPr>
              <w:widowControl/>
              <w:spacing w:line="240" w:lineRule="auto"/>
              <w:ind w:firstLine="0" w:firstLineChars="0"/>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施工期：噪声、固废等；</w:t>
            </w:r>
          </w:p>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运营期：环境风险</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依托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restart"/>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1"/>
                <w14:textFill>
                  <w14:solidFill>
                    <w14:schemeClr w14:val="tx1"/>
                  </w14:solidFill>
                </w14:textFill>
              </w:rPr>
              <w:t>辅助工程</w:t>
            </w:r>
          </w:p>
        </w:tc>
        <w:tc>
          <w:tcPr>
            <w:tcW w:w="83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钻前工程</w:t>
            </w: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bCs/>
                <w:color w:val="000000" w:themeColor="text1"/>
                <w:sz w:val="21"/>
                <w:szCs w:val="21"/>
                <w14:textFill>
                  <w14:solidFill>
                    <w14:schemeClr w14:val="tx1"/>
                  </w14:solidFill>
                </w14:textFill>
              </w:rPr>
              <w:t>生活区</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1"/>
                <w14:textFill>
                  <w14:solidFill>
                    <w14:schemeClr w14:val="tx1"/>
                  </w14:solidFill>
                </w14:textFill>
              </w:rPr>
              <w:t>本项目不设置生活区，施工人员租住附近居民房屋</w:t>
            </w:r>
            <w:r>
              <w:rPr>
                <w:rFonts w:hint="eastAsia" w:cs="Times New Roman"/>
                <w:color w:val="000000" w:themeColor="text1"/>
                <w:sz w:val="21"/>
                <w:szCs w:val="21"/>
                <w14:textFill>
                  <w14:solidFill>
                    <w14:schemeClr w14:val="tx1"/>
                  </w14:solidFill>
                </w14:textFill>
              </w:rPr>
              <w:t>，工作</w:t>
            </w:r>
            <w:r>
              <w:rPr>
                <w:rFonts w:cs="Times New Roman"/>
                <w:color w:val="000000" w:themeColor="text1"/>
                <w:sz w:val="21"/>
                <w:szCs w:val="21"/>
                <w14:textFill>
                  <w14:solidFill>
                    <w14:schemeClr w14:val="tx1"/>
                  </w14:solidFill>
                </w14:textFill>
              </w:rPr>
              <w:t>期间依托使用站场现有的</w:t>
            </w:r>
            <w:r>
              <w:rPr>
                <w:rFonts w:hint="eastAsia" w:cs="Times New Roman"/>
                <w:color w:val="000000" w:themeColor="text1"/>
                <w:sz w:val="21"/>
                <w:szCs w:val="21"/>
                <w14:textFill>
                  <w14:solidFill>
                    <w14:schemeClr w14:val="tx1"/>
                  </w14:solidFill>
                </w14:textFill>
              </w:rPr>
              <w:t>厕所</w:t>
            </w:r>
            <w:r>
              <w:rPr>
                <w:rFonts w:cs="Times New Roman"/>
                <w:color w:val="000000" w:themeColor="text1"/>
                <w:sz w:val="21"/>
                <w:szCs w:val="21"/>
                <w14:textFill>
                  <w14:solidFill>
                    <w14:schemeClr w14:val="tx1"/>
                  </w14:solidFill>
                </w14:textFill>
              </w:rPr>
              <w:t>。</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新增水土流失、施工扬尘、废水和施工人员生活污水、生活垃圾等</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1"/>
                <w14:textFill>
                  <w14:solidFill>
                    <w14:schemeClr w14:val="tx1"/>
                  </w14:solidFill>
                </w14:textFill>
              </w:rPr>
            </w:pPr>
          </w:p>
        </w:tc>
        <w:tc>
          <w:tcPr>
            <w:tcW w:w="832"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钻井工程、储层改造工程</w:t>
            </w: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bCs/>
                <w:color w:val="000000" w:themeColor="text1"/>
                <w:sz w:val="21"/>
                <w:szCs w:val="21"/>
                <w14:textFill>
                  <w14:solidFill>
                    <w14:schemeClr w14:val="tx1"/>
                  </w14:solidFill>
                </w14:textFill>
              </w:rPr>
            </w:pPr>
            <w:r>
              <w:rPr>
                <w:rFonts w:cs="Times New Roman"/>
                <w:color w:val="000000" w:themeColor="text1"/>
                <w:sz w:val="21"/>
                <w:szCs w:val="20"/>
                <w14:textFill>
                  <w14:solidFill>
                    <w14:schemeClr w14:val="tx1"/>
                  </w14:solidFill>
                </w14:textFill>
              </w:rPr>
              <w:t>泥浆循环系统</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1"/>
                <w:highlight w:val="yellow"/>
                <w14:textFill>
                  <w14:solidFill>
                    <w14:schemeClr w14:val="tx1"/>
                  </w14:solidFill>
                </w14:textFill>
              </w:rPr>
            </w:pPr>
            <w:r>
              <w:rPr>
                <w:rFonts w:cs="Times New Roman"/>
                <w:color w:val="000000" w:themeColor="text1"/>
                <w:sz w:val="21"/>
                <w:szCs w:val="20"/>
                <w14:textFill>
                  <w14:solidFill>
                    <w14:schemeClr w14:val="tx1"/>
                  </w14:solidFill>
                </w14:textFill>
              </w:rPr>
              <w:t>含振动筛、除砂器、离心机、液气分离器、除泥砂除泥一体机、除气器等装置，及6个80m</w:t>
            </w:r>
            <w:r>
              <w:rPr>
                <w:rFonts w:cs="Times New Roman"/>
                <w:color w:val="000000" w:themeColor="text1"/>
                <w:sz w:val="21"/>
                <w:szCs w:val="20"/>
                <w:vertAlign w:val="superscript"/>
                <w14:textFill>
                  <w14:solidFill>
                    <w14:schemeClr w14:val="tx1"/>
                  </w14:solidFill>
                </w14:textFill>
              </w:rPr>
              <w:t>3</w:t>
            </w:r>
            <w:r>
              <w:rPr>
                <w:rFonts w:cs="Times New Roman"/>
                <w:color w:val="000000" w:themeColor="text1"/>
                <w:sz w:val="21"/>
                <w:szCs w:val="20"/>
                <w14:textFill>
                  <w14:solidFill>
                    <w14:schemeClr w14:val="tx1"/>
                  </w14:solidFill>
                </w14:textFill>
              </w:rPr>
              <w:t>循环罐组成</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设备噪声、岩屑、废泥浆、废水</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1"/>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网电钻机系统</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highlight w:val="yellow"/>
                <w14:textFill>
                  <w14:solidFill>
                    <w14:schemeClr w14:val="tx1"/>
                  </w14:solidFill>
                </w14:textFill>
              </w:rPr>
            </w:pPr>
            <w:r>
              <w:rPr>
                <w:rFonts w:cs="Times New Roman"/>
                <w:color w:val="000000" w:themeColor="text1"/>
                <w:sz w:val="21"/>
                <w:szCs w:val="20"/>
                <w14:textFill>
                  <w14:solidFill>
                    <w14:schemeClr w14:val="tx1"/>
                  </w14:solidFill>
                </w14:textFill>
              </w:rPr>
              <w:t>1台882kW电动化机组</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噪声</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1"/>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备用发电机</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highlight w:val="yellow"/>
                <w14:textFill>
                  <w14:solidFill>
                    <w14:schemeClr w14:val="tx1"/>
                  </w14:solidFill>
                </w14:textFill>
              </w:rPr>
            </w:pPr>
            <w:r>
              <w:rPr>
                <w:rFonts w:cs="Times New Roman"/>
                <w:color w:val="000000" w:themeColor="text1"/>
                <w:sz w:val="21"/>
                <w:szCs w:val="20"/>
                <w14:textFill>
                  <w14:solidFill>
                    <w14:schemeClr w14:val="tx1"/>
                  </w14:solidFill>
                </w14:textFill>
              </w:rPr>
              <w:t>320kW功率柴油机2台</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废气、噪声</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10" w:hRule="atLeast"/>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1"/>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4"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清洁生产操作平台（泥浆不落地装置）</w:t>
            </w:r>
          </w:p>
        </w:tc>
        <w:tc>
          <w:tcPr>
            <w:tcW w:w="3402" w:type="dxa"/>
            <w:tcBorders>
              <w:top w:val="single" w:color="auto" w:sz="6" w:space="0"/>
              <w:bottom w:val="single" w:color="auto" w:sz="4" w:space="0"/>
            </w:tcBorders>
            <w:vAlign w:val="center"/>
          </w:tcPr>
          <w:p>
            <w:pPr>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40m</w:t>
            </w:r>
            <w:r>
              <w:rPr>
                <w:rFonts w:cs="Times New Roman"/>
                <w:color w:val="000000" w:themeColor="text1"/>
                <w:sz w:val="21"/>
                <w:szCs w:val="20"/>
                <w:vertAlign w:val="superscript"/>
                <w14:textFill>
                  <w14:solidFill>
                    <w14:schemeClr w14:val="tx1"/>
                  </w14:solidFill>
                </w14:textFill>
              </w:rPr>
              <w:t>3</w:t>
            </w:r>
            <w:r>
              <w:rPr>
                <w:rFonts w:cs="Times New Roman"/>
                <w:color w:val="000000" w:themeColor="text1"/>
                <w:sz w:val="21"/>
                <w:szCs w:val="20"/>
                <w14:textFill>
                  <w14:solidFill>
                    <w14:schemeClr w14:val="tx1"/>
                  </w14:solidFill>
                </w14:textFill>
              </w:rPr>
              <w:t>废水罐4个（位于清洁化操作平台废水处理区，分为1个隔油罐、2个沉淀罐、1个回用罐）；20m</w:t>
            </w:r>
            <w:r>
              <w:rPr>
                <w:rFonts w:cs="Times New Roman"/>
                <w:color w:val="000000" w:themeColor="text1"/>
                <w:sz w:val="21"/>
                <w:szCs w:val="20"/>
                <w:vertAlign w:val="superscript"/>
                <w14:textFill>
                  <w14:solidFill>
                    <w14:schemeClr w14:val="tx1"/>
                  </w14:solidFill>
                </w14:textFill>
              </w:rPr>
              <w:t>3</w:t>
            </w:r>
            <w:r>
              <w:rPr>
                <w:rFonts w:cs="Times New Roman"/>
                <w:color w:val="000000" w:themeColor="text1"/>
                <w:sz w:val="21"/>
                <w:szCs w:val="20"/>
                <w14:textFill>
                  <w14:solidFill>
                    <w14:schemeClr w14:val="tx1"/>
                  </w14:solidFill>
                </w14:textFill>
              </w:rPr>
              <w:t>岩屑固化罐4个（位于清洁化操作平台储备罐区）；3m</w:t>
            </w:r>
            <w:r>
              <w:rPr>
                <w:rFonts w:cs="Times New Roman"/>
                <w:color w:val="000000" w:themeColor="text1"/>
                <w:sz w:val="21"/>
                <w:szCs w:val="20"/>
                <w:vertAlign w:val="superscript"/>
                <w14:textFill>
                  <w14:solidFill>
                    <w14:schemeClr w14:val="tx1"/>
                  </w14:solidFill>
                </w14:textFill>
              </w:rPr>
              <w:t>3</w:t>
            </w:r>
            <w:r>
              <w:rPr>
                <w:rFonts w:cs="Times New Roman"/>
                <w:color w:val="000000" w:themeColor="text1"/>
                <w:sz w:val="21"/>
                <w:szCs w:val="20"/>
                <w14:textFill>
                  <w14:solidFill>
                    <w14:schemeClr w14:val="tx1"/>
                  </w14:solidFill>
                </w14:textFill>
              </w:rPr>
              <w:t xml:space="preserve">岩屑收集罐8个（位于清洁化操作平台储备罐区） </w:t>
            </w:r>
          </w:p>
        </w:tc>
        <w:tc>
          <w:tcPr>
            <w:tcW w:w="1843" w:type="dxa"/>
            <w:vMerge w:val="restart"/>
            <w:tcBorders>
              <w:top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用于暂存钻井泥浆、洗井作业、酸化作业废水，若处置不当或者发生泄漏现象，导致土壤、植被破坏以及地下水、地表水等污染</w:t>
            </w:r>
          </w:p>
        </w:tc>
        <w:tc>
          <w:tcPr>
            <w:tcW w:w="572" w:type="dxa"/>
            <w:vMerge w:val="restart"/>
            <w:tcBorders>
              <w:top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30" w:hRule="atLeast"/>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1"/>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4" w:space="0"/>
              <w:bottom w:val="single" w:color="auto" w:sz="6" w:space="0"/>
            </w:tcBorders>
            <w:vAlign w:val="center"/>
          </w:tcPr>
          <w:p>
            <w:pPr>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hint="eastAsia" w:cs="Times New Roman"/>
                <w:color w:val="000000" w:themeColor="text1"/>
                <w:sz w:val="21"/>
                <w:szCs w:val="20"/>
                <w14:textFill>
                  <w14:solidFill>
                    <w14:schemeClr w14:val="tx1"/>
                  </w14:solidFill>
                </w14:textFill>
              </w:rPr>
              <w:t>材料</w:t>
            </w:r>
            <w:r>
              <w:rPr>
                <w:rFonts w:cs="Times New Roman"/>
                <w:color w:val="000000" w:themeColor="text1"/>
                <w:sz w:val="21"/>
                <w:szCs w:val="20"/>
                <w14:textFill>
                  <w14:solidFill>
                    <w14:schemeClr w14:val="tx1"/>
                  </w14:solidFill>
                </w14:textFill>
              </w:rPr>
              <w:t>房</w:t>
            </w:r>
          </w:p>
        </w:tc>
        <w:tc>
          <w:tcPr>
            <w:tcW w:w="3402" w:type="dxa"/>
            <w:tcBorders>
              <w:top w:val="single" w:color="auto" w:sz="4" w:space="0"/>
              <w:bottom w:val="single" w:color="auto" w:sz="6" w:space="0"/>
            </w:tcBorders>
            <w:vAlign w:val="center"/>
          </w:tcPr>
          <w:p>
            <w:pPr>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固化材料堆放棚（位于材料区），主要摆放固化材料、水处理药剂等</w:t>
            </w:r>
          </w:p>
        </w:tc>
        <w:tc>
          <w:tcPr>
            <w:tcW w:w="1843" w:type="dxa"/>
            <w:vMerge w:val="continue"/>
            <w:tcBorders>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572" w:type="dxa"/>
            <w:vMerge w:val="continue"/>
            <w:tcBorders>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1"/>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放喷池及放喷管线</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300m</w:t>
            </w:r>
            <w:r>
              <w:rPr>
                <w:rFonts w:cs="Times New Roman"/>
                <w:color w:val="000000" w:themeColor="text1"/>
                <w:sz w:val="21"/>
                <w:szCs w:val="20"/>
                <w:vertAlign w:val="superscript"/>
                <w14:textFill>
                  <w14:solidFill>
                    <w14:schemeClr w14:val="tx1"/>
                  </w14:solidFill>
                </w14:textFill>
              </w:rPr>
              <w:t>3</w:t>
            </w:r>
            <w:r>
              <w:rPr>
                <w:rFonts w:cs="Times New Roman"/>
                <w:color w:val="000000" w:themeColor="text1"/>
                <w:sz w:val="21"/>
                <w:szCs w:val="20"/>
                <w14:textFill>
                  <w14:solidFill>
                    <w14:schemeClr w14:val="tx1"/>
                  </w14:solidFill>
                </w14:textFill>
              </w:rPr>
              <w:t>放喷池2座</w:t>
            </w:r>
            <w:r>
              <w:rPr>
                <w:rFonts w:cs="Times New Roman"/>
                <w:color w:val="000000" w:themeColor="text1"/>
                <w:sz w:val="21"/>
                <w:szCs w:val="20"/>
                <w:lang w:bidi="ar"/>
                <w14:textFill>
                  <w14:solidFill>
                    <w14:schemeClr w14:val="tx1"/>
                  </w14:solidFill>
                </w14:textFill>
              </w:rPr>
              <w:t>，</w:t>
            </w:r>
            <w:r>
              <w:rPr>
                <w:rFonts w:cs="Times New Roman"/>
                <w:color w:val="000000" w:themeColor="text1"/>
                <w:sz w:val="21"/>
                <w:szCs w:val="20"/>
                <w14:textFill>
                  <w14:solidFill>
                    <w14:schemeClr w14:val="tx1"/>
                  </w14:solidFill>
                </w14:textFill>
              </w:rPr>
              <w:t>放喷管使用双四通、二条放喷管线</w:t>
            </w:r>
          </w:p>
        </w:tc>
        <w:tc>
          <w:tcPr>
            <w:tcW w:w="1843"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放喷废气、燃烧热辐射</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hint="eastAsia" w:cs="Times New Roman"/>
                <w:color w:val="000000" w:themeColor="text1"/>
                <w:sz w:val="21"/>
                <w:szCs w:val="20"/>
                <w14:textFill>
                  <w14:solidFill>
                    <w14:schemeClr w14:val="tx1"/>
                  </w14:solidFill>
                </w14:textFill>
              </w:rPr>
              <w:t>利旧修复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1"/>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放喷点火系统</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自动、手动点火装置各1套</w:t>
            </w:r>
          </w:p>
        </w:tc>
        <w:tc>
          <w:tcPr>
            <w:tcW w:w="1843"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1"/>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lang w:bidi="ar"/>
                <w14:textFill>
                  <w14:solidFill>
                    <w14:schemeClr w14:val="tx1"/>
                  </w14:solidFill>
                </w14:textFill>
              </w:rPr>
              <w:t>生活垃圾箱</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lang w:bidi="ar"/>
                <w14:textFill>
                  <w14:solidFill>
                    <w14:schemeClr w14:val="tx1"/>
                  </w14:solidFill>
                </w14:textFill>
              </w:rPr>
              <w:t>井场区域设1个</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1"/>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lang w:bidi="ar"/>
                <w14:textFill>
                  <w14:solidFill>
                    <w14:schemeClr w14:val="tx1"/>
                  </w14:solidFill>
                </w14:textFill>
              </w:rPr>
              <w:t>油罐区隔油池</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lang w:bidi="ar"/>
                <w14:textFill>
                  <w14:solidFill>
                    <w14:schemeClr w14:val="tx1"/>
                  </w14:solidFill>
                </w14:textFill>
              </w:rPr>
              <w:t>混凝土结构，1个，容积1m</w:t>
            </w:r>
            <w:r>
              <w:rPr>
                <w:rFonts w:cs="Times New Roman"/>
                <w:color w:val="000000" w:themeColor="text1"/>
                <w:sz w:val="21"/>
                <w:szCs w:val="20"/>
                <w:vertAlign w:val="superscript"/>
                <w:lang w:bidi="ar"/>
                <w14:textFill>
                  <w14:solidFill>
                    <w14:schemeClr w14:val="tx1"/>
                  </w14:solidFill>
                </w14:textFill>
              </w:rPr>
              <w:t>3</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634" w:hRule="atLeast"/>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1"/>
                <w14:textFill>
                  <w14:solidFill>
                    <w14:schemeClr w14:val="tx1"/>
                  </w14:solidFill>
                </w14:textFill>
              </w:rPr>
            </w:pPr>
          </w:p>
        </w:tc>
        <w:tc>
          <w:tcPr>
            <w:tcW w:w="832"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油气集输工程</w:t>
            </w: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bCs/>
                <w:color w:val="000000" w:themeColor="text1"/>
                <w:sz w:val="21"/>
                <w:szCs w:val="21"/>
                <w14:textFill>
                  <w14:solidFill>
                    <w14:schemeClr w14:val="tx1"/>
                  </w14:solidFill>
                </w14:textFill>
              </w:rPr>
            </w:pPr>
            <w:r>
              <w:rPr>
                <w:rFonts w:cs="Times New Roman"/>
                <w:color w:val="000000" w:themeColor="text1"/>
                <w:sz w:val="21"/>
                <w:szCs w:val="20"/>
                <w14:textFill>
                  <w14:solidFill>
                    <w14:schemeClr w14:val="tx1"/>
                  </w14:solidFill>
                </w14:textFill>
              </w:rPr>
              <w:t>通讯工程</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1"/>
                <w14:textFill>
                  <w14:solidFill>
                    <w14:schemeClr w14:val="tx1"/>
                  </w14:solidFill>
                </w14:textFill>
              </w:rPr>
            </w:pPr>
            <w:r>
              <w:rPr>
                <w:rFonts w:cs="Times New Roman"/>
                <w:color w:val="000000" w:themeColor="text1"/>
                <w:sz w:val="21"/>
                <w:szCs w:val="20"/>
                <w14:textFill>
                  <w14:solidFill>
                    <w14:schemeClr w14:val="tx1"/>
                  </w14:solidFill>
                </w14:textFill>
              </w:rPr>
              <w:t>含光缆线路、光传输系统、工业以太网、站场广播对讲系统（PA/GA）、工业电视监控系统、周界报警系统、办公网及语音系统、气象系统、紧急疏散广播系统扩容、通信基站</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1"/>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bCs/>
                <w:color w:val="000000" w:themeColor="text1"/>
                <w:sz w:val="21"/>
                <w:szCs w:val="21"/>
                <w14:textFill>
                  <w14:solidFill>
                    <w14:schemeClr w14:val="tx1"/>
                  </w14:solidFill>
                </w14:textFill>
              </w:rPr>
            </w:pPr>
            <w:r>
              <w:rPr>
                <w:rFonts w:cs="Times New Roman"/>
                <w:color w:val="000000" w:themeColor="text1"/>
                <w:sz w:val="21"/>
                <w:szCs w:val="20"/>
                <w14:textFill>
                  <w14:solidFill>
                    <w14:schemeClr w14:val="tx1"/>
                  </w14:solidFill>
                </w14:textFill>
              </w:rPr>
              <w:t>自动控制</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1"/>
                <w14:textFill>
                  <w14:solidFill>
                    <w14:schemeClr w14:val="tx1"/>
                  </w14:solidFill>
                </w14:textFill>
              </w:rPr>
            </w:pPr>
            <w:r>
              <w:rPr>
                <w:rFonts w:cs="Times New Roman"/>
                <w:color w:val="000000" w:themeColor="text1"/>
                <w:sz w:val="21"/>
                <w:szCs w:val="20"/>
                <w14:textFill>
                  <w14:solidFill>
                    <w14:schemeClr w14:val="tx1"/>
                  </w14:solidFill>
                </w14:textFill>
              </w:rPr>
              <w:t>设置RTU系统，安装可燃气体探测器、硫化氢监测装置、摄像头和入侵检测报警装置</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1"/>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bCs/>
                <w:color w:val="000000" w:themeColor="text1"/>
                <w:sz w:val="21"/>
                <w:szCs w:val="21"/>
                <w14:textFill>
                  <w14:solidFill>
                    <w14:schemeClr w14:val="tx1"/>
                  </w14:solidFill>
                </w14:textFill>
              </w:rPr>
            </w:pPr>
            <w:r>
              <w:rPr>
                <w:rFonts w:cs="Times New Roman"/>
                <w:color w:val="000000" w:themeColor="text1"/>
                <w:sz w:val="21"/>
                <w:szCs w:val="20"/>
                <w14:textFill>
                  <w14:solidFill>
                    <w14:schemeClr w14:val="tx1"/>
                  </w14:solidFill>
                </w14:textFill>
              </w:rPr>
              <w:t>消防系统</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1"/>
                <w14:textFill>
                  <w14:solidFill>
                    <w14:schemeClr w14:val="tx1"/>
                  </w14:solidFill>
                </w14:textFill>
              </w:rPr>
            </w:pPr>
            <w:r>
              <w:rPr>
                <w:rFonts w:cs="Times New Roman"/>
                <w:color w:val="000000" w:themeColor="text1"/>
                <w:sz w:val="21"/>
                <w:szCs w:val="20"/>
                <w14:textFill>
                  <w14:solidFill>
                    <w14:schemeClr w14:val="tx1"/>
                  </w14:solidFill>
                </w14:textFill>
              </w:rPr>
              <w:t>场站内配置2具MF/ABC8手提式干粉灭火器和1台MFT/ABC20推车式干粉灭火器、2具灭火器箱（XMDDD-42）</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restart"/>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1"/>
                <w14:textFill>
                  <w14:solidFill>
                    <w14:schemeClr w14:val="tx1"/>
                  </w14:solidFill>
                </w14:textFill>
              </w:rPr>
            </w:pPr>
            <w:r>
              <w:rPr>
                <w:rFonts w:cs="Times New Roman"/>
                <w:color w:val="000000" w:themeColor="text1"/>
                <w:sz w:val="21"/>
                <w:szCs w:val="20"/>
                <w14:textFill>
                  <w14:solidFill>
                    <w14:schemeClr w14:val="tx1"/>
                  </w14:solidFill>
                </w14:textFill>
              </w:rPr>
              <w:t>公用工程</w:t>
            </w:r>
          </w:p>
        </w:tc>
        <w:tc>
          <w:tcPr>
            <w:tcW w:w="83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钻前工程</w:t>
            </w: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340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钻井工程、储层改造工程</w:t>
            </w: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给水</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hint="eastAsia" w:ascii="宋体" w:hAnsi="宋体" w:cs="宋体"/>
                <w:color w:val="000000" w:themeColor="text1"/>
                <w:sz w:val="21"/>
                <w:szCs w:val="20"/>
                <w14:textFill>
                  <w14:solidFill>
                    <w14:schemeClr w14:val="tx1"/>
                  </w14:solidFill>
                </w14:textFill>
              </w:rPr>
              <w:t>①</w:t>
            </w:r>
            <w:r>
              <w:rPr>
                <w:rFonts w:cs="Times New Roman"/>
                <w:color w:val="000000" w:themeColor="text1"/>
                <w:sz w:val="21"/>
                <w:szCs w:val="20"/>
                <w14:textFill>
                  <w14:solidFill>
                    <w14:schemeClr w14:val="tx1"/>
                  </w14:solidFill>
                </w14:textFill>
              </w:rPr>
              <w:t>生产用水：采用清洁化生产处理水作为生产用水，不足部分由水罐供给，采用运水车从周边的后河取水，存放于生产水罐中；</w:t>
            </w:r>
          </w:p>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hint="eastAsia" w:ascii="宋体" w:hAnsi="宋体" w:cs="宋体"/>
                <w:color w:val="000000" w:themeColor="text1"/>
                <w:sz w:val="21"/>
                <w:szCs w:val="20"/>
                <w14:textFill>
                  <w14:solidFill>
                    <w14:schemeClr w14:val="tx1"/>
                  </w14:solidFill>
                </w14:textFill>
              </w:rPr>
              <w:t>②</w:t>
            </w:r>
            <w:r>
              <w:rPr>
                <w:rFonts w:cs="Times New Roman"/>
                <w:color w:val="000000" w:themeColor="text1"/>
                <w:sz w:val="21"/>
                <w:szCs w:val="20"/>
                <w14:textFill>
                  <w14:solidFill>
                    <w14:schemeClr w14:val="tx1"/>
                  </w14:solidFill>
                </w14:textFill>
              </w:rPr>
              <w:t>生活用水：车辆拉运桶装水至场地</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场外排水</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场内四周设置截水沟，截水沟与自然水系连通</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场内排水</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lang w:bidi="ar"/>
                <w14:textFill>
                  <w14:solidFill>
                    <w14:schemeClr w14:val="tx1"/>
                  </w14:solidFill>
                </w14:textFill>
              </w:rPr>
              <w:t>修建场内排水沟及隔油池，实现井场范围内清水与污水分流（钻前工程修建）</w:t>
            </w:r>
          </w:p>
        </w:tc>
        <w:tc>
          <w:tcPr>
            <w:tcW w:w="1843"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渗漏污染土壤、地下水环境</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73" w:hRule="atLeast"/>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lang w:bidi="ar"/>
                <w14:textFill>
                  <w14:solidFill>
                    <w14:schemeClr w14:val="tx1"/>
                  </w14:solidFill>
                </w14:textFill>
              </w:rPr>
              <w:t>产污区的废水经集水坑和井口方井集水坑通过泵入</w:t>
            </w:r>
            <w:r>
              <w:rPr>
                <w:rFonts w:cs="Times New Roman"/>
                <w:color w:val="000000" w:themeColor="text1"/>
                <w:sz w:val="21"/>
                <w:szCs w:val="20"/>
                <w14:textFill>
                  <w14:solidFill>
                    <w14:schemeClr w14:val="tx1"/>
                  </w14:solidFill>
                </w14:textFill>
              </w:rPr>
              <w:t>清洁生产操作平台废水罐处理回用</w:t>
            </w:r>
          </w:p>
        </w:tc>
        <w:tc>
          <w:tcPr>
            <w:tcW w:w="1843"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lang w:bidi="ar"/>
                <w14:textFill>
                  <w14:solidFill>
                    <w14:schemeClr w14:val="tx1"/>
                  </w14:solidFill>
                </w14:textFill>
              </w:rPr>
              <w:t>井场清洁区雨水通过排水沟和隔油池处理后排入自然水系。排放口出口设置环境监测池</w:t>
            </w:r>
          </w:p>
        </w:tc>
        <w:tc>
          <w:tcPr>
            <w:tcW w:w="1843"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lang w:bidi="ar"/>
                <w14:textFill>
                  <w14:solidFill>
                    <w14:schemeClr w14:val="tx1"/>
                  </w14:solidFill>
                </w14:textFill>
              </w:rPr>
              <w:t>水罐区雨水排入自然水系。油罐区设置隔油池1座处理排入自然水系</w:t>
            </w:r>
          </w:p>
        </w:tc>
        <w:tc>
          <w:tcPr>
            <w:tcW w:w="1843"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生活污水经生态厕所收集后定期由密闭罐车拉运至周边生活污水处理厂处理</w:t>
            </w:r>
          </w:p>
        </w:tc>
        <w:tc>
          <w:tcPr>
            <w:tcW w:w="1843"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供电</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从P3011采气站引入供电</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依托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油气集输工程</w:t>
            </w: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供配电</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1"/>
                <w14:textFill>
                  <w14:solidFill>
                    <w14:schemeClr w14:val="tx1"/>
                  </w14:solidFill>
                </w14:textFill>
              </w:rPr>
              <w:t>依托现有10kV已建电网</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依托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restart"/>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储运工程</w:t>
            </w:r>
          </w:p>
        </w:tc>
        <w:tc>
          <w:tcPr>
            <w:tcW w:w="832"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钻前工程</w:t>
            </w: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表土临时堆场</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设置表土堆放区1处，位于井场东南侧，占地1352m</w:t>
            </w:r>
            <w:r>
              <w:rPr>
                <w:rFonts w:cs="Times New Roman"/>
                <w:color w:val="000000" w:themeColor="text1"/>
                <w:sz w:val="21"/>
                <w:szCs w:val="20"/>
                <w:vertAlign w:val="superscript"/>
                <w14:textFill>
                  <w14:solidFill>
                    <w14:schemeClr w14:val="tx1"/>
                  </w14:solidFill>
                </w14:textFill>
              </w:rPr>
              <w:t>2</w:t>
            </w:r>
          </w:p>
        </w:tc>
        <w:tc>
          <w:tcPr>
            <w:tcW w:w="1843"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新增水土流失、施工扬尘、废水和施工人员生活污水、生活垃圾等</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进场道路</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新建进场道路，道路路基宽度4.5m，路面宽度4.0m，长度约80m，采用20cm厚6%水泥稳定碎石，新建0.4m宽道路排水沟，采用浆砌石修筑。</w:t>
            </w:r>
          </w:p>
        </w:tc>
        <w:tc>
          <w:tcPr>
            <w:tcW w:w="1843"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钻井工程、储层改造工程</w:t>
            </w: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柴油罐区</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占地25m</w:t>
            </w:r>
            <w:r>
              <w:rPr>
                <w:rFonts w:cs="Times New Roman"/>
                <w:color w:val="000000" w:themeColor="text1"/>
                <w:sz w:val="21"/>
                <w:szCs w:val="20"/>
                <w:vertAlign w:val="superscript"/>
                <w14:textFill>
                  <w14:solidFill>
                    <w14:schemeClr w14:val="tx1"/>
                  </w14:solidFill>
                </w14:textFill>
              </w:rPr>
              <w:t>2</w:t>
            </w:r>
            <w:r>
              <w:rPr>
                <w:rFonts w:cs="Times New Roman"/>
                <w:color w:val="000000" w:themeColor="text1"/>
                <w:sz w:val="21"/>
                <w:szCs w:val="20"/>
                <w14:textFill>
                  <w14:solidFill>
                    <w14:schemeClr w14:val="tx1"/>
                  </w14:solidFill>
                </w14:textFill>
              </w:rPr>
              <w:t>，1个柴油罐，容积20m</w:t>
            </w:r>
            <w:r>
              <w:rPr>
                <w:rFonts w:cs="Times New Roman"/>
                <w:color w:val="000000" w:themeColor="text1"/>
                <w:sz w:val="21"/>
                <w:szCs w:val="20"/>
                <w:vertAlign w:val="superscript"/>
                <w14:textFill>
                  <w14:solidFill>
                    <w14:schemeClr w14:val="tx1"/>
                  </w14:solidFill>
                </w14:textFill>
              </w:rPr>
              <w:t>3</w:t>
            </w:r>
            <w:r>
              <w:rPr>
                <w:rFonts w:cs="Times New Roman"/>
                <w:color w:val="000000" w:themeColor="text1"/>
                <w:sz w:val="21"/>
                <w:szCs w:val="20"/>
                <w14:textFill>
                  <w14:solidFill>
                    <w14:schemeClr w14:val="tx1"/>
                  </w14:solidFill>
                </w14:textFill>
              </w:rPr>
              <w:t>。地面硬化，铺设防渗膜并设围堰</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泄漏污染、火灾爆炸环境风险影响</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泥浆储备罐</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储罐2个，每个容积40m</w:t>
            </w:r>
            <w:r>
              <w:rPr>
                <w:rFonts w:cs="Times New Roman"/>
                <w:color w:val="000000" w:themeColor="text1"/>
                <w:sz w:val="21"/>
                <w:szCs w:val="20"/>
                <w:vertAlign w:val="superscript"/>
                <w14:textFill>
                  <w14:solidFill>
                    <w14:schemeClr w14:val="tx1"/>
                  </w14:solidFill>
                </w14:textFill>
              </w:rPr>
              <w:t>3</w:t>
            </w:r>
          </w:p>
        </w:tc>
        <w:tc>
          <w:tcPr>
            <w:tcW w:w="1843"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泄漏污染、环境风险影响</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酸化液储藏罐</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1个50m</w:t>
            </w:r>
            <w:r>
              <w:rPr>
                <w:rFonts w:cs="Times New Roman"/>
                <w:color w:val="000000" w:themeColor="text1"/>
                <w:sz w:val="21"/>
                <w:szCs w:val="20"/>
                <w:vertAlign w:val="superscript"/>
                <w14:textFill>
                  <w14:solidFill>
                    <w14:schemeClr w14:val="tx1"/>
                  </w14:solidFill>
                </w14:textFill>
              </w:rPr>
              <w:t>3</w:t>
            </w:r>
            <w:r>
              <w:rPr>
                <w:rFonts w:cs="Times New Roman"/>
                <w:color w:val="000000" w:themeColor="text1"/>
                <w:sz w:val="21"/>
                <w:szCs w:val="20"/>
                <w14:textFill>
                  <w14:solidFill>
                    <w14:schemeClr w14:val="tx1"/>
                  </w14:solidFill>
                </w14:textFill>
              </w:rPr>
              <w:t>玻璃钢罐，酸化前三天运至现场暂存</w:t>
            </w:r>
          </w:p>
        </w:tc>
        <w:tc>
          <w:tcPr>
            <w:tcW w:w="1843"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油气集输工程</w:t>
            </w: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340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restart"/>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环保工程</w:t>
            </w:r>
          </w:p>
        </w:tc>
        <w:tc>
          <w:tcPr>
            <w:tcW w:w="832"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钻前工程</w:t>
            </w: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生活污水收集</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生活污水依托站场已建的厕所收集后由密闭罐车定期拉运至周边生活污水处理厂处理</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生活污水</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排污沟</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bookmarkStart w:id="98" w:name="_Hlk120127492"/>
            <w:bookmarkStart w:id="99" w:name="_Hlk117849023"/>
            <w:r>
              <w:rPr>
                <w:rFonts w:cs="Times New Roman"/>
                <w:color w:val="000000" w:themeColor="text1"/>
                <w:sz w:val="21"/>
                <w:szCs w:val="20"/>
                <w14:textFill>
                  <w14:solidFill>
                    <w14:schemeClr w14:val="tx1"/>
                  </w14:solidFill>
                </w14:textFill>
              </w:rPr>
              <w:t>井场采用雨污分流设计，新建排水沟。沿设备基础新建0.35m宽环状排污沟380m，放坡坡度i=0.2%</w:t>
            </w:r>
            <w:bookmarkEnd w:id="98"/>
            <w:r>
              <w:rPr>
                <w:rFonts w:cs="Times New Roman"/>
                <w:color w:val="000000" w:themeColor="text1"/>
                <w:sz w:val="21"/>
                <w:szCs w:val="20"/>
                <w14:textFill>
                  <w14:solidFill>
                    <w14:schemeClr w14:val="tx1"/>
                  </w14:solidFill>
                </w14:textFill>
              </w:rPr>
              <w:t>。污水沟放坡开始位置可根据现场做适当调整，但必须满足正常放坡和无倒流</w:t>
            </w:r>
            <w:bookmarkEnd w:id="99"/>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场地雨水</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生活垃圾收集</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生活垃圾设置垃圾桶集中收集，交由当地环卫部门处置</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生活垃圾</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钻井工程、储层改造工程</w:t>
            </w: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钻井废水暂存</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钻井废水全部回用于钻井补充泥浆的配置，完钻阶段钻井废水暂存在清洁生产操作平台的废水罐内，定期装车拉运至赵家坝污水处理站达标后管输至普光11井回注站回注</w:t>
            </w:r>
          </w:p>
        </w:tc>
        <w:tc>
          <w:tcPr>
            <w:tcW w:w="1843"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渗漏污染土壤、地下水、地表水环境</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钻井废水完井处置</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废水储存在废水罐（新建）中，定期装车拉运至赵家坝污水处理站（依托）处理达标后管输至普光11井回注站（依托）回注</w:t>
            </w:r>
          </w:p>
        </w:tc>
        <w:tc>
          <w:tcPr>
            <w:tcW w:w="1843"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新建+依托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施工粉尘</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硬化进出口并采取冲洗、洒水等措施控制扬尘</w:t>
            </w:r>
          </w:p>
        </w:tc>
        <w:tc>
          <w:tcPr>
            <w:tcW w:w="1843"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废气影响</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备用柴油发电机</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柴油机经自带尾气处理系统后经过自带排气筒排放</w:t>
            </w:r>
          </w:p>
        </w:tc>
        <w:tc>
          <w:tcPr>
            <w:tcW w:w="1843"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测试放喷废气</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放喷期间应临时撤离放喷口周边500m的居民</w:t>
            </w:r>
          </w:p>
        </w:tc>
        <w:tc>
          <w:tcPr>
            <w:tcW w:w="1843"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废水基泥浆及岩屑</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本项目采用清洁化操作平台，并采取泥浆不落地措施。项目产生的废弃泥浆与常规钻产生的废岩屑暂存于固废临时堆放区，及时转运至</w:t>
            </w:r>
            <w:r>
              <w:rPr>
                <w:rFonts w:hint="eastAsia" w:cs="Times New Roman"/>
                <w:color w:val="000000" w:themeColor="text1"/>
                <w:sz w:val="21"/>
                <w:szCs w:val="20"/>
                <w14:textFill>
                  <w14:solidFill>
                    <w14:schemeClr w14:val="tx1"/>
                  </w14:solidFill>
                </w14:textFill>
              </w:rPr>
              <w:t>达州地区环保手续齐全、环保设施稳定运行固废烧结厂进行烧结后综合利用</w:t>
            </w:r>
          </w:p>
        </w:tc>
        <w:tc>
          <w:tcPr>
            <w:tcW w:w="1843"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泄漏污染</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油基钻井废泥浆、岩屑</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如遇特殊地层，油基钻井废泥浆、岩屑暂存于新建的60m</w:t>
            </w:r>
            <w:r>
              <w:rPr>
                <w:rFonts w:cs="Times New Roman"/>
                <w:color w:val="000000" w:themeColor="text1"/>
                <w:sz w:val="21"/>
                <w:szCs w:val="20"/>
                <w:vertAlign w:val="superscript"/>
                <w14:textFill>
                  <w14:solidFill>
                    <w14:schemeClr w14:val="tx1"/>
                  </w14:solidFill>
                </w14:textFill>
              </w:rPr>
              <w:t>2</w:t>
            </w:r>
            <w:r>
              <w:rPr>
                <w:rFonts w:cs="Times New Roman"/>
                <w:color w:val="000000" w:themeColor="text1"/>
                <w:sz w:val="21"/>
                <w:szCs w:val="20"/>
                <w14:textFill>
                  <w14:solidFill>
                    <w14:schemeClr w14:val="tx1"/>
                  </w14:solidFill>
                </w14:textFill>
              </w:rPr>
              <w:t>危险废物暂存场所（采取必要的防风、防晒、防雨、防漏、防渗、防腐以及其他环境污染防治措施，不得露天堆放危险废物），泥浆和油基钻井岩屑及时后交由有资质的单位处置（如未使用油基钻井液则无需设置）</w:t>
            </w:r>
          </w:p>
        </w:tc>
        <w:tc>
          <w:tcPr>
            <w:tcW w:w="1843"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生活垃圾</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井场区域设1个垃圾箱，完工后外运交由环卫集中收集处置</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废油</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钻井机械保养维修产生的废油由回收桶收集，暂存于泥浆不落地装置区临时堆放区内，并采取防扬散、防流失、防渗漏或者其他防止污染环境的措施，设置围堰或托盘，完钻后交由有资质的单位处置</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泄漏污染</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噪声治理</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本项目周边已有完善的供电系统，采用网电，噪声较小；选用低噪声的施工机械和工艺，加强各类施工设备的维护和保养；对振动较大的固定机械设备加装基座减振</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生态保护</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依托放喷池，建挡墙，较小热辐射影响；对热辐射破坏的植被进行补偿</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生态恢复</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根据《土地管理法》规定相关地方规定对工程占地进行补偿</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817" w:hRule="atLeast"/>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环境风险</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泥浆储备罐罐区周边设置0.3m高围堰，容积10m</w:t>
            </w:r>
            <w:r>
              <w:rPr>
                <w:rFonts w:cs="Times New Roman"/>
                <w:color w:val="000000" w:themeColor="text1"/>
                <w:sz w:val="21"/>
                <w:szCs w:val="20"/>
                <w:vertAlign w:val="superscript"/>
                <w14:textFill>
                  <w14:solidFill>
                    <w14:schemeClr w14:val="tx1"/>
                  </w14:solidFill>
                </w14:textFill>
              </w:rPr>
              <w:t>3</w:t>
            </w:r>
            <w:r>
              <w:rPr>
                <w:rFonts w:cs="Times New Roman"/>
                <w:color w:val="000000" w:themeColor="text1"/>
                <w:sz w:val="21"/>
                <w:szCs w:val="20"/>
                <w14:textFill>
                  <w14:solidFill>
                    <w14:schemeClr w14:val="tx1"/>
                  </w14:solidFill>
                </w14:textFill>
              </w:rPr>
              <w:t>；柴油罐区周边设置0.3m高围堰，容积20m</w:t>
            </w:r>
            <w:r>
              <w:rPr>
                <w:rFonts w:cs="Times New Roman"/>
                <w:color w:val="000000" w:themeColor="text1"/>
                <w:sz w:val="21"/>
                <w:szCs w:val="20"/>
                <w:vertAlign w:val="superscript"/>
                <w14:textFill>
                  <w14:solidFill>
                    <w14:schemeClr w14:val="tx1"/>
                  </w14:solidFill>
                </w14:textFill>
              </w:rPr>
              <w:t>3</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渗漏污染土壤、地下水、地表水环境</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油气集输工程</w:t>
            </w:r>
          </w:p>
        </w:tc>
        <w:tc>
          <w:tcPr>
            <w:tcW w:w="992"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废水</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项目试采期初期来气直接气液混输P3011采气站内新建的临时分酸分离器进行脱水分离，分离后经新建酸液缓冲罐收集暂存，P301集气站内分离器出气田水排至P301集气站内已建的火炬分液罐暂存，然后通过密闭罐车拉运至赵家坝污水处理站达到《气田水回注方法》（SY/T 6596-2016）中注入水基本要求后管输至普光11井回注站回注处理，不外排。拟建工程不新增定员，不涉及值班人员生活废水</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废水</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依托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vMerge w:val="restart"/>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环境风险</w:t>
            </w: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事故放空：事故状态下站场内天然气通过依托P301集气站的放空火炬燃烧排放</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依托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vMerge w:val="continue"/>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3402" w:type="dxa"/>
            <w:tcBorders>
              <w:top w:val="single" w:color="auto" w:sz="6" w:space="0"/>
              <w:bottom w:val="single" w:color="auto" w:sz="6"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1"/>
                <w14:textFill>
                  <w14:solidFill>
                    <w14:schemeClr w14:val="tx1"/>
                  </w14:solidFill>
                </w14:textFill>
              </w:rPr>
              <w:t>项目建成后运行过程中风险依托现有设施、设备，应急预案依托项目所属的中国石油化工股份有限公司中原油田普光分公司编制的应急预案；需按相关要求对预案进行修订，将本项目纳入更新后的应急预案体系管理；同时本项目应单独编制应急预案并定期演练</w:t>
            </w:r>
          </w:p>
        </w:tc>
        <w:tc>
          <w:tcPr>
            <w:tcW w:w="1843" w:type="dxa"/>
            <w:tcBorders>
              <w:top w:val="single" w:color="auto" w:sz="6" w:space="0"/>
              <w:bottom w:val="single" w:color="auto" w:sz="6"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6"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新建+依托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81" w:type="dxa"/>
            <w:vMerge w:val="continue"/>
            <w:tcBorders>
              <w:top w:val="single" w:color="auto" w:sz="6" w:space="0"/>
              <w:left w:val="single" w:color="auto" w:sz="8" w:space="0"/>
              <w:bottom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832" w:type="dxa"/>
            <w:vMerge w:val="continue"/>
            <w:tcBorders>
              <w:top w:val="single" w:color="auto" w:sz="6" w:space="0"/>
              <w:bottom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p>
        </w:tc>
        <w:tc>
          <w:tcPr>
            <w:tcW w:w="992" w:type="dxa"/>
            <w:tcBorders>
              <w:top w:val="single" w:color="auto" w:sz="6" w:space="0"/>
              <w:bottom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生态保护</w:t>
            </w:r>
          </w:p>
        </w:tc>
        <w:tc>
          <w:tcPr>
            <w:tcW w:w="3402" w:type="dxa"/>
            <w:tcBorders>
              <w:top w:val="single" w:color="auto" w:sz="6" w:space="0"/>
              <w:bottom w:val="single" w:color="auto" w:sz="8" w:space="0"/>
            </w:tcBorders>
            <w:vAlign w:val="center"/>
          </w:tcPr>
          <w:p>
            <w:pPr>
              <w:widowControl/>
              <w:spacing w:line="240" w:lineRule="auto"/>
              <w:ind w:firstLine="0" w:firstLineChars="0"/>
              <w:jc w:val="left"/>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站场周边修建排水沟，进行绿化建设</w:t>
            </w:r>
          </w:p>
        </w:tc>
        <w:tc>
          <w:tcPr>
            <w:tcW w:w="1843" w:type="dxa"/>
            <w:tcBorders>
              <w:top w:val="single" w:color="auto" w:sz="6" w:space="0"/>
              <w:bottom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w:t>
            </w:r>
          </w:p>
        </w:tc>
        <w:tc>
          <w:tcPr>
            <w:tcW w:w="572" w:type="dxa"/>
            <w:tcBorders>
              <w:top w:val="single" w:color="auto" w:sz="6" w:space="0"/>
              <w:bottom w:val="single" w:color="auto" w:sz="8" w:space="0"/>
              <w:right w:val="single" w:color="auto" w:sz="8" w:space="0"/>
            </w:tcBorders>
            <w:vAlign w:val="center"/>
          </w:tcPr>
          <w:p>
            <w:pPr>
              <w:widowControl/>
              <w:spacing w:line="240" w:lineRule="auto"/>
              <w:ind w:firstLine="0" w:firstLineChars="0"/>
              <w:jc w:val="center"/>
              <w:textAlignment w:val="baseline"/>
              <w:rPr>
                <w:rFonts w:cs="Times New Roman"/>
                <w:color w:val="000000" w:themeColor="text1"/>
                <w:sz w:val="21"/>
                <w:szCs w:val="20"/>
                <w14:textFill>
                  <w14:solidFill>
                    <w14:schemeClr w14:val="tx1"/>
                  </w14:solidFill>
                </w14:textFill>
              </w:rPr>
            </w:pPr>
            <w:r>
              <w:rPr>
                <w:rFonts w:cs="Times New Roman"/>
                <w:color w:val="000000" w:themeColor="text1"/>
                <w:sz w:val="21"/>
                <w:szCs w:val="20"/>
                <w14:textFill>
                  <w14:solidFill>
                    <w14:schemeClr w14:val="tx1"/>
                  </w14:solidFill>
                </w14:textFill>
              </w:rPr>
              <w:t>新建</w:t>
            </w:r>
          </w:p>
        </w:tc>
      </w:tr>
    </w:tbl>
    <w:p>
      <w:pPr>
        <w:pStyle w:val="4"/>
        <w:ind w:firstLine="241"/>
        <w:rPr>
          <w:b w:val="0"/>
        </w:rPr>
      </w:pPr>
      <w:bookmarkStart w:id="100" w:name="_Toc120173102"/>
      <w:r>
        <w:rPr>
          <w:rFonts w:hint="eastAsia"/>
        </w:rPr>
        <w:t>3.2.4</w:t>
      </w:r>
      <w:r>
        <w:t>主要设备</w:t>
      </w:r>
      <w:bookmarkEnd w:id="100"/>
    </w:p>
    <w:p>
      <w:pPr>
        <w:autoSpaceDE w:val="0"/>
        <w:autoSpaceDN w:val="0"/>
        <w:ind w:firstLine="480"/>
        <w:textAlignment w:val="baseline"/>
        <w:rPr>
          <w:rFonts w:cs="Times New Roman"/>
          <w:color w:val="000000" w:themeColor="text1"/>
          <w:szCs w:val="24"/>
          <w14:textFill>
            <w14:solidFill>
              <w14:schemeClr w14:val="tx1"/>
            </w14:solidFill>
          </w14:textFill>
        </w:rPr>
      </w:pPr>
      <w:bookmarkStart w:id="101" w:name="3.2.5公用工程"/>
      <w:bookmarkEnd w:id="101"/>
      <w:bookmarkStart w:id="102" w:name="3.2.4总平面布置及其合理性分析"/>
      <w:bookmarkEnd w:id="102"/>
      <w:bookmarkStart w:id="103" w:name="3.2.3原辅材料及用量"/>
      <w:bookmarkEnd w:id="103"/>
      <w:r>
        <w:rPr>
          <w:rFonts w:cs="Times New Roman"/>
          <w:color w:val="000000" w:themeColor="text1"/>
          <w:szCs w:val="24"/>
          <w14:textFill>
            <w14:solidFill>
              <w14:schemeClr w14:val="tx1"/>
            </w14:solidFill>
          </w14:textFill>
        </w:rPr>
        <w:t>1、施工期</w:t>
      </w:r>
    </w:p>
    <w:p>
      <w:pPr>
        <w:autoSpaceDE w:val="0"/>
        <w:autoSpaceDN w:val="0"/>
        <w:ind w:firstLine="480"/>
        <w:textAlignment w:val="baseline"/>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根据项目所在地地层实际情况，本项目采用机械钻机，为ZJ70钻机，并配备顶驱装置。井架设备和井场监控自动化设备共用，泥浆钻井系统（含现场泥浆的调配、储存、循环以及钻井时的井控设施等）独立配置。项目钻、完井工程所用设备见3.2-8。</w:t>
      </w:r>
    </w:p>
    <w:p>
      <w:pPr>
        <w:pStyle w:val="95"/>
      </w:pPr>
      <w:bookmarkStart w:id="104" w:name="_Ref142593373"/>
      <w:r>
        <w:t>表</w:t>
      </w:r>
      <w:r>
        <w:fldChar w:fldCharType="begin"/>
      </w:r>
      <w:r>
        <w:instrText xml:space="preserve"> STYLEREF 2 \s </w:instrText>
      </w:r>
      <w:r>
        <w:fldChar w:fldCharType="separate"/>
      </w:r>
      <w:r>
        <w:t>3.2</w:t>
      </w:r>
      <w:r>
        <w:fldChar w:fldCharType="end"/>
      </w:r>
      <w:r>
        <w:noBreakHyphen/>
      </w:r>
      <w:bookmarkEnd w:id="104"/>
      <w:r>
        <w:t>8 本项目钻井工程所用主要设施一览表</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27"/>
        <w:gridCol w:w="2723"/>
        <w:gridCol w:w="2254"/>
        <w:gridCol w:w="1582"/>
        <w:gridCol w:w="94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1" w:hRule="atLeast"/>
          <w:tblHeader/>
          <w:jc w:val="center"/>
        </w:trPr>
        <w:tc>
          <w:tcPr>
            <w:tcW w:w="602" w:type="pct"/>
            <w:vMerge w:val="restart"/>
            <w:vAlign w:val="center"/>
          </w:tcPr>
          <w:p>
            <w:pPr>
              <w:pStyle w:val="294"/>
            </w:pPr>
            <w:r>
              <w:t>序号</w:t>
            </w:r>
          </w:p>
        </w:tc>
        <w:tc>
          <w:tcPr>
            <w:tcW w:w="1597" w:type="pct"/>
            <w:vMerge w:val="restart"/>
            <w:vAlign w:val="center"/>
          </w:tcPr>
          <w:p>
            <w:pPr>
              <w:pStyle w:val="294"/>
            </w:pPr>
            <w:r>
              <w:t>设备或部件名称</w:t>
            </w:r>
          </w:p>
        </w:tc>
        <w:tc>
          <w:tcPr>
            <w:tcW w:w="1322" w:type="pct"/>
            <w:vMerge w:val="restart"/>
            <w:vAlign w:val="center"/>
          </w:tcPr>
          <w:p>
            <w:pPr>
              <w:pStyle w:val="294"/>
            </w:pPr>
            <w:r>
              <w:t>规格型号</w:t>
            </w:r>
          </w:p>
        </w:tc>
        <w:tc>
          <w:tcPr>
            <w:tcW w:w="928" w:type="pct"/>
            <w:vMerge w:val="restart"/>
            <w:vAlign w:val="center"/>
          </w:tcPr>
          <w:p>
            <w:pPr>
              <w:pStyle w:val="294"/>
            </w:pPr>
            <w:r>
              <w:t>主参数</w:t>
            </w:r>
          </w:p>
        </w:tc>
        <w:tc>
          <w:tcPr>
            <w:tcW w:w="551" w:type="pct"/>
            <w:vMerge w:val="restart"/>
            <w:vAlign w:val="center"/>
          </w:tcPr>
          <w:p>
            <w:pPr>
              <w:pStyle w:val="294"/>
            </w:pPr>
            <w:r>
              <w:t>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1" w:hRule="atLeast"/>
          <w:tblHeader/>
          <w:jc w:val="center"/>
        </w:trPr>
        <w:tc>
          <w:tcPr>
            <w:tcW w:w="602" w:type="pct"/>
            <w:vMerge w:val="continue"/>
            <w:vAlign w:val="center"/>
          </w:tcPr>
          <w:p>
            <w:pPr>
              <w:pStyle w:val="294"/>
            </w:pPr>
          </w:p>
        </w:tc>
        <w:tc>
          <w:tcPr>
            <w:tcW w:w="1597" w:type="pct"/>
            <w:vMerge w:val="continue"/>
            <w:vAlign w:val="center"/>
          </w:tcPr>
          <w:p>
            <w:pPr>
              <w:pStyle w:val="294"/>
            </w:pPr>
          </w:p>
        </w:tc>
        <w:tc>
          <w:tcPr>
            <w:tcW w:w="1322" w:type="pct"/>
            <w:vMerge w:val="continue"/>
            <w:vAlign w:val="center"/>
          </w:tcPr>
          <w:p>
            <w:pPr>
              <w:pStyle w:val="294"/>
            </w:pPr>
          </w:p>
        </w:tc>
        <w:tc>
          <w:tcPr>
            <w:tcW w:w="928" w:type="pct"/>
            <w:vMerge w:val="continue"/>
            <w:vAlign w:val="center"/>
          </w:tcPr>
          <w:p>
            <w:pPr>
              <w:pStyle w:val="294"/>
            </w:pPr>
          </w:p>
        </w:tc>
        <w:tc>
          <w:tcPr>
            <w:tcW w:w="551" w:type="pct"/>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一</w:t>
            </w:r>
          </w:p>
        </w:tc>
        <w:tc>
          <w:tcPr>
            <w:tcW w:w="4398" w:type="pct"/>
            <w:gridSpan w:val="4"/>
            <w:vAlign w:val="center"/>
          </w:tcPr>
          <w:p>
            <w:pPr>
              <w:pStyle w:val="294"/>
            </w:pPr>
            <w:r>
              <w:t>钻井设备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602" w:type="pct"/>
            <w:vAlign w:val="center"/>
          </w:tcPr>
          <w:p>
            <w:pPr>
              <w:pStyle w:val="294"/>
            </w:pPr>
            <w:r>
              <w:t>1</w:t>
            </w:r>
          </w:p>
        </w:tc>
        <w:tc>
          <w:tcPr>
            <w:tcW w:w="1597" w:type="pct"/>
            <w:vAlign w:val="center"/>
          </w:tcPr>
          <w:p>
            <w:pPr>
              <w:pStyle w:val="294"/>
            </w:pPr>
            <w:r>
              <w:t>电动钻机</w:t>
            </w:r>
          </w:p>
        </w:tc>
        <w:tc>
          <w:tcPr>
            <w:tcW w:w="1322" w:type="pct"/>
            <w:vAlign w:val="center"/>
          </w:tcPr>
          <w:p>
            <w:pPr>
              <w:pStyle w:val="294"/>
            </w:pPr>
            <w:r>
              <w:t>ZJ70</w:t>
            </w:r>
          </w:p>
        </w:tc>
        <w:tc>
          <w:tcPr>
            <w:tcW w:w="928" w:type="pct"/>
            <w:vAlign w:val="center"/>
          </w:tcPr>
          <w:p>
            <w:pPr>
              <w:pStyle w:val="294"/>
            </w:pPr>
            <w:r>
              <w:t>4500kN</w:t>
            </w:r>
          </w:p>
        </w:tc>
        <w:tc>
          <w:tcPr>
            <w:tcW w:w="551" w:type="pct"/>
            <w:vAlign w:val="center"/>
          </w:tcPr>
          <w:p>
            <w:pPr>
              <w:pStyle w:val="294"/>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2</w:t>
            </w:r>
          </w:p>
        </w:tc>
        <w:tc>
          <w:tcPr>
            <w:tcW w:w="1597" w:type="pct"/>
            <w:vAlign w:val="center"/>
          </w:tcPr>
          <w:p>
            <w:pPr>
              <w:pStyle w:val="294"/>
            </w:pPr>
            <w:r>
              <w:t>井架</w:t>
            </w:r>
          </w:p>
        </w:tc>
        <w:tc>
          <w:tcPr>
            <w:tcW w:w="1322" w:type="pct"/>
            <w:vAlign w:val="center"/>
          </w:tcPr>
          <w:p>
            <w:pPr>
              <w:pStyle w:val="294"/>
            </w:pPr>
            <w:r>
              <w:t>JJ315/45-K</w:t>
            </w:r>
          </w:p>
        </w:tc>
        <w:tc>
          <w:tcPr>
            <w:tcW w:w="928" w:type="pct"/>
            <w:vAlign w:val="center"/>
          </w:tcPr>
          <w:p>
            <w:pPr>
              <w:pStyle w:val="294"/>
            </w:pPr>
            <w:r>
              <w:t>4500kN</w:t>
            </w:r>
          </w:p>
        </w:tc>
        <w:tc>
          <w:tcPr>
            <w:tcW w:w="551" w:type="pct"/>
          </w:tcPr>
          <w:p>
            <w:pPr>
              <w:pStyle w:val="294"/>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602" w:type="pct"/>
            <w:vAlign w:val="center"/>
          </w:tcPr>
          <w:p>
            <w:pPr>
              <w:pStyle w:val="294"/>
            </w:pPr>
            <w:r>
              <w:t>3</w:t>
            </w:r>
          </w:p>
        </w:tc>
        <w:tc>
          <w:tcPr>
            <w:tcW w:w="1597" w:type="pct"/>
            <w:vAlign w:val="center"/>
          </w:tcPr>
          <w:p>
            <w:pPr>
              <w:pStyle w:val="294"/>
            </w:pPr>
            <w:r>
              <w:t>底座</w:t>
            </w:r>
          </w:p>
        </w:tc>
        <w:tc>
          <w:tcPr>
            <w:tcW w:w="1322" w:type="pct"/>
            <w:vAlign w:val="center"/>
          </w:tcPr>
          <w:p>
            <w:pPr>
              <w:pStyle w:val="294"/>
            </w:pPr>
            <w:r>
              <w:t>底座9.1m</w:t>
            </w:r>
          </w:p>
        </w:tc>
        <w:tc>
          <w:tcPr>
            <w:tcW w:w="928" w:type="pct"/>
            <w:vAlign w:val="center"/>
          </w:tcPr>
          <w:p>
            <w:pPr>
              <w:pStyle w:val="294"/>
            </w:pPr>
            <w:r>
              <w:t>3150kN</w:t>
            </w:r>
          </w:p>
        </w:tc>
        <w:tc>
          <w:tcPr>
            <w:tcW w:w="551" w:type="pct"/>
          </w:tcPr>
          <w:p>
            <w:pPr>
              <w:pStyle w:val="294"/>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4</w:t>
            </w:r>
          </w:p>
        </w:tc>
        <w:tc>
          <w:tcPr>
            <w:tcW w:w="1597" w:type="pct"/>
            <w:vAlign w:val="center"/>
          </w:tcPr>
          <w:p>
            <w:pPr>
              <w:pStyle w:val="294"/>
            </w:pPr>
            <w:r>
              <w:t>绞车</w:t>
            </w:r>
          </w:p>
        </w:tc>
        <w:tc>
          <w:tcPr>
            <w:tcW w:w="1322" w:type="pct"/>
            <w:vAlign w:val="center"/>
          </w:tcPr>
          <w:p>
            <w:pPr>
              <w:pStyle w:val="294"/>
            </w:pPr>
            <w:r>
              <w:t>/</w:t>
            </w:r>
          </w:p>
        </w:tc>
        <w:tc>
          <w:tcPr>
            <w:tcW w:w="928" w:type="pct"/>
            <w:vAlign w:val="center"/>
          </w:tcPr>
          <w:p>
            <w:pPr>
              <w:pStyle w:val="294"/>
            </w:pPr>
            <w:r>
              <w:t>1470kW</w:t>
            </w:r>
          </w:p>
        </w:tc>
        <w:tc>
          <w:tcPr>
            <w:tcW w:w="551" w:type="pct"/>
          </w:tcPr>
          <w:p>
            <w:pPr>
              <w:pStyle w:val="294"/>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602" w:type="pct"/>
            <w:vAlign w:val="center"/>
          </w:tcPr>
          <w:p>
            <w:pPr>
              <w:pStyle w:val="294"/>
            </w:pPr>
            <w:r>
              <w:t>5</w:t>
            </w:r>
          </w:p>
        </w:tc>
        <w:tc>
          <w:tcPr>
            <w:tcW w:w="1597" w:type="pct"/>
            <w:vAlign w:val="center"/>
          </w:tcPr>
          <w:p>
            <w:pPr>
              <w:pStyle w:val="294"/>
            </w:pPr>
            <w:r>
              <w:t>天车</w:t>
            </w:r>
          </w:p>
        </w:tc>
        <w:tc>
          <w:tcPr>
            <w:tcW w:w="1322" w:type="pct"/>
            <w:vAlign w:val="center"/>
          </w:tcPr>
          <w:p>
            <w:pPr>
              <w:pStyle w:val="294"/>
            </w:pPr>
            <w:r>
              <w:t>TC-450</w:t>
            </w:r>
          </w:p>
        </w:tc>
        <w:tc>
          <w:tcPr>
            <w:tcW w:w="928" w:type="pct"/>
            <w:vAlign w:val="center"/>
          </w:tcPr>
          <w:p>
            <w:pPr>
              <w:pStyle w:val="294"/>
            </w:pPr>
            <w:r>
              <w:t>4500kN</w:t>
            </w:r>
          </w:p>
        </w:tc>
        <w:tc>
          <w:tcPr>
            <w:tcW w:w="551" w:type="pct"/>
          </w:tcPr>
          <w:p>
            <w:pPr>
              <w:pStyle w:val="294"/>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6</w:t>
            </w:r>
          </w:p>
        </w:tc>
        <w:tc>
          <w:tcPr>
            <w:tcW w:w="1597" w:type="pct"/>
            <w:vAlign w:val="center"/>
          </w:tcPr>
          <w:p>
            <w:pPr>
              <w:pStyle w:val="294"/>
            </w:pPr>
            <w:r>
              <w:t>游动滑车</w:t>
            </w:r>
          </w:p>
        </w:tc>
        <w:tc>
          <w:tcPr>
            <w:tcW w:w="1322" w:type="pct"/>
            <w:vAlign w:val="center"/>
          </w:tcPr>
          <w:p>
            <w:pPr>
              <w:pStyle w:val="294"/>
            </w:pPr>
            <w:r>
              <w:t>YC-450</w:t>
            </w:r>
          </w:p>
        </w:tc>
        <w:tc>
          <w:tcPr>
            <w:tcW w:w="928" w:type="pct"/>
            <w:vAlign w:val="center"/>
          </w:tcPr>
          <w:p>
            <w:pPr>
              <w:pStyle w:val="294"/>
            </w:pPr>
            <w:r>
              <w:t>4500kN</w:t>
            </w:r>
          </w:p>
        </w:tc>
        <w:tc>
          <w:tcPr>
            <w:tcW w:w="551" w:type="pct"/>
          </w:tcPr>
          <w:p>
            <w:pPr>
              <w:pStyle w:val="294"/>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602" w:type="pct"/>
            <w:vAlign w:val="center"/>
          </w:tcPr>
          <w:p>
            <w:pPr>
              <w:pStyle w:val="294"/>
            </w:pPr>
            <w:r>
              <w:t>7</w:t>
            </w:r>
          </w:p>
        </w:tc>
        <w:tc>
          <w:tcPr>
            <w:tcW w:w="1597" w:type="pct"/>
            <w:vAlign w:val="center"/>
          </w:tcPr>
          <w:p>
            <w:pPr>
              <w:pStyle w:val="294"/>
            </w:pPr>
            <w:r>
              <w:t>大钩</w:t>
            </w:r>
          </w:p>
        </w:tc>
        <w:tc>
          <w:tcPr>
            <w:tcW w:w="1322" w:type="pct"/>
            <w:vAlign w:val="center"/>
          </w:tcPr>
          <w:p>
            <w:pPr>
              <w:pStyle w:val="294"/>
            </w:pPr>
            <w:r>
              <w:t>DG-450</w:t>
            </w:r>
          </w:p>
        </w:tc>
        <w:tc>
          <w:tcPr>
            <w:tcW w:w="928" w:type="pct"/>
            <w:vAlign w:val="center"/>
          </w:tcPr>
          <w:p>
            <w:pPr>
              <w:pStyle w:val="294"/>
            </w:pPr>
            <w:r>
              <w:t>4500kN</w:t>
            </w:r>
          </w:p>
        </w:tc>
        <w:tc>
          <w:tcPr>
            <w:tcW w:w="551" w:type="pct"/>
          </w:tcPr>
          <w:p>
            <w:pPr>
              <w:pStyle w:val="294"/>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8</w:t>
            </w:r>
          </w:p>
        </w:tc>
        <w:tc>
          <w:tcPr>
            <w:tcW w:w="1597" w:type="pct"/>
            <w:vAlign w:val="center"/>
          </w:tcPr>
          <w:p>
            <w:pPr>
              <w:pStyle w:val="294"/>
            </w:pPr>
            <w:r>
              <w:t>水龙头</w:t>
            </w:r>
          </w:p>
        </w:tc>
        <w:tc>
          <w:tcPr>
            <w:tcW w:w="1322" w:type="pct"/>
            <w:vAlign w:val="center"/>
          </w:tcPr>
          <w:p>
            <w:pPr>
              <w:pStyle w:val="294"/>
            </w:pPr>
            <w:r>
              <w:t>SL-450</w:t>
            </w:r>
          </w:p>
        </w:tc>
        <w:tc>
          <w:tcPr>
            <w:tcW w:w="928" w:type="pct"/>
            <w:vAlign w:val="center"/>
          </w:tcPr>
          <w:p>
            <w:pPr>
              <w:pStyle w:val="294"/>
            </w:pPr>
            <w:r>
              <w:t>4500kN</w:t>
            </w:r>
          </w:p>
        </w:tc>
        <w:tc>
          <w:tcPr>
            <w:tcW w:w="551" w:type="pct"/>
          </w:tcPr>
          <w:p>
            <w:pPr>
              <w:pStyle w:val="294"/>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602" w:type="pct"/>
            <w:vAlign w:val="center"/>
          </w:tcPr>
          <w:p>
            <w:pPr>
              <w:pStyle w:val="294"/>
            </w:pPr>
            <w:r>
              <w:t>9</w:t>
            </w:r>
          </w:p>
        </w:tc>
        <w:tc>
          <w:tcPr>
            <w:tcW w:w="1597" w:type="pct"/>
            <w:vAlign w:val="center"/>
          </w:tcPr>
          <w:p>
            <w:pPr>
              <w:pStyle w:val="294"/>
            </w:pPr>
            <w:r>
              <w:t>顶驱</w:t>
            </w:r>
          </w:p>
        </w:tc>
        <w:tc>
          <w:tcPr>
            <w:tcW w:w="1322" w:type="pct"/>
            <w:vAlign w:val="center"/>
          </w:tcPr>
          <w:p>
            <w:pPr>
              <w:pStyle w:val="294"/>
            </w:pPr>
            <w:r>
              <w:t>DQ-450</w:t>
            </w:r>
          </w:p>
        </w:tc>
        <w:tc>
          <w:tcPr>
            <w:tcW w:w="928" w:type="pct"/>
            <w:vAlign w:val="center"/>
          </w:tcPr>
          <w:p>
            <w:pPr>
              <w:pStyle w:val="294"/>
            </w:pPr>
            <w:r>
              <w:t>4500kN</w:t>
            </w:r>
          </w:p>
        </w:tc>
        <w:tc>
          <w:tcPr>
            <w:tcW w:w="551" w:type="pct"/>
          </w:tcPr>
          <w:p>
            <w:pPr>
              <w:pStyle w:val="294"/>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10</w:t>
            </w:r>
          </w:p>
        </w:tc>
        <w:tc>
          <w:tcPr>
            <w:tcW w:w="1597" w:type="pct"/>
            <w:vAlign w:val="center"/>
          </w:tcPr>
          <w:p>
            <w:pPr>
              <w:pStyle w:val="294"/>
              <w:rPr>
                <w:color w:val="000000" w:themeColor="text1"/>
                <w14:textFill>
                  <w14:solidFill>
                    <w14:schemeClr w14:val="tx1"/>
                  </w14:solidFill>
                </w14:textFill>
              </w:rPr>
            </w:pPr>
            <w:r>
              <w:t>电磁刹车</w:t>
            </w:r>
          </w:p>
        </w:tc>
        <w:tc>
          <w:tcPr>
            <w:tcW w:w="1322" w:type="pct"/>
            <w:vAlign w:val="center"/>
          </w:tcPr>
          <w:p>
            <w:pPr>
              <w:pStyle w:val="294"/>
            </w:pPr>
            <w:r>
              <w:t>/</w:t>
            </w:r>
          </w:p>
        </w:tc>
        <w:tc>
          <w:tcPr>
            <w:tcW w:w="928" w:type="pct"/>
            <w:vAlign w:val="center"/>
          </w:tcPr>
          <w:p>
            <w:pPr>
              <w:pStyle w:val="294"/>
            </w:pPr>
            <w:r>
              <w:t>/</w:t>
            </w:r>
          </w:p>
        </w:tc>
        <w:tc>
          <w:tcPr>
            <w:tcW w:w="551" w:type="pct"/>
          </w:tcPr>
          <w:p>
            <w:pPr>
              <w:pStyle w:val="294"/>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11</w:t>
            </w:r>
          </w:p>
        </w:tc>
        <w:tc>
          <w:tcPr>
            <w:tcW w:w="1597" w:type="pct"/>
            <w:vAlign w:val="center"/>
          </w:tcPr>
          <w:p>
            <w:pPr>
              <w:pStyle w:val="294"/>
              <w:rPr>
                <w:color w:val="000000" w:themeColor="text1"/>
                <w14:textFill>
                  <w14:solidFill>
                    <w14:schemeClr w14:val="tx1"/>
                  </w14:solidFill>
                </w14:textFill>
              </w:rPr>
            </w:pPr>
            <w:r>
              <w:t>钻井泵</w:t>
            </w:r>
          </w:p>
        </w:tc>
        <w:tc>
          <w:tcPr>
            <w:tcW w:w="1322" w:type="pct"/>
            <w:vAlign w:val="center"/>
          </w:tcPr>
          <w:p>
            <w:pPr>
              <w:pStyle w:val="294"/>
            </w:pPr>
            <w:r>
              <w:t>F-1600</w:t>
            </w:r>
          </w:p>
        </w:tc>
        <w:tc>
          <w:tcPr>
            <w:tcW w:w="928" w:type="pct"/>
            <w:vAlign w:val="center"/>
          </w:tcPr>
          <w:p>
            <w:pPr>
              <w:pStyle w:val="294"/>
            </w:pPr>
            <w:r>
              <w:t>1193 kW</w:t>
            </w:r>
          </w:p>
        </w:tc>
        <w:tc>
          <w:tcPr>
            <w:tcW w:w="551" w:type="pct"/>
          </w:tcPr>
          <w:p>
            <w:pPr>
              <w:pStyle w:val="294"/>
            </w:pPr>
            <w: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12</w:t>
            </w:r>
          </w:p>
        </w:tc>
        <w:tc>
          <w:tcPr>
            <w:tcW w:w="1597" w:type="pct"/>
            <w:vAlign w:val="center"/>
          </w:tcPr>
          <w:p>
            <w:pPr>
              <w:pStyle w:val="294"/>
            </w:pPr>
            <w:r>
              <w:t>柴油机</w:t>
            </w:r>
          </w:p>
        </w:tc>
        <w:tc>
          <w:tcPr>
            <w:tcW w:w="1322" w:type="pct"/>
            <w:vAlign w:val="center"/>
          </w:tcPr>
          <w:p>
            <w:pPr>
              <w:pStyle w:val="294"/>
            </w:pPr>
            <w:r>
              <w:t>PZ12V190B</w:t>
            </w:r>
          </w:p>
        </w:tc>
        <w:tc>
          <w:tcPr>
            <w:tcW w:w="928" w:type="pct"/>
            <w:vAlign w:val="center"/>
          </w:tcPr>
          <w:p>
            <w:pPr>
              <w:pStyle w:val="294"/>
            </w:pPr>
            <w:r>
              <w:t>1320kW</w:t>
            </w:r>
          </w:p>
        </w:tc>
        <w:tc>
          <w:tcPr>
            <w:tcW w:w="551" w:type="pct"/>
          </w:tcPr>
          <w:p>
            <w:pPr>
              <w:pStyle w:val="294"/>
            </w:pPr>
            <w: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602" w:type="pct"/>
            <w:vAlign w:val="center"/>
          </w:tcPr>
          <w:p>
            <w:pPr>
              <w:pStyle w:val="294"/>
            </w:pPr>
            <w:r>
              <w:t>13</w:t>
            </w:r>
          </w:p>
        </w:tc>
        <w:tc>
          <w:tcPr>
            <w:tcW w:w="1597" w:type="pct"/>
            <w:vAlign w:val="center"/>
          </w:tcPr>
          <w:p>
            <w:pPr>
              <w:pStyle w:val="294"/>
            </w:pPr>
            <w:r>
              <w:t>发电机</w:t>
            </w:r>
          </w:p>
        </w:tc>
        <w:tc>
          <w:tcPr>
            <w:tcW w:w="1322" w:type="pct"/>
            <w:vAlign w:val="center"/>
          </w:tcPr>
          <w:p>
            <w:pPr>
              <w:pStyle w:val="294"/>
            </w:pPr>
            <w:r>
              <w:t>8V190B</w:t>
            </w:r>
          </w:p>
        </w:tc>
        <w:tc>
          <w:tcPr>
            <w:tcW w:w="928" w:type="pct"/>
            <w:vAlign w:val="center"/>
          </w:tcPr>
          <w:p>
            <w:pPr>
              <w:pStyle w:val="294"/>
            </w:pPr>
            <w:r>
              <w:t>320kW</w:t>
            </w:r>
          </w:p>
        </w:tc>
        <w:tc>
          <w:tcPr>
            <w:tcW w:w="551" w:type="pct"/>
          </w:tcPr>
          <w:p>
            <w:pPr>
              <w:pStyle w:val="294"/>
            </w:pPr>
            <w: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14</w:t>
            </w:r>
          </w:p>
        </w:tc>
        <w:tc>
          <w:tcPr>
            <w:tcW w:w="1597" w:type="pct"/>
            <w:vAlign w:val="center"/>
          </w:tcPr>
          <w:p>
            <w:pPr>
              <w:pStyle w:val="294"/>
              <w:rPr>
                <w:color w:val="000000" w:themeColor="text1"/>
                <w14:textFill>
                  <w14:solidFill>
                    <w14:schemeClr w14:val="tx1"/>
                  </w14:solidFill>
                </w14:textFill>
              </w:rPr>
            </w:pPr>
            <w:r>
              <w:t>双闸板防喷器</w:t>
            </w:r>
          </w:p>
        </w:tc>
        <w:tc>
          <w:tcPr>
            <w:tcW w:w="1322" w:type="pct"/>
            <w:vAlign w:val="center"/>
          </w:tcPr>
          <w:p>
            <w:pPr>
              <w:pStyle w:val="294"/>
            </w:pPr>
            <w:r>
              <w:t>/</w:t>
            </w:r>
          </w:p>
        </w:tc>
        <w:tc>
          <w:tcPr>
            <w:tcW w:w="928" w:type="pct"/>
            <w:vAlign w:val="center"/>
          </w:tcPr>
          <w:p>
            <w:pPr>
              <w:pStyle w:val="294"/>
              <w:rPr>
                <w:color w:val="000000" w:themeColor="text1"/>
                <w14:textFill>
                  <w14:solidFill>
                    <w14:schemeClr w14:val="tx1"/>
                  </w14:solidFill>
                </w14:textFill>
              </w:rPr>
            </w:pPr>
            <w:r>
              <w:t>70 MPa</w:t>
            </w:r>
          </w:p>
        </w:tc>
        <w:tc>
          <w:tcPr>
            <w:tcW w:w="551" w:type="pct"/>
            <w:vAlign w:val="center"/>
          </w:tcPr>
          <w:p>
            <w:pPr>
              <w:pStyle w:val="294"/>
              <w:rPr>
                <w:color w:val="000000" w:themeColor="text1"/>
                <w14:textFill>
                  <w14:solidFill>
                    <w14:schemeClr w14:val="tx1"/>
                  </w14:solidFill>
                </w14:textFill>
              </w:rPr>
            </w:pPr>
            <w: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15</w:t>
            </w:r>
          </w:p>
        </w:tc>
        <w:tc>
          <w:tcPr>
            <w:tcW w:w="1597" w:type="pct"/>
            <w:vAlign w:val="center"/>
          </w:tcPr>
          <w:p>
            <w:pPr>
              <w:pStyle w:val="294"/>
            </w:pPr>
            <w:r>
              <w:t>环型防喷器</w:t>
            </w:r>
          </w:p>
        </w:tc>
        <w:tc>
          <w:tcPr>
            <w:tcW w:w="1322" w:type="pct"/>
            <w:vAlign w:val="center"/>
          </w:tcPr>
          <w:p>
            <w:pPr>
              <w:pStyle w:val="294"/>
            </w:pPr>
            <w:r>
              <w:t>/</w:t>
            </w:r>
          </w:p>
        </w:tc>
        <w:tc>
          <w:tcPr>
            <w:tcW w:w="928" w:type="pct"/>
            <w:vAlign w:val="center"/>
          </w:tcPr>
          <w:p>
            <w:pPr>
              <w:pStyle w:val="294"/>
              <w:rPr>
                <w:color w:val="000000" w:themeColor="text1"/>
                <w14:textFill>
                  <w14:solidFill>
                    <w14:schemeClr w14:val="tx1"/>
                  </w14:solidFill>
                </w14:textFill>
              </w:rPr>
            </w:pPr>
            <w:r>
              <w:t>35 MPa</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16</w:t>
            </w:r>
          </w:p>
        </w:tc>
        <w:tc>
          <w:tcPr>
            <w:tcW w:w="1597" w:type="pct"/>
            <w:vAlign w:val="center"/>
          </w:tcPr>
          <w:p>
            <w:pPr>
              <w:pStyle w:val="294"/>
            </w:pPr>
            <w:r>
              <w:t>旋转防喷器</w:t>
            </w:r>
          </w:p>
        </w:tc>
        <w:tc>
          <w:tcPr>
            <w:tcW w:w="1322" w:type="pct"/>
            <w:vAlign w:val="center"/>
          </w:tcPr>
          <w:p>
            <w:pPr>
              <w:pStyle w:val="294"/>
            </w:pPr>
            <w:r>
              <w:t>FX54-7.5/14</w:t>
            </w:r>
          </w:p>
        </w:tc>
        <w:tc>
          <w:tcPr>
            <w:tcW w:w="928" w:type="pct"/>
            <w:vAlign w:val="center"/>
          </w:tcPr>
          <w:p>
            <w:pPr>
              <w:pStyle w:val="294"/>
              <w:rPr>
                <w:color w:val="000000" w:themeColor="text1"/>
                <w14:textFill>
                  <w14:solidFill>
                    <w14:schemeClr w14:val="tx1"/>
                  </w14:solidFill>
                </w14:textFill>
              </w:rPr>
            </w:pPr>
            <w:r>
              <w:t>7.5/14</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17</w:t>
            </w:r>
          </w:p>
        </w:tc>
        <w:tc>
          <w:tcPr>
            <w:tcW w:w="1597" w:type="pct"/>
            <w:vAlign w:val="center"/>
          </w:tcPr>
          <w:p>
            <w:pPr>
              <w:pStyle w:val="294"/>
            </w:pPr>
            <w:r>
              <w:t>旋转防喷器</w:t>
            </w:r>
          </w:p>
        </w:tc>
        <w:tc>
          <w:tcPr>
            <w:tcW w:w="1322" w:type="pct"/>
            <w:vAlign w:val="center"/>
          </w:tcPr>
          <w:p>
            <w:pPr>
              <w:pStyle w:val="294"/>
            </w:pPr>
            <w:r>
              <w:t>FX35-17.5/35</w:t>
            </w:r>
          </w:p>
        </w:tc>
        <w:tc>
          <w:tcPr>
            <w:tcW w:w="928" w:type="pct"/>
            <w:vAlign w:val="center"/>
          </w:tcPr>
          <w:p>
            <w:pPr>
              <w:pStyle w:val="294"/>
              <w:rPr>
                <w:color w:val="000000" w:themeColor="text1"/>
                <w14:textFill>
                  <w14:solidFill>
                    <w14:schemeClr w14:val="tx1"/>
                  </w14:solidFill>
                </w14:textFill>
              </w:rPr>
            </w:pPr>
            <w:r>
              <w:t>17.5/35</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18</w:t>
            </w:r>
          </w:p>
        </w:tc>
        <w:tc>
          <w:tcPr>
            <w:tcW w:w="1597" w:type="pct"/>
            <w:vAlign w:val="center"/>
          </w:tcPr>
          <w:p>
            <w:pPr>
              <w:pStyle w:val="294"/>
            </w:pPr>
            <w:r>
              <w:t>压井管汇</w:t>
            </w:r>
          </w:p>
        </w:tc>
        <w:tc>
          <w:tcPr>
            <w:tcW w:w="1322" w:type="pct"/>
            <w:vAlign w:val="center"/>
          </w:tcPr>
          <w:p>
            <w:pPr>
              <w:pStyle w:val="294"/>
            </w:pPr>
            <w:r>
              <w:t>/</w:t>
            </w:r>
          </w:p>
        </w:tc>
        <w:tc>
          <w:tcPr>
            <w:tcW w:w="928" w:type="pct"/>
            <w:vAlign w:val="center"/>
          </w:tcPr>
          <w:p>
            <w:pPr>
              <w:pStyle w:val="294"/>
              <w:rPr>
                <w:color w:val="000000" w:themeColor="text1"/>
                <w14:textFill>
                  <w14:solidFill>
                    <w14:schemeClr w14:val="tx1"/>
                  </w14:solidFill>
                </w14:textFill>
              </w:rPr>
            </w:pPr>
            <w:r>
              <w:t>70 MPa</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19</w:t>
            </w:r>
          </w:p>
        </w:tc>
        <w:tc>
          <w:tcPr>
            <w:tcW w:w="1597" w:type="pct"/>
            <w:vAlign w:val="center"/>
          </w:tcPr>
          <w:p>
            <w:pPr>
              <w:pStyle w:val="294"/>
            </w:pPr>
            <w:r>
              <w:t>节流管汇</w:t>
            </w:r>
          </w:p>
        </w:tc>
        <w:tc>
          <w:tcPr>
            <w:tcW w:w="1322" w:type="pct"/>
            <w:vAlign w:val="center"/>
          </w:tcPr>
          <w:p>
            <w:pPr>
              <w:pStyle w:val="294"/>
            </w:pPr>
            <w:r>
              <w:t>/</w:t>
            </w:r>
          </w:p>
        </w:tc>
        <w:tc>
          <w:tcPr>
            <w:tcW w:w="928" w:type="pct"/>
            <w:vAlign w:val="center"/>
          </w:tcPr>
          <w:p>
            <w:pPr>
              <w:pStyle w:val="294"/>
              <w:rPr>
                <w:color w:val="000000" w:themeColor="text1"/>
                <w14:textFill>
                  <w14:solidFill>
                    <w14:schemeClr w14:val="tx1"/>
                  </w14:solidFill>
                </w14:textFill>
              </w:rPr>
            </w:pPr>
            <w:r>
              <w:t>70 MPa</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20</w:t>
            </w:r>
          </w:p>
        </w:tc>
        <w:tc>
          <w:tcPr>
            <w:tcW w:w="1597" w:type="pct"/>
            <w:vAlign w:val="center"/>
          </w:tcPr>
          <w:p>
            <w:pPr>
              <w:pStyle w:val="294"/>
            </w:pPr>
            <w:r>
              <w:t>液气分离器</w:t>
            </w:r>
          </w:p>
        </w:tc>
        <w:tc>
          <w:tcPr>
            <w:tcW w:w="1322" w:type="pct"/>
            <w:vAlign w:val="center"/>
          </w:tcPr>
          <w:p>
            <w:pPr>
              <w:pStyle w:val="294"/>
            </w:pPr>
            <w:r>
              <w:t>/</w:t>
            </w:r>
          </w:p>
        </w:tc>
        <w:tc>
          <w:tcPr>
            <w:tcW w:w="928" w:type="pct"/>
            <w:vAlign w:val="center"/>
          </w:tcPr>
          <w:p>
            <w:pPr>
              <w:pStyle w:val="294"/>
            </w:pPr>
            <w:r>
              <w:t>/</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21</w:t>
            </w:r>
          </w:p>
        </w:tc>
        <w:tc>
          <w:tcPr>
            <w:tcW w:w="1597" w:type="pct"/>
            <w:vAlign w:val="center"/>
          </w:tcPr>
          <w:p>
            <w:pPr>
              <w:pStyle w:val="294"/>
            </w:pPr>
            <w:r>
              <w:t>自动点火装置</w:t>
            </w:r>
          </w:p>
        </w:tc>
        <w:tc>
          <w:tcPr>
            <w:tcW w:w="1322" w:type="pct"/>
            <w:vAlign w:val="center"/>
          </w:tcPr>
          <w:p>
            <w:pPr>
              <w:pStyle w:val="294"/>
            </w:pPr>
            <w:r>
              <w:t>按标准配备</w:t>
            </w:r>
          </w:p>
        </w:tc>
        <w:tc>
          <w:tcPr>
            <w:tcW w:w="928" w:type="pct"/>
            <w:vAlign w:val="center"/>
          </w:tcPr>
          <w:p>
            <w:pPr>
              <w:pStyle w:val="294"/>
            </w:pPr>
            <w:r>
              <w:t>/</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22</w:t>
            </w:r>
          </w:p>
        </w:tc>
        <w:tc>
          <w:tcPr>
            <w:tcW w:w="1597" w:type="pct"/>
            <w:vAlign w:val="center"/>
          </w:tcPr>
          <w:p>
            <w:pPr>
              <w:pStyle w:val="294"/>
            </w:pPr>
            <w:r>
              <w:t>手动点火装置</w:t>
            </w:r>
          </w:p>
        </w:tc>
        <w:tc>
          <w:tcPr>
            <w:tcW w:w="1322" w:type="pct"/>
            <w:vAlign w:val="center"/>
          </w:tcPr>
          <w:p>
            <w:pPr>
              <w:pStyle w:val="294"/>
            </w:pPr>
            <w:r>
              <w:t>按标准配备</w:t>
            </w:r>
          </w:p>
        </w:tc>
        <w:tc>
          <w:tcPr>
            <w:tcW w:w="928" w:type="pct"/>
            <w:vAlign w:val="center"/>
          </w:tcPr>
          <w:p>
            <w:pPr>
              <w:pStyle w:val="294"/>
            </w:pPr>
            <w:r>
              <w:t>/</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23</w:t>
            </w:r>
          </w:p>
        </w:tc>
        <w:tc>
          <w:tcPr>
            <w:tcW w:w="1597" w:type="pct"/>
            <w:vAlign w:val="center"/>
          </w:tcPr>
          <w:p>
            <w:pPr>
              <w:pStyle w:val="294"/>
            </w:pPr>
            <w:r>
              <w:t>司钻控制台</w:t>
            </w:r>
          </w:p>
        </w:tc>
        <w:tc>
          <w:tcPr>
            <w:tcW w:w="1322" w:type="pct"/>
            <w:vAlign w:val="center"/>
          </w:tcPr>
          <w:p>
            <w:pPr>
              <w:pStyle w:val="294"/>
            </w:pPr>
            <w:r>
              <w:t>/</w:t>
            </w:r>
          </w:p>
        </w:tc>
        <w:tc>
          <w:tcPr>
            <w:tcW w:w="928" w:type="pct"/>
            <w:vAlign w:val="center"/>
          </w:tcPr>
          <w:p>
            <w:pPr>
              <w:pStyle w:val="294"/>
            </w:pPr>
            <w:r>
              <w:t>/</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24</w:t>
            </w:r>
          </w:p>
        </w:tc>
        <w:tc>
          <w:tcPr>
            <w:tcW w:w="1597" w:type="pct"/>
            <w:vAlign w:val="center"/>
          </w:tcPr>
          <w:p>
            <w:pPr>
              <w:pStyle w:val="294"/>
            </w:pPr>
            <w:r>
              <w:t>节流控制箱</w:t>
            </w:r>
          </w:p>
        </w:tc>
        <w:tc>
          <w:tcPr>
            <w:tcW w:w="1322" w:type="pct"/>
            <w:vAlign w:val="center"/>
          </w:tcPr>
          <w:p>
            <w:pPr>
              <w:pStyle w:val="294"/>
            </w:pPr>
            <w:r>
              <w:t>/</w:t>
            </w:r>
          </w:p>
        </w:tc>
        <w:tc>
          <w:tcPr>
            <w:tcW w:w="928" w:type="pct"/>
            <w:vAlign w:val="center"/>
          </w:tcPr>
          <w:p>
            <w:pPr>
              <w:pStyle w:val="294"/>
            </w:pPr>
            <w:r>
              <w:t>/</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25</w:t>
            </w:r>
          </w:p>
        </w:tc>
        <w:tc>
          <w:tcPr>
            <w:tcW w:w="1597" w:type="pct"/>
            <w:vAlign w:val="center"/>
          </w:tcPr>
          <w:p>
            <w:pPr>
              <w:pStyle w:val="294"/>
            </w:pPr>
            <w:r>
              <w:t>远程控制台</w:t>
            </w:r>
          </w:p>
        </w:tc>
        <w:tc>
          <w:tcPr>
            <w:tcW w:w="1322" w:type="pct"/>
            <w:vAlign w:val="center"/>
          </w:tcPr>
          <w:p>
            <w:pPr>
              <w:pStyle w:val="294"/>
            </w:pPr>
            <w:r>
              <w:t>/</w:t>
            </w:r>
          </w:p>
        </w:tc>
        <w:tc>
          <w:tcPr>
            <w:tcW w:w="928" w:type="pct"/>
            <w:vAlign w:val="center"/>
          </w:tcPr>
          <w:p>
            <w:pPr>
              <w:pStyle w:val="294"/>
            </w:pPr>
            <w:r>
              <w:t>/</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26</w:t>
            </w:r>
          </w:p>
        </w:tc>
        <w:tc>
          <w:tcPr>
            <w:tcW w:w="1597" w:type="pct"/>
            <w:vAlign w:val="center"/>
          </w:tcPr>
          <w:p>
            <w:pPr>
              <w:pStyle w:val="294"/>
            </w:pPr>
            <w:r>
              <w:t>除砂器</w:t>
            </w:r>
          </w:p>
        </w:tc>
        <w:tc>
          <w:tcPr>
            <w:tcW w:w="1322" w:type="pct"/>
            <w:vAlign w:val="center"/>
          </w:tcPr>
          <w:p>
            <w:pPr>
              <w:pStyle w:val="294"/>
            </w:pPr>
            <w:r>
              <w:t>XQJS300*2F</w:t>
            </w:r>
          </w:p>
        </w:tc>
        <w:tc>
          <w:tcPr>
            <w:tcW w:w="928" w:type="pct"/>
            <w:vAlign w:val="center"/>
          </w:tcPr>
          <w:p>
            <w:pPr>
              <w:pStyle w:val="294"/>
              <w:rPr>
                <w:color w:val="000000" w:themeColor="text1"/>
                <w14:textFill>
                  <w14:solidFill>
                    <w14:schemeClr w14:val="tx1"/>
                  </w14:solidFill>
                </w14:textFill>
              </w:rPr>
            </w:pPr>
            <w:r>
              <w:t>55 kW</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27</w:t>
            </w:r>
          </w:p>
        </w:tc>
        <w:tc>
          <w:tcPr>
            <w:tcW w:w="1597" w:type="pct"/>
            <w:vAlign w:val="center"/>
          </w:tcPr>
          <w:p>
            <w:pPr>
              <w:pStyle w:val="294"/>
            </w:pPr>
            <w:r>
              <w:t>除泥器</w:t>
            </w:r>
          </w:p>
        </w:tc>
        <w:tc>
          <w:tcPr>
            <w:tcW w:w="1322" w:type="pct"/>
            <w:vAlign w:val="center"/>
          </w:tcPr>
          <w:p>
            <w:pPr>
              <w:pStyle w:val="294"/>
            </w:pPr>
            <w:r>
              <w:t>/</w:t>
            </w:r>
          </w:p>
        </w:tc>
        <w:tc>
          <w:tcPr>
            <w:tcW w:w="928" w:type="pct"/>
            <w:vAlign w:val="center"/>
          </w:tcPr>
          <w:p>
            <w:pPr>
              <w:pStyle w:val="294"/>
              <w:rPr>
                <w:color w:val="000000" w:themeColor="text1"/>
                <w14:textFill>
                  <w14:solidFill>
                    <w14:schemeClr w14:val="tx1"/>
                  </w14:solidFill>
                </w14:textFill>
              </w:rPr>
            </w:pPr>
            <w:r>
              <w:t>45 kW</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28</w:t>
            </w:r>
          </w:p>
        </w:tc>
        <w:tc>
          <w:tcPr>
            <w:tcW w:w="1597" w:type="pct"/>
            <w:vAlign w:val="center"/>
          </w:tcPr>
          <w:p>
            <w:pPr>
              <w:pStyle w:val="294"/>
            </w:pPr>
            <w:r>
              <w:t>振动筛</w:t>
            </w:r>
          </w:p>
        </w:tc>
        <w:tc>
          <w:tcPr>
            <w:tcW w:w="1322" w:type="pct"/>
            <w:vAlign w:val="center"/>
          </w:tcPr>
          <w:p>
            <w:pPr>
              <w:pStyle w:val="294"/>
            </w:pPr>
            <w:r>
              <w:t>ZS1*1.15</w:t>
            </w:r>
          </w:p>
        </w:tc>
        <w:tc>
          <w:tcPr>
            <w:tcW w:w="928" w:type="pct"/>
            <w:vAlign w:val="center"/>
          </w:tcPr>
          <w:p>
            <w:pPr>
              <w:pStyle w:val="294"/>
              <w:rPr>
                <w:color w:val="000000" w:themeColor="text1"/>
                <w14:textFill>
                  <w14:solidFill>
                    <w14:schemeClr w14:val="tx1"/>
                  </w14:solidFill>
                </w14:textFill>
              </w:rPr>
            </w:pPr>
            <w:r>
              <w:t>4 kW</w:t>
            </w:r>
          </w:p>
        </w:tc>
        <w:tc>
          <w:tcPr>
            <w:tcW w:w="551" w:type="pct"/>
            <w:vAlign w:val="center"/>
          </w:tcPr>
          <w:p>
            <w:pPr>
              <w:pStyle w:val="294"/>
              <w:rPr>
                <w:color w:val="000000" w:themeColor="text1"/>
                <w14:textFill>
                  <w14:solidFill>
                    <w14:schemeClr w14:val="tx1"/>
                  </w14:solidFill>
                </w14:textFill>
              </w:rPr>
            </w:pPr>
            <w: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29</w:t>
            </w:r>
          </w:p>
        </w:tc>
        <w:tc>
          <w:tcPr>
            <w:tcW w:w="1597" w:type="pct"/>
            <w:vAlign w:val="center"/>
          </w:tcPr>
          <w:p>
            <w:pPr>
              <w:pStyle w:val="294"/>
            </w:pPr>
            <w:r>
              <w:t>除气器</w:t>
            </w:r>
          </w:p>
        </w:tc>
        <w:tc>
          <w:tcPr>
            <w:tcW w:w="1322" w:type="pct"/>
            <w:vAlign w:val="center"/>
          </w:tcPr>
          <w:p>
            <w:pPr>
              <w:pStyle w:val="294"/>
            </w:pPr>
            <w:r>
              <w:t>/</w:t>
            </w:r>
          </w:p>
        </w:tc>
        <w:tc>
          <w:tcPr>
            <w:tcW w:w="928" w:type="pct"/>
            <w:vAlign w:val="center"/>
          </w:tcPr>
          <w:p>
            <w:pPr>
              <w:pStyle w:val="294"/>
            </w:pPr>
            <w:r>
              <w:t>/</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30</w:t>
            </w:r>
          </w:p>
        </w:tc>
        <w:tc>
          <w:tcPr>
            <w:tcW w:w="1597" w:type="pct"/>
            <w:vAlign w:val="center"/>
          </w:tcPr>
          <w:p>
            <w:pPr>
              <w:pStyle w:val="294"/>
            </w:pPr>
            <w:r>
              <w:t>离心机</w:t>
            </w:r>
          </w:p>
        </w:tc>
        <w:tc>
          <w:tcPr>
            <w:tcW w:w="1322" w:type="pct"/>
            <w:vAlign w:val="center"/>
          </w:tcPr>
          <w:p>
            <w:pPr>
              <w:pStyle w:val="294"/>
            </w:pPr>
            <w:r>
              <w:t>LW600-945N</w:t>
            </w:r>
          </w:p>
        </w:tc>
        <w:tc>
          <w:tcPr>
            <w:tcW w:w="928" w:type="pct"/>
            <w:vAlign w:val="center"/>
          </w:tcPr>
          <w:p>
            <w:pPr>
              <w:pStyle w:val="294"/>
              <w:rPr>
                <w:color w:val="000000" w:themeColor="text1"/>
                <w14:textFill>
                  <w14:solidFill>
                    <w14:schemeClr w14:val="tx1"/>
                  </w14:solidFill>
                </w14:textFill>
              </w:rPr>
            </w:pPr>
            <w:r>
              <w:t>69 kW</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31</w:t>
            </w:r>
          </w:p>
        </w:tc>
        <w:tc>
          <w:tcPr>
            <w:tcW w:w="1597" w:type="pct"/>
            <w:vAlign w:val="center"/>
          </w:tcPr>
          <w:p>
            <w:pPr>
              <w:pStyle w:val="294"/>
            </w:pPr>
            <w:r>
              <w:t>液压大钳</w:t>
            </w:r>
          </w:p>
        </w:tc>
        <w:tc>
          <w:tcPr>
            <w:tcW w:w="1322" w:type="pct"/>
            <w:vAlign w:val="center"/>
          </w:tcPr>
          <w:p>
            <w:pPr>
              <w:pStyle w:val="294"/>
            </w:pPr>
            <w:r>
              <w:t>按标准配备</w:t>
            </w:r>
          </w:p>
        </w:tc>
        <w:tc>
          <w:tcPr>
            <w:tcW w:w="928" w:type="pct"/>
            <w:vAlign w:val="center"/>
          </w:tcPr>
          <w:p>
            <w:pPr>
              <w:pStyle w:val="294"/>
            </w:pPr>
            <w:r>
              <w:t>/</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32</w:t>
            </w:r>
          </w:p>
        </w:tc>
        <w:tc>
          <w:tcPr>
            <w:tcW w:w="1597" w:type="pct"/>
            <w:vAlign w:val="center"/>
          </w:tcPr>
          <w:p>
            <w:pPr>
              <w:pStyle w:val="294"/>
            </w:pPr>
            <w:r>
              <w:t>搅拌机</w:t>
            </w:r>
          </w:p>
        </w:tc>
        <w:tc>
          <w:tcPr>
            <w:tcW w:w="1322" w:type="pct"/>
            <w:vAlign w:val="center"/>
          </w:tcPr>
          <w:p>
            <w:pPr>
              <w:pStyle w:val="294"/>
            </w:pPr>
            <w:r>
              <w:t>/</w:t>
            </w:r>
          </w:p>
        </w:tc>
        <w:tc>
          <w:tcPr>
            <w:tcW w:w="928" w:type="pct"/>
            <w:vAlign w:val="center"/>
          </w:tcPr>
          <w:p>
            <w:pPr>
              <w:pStyle w:val="294"/>
            </w:pPr>
            <w:r>
              <w:t>/</w:t>
            </w:r>
          </w:p>
        </w:tc>
        <w:tc>
          <w:tcPr>
            <w:tcW w:w="551" w:type="pct"/>
            <w:vAlign w:val="center"/>
          </w:tcPr>
          <w:p>
            <w:pPr>
              <w:pStyle w:val="294"/>
              <w:rPr>
                <w:color w:val="000000" w:themeColor="text1"/>
                <w14:textFill>
                  <w14:solidFill>
                    <w14:schemeClr w14:val="tx1"/>
                  </w14:solidFill>
                </w14:textFill>
              </w:rPr>
            </w:pPr>
            <w:r>
              <w:t>49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33</w:t>
            </w:r>
          </w:p>
        </w:tc>
        <w:tc>
          <w:tcPr>
            <w:tcW w:w="1597" w:type="pct"/>
            <w:vAlign w:val="center"/>
          </w:tcPr>
          <w:p>
            <w:pPr>
              <w:pStyle w:val="294"/>
            </w:pPr>
            <w:r>
              <w:t>灌浆装置</w:t>
            </w:r>
          </w:p>
        </w:tc>
        <w:tc>
          <w:tcPr>
            <w:tcW w:w="1322" w:type="pct"/>
            <w:vAlign w:val="center"/>
          </w:tcPr>
          <w:p>
            <w:pPr>
              <w:pStyle w:val="294"/>
            </w:pPr>
            <w:r>
              <w:t>/</w:t>
            </w:r>
          </w:p>
        </w:tc>
        <w:tc>
          <w:tcPr>
            <w:tcW w:w="928" w:type="pct"/>
            <w:vAlign w:val="center"/>
          </w:tcPr>
          <w:p>
            <w:pPr>
              <w:pStyle w:val="294"/>
            </w:pPr>
            <w:r>
              <w:t>/</w:t>
            </w:r>
          </w:p>
        </w:tc>
        <w:tc>
          <w:tcPr>
            <w:tcW w:w="551" w:type="pct"/>
            <w:vAlign w:val="center"/>
          </w:tcPr>
          <w:p>
            <w:pPr>
              <w:pStyle w:val="294"/>
              <w:rPr>
                <w:color w:val="000000" w:themeColor="text1"/>
                <w14:textFill>
                  <w14:solidFill>
                    <w14:schemeClr w14:val="tx1"/>
                  </w14:solidFill>
                </w14:textFill>
              </w:rPr>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34</w:t>
            </w:r>
          </w:p>
        </w:tc>
        <w:tc>
          <w:tcPr>
            <w:tcW w:w="1597" w:type="pct"/>
            <w:vAlign w:val="center"/>
          </w:tcPr>
          <w:p>
            <w:pPr>
              <w:pStyle w:val="294"/>
            </w:pPr>
            <w:r>
              <w:t>循环罐</w:t>
            </w:r>
          </w:p>
        </w:tc>
        <w:tc>
          <w:tcPr>
            <w:tcW w:w="1322" w:type="pct"/>
            <w:vAlign w:val="center"/>
          </w:tcPr>
          <w:p>
            <w:pPr>
              <w:pStyle w:val="294"/>
            </w:pPr>
            <w:r>
              <w:t>/</w:t>
            </w:r>
          </w:p>
        </w:tc>
        <w:tc>
          <w:tcPr>
            <w:tcW w:w="928" w:type="pct"/>
            <w:vAlign w:val="center"/>
          </w:tcPr>
          <w:p>
            <w:pPr>
              <w:pStyle w:val="294"/>
              <w:rPr>
                <w:color w:val="000000" w:themeColor="text1"/>
                <w14:textFill>
                  <w14:solidFill>
                    <w14:schemeClr w14:val="tx1"/>
                  </w14:solidFill>
                </w14:textFill>
              </w:rPr>
            </w:pPr>
            <w:r>
              <w:t>80 m</w:t>
            </w:r>
            <w:r>
              <w:rPr>
                <w:vertAlign w:val="superscript"/>
              </w:rPr>
              <w:t>3</w:t>
            </w:r>
          </w:p>
        </w:tc>
        <w:tc>
          <w:tcPr>
            <w:tcW w:w="551" w:type="pct"/>
            <w:vAlign w:val="center"/>
          </w:tcPr>
          <w:p>
            <w:pPr>
              <w:pStyle w:val="294"/>
              <w:rPr>
                <w:color w:val="000000" w:themeColor="text1"/>
                <w14:textFill>
                  <w14:solidFill>
                    <w14:schemeClr w14:val="tx1"/>
                  </w14:solidFill>
                </w14:textFill>
              </w:rPr>
            </w:pPr>
            <w: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35</w:t>
            </w:r>
          </w:p>
        </w:tc>
        <w:tc>
          <w:tcPr>
            <w:tcW w:w="1597" w:type="pct"/>
            <w:vAlign w:val="center"/>
          </w:tcPr>
          <w:p>
            <w:pPr>
              <w:pStyle w:val="294"/>
            </w:pPr>
            <w:r>
              <w:t>储备罐</w:t>
            </w:r>
          </w:p>
        </w:tc>
        <w:tc>
          <w:tcPr>
            <w:tcW w:w="1322" w:type="pct"/>
            <w:vAlign w:val="center"/>
          </w:tcPr>
          <w:p>
            <w:pPr>
              <w:pStyle w:val="294"/>
            </w:pPr>
            <w:r>
              <w:t>/</w:t>
            </w:r>
          </w:p>
        </w:tc>
        <w:tc>
          <w:tcPr>
            <w:tcW w:w="928" w:type="pct"/>
            <w:vAlign w:val="center"/>
          </w:tcPr>
          <w:p>
            <w:pPr>
              <w:pStyle w:val="294"/>
              <w:rPr>
                <w:color w:val="000000" w:themeColor="text1"/>
                <w14:textFill>
                  <w14:solidFill>
                    <w14:schemeClr w14:val="tx1"/>
                  </w14:solidFill>
                </w14:textFill>
              </w:rPr>
            </w:pPr>
            <w:r>
              <w:t>60 m</w:t>
            </w:r>
            <w:r>
              <w:rPr>
                <w:vertAlign w:val="superscript"/>
              </w:rPr>
              <w:t>3</w:t>
            </w:r>
          </w:p>
        </w:tc>
        <w:tc>
          <w:tcPr>
            <w:tcW w:w="551" w:type="pct"/>
            <w:vAlign w:val="center"/>
          </w:tcPr>
          <w:p>
            <w:pPr>
              <w:pStyle w:val="294"/>
              <w:rPr>
                <w:color w:val="000000" w:themeColor="text1"/>
                <w14:textFill>
                  <w14:solidFill>
                    <w14:schemeClr w14:val="tx1"/>
                  </w14:solidFill>
                </w14:textFill>
              </w:rPr>
            </w:pPr>
            <w:r>
              <w:t>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36</w:t>
            </w:r>
          </w:p>
        </w:tc>
        <w:tc>
          <w:tcPr>
            <w:tcW w:w="1597" w:type="pct"/>
            <w:vAlign w:val="center"/>
          </w:tcPr>
          <w:p>
            <w:pPr>
              <w:pStyle w:val="294"/>
            </w:pPr>
            <w:r>
              <w:t>加重装置</w:t>
            </w:r>
          </w:p>
        </w:tc>
        <w:tc>
          <w:tcPr>
            <w:tcW w:w="1322" w:type="pct"/>
            <w:vAlign w:val="center"/>
          </w:tcPr>
          <w:p>
            <w:pPr>
              <w:pStyle w:val="294"/>
            </w:pPr>
            <w:r>
              <w:t>按标准配备</w:t>
            </w:r>
          </w:p>
        </w:tc>
        <w:tc>
          <w:tcPr>
            <w:tcW w:w="928" w:type="pct"/>
            <w:vAlign w:val="center"/>
          </w:tcPr>
          <w:p>
            <w:pPr>
              <w:pStyle w:val="294"/>
            </w:pPr>
            <w:r>
              <w:t>/</w:t>
            </w:r>
          </w:p>
        </w:tc>
        <w:tc>
          <w:tcPr>
            <w:tcW w:w="551" w:type="pct"/>
            <w:vAlign w:val="center"/>
          </w:tcPr>
          <w:p>
            <w:pPr>
              <w:pStyle w:val="294"/>
              <w:rPr>
                <w:color w:val="000000" w:themeColor="text1"/>
                <w14:textFill>
                  <w14:solidFill>
                    <w14:schemeClr w14:val="tx1"/>
                  </w14:solidFill>
                </w14:textFill>
              </w:rPr>
            </w:pPr>
            <w:r>
              <w:t>2套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37</w:t>
            </w:r>
          </w:p>
        </w:tc>
        <w:tc>
          <w:tcPr>
            <w:tcW w:w="1597" w:type="pct"/>
            <w:vAlign w:val="center"/>
          </w:tcPr>
          <w:p>
            <w:pPr>
              <w:pStyle w:val="294"/>
            </w:pPr>
            <w:r>
              <w:t>钻井参数仪</w:t>
            </w:r>
          </w:p>
        </w:tc>
        <w:tc>
          <w:tcPr>
            <w:tcW w:w="1322" w:type="pct"/>
            <w:vAlign w:val="center"/>
          </w:tcPr>
          <w:p>
            <w:pPr>
              <w:pStyle w:val="294"/>
            </w:pPr>
            <w:r>
              <w:t>/</w:t>
            </w:r>
          </w:p>
        </w:tc>
        <w:tc>
          <w:tcPr>
            <w:tcW w:w="928" w:type="pct"/>
            <w:vAlign w:val="center"/>
          </w:tcPr>
          <w:p>
            <w:pPr>
              <w:pStyle w:val="294"/>
            </w:pPr>
            <w:r>
              <w:t>/</w:t>
            </w:r>
          </w:p>
        </w:tc>
        <w:tc>
          <w:tcPr>
            <w:tcW w:w="551" w:type="pct"/>
          </w:tcPr>
          <w:p>
            <w:pPr>
              <w:pStyle w:val="294"/>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38</w:t>
            </w:r>
          </w:p>
        </w:tc>
        <w:tc>
          <w:tcPr>
            <w:tcW w:w="1597" w:type="pct"/>
            <w:vAlign w:val="center"/>
          </w:tcPr>
          <w:p>
            <w:pPr>
              <w:pStyle w:val="294"/>
            </w:pPr>
            <w:r>
              <w:t>二层台逃生装置</w:t>
            </w:r>
          </w:p>
        </w:tc>
        <w:tc>
          <w:tcPr>
            <w:tcW w:w="1322" w:type="pct"/>
            <w:vAlign w:val="center"/>
          </w:tcPr>
          <w:p>
            <w:pPr>
              <w:pStyle w:val="294"/>
            </w:pPr>
            <w:r>
              <w:t>/</w:t>
            </w:r>
          </w:p>
        </w:tc>
        <w:tc>
          <w:tcPr>
            <w:tcW w:w="928" w:type="pct"/>
            <w:vAlign w:val="center"/>
          </w:tcPr>
          <w:p>
            <w:pPr>
              <w:pStyle w:val="294"/>
            </w:pPr>
            <w:r>
              <w:t>/</w:t>
            </w:r>
          </w:p>
        </w:tc>
        <w:tc>
          <w:tcPr>
            <w:tcW w:w="551" w:type="pct"/>
          </w:tcPr>
          <w:p>
            <w:pPr>
              <w:pStyle w:val="294"/>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39</w:t>
            </w:r>
          </w:p>
        </w:tc>
        <w:tc>
          <w:tcPr>
            <w:tcW w:w="1597" w:type="pct"/>
            <w:vAlign w:val="center"/>
          </w:tcPr>
          <w:p>
            <w:pPr>
              <w:pStyle w:val="294"/>
            </w:pPr>
            <w:r>
              <w:t>测斜仪</w:t>
            </w:r>
          </w:p>
        </w:tc>
        <w:tc>
          <w:tcPr>
            <w:tcW w:w="1322" w:type="pct"/>
            <w:vAlign w:val="center"/>
          </w:tcPr>
          <w:p>
            <w:pPr>
              <w:pStyle w:val="294"/>
            </w:pPr>
            <w:r>
              <w:t>单点测斜仪</w:t>
            </w:r>
          </w:p>
        </w:tc>
        <w:tc>
          <w:tcPr>
            <w:tcW w:w="928" w:type="pct"/>
            <w:vAlign w:val="center"/>
          </w:tcPr>
          <w:p>
            <w:pPr>
              <w:pStyle w:val="294"/>
            </w:pPr>
            <w:r>
              <w:t>/</w:t>
            </w:r>
          </w:p>
        </w:tc>
        <w:tc>
          <w:tcPr>
            <w:tcW w:w="551" w:type="pct"/>
          </w:tcPr>
          <w:p>
            <w:pPr>
              <w:pStyle w:val="294"/>
            </w:pPr>
            <w: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602" w:type="pct"/>
            <w:vAlign w:val="center"/>
          </w:tcPr>
          <w:p>
            <w:pPr>
              <w:pStyle w:val="294"/>
            </w:pPr>
            <w:r>
              <w:t>40</w:t>
            </w:r>
          </w:p>
        </w:tc>
        <w:tc>
          <w:tcPr>
            <w:tcW w:w="1597" w:type="pct"/>
            <w:vAlign w:val="center"/>
          </w:tcPr>
          <w:p>
            <w:pPr>
              <w:pStyle w:val="294"/>
            </w:pPr>
            <w:r>
              <w:t>测斜绞车</w:t>
            </w:r>
          </w:p>
        </w:tc>
        <w:tc>
          <w:tcPr>
            <w:tcW w:w="1322" w:type="pct"/>
            <w:vAlign w:val="center"/>
          </w:tcPr>
          <w:p>
            <w:pPr>
              <w:pStyle w:val="294"/>
            </w:pPr>
            <w:r>
              <w:t>按标准配备</w:t>
            </w:r>
          </w:p>
        </w:tc>
        <w:tc>
          <w:tcPr>
            <w:tcW w:w="928" w:type="pct"/>
            <w:vAlign w:val="center"/>
          </w:tcPr>
          <w:p>
            <w:pPr>
              <w:pStyle w:val="294"/>
            </w:pPr>
            <w:r>
              <w:t>/</w:t>
            </w:r>
          </w:p>
        </w:tc>
        <w:tc>
          <w:tcPr>
            <w:tcW w:w="551" w:type="pct"/>
          </w:tcPr>
          <w:p>
            <w:pPr>
              <w:pStyle w:val="294"/>
            </w:pPr>
            <w:r>
              <w:t>1</w:t>
            </w:r>
          </w:p>
        </w:tc>
      </w:tr>
    </w:tbl>
    <w:p>
      <w:pPr>
        <w:autoSpaceDE w:val="0"/>
        <w:autoSpaceDN w:val="0"/>
        <w:spacing w:before="120" w:beforeLines="50"/>
        <w:ind w:firstLine="480"/>
        <w:textAlignment w:val="baseline"/>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2、试采期</w:t>
      </w:r>
    </w:p>
    <w:p>
      <w:pPr>
        <w:autoSpaceDE w:val="0"/>
        <w:autoSpaceDN w:val="0"/>
        <w:ind w:firstLine="480"/>
        <w:textAlignment w:val="baseline"/>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试采站主要设备一览表见表3.2-9。</w:t>
      </w:r>
    </w:p>
    <w:p>
      <w:pPr>
        <w:pStyle w:val="95"/>
      </w:pPr>
      <w:bookmarkStart w:id="105" w:name="_Ref142593374"/>
      <w:r>
        <w:t>表</w:t>
      </w:r>
      <w:r>
        <w:fldChar w:fldCharType="begin"/>
      </w:r>
      <w:r>
        <w:instrText xml:space="preserve"> STYLEREF 2 \s </w:instrText>
      </w:r>
      <w:r>
        <w:fldChar w:fldCharType="separate"/>
      </w:r>
      <w:r>
        <w:t>3.2</w:t>
      </w:r>
      <w:r>
        <w:fldChar w:fldCharType="end"/>
      </w:r>
      <w:bookmarkEnd w:id="105"/>
      <w:r>
        <w:t>-9  普光3011-6井试采站主要设备一览表</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251"/>
        <w:gridCol w:w="4067"/>
        <w:gridCol w:w="1589"/>
        <w:gridCol w:w="142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cs="Times New Roman"/>
                <w:b/>
                <w:bCs/>
                <w:color w:val="000000" w:themeColor="text1"/>
                <w:sz w:val="21"/>
                <w:szCs w:val="18"/>
                <w14:textFill>
                  <w14:solidFill>
                    <w14:schemeClr w14:val="tx1"/>
                  </w14:solidFill>
                </w14:textFill>
              </w:rPr>
            </w:pPr>
            <w:r>
              <w:rPr>
                <w:rFonts w:cs="Times New Roman"/>
                <w:b/>
                <w:bCs/>
                <w:color w:val="000000" w:themeColor="text1"/>
                <w:sz w:val="21"/>
                <w:szCs w:val="18"/>
                <w14:textFill>
                  <w14:solidFill>
                    <w14:schemeClr w14:val="tx1"/>
                  </w14:solidFill>
                </w14:textFill>
              </w:rPr>
              <w:t>序号</w:t>
            </w:r>
          </w:p>
        </w:tc>
        <w:tc>
          <w:tcPr>
            <w:tcW w:w="2441" w:type="pct"/>
            <w:vAlign w:val="center"/>
          </w:tcPr>
          <w:p>
            <w:pPr>
              <w:spacing w:line="240" w:lineRule="auto"/>
              <w:ind w:firstLine="0" w:firstLineChars="0"/>
              <w:jc w:val="center"/>
              <w:rPr>
                <w:rFonts w:cs="Times New Roman"/>
                <w:b/>
                <w:bCs/>
                <w:color w:val="000000" w:themeColor="text1"/>
                <w:sz w:val="21"/>
                <w:szCs w:val="18"/>
                <w14:textFill>
                  <w14:solidFill>
                    <w14:schemeClr w14:val="tx1"/>
                  </w14:solidFill>
                </w14:textFill>
              </w:rPr>
            </w:pPr>
            <w:r>
              <w:rPr>
                <w:rFonts w:cs="Times New Roman"/>
                <w:b/>
                <w:bCs/>
                <w:color w:val="000000" w:themeColor="text1"/>
                <w:sz w:val="21"/>
                <w:szCs w:val="18"/>
                <w14:textFill>
                  <w14:solidFill>
                    <w14:schemeClr w14:val="tx1"/>
                  </w14:solidFill>
                </w14:textFill>
              </w:rPr>
              <w:t>设备名称</w:t>
            </w:r>
          </w:p>
        </w:tc>
        <w:tc>
          <w:tcPr>
            <w:tcW w:w="954" w:type="pct"/>
            <w:vAlign w:val="center"/>
          </w:tcPr>
          <w:p>
            <w:pPr>
              <w:spacing w:line="240" w:lineRule="auto"/>
              <w:ind w:firstLine="0" w:firstLineChars="0"/>
              <w:jc w:val="center"/>
              <w:rPr>
                <w:rFonts w:cs="Times New Roman"/>
                <w:b/>
                <w:bCs/>
                <w:color w:val="000000" w:themeColor="text1"/>
                <w:sz w:val="21"/>
                <w:szCs w:val="18"/>
                <w14:textFill>
                  <w14:solidFill>
                    <w14:schemeClr w14:val="tx1"/>
                  </w14:solidFill>
                </w14:textFill>
              </w:rPr>
            </w:pPr>
            <w:r>
              <w:rPr>
                <w:rFonts w:cs="Times New Roman"/>
                <w:b/>
                <w:bCs/>
                <w:color w:val="000000" w:themeColor="text1"/>
                <w:sz w:val="21"/>
                <w:szCs w:val="18"/>
                <w14:textFill>
                  <w14:solidFill>
                    <w14:schemeClr w14:val="tx1"/>
                  </w14:solidFill>
                </w14:textFill>
              </w:rPr>
              <w:t>单位</w:t>
            </w:r>
          </w:p>
        </w:tc>
        <w:tc>
          <w:tcPr>
            <w:tcW w:w="854" w:type="pct"/>
            <w:vAlign w:val="center"/>
          </w:tcPr>
          <w:p>
            <w:pPr>
              <w:spacing w:line="240" w:lineRule="auto"/>
              <w:ind w:firstLine="0" w:firstLineChars="0"/>
              <w:jc w:val="center"/>
              <w:rPr>
                <w:rFonts w:cs="Times New Roman"/>
                <w:b/>
                <w:bCs/>
                <w:color w:val="000000" w:themeColor="text1"/>
                <w:sz w:val="21"/>
                <w:szCs w:val="18"/>
                <w14:textFill>
                  <w14:solidFill>
                    <w14:schemeClr w14:val="tx1"/>
                  </w14:solidFill>
                </w14:textFill>
              </w:rPr>
            </w:pPr>
            <w:r>
              <w:rPr>
                <w:rFonts w:cs="Times New Roman"/>
                <w:b/>
                <w:bCs/>
                <w:color w:val="000000" w:themeColor="text1"/>
                <w:sz w:val="21"/>
                <w:szCs w:val="18"/>
                <w14:textFill>
                  <w14:solidFill>
                    <w14:schemeClr w14:val="tx1"/>
                  </w14:solidFill>
                </w14:textFill>
              </w:rPr>
              <w:t>数量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1</w:t>
            </w:r>
          </w:p>
        </w:tc>
        <w:tc>
          <w:tcPr>
            <w:tcW w:w="2441"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井口采气树</w:t>
            </w:r>
          </w:p>
        </w:tc>
        <w:tc>
          <w:tcPr>
            <w:tcW w:w="9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套</w:t>
            </w:r>
          </w:p>
        </w:tc>
        <w:tc>
          <w:tcPr>
            <w:tcW w:w="8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2</w:t>
            </w:r>
          </w:p>
        </w:tc>
        <w:tc>
          <w:tcPr>
            <w:tcW w:w="2441"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20"/>
                <w14:textFill>
                  <w14:solidFill>
                    <w14:schemeClr w14:val="tx1"/>
                  </w14:solidFill>
                </w14:textFill>
              </w:rPr>
              <w:t>DN100镍基合金采气管道</w:t>
            </w:r>
          </w:p>
        </w:tc>
        <w:tc>
          <w:tcPr>
            <w:tcW w:w="9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m</w:t>
            </w:r>
          </w:p>
        </w:tc>
        <w:tc>
          <w:tcPr>
            <w:tcW w:w="8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100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3</w:t>
            </w:r>
          </w:p>
        </w:tc>
        <w:tc>
          <w:tcPr>
            <w:tcW w:w="2441" w:type="pct"/>
            <w:vAlign w:val="center"/>
          </w:tcPr>
          <w:p>
            <w:pPr>
              <w:spacing w:line="240" w:lineRule="auto"/>
              <w:ind w:firstLine="0" w:firstLineChars="0"/>
              <w:jc w:val="center"/>
              <w:rPr>
                <w:rFonts w:cs="Times New Roman"/>
                <w:bCs/>
                <w:color w:val="000000" w:themeColor="text1"/>
                <w:sz w:val="21"/>
                <w:szCs w:val="20"/>
                <w14:textFill>
                  <w14:solidFill>
                    <w14:schemeClr w14:val="tx1"/>
                  </w14:solidFill>
                </w14:textFill>
              </w:rPr>
            </w:pPr>
            <w:r>
              <w:rPr>
                <w:rFonts w:cs="Times New Roman"/>
                <w:bCs/>
                <w:color w:val="000000" w:themeColor="text1"/>
                <w:sz w:val="21"/>
                <w:szCs w:val="20"/>
                <w14:textFill>
                  <w14:solidFill>
                    <w14:schemeClr w14:val="tx1"/>
                  </w14:solidFill>
                </w14:textFill>
              </w:rPr>
              <w:t>有毒气体探测器</w:t>
            </w:r>
          </w:p>
        </w:tc>
        <w:tc>
          <w:tcPr>
            <w:tcW w:w="9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台</w:t>
            </w:r>
          </w:p>
        </w:tc>
        <w:tc>
          <w:tcPr>
            <w:tcW w:w="8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4</w:t>
            </w:r>
          </w:p>
        </w:tc>
        <w:tc>
          <w:tcPr>
            <w:tcW w:w="2441" w:type="pct"/>
            <w:vAlign w:val="center"/>
          </w:tcPr>
          <w:p>
            <w:pPr>
              <w:spacing w:line="240" w:lineRule="auto"/>
              <w:ind w:firstLine="0" w:firstLineChars="0"/>
              <w:jc w:val="center"/>
              <w:rPr>
                <w:rFonts w:cs="Times New Roman"/>
                <w:bCs/>
                <w:color w:val="000000" w:themeColor="text1"/>
                <w:sz w:val="21"/>
                <w:szCs w:val="20"/>
                <w14:textFill>
                  <w14:solidFill>
                    <w14:schemeClr w14:val="tx1"/>
                  </w14:solidFill>
                </w14:textFill>
              </w:rPr>
            </w:pPr>
            <w:r>
              <w:rPr>
                <w:rFonts w:cs="Times New Roman"/>
                <w:bCs/>
                <w:color w:val="000000" w:themeColor="text1"/>
                <w:sz w:val="21"/>
                <w:szCs w:val="20"/>
                <w14:textFill>
                  <w14:solidFill>
                    <w14:schemeClr w14:val="tx1"/>
                  </w14:solidFill>
                </w14:textFill>
              </w:rPr>
              <w:t>可燃气体探测器</w:t>
            </w:r>
          </w:p>
        </w:tc>
        <w:tc>
          <w:tcPr>
            <w:tcW w:w="9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台</w:t>
            </w:r>
          </w:p>
        </w:tc>
        <w:tc>
          <w:tcPr>
            <w:tcW w:w="8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5</w:t>
            </w:r>
          </w:p>
        </w:tc>
        <w:tc>
          <w:tcPr>
            <w:tcW w:w="2441" w:type="pct"/>
            <w:vAlign w:val="center"/>
          </w:tcPr>
          <w:p>
            <w:pPr>
              <w:spacing w:line="240" w:lineRule="auto"/>
              <w:ind w:firstLine="0" w:firstLineChars="0"/>
              <w:jc w:val="center"/>
              <w:rPr>
                <w:rFonts w:cs="Times New Roman"/>
                <w:bCs/>
                <w:color w:val="000000" w:themeColor="text1"/>
                <w:sz w:val="21"/>
                <w:szCs w:val="20"/>
                <w14:textFill>
                  <w14:solidFill>
                    <w14:schemeClr w14:val="tx1"/>
                  </w14:solidFill>
                </w14:textFill>
              </w:rPr>
            </w:pPr>
            <w:r>
              <w:rPr>
                <w:rFonts w:cs="Times New Roman"/>
                <w:bCs/>
                <w:color w:val="000000" w:themeColor="text1"/>
                <w:sz w:val="21"/>
                <w:szCs w:val="20"/>
                <w14:textFill>
                  <w14:solidFill>
                    <w14:schemeClr w14:val="tx1"/>
                  </w14:solidFill>
                </w14:textFill>
              </w:rPr>
              <w:t>火焰探测器</w:t>
            </w:r>
          </w:p>
        </w:tc>
        <w:tc>
          <w:tcPr>
            <w:tcW w:w="9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台</w:t>
            </w:r>
          </w:p>
        </w:tc>
        <w:tc>
          <w:tcPr>
            <w:tcW w:w="8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6</w:t>
            </w:r>
          </w:p>
        </w:tc>
        <w:tc>
          <w:tcPr>
            <w:tcW w:w="2441" w:type="pct"/>
            <w:vAlign w:val="center"/>
          </w:tcPr>
          <w:p>
            <w:pPr>
              <w:spacing w:line="240" w:lineRule="auto"/>
              <w:ind w:firstLine="0" w:firstLineChars="0"/>
              <w:jc w:val="center"/>
              <w:rPr>
                <w:rFonts w:cs="Times New Roman"/>
                <w:bCs/>
                <w:color w:val="000000" w:themeColor="text1"/>
                <w:sz w:val="21"/>
                <w:szCs w:val="20"/>
                <w14:textFill>
                  <w14:solidFill>
                    <w14:schemeClr w14:val="tx1"/>
                  </w14:solidFill>
                </w14:textFill>
              </w:rPr>
            </w:pPr>
            <w:r>
              <w:rPr>
                <w:rFonts w:cs="Times New Roman"/>
                <w:bCs/>
                <w:color w:val="000000" w:themeColor="text1"/>
                <w:sz w:val="21"/>
                <w:szCs w:val="20"/>
                <w14:textFill>
                  <w14:solidFill>
                    <w14:schemeClr w14:val="tx1"/>
                  </w14:solidFill>
                </w14:textFill>
              </w:rPr>
              <w:t>手提式磷酸铵盐干粉灭火器MF/ABC8</w:t>
            </w:r>
          </w:p>
        </w:tc>
        <w:tc>
          <w:tcPr>
            <w:tcW w:w="9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具</w:t>
            </w:r>
          </w:p>
        </w:tc>
        <w:tc>
          <w:tcPr>
            <w:tcW w:w="8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7</w:t>
            </w:r>
          </w:p>
        </w:tc>
        <w:tc>
          <w:tcPr>
            <w:tcW w:w="2441" w:type="pct"/>
            <w:vAlign w:val="center"/>
          </w:tcPr>
          <w:p>
            <w:pPr>
              <w:spacing w:line="240" w:lineRule="auto"/>
              <w:ind w:firstLine="0" w:firstLineChars="0"/>
              <w:jc w:val="center"/>
              <w:rPr>
                <w:rFonts w:cs="Times New Roman"/>
                <w:bCs/>
                <w:color w:val="000000" w:themeColor="text1"/>
                <w:sz w:val="21"/>
                <w:szCs w:val="20"/>
                <w14:textFill>
                  <w14:solidFill>
                    <w14:schemeClr w14:val="tx1"/>
                  </w14:solidFill>
                </w14:textFill>
              </w:rPr>
            </w:pPr>
            <w:r>
              <w:rPr>
                <w:rFonts w:cs="Times New Roman"/>
                <w:bCs/>
                <w:color w:val="000000" w:themeColor="text1"/>
                <w:sz w:val="21"/>
                <w:szCs w:val="20"/>
                <w14:textFill>
                  <w14:solidFill>
                    <w14:schemeClr w14:val="tx1"/>
                  </w14:solidFill>
                </w14:textFill>
              </w:rPr>
              <w:t>推车式磷酸铵盐干粉灭火器MFTZ/ABC50</w:t>
            </w:r>
          </w:p>
        </w:tc>
        <w:tc>
          <w:tcPr>
            <w:tcW w:w="9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辆</w:t>
            </w:r>
          </w:p>
        </w:tc>
        <w:tc>
          <w:tcPr>
            <w:tcW w:w="8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8</w:t>
            </w:r>
          </w:p>
        </w:tc>
        <w:tc>
          <w:tcPr>
            <w:tcW w:w="2441" w:type="pct"/>
            <w:vAlign w:val="center"/>
          </w:tcPr>
          <w:p>
            <w:pPr>
              <w:spacing w:line="240" w:lineRule="auto"/>
              <w:ind w:firstLine="0" w:firstLineChars="0"/>
              <w:jc w:val="center"/>
              <w:rPr>
                <w:rFonts w:cs="Times New Roman"/>
                <w:bCs/>
                <w:color w:val="000000" w:themeColor="text1"/>
                <w:sz w:val="21"/>
                <w:szCs w:val="20"/>
                <w14:textFill>
                  <w14:solidFill>
                    <w14:schemeClr w14:val="tx1"/>
                  </w14:solidFill>
                </w14:textFill>
              </w:rPr>
            </w:pPr>
            <w:r>
              <w:rPr>
                <w:rFonts w:cs="Times New Roman"/>
                <w:bCs/>
                <w:color w:val="000000" w:themeColor="text1"/>
                <w:sz w:val="21"/>
                <w:szCs w:val="20"/>
                <w14:textFill>
                  <w14:solidFill>
                    <w14:schemeClr w14:val="tx1"/>
                  </w14:solidFill>
                </w14:textFill>
              </w:rPr>
              <w:t>灭火器箱</w:t>
            </w:r>
          </w:p>
        </w:tc>
        <w:tc>
          <w:tcPr>
            <w:tcW w:w="9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个</w:t>
            </w:r>
          </w:p>
        </w:tc>
        <w:tc>
          <w:tcPr>
            <w:tcW w:w="8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9</w:t>
            </w:r>
          </w:p>
        </w:tc>
        <w:tc>
          <w:tcPr>
            <w:tcW w:w="2441" w:type="pct"/>
            <w:vAlign w:val="center"/>
          </w:tcPr>
          <w:p>
            <w:pPr>
              <w:spacing w:line="240" w:lineRule="auto"/>
              <w:ind w:firstLine="0" w:firstLineChars="0"/>
              <w:jc w:val="center"/>
              <w:rPr>
                <w:rFonts w:cs="Times New Roman"/>
                <w:bCs/>
                <w:color w:val="000000" w:themeColor="text1"/>
                <w:sz w:val="21"/>
                <w:szCs w:val="20"/>
                <w14:textFill>
                  <w14:solidFill>
                    <w14:schemeClr w14:val="tx1"/>
                  </w14:solidFill>
                </w14:textFill>
              </w:rPr>
            </w:pPr>
            <w:r>
              <w:rPr>
                <w:rFonts w:cs="Times New Roman"/>
                <w:bCs/>
                <w:color w:val="000000" w:themeColor="text1"/>
                <w:sz w:val="21"/>
                <w:szCs w:val="20"/>
                <w14:textFill>
                  <w14:solidFill>
                    <w14:schemeClr w14:val="tx1"/>
                  </w14:solidFill>
                </w14:textFill>
              </w:rPr>
              <w:t>乙二醇加注撬</w:t>
            </w:r>
          </w:p>
        </w:tc>
        <w:tc>
          <w:tcPr>
            <w:tcW w:w="9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套</w:t>
            </w:r>
          </w:p>
        </w:tc>
        <w:tc>
          <w:tcPr>
            <w:tcW w:w="854" w:type="pct"/>
            <w:vAlign w:val="center"/>
          </w:tcPr>
          <w:p>
            <w:pPr>
              <w:spacing w:line="240" w:lineRule="auto"/>
              <w:ind w:firstLine="0" w:firstLineChars="0"/>
              <w:jc w:val="center"/>
              <w:rPr>
                <w:rFonts w:cs="Times New Roman"/>
                <w:bCs/>
                <w:color w:val="000000" w:themeColor="text1"/>
                <w:sz w:val="21"/>
                <w:szCs w:val="18"/>
                <w14:textFill>
                  <w14:solidFill>
                    <w14:schemeClr w14:val="tx1"/>
                  </w14:solidFill>
                </w14:textFill>
              </w:rPr>
            </w:pPr>
            <w:r>
              <w:rPr>
                <w:rFonts w:cs="Times New Roman"/>
                <w:bCs/>
                <w:color w:val="000000" w:themeColor="text1"/>
                <w:sz w:val="21"/>
                <w:szCs w:val="18"/>
                <w14:textFill>
                  <w14:solidFill>
                    <w14:schemeClr w14:val="tx1"/>
                  </w14:solidFill>
                </w14:textFill>
              </w:rPr>
              <w:t>1</w:t>
            </w:r>
          </w:p>
        </w:tc>
      </w:tr>
    </w:tbl>
    <w:p>
      <w:pPr>
        <w:pStyle w:val="95"/>
      </w:pPr>
    </w:p>
    <w:p>
      <w:pPr>
        <w:pStyle w:val="4"/>
        <w:ind w:firstLine="241"/>
        <w:rPr>
          <w:b w:val="0"/>
        </w:rPr>
      </w:pPr>
      <w:bookmarkStart w:id="106" w:name="_Toc120173103"/>
      <w:r>
        <w:rPr>
          <w:rFonts w:hint="eastAsia"/>
        </w:rPr>
        <w:t>3.2.5</w:t>
      </w:r>
      <w:r>
        <w:t>原辅材料消耗</w:t>
      </w:r>
      <w:bookmarkEnd w:id="106"/>
    </w:p>
    <w:p>
      <w:pPr>
        <w:pStyle w:val="5"/>
      </w:pPr>
      <w:r>
        <w:rPr>
          <w:rFonts w:hint="eastAsia"/>
        </w:rPr>
        <w:t>3.2.5.1</w:t>
      </w:r>
      <w:r>
        <w:t>施工期</w:t>
      </w:r>
    </w:p>
    <w:p>
      <w:pPr>
        <w:autoSpaceDE w:val="0"/>
        <w:autoSpaceDN w:val="0"/>
        <w:ind w:firstLine="482"/>
        <w:textAlignment w:val="baseline"/>
        <w:rPr>
          <w:rFonts w:cs="Times New Roman"/>
          <w:b/>
          <w:bCs/>
          <w:color w:val="000000" w:themeColor="text1"/>
          <w:kern w:val="0"/>
          <w:szCs w:val="20"/>
          <w14:textFill>
            <w14:solidFill>
              <w14:schemeClr w14:val="tx1"/>
            </w14:solidFill>
          </w14:textFill>
        </w:rPr>
      </w:pPr>
      <w:r>
        <w:rPr>
          <w:rFonts w:cs="Times New Roman"/>
          <w:b/>
          <w:bCs/>
          <w:color w:val="000000" w:themeColor="text1"/>
          <w:kern w:val="0"/>
          <w:szCs w:val="20"/>
          <w14:textFill>
            <w14:solidFill>
              <w14:schemeClr w14:val="tx1"/>
            </w14:solidFill>
          </w14:textFill>
        </w:rPr>
        <w:t>（1）钻井作业材料消耗</w:t>
      </w:r>
    </w:p>
    <w:p>
      <w:pPr>
        <w:widowControl/>
        <w:ind w:firstLine="480"/>
        <w:rPr>
          <w:rFonts w:cs="Times New Roman"/>
          <w:color w:val="000000" w:themeColor="text1"/>
          <w14:textFill>
            <w14:solidFill>
              <w14:schemeClr w14:val="tx1"/>
            </w14:solidFill>
          </w14:textFill>
        </w:rPr>
      </w:pPr>
      <w:r>
        <w:rPr>
          <w:rFonts w:cs="Times New Roman"/>
          <w:color w:val="000000" w:themeColor="text1"/>
          <w:kern w:val="0"/>
          <w:szCs w:val="20"/>
          <w14:textFill>
            <w14:solidFill>
              <w14:schemeClr w14:val="tx1"/>
            </w14:solidFill>
          </w14:textFill>
        </w:rPr>
        <w:t>本工程采用常规钻井工艺进行钻井，仅进行钻井。钻井初期在场地内配备钻井液并储存于钻井泥浆罐中循环使用，调配钻井液原料（如膨润等，分区分类贮存于井场内，贮存区上部设雨篷遮挡，钻井液原料按月需求量贮存于井场内）。本工程优先考虑气体钻井方式否则选用氯化钾聚合物钻井液体系，导管采用</w:t>
      </w:r>
      <w:r>
        <w:rPr>
          <w:rFonts w:cs="Times New Roman"/>
          <w:color w:val="000000" w:themeColor="text1"/>
          <w14:textFill>
            <w14:solidFill>
              <w14:schemeClr w14:val="tx1"/>
            </w14:solidFill>
          </w14:textFill>
        </w:rPr>
        <w:t>清水钻井液钻进，</w:t>
      </w:r>
      <w:r>
        <w:rPr>
          <w:rFonts w:cs="Times New Roman"/>
          <w:color w:val="000000" w:themeColor="text1"/>
          <w:kern w:val="0"/>
          <w:szCs w:val="20"/>
          <w14:textFill>
            <w14:solidFill>
              <w14:schemeClr w14:val="tx1"/>
            </w14:solidFill>
          </w14:textFill>
        </w:rPr>
        <w:t>一开采用气体钻井/氯化钾聚合物钻井液体系</w:t>
      </w:r>
      <w:r>
        <w:rPr>
          <w:rFonts w:cs="Times New Roman"/>
          <w:color w:val="000000" w:themeColor="text1"/>
          <w14:textFill>
            <w14:solidFill>
              <w14:schemeClr w14:val="tx1"/>
            </w14:solidFill>
          </w14:textFill>
        </w:rPr>
        <w:t>，二开采用</w:t>
      </w:r>
      <w:r>
        <w:rPr>
          <w:rFonts w:cs="Times New Roman"/>
          <w:color w:val="000000" w:themeColor="text1"/>
          <w:kern w:val="0"/>
          <w:szCs w:val="20"/>
          <w14:textFill>
            <w14:solidFill>
              <w14:schemeClr w14:val="tx1"/>
            </w14:solidFill>
          </w14:textFill>
        </w:rPr>
        <w:t>气体钻井/氯化钾</w:t>
      </w:r>
      <w:r>
        <w:rPr>
          <w:rFonts w:cs="Times New Roman"/>
          <w:color w:val="000000" w:themeColor="text1"/>
          <w14:textFill>
            <w14:solidFill>
              <w14:schemeClr w14:val="tx1"/>
            </w14:solidFill>
          </w14:textFill>
        </w:rPr>
        <w:t>聚合物防塌钻井液体系，三开采用</w:t>
      </w:r>
      <w:r>
        <w:rPr>
          <w:rFonts w:cs="Times New Roman"/>
          <w:bCs/>
          <w:color w:val="000000" w:themeColor="text1"/>
          <w:szCs w:val="20"/>
          <w14:textFill>
            <w14:solidFill>
              <w14:schemeClr w14:val="tx1"/>
            </w14:solidFill>
          </w14:textFill>
        </w:rPr>
        <w:t>有机盐无黏土相钻井液</w:t>
      </w:r>
      <w:r>
        <w:rPr>
          <w:rFonts w:cs="Times New Roman"/>
          <w:color w:val="000000" w:themeColor="text1"/>
          <w14:textFill>
            <w14:solidFill>
              <w14:schemeClr w14:val="tx1"/>
            </w14:solidFill>
          </w14:textFill>
        </w:rPr>
        <w:t>体系（</w:t>
      </w:r>
      <w:r>
        <w:rPr>
          <w:rFonts w:cs="Times New Roman"/>
          <w:color w:val="000000" w:themeColor="text1"/>
          <w:szCs w:val="21"/>
          <w14:textFill>
            <w14:solidFill>
              <w14:schemeClr w14:val="tx1"/>
            </w14:solidFill>
          </w14:textFill>
        </w:rPr>
        <w:t>若遇特殊地层情况，三开段可能会转为油基钻井，使用较环保的白油为基础的油基钻井液</w:t>
      </w:r>
      <w:r>
        <w:rPr>
          <w:rFonts w:cs="Times New Roman"/>
          <w:color w:val="000000" w:themeColor="text1"/>
          <w14:textFill>
            <w14:solidFill>
              <w14:schemeClr w14:val="tx1"/>
            </w14:solidFill>
          </w14:textFill>
        </w:rPr>
        <w:t>）</w:t>
      </w:r>
      <w:r>
        <w:rPr>
          <w:rFonts w:cs="Times New Roman"/>
          <w:color w:val="000000" w:themeColor="text1"/>
          <w:szCs w:val="21"/>
          <w14:textFill>
            <w14:solidFill>
              <w14:schemeClr w14:val="tx1"/>
            </w14:solidFill>
          </w14:textFill>
        </w:rPr>
        <w:t>，</w:t>
      </w:r>
      <w:r>
        <w:rPr>
          <w:rFonts w:cs="Times New Roman"/>
          <w:color w:val="000000" w:themeColor="text1"/>
          <w14:textFill>
            <w14:solidFill>
              <w14:schemeClr w14:val="tx1"/>
            </w14:solidFill>
          </w14:textFill>
        </w:rPr>
        <w:t>项目钻井液不涉及聚磺体系。钻井液初期在场地内配备并储存于钻井泥浆罐中循环使用，调配钻井液原料（分区分类贮存于井场内，贮存区上部设雨篷遮挡，钻井液原料按月需求量贮存于井场内）。储备钻井液压调配好后储存于泥浆罐中（泥浆储备罐区采取防渗措施）。</w:t>
      </w:r>
    </w:p>
    <w:p>
      <w:pPr>
        <w:pStyle w:val="95"/>
      </w:pPr>
      <w:r>
        <w:t>表</w:t>
      </w:r>
      <w:r>
        <w:fldChar w:fldCharType="begin"/>
      </w:r>
      <w:r>
        <w:instrText xml:space="preserve"> STYLEREF 2 \s </w:instrText>
      </w:r>
      <w:r>
        <w:fldChar w:fldCharType="separate"/>
      </w:r>
      <w:r>
        <w:t>3.2</w:t>
      </w:r>
      <w:r>
        <w:fldChar w:fldCharType="end"/>
      </w:r>
      <w:r>
        <w:t>-10 项目分段钻井液类型</w:t>
      </w:r>
    </w:p>
    <w:tbl>
      <w:tblPr>
        <w:tblStyle w:val="52"/>
        <w:tblW w:w="4998" w:type="pct"/>
        <w:tblInd w:w="0" w:type="dxa"/>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autofit"/>
        <w:tblCellMar>
          <w:top w:w="0" w:type="dxa"/>
          <w:left w:w="108" w:type="dxa"/>
          <w:bottom w:w="0" w:type="dxa"/>
          <w:right w:w="108" w:type="dxa"/>
        </w:tblCellMar>
      </w:tblPr>
      <w:tblGrid>
        <w:gridCol w:w="1594"/>
        <w:gridCol w:w="1311"/>
        <w:gridCol w:w="1604"/>
        <w:gridCol w:w="4014"/>
      </w:tblGrid>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136" w:hRule="atLeast"/>
        </w:trPr>
        <w:tc>
          <w:tcPr>
            <w:tcW w:w="935" w:type="pct"/>
            <w:vAlign w:val="center"/>
          </w:tcPr>
          <w:p>
            <w:pPr>
              <w:pStyle w:val="294"/>
            </w:pPr>
            <w:r>
              <w:t>开钻序号</w:t>
            </w:r>
          </w:p>
        </w:tc>
        <w:tc>
          <w:tcPr>
            <w:tcW w:w="769" w:type="pct"/>
            <w:vAlign w:val="center"/>
          </w:tcPr>
          <w:p>
            <w:pPr>
              <w:pStyle w:val="294"/>
            </w:pPr>
            <w:r>
              <w:t>井眼尺寸</w:t>
            </w:r>
          </w:p>
          <w:p>
            <w:pPr>
              <w:pStyle w:val="294"/>
            </w:pPr>
            <w:r>
              <w:t>mm</w:t>
            </w:r>
          </w:p>
        </w:tc>
        <w:tc>
          <w:tcPr>
            <w:tcW w:w="941" w:type="pct"/>
            <w:vAlign w:val="center"/>
          </w:tcPr>
          <w:p>
            <w:pPr>
              <w:pStyle w:val="294"/>
            </w:pPr>
            <w:r>
              <w:t>井段m</w:t>
            </w:r>
          </w:p>
        </w:tc>
        <w:tc>
          <w:tcPr>
            <w:tcW w:w="2354" w:type="pct"/>
            <w:vAlign w:val="center"/>
          </w:tcPr>
          <w:p>
            <w:pPr>
              <w:pStyle w:val="294"/>
            </w:pPr>
            <w:r>
              <w:t>钻井液体系</w:t>
            </w:r>
          </w:p>
        </w:tc>
      </w:tr>
      <w:tr>
        <w:tblPrEx>
          <w:tblCellMar>
            <w:top w:w="0" w:type="dxa"/>
            <w:left w:w="108" w:type="dxa"/>
            <w:bottom w:w="0" w:type="dxa"/>
            <w:right w:w="108" w:type="dxa"/>
          </w:tblCellMar>
        </w:tblPrEx>
        <w:trPr>
          <w:trHeight w:val="316" w:hRule="atLeast"/>
        </w:trPr>
        <w:tc>
          <w:tcPr>
            <w:tcW w:w="935" w:type="pct"/>
            <w:vAlign w:val="center"/>
          </w:tcPr>
          <w:p>
            <w:pPr>
              <w:pStyle w:val="294"/>
            </w:pPr>
            <w:r>
              <w:t>导管</w:t>
            </w:r>
          </w:p>
        </w:tc>
        <w:tc>
          <w:tcPr>
            <w:tcW w:w="769" w:type="pct"/>
            <w:vAlign w:val="center"/>
          </w:tcPr>
          <w:p>
            <w:pPr>
              <w:pStyle w:val="294"/>
            </w:pPr>
            <w:r>
              <w:t>660.4</w:t>
            </w:r>
          </w:p>
        </w:tc>
        <w:tc>
          <w:tcPr>
            <w:tcW w:w="941" w:type="pct"/>
            <w:vAlign w:val="center"/>
          </w:tcPr>
          <w:p>
            <w:pPr>
              <w:pStyle w:val="294"/>
            </w:pPr>
            <w:r>
              <w:t>0～251</w:t>
            </w:r>
          </w:p>
        </w:tc>
        <w:tc>
          <w:tcPr>
            <w:tcW w:w="2354" w:type="pct"/>
            <w:vAlign w:val="center"/>
          </w:tcPr>
          <w:p>
            <w:pPr>
              <w:pStyle w:val="294"/>
            </w:pPr>
            <w:r>
              <w:t>清水或膨润土浆</w:t>
            </w:r>
          </w:p>
        </w:tc>
      </w:tr>
      <w:tr>
        <w:tblPrEx>
          <w:tblCellMar>
            <w:top w:w="0" w:type="dxa"/>
            <w:left w:w="108" w:type="dxa"/>
            <w:bottom w:w="0" w:type="dxa"/>
            <w:right w:w="108" w:type="dxa"/>
          </w:tblCellMar>
        </w:tblPrEx>
        <w:trPr>
          <w:trHeight w:val="316" w:hRule="atLeast"/>
        </w:trPr>
        <w:tc>
          <w:tcPr>
            <w:tcW w:w="935" w:type="pct"/>
            <w:vAlign w:val="center"/>
          </w:tcPr>
          <w:p>
            <w:pPr>
              <w:pStyle w:val="294"/>
            </w:pPr>
            <w:r>
              <w:t>一开</w:t>
            </w:r>
          </w:p>
        </w:tc>
        <w:tc>
          <w:tcPr>
            <w:tcW w:w="769" w:type="pct"/>
            <w:vAlign w:val="center"/>
          </w:tcPr>
          <w:p>
            <w:pPr>
              <w:pStyle w:val="294"/>
            </w:pPr>
            <w:r>
              <w:t>406.4</w:t>
            </w:r>
          </w:p>
        </w:tc>
        <w:tc>
          <w:tcPr>
            <w:tcW w:w="941" w:type="pct"/>
            <w:vAlign w:val="center"/>
          </w:tcPr>
          <w:p>
            <w:pPr>
              <w:pStyle w:val="294"/>
            </w:pPr>
            <w:r>
              <w:t>251～2263</w:t>
            </w:r>
          </w:p>
        </w:tc>
        <w:tc>
          <w:tcPr>
            <w:tcW w:w="2354" w:type="pct"/>
            <w:vAlign w:val="center"/>
          </w:tcPr>
          <w:p>
            <w:pPr>
              <w:pStyle w:val="294"/>
            </w:pPr>
            <w:r>
              <w:t>气体钻井流体（或氯化钾聚合物钻井液体系）</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16" w:hRule="atLeast"/>
        </w:trPr>
        <w:tc>
          <w:tcPr>
            <w:tcW w:w="935" w:type="pct"/>
            <w:vMerge w:val="restart"/>
            <w:vAlign w:val="center"/>
          </w:tcPr>
          <w:p>
            <w:pPr>
              <w:pStyle w:val="294"/>
            </w:pPr>
            <w:r>
              <w:t>二开</w:t>
            </w:r>
          </w:p>
        </w:tc>
        <w:tc>
          <w:tcPr>
            <w:tcW w:w="769" w:type="pct"/>
            <w:vMerge w:val="restart"/>
            <w:vAlign w:val="center"/>
          </w:tcPr>
          <w:p>
            <w:pPr>
              <w:pStyle w:val="294"/>
            </w:pPr>
            <w:r>
              <w:t>311.2</w:t>
            </w:r>
          </w:p>
        </w:tc>
        <w:tc>
          <w:tcPr>
            <w:tcW w:w="941" w:type="pct"/>
            <w:vAlign w:val="center"/>
          </w:tcPr>
          <w:p>
            <w:pPr>
              <w:pStyle w:val="294"/>
            </w:pPr>
            <w:r>
              <w:t>2263～3544</w:t>
            </w:r>
          </w:p>
        </w:tc>
        <w:tc>
          <w:tcPr>
            <w:tcW w:w="2354" w:type="pct"/>
            <w:vAlign w:val="center"/>
          </w:tcPr>
          <w:p>
            <w:pPr>
              <w:pStyle w:val="294"/>
            </w:pPr>
            <w:r>
              <w:t>气体钻井流体（或氯化钾聚合物润滑防塌钻井液体系）</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16" w:hRule="atLeast"/>
        </w:trPr>
        <w:tc>
          <w:tcPr>
            <w:tcW w:w="935" w:type="pct"/>
            <w:vMerge w:val="continue"/>
            <w:vAlign w:val="center"/>
          </w:tcPr>
          <w:p>
            <w:pPr>
              <w:pStyle w:val="294"/>
            </w:pPr>
          </w:p>
        </w:tc>
        <w:tc>
          <w:tcPr>
            <w:tcW w:w="769" w:type="pct"/>
            <w:vMerge w:val="continue"/>
            <w:vAlign w:val="center"/>
          </w:tcPr>
          <w:p>
            <w:pPr>
              <w:pStyle w:val="294"/>
            </w:pPr>
          </w:p>
        </w:tc>
        <w:tc>
          <w:tcPr>
            <w:tcW w:w="941" w:type="pct"/>
            <w:vAlign w:val="center"/>
          </w:tcPr>
          <w:p>
            <w:pPr>
              <w:pStyle w:val="294"/>
            </w:pPr>
            <w:r>
              <w:t>3544～4800</w:t>
            </w:r>
          </w:p>
        </w:tc>
        <w:tc>
          <w:tcPr>
            <w:tcW w:w="2354" w:type="pct"/>
            <w:vAlign w:val="center"/>
          </w:tcPr>
          <w:p>
            <w:pPr>
              <w:pStyle w:val="294"/>
            </w:pPr>
            <w:r>
              <w:t>氯化钾聚合物润滑防塌钻井液体系/欠饱和盐水</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16" w:hRule="atLeast"/>
        </w:trPr>
        <w:tc>
          <w:tcPr>
            <w:tcW w:w="935" w:type="pct"/>
            <w:vAlign w:val="center"/>
          </w:tcPr>
          <w:p>
            <w:pPr>
              <w:pStyle w:val="294"/>
            </w:pPr>
            <w:r>
              <w:t>三开</w:t>
            </w:r>
          </w:p>
        </w:tc>
        <w:tc>
          <w:tcPr>
            <w:tcW w:w="769" w:type="pct"/>
            <w:vAlign w:val="center"/>
          </w:tcPr>
          <w:p>
            <w:pPr>
              <w:pStyle w:val="294"/>
            </w:pPr>
            <w:r>
              <w:t>215.9</w:t>
            </w:r>
          </w:p>
        </w:tc>
        <w:tc>
          <w:tcPr>
            <w:tcW w:w="941" w:type="pct"/>
            <w:vAlign w:val="center"/>
          </w:tcPr>
          <w:p>
            <w:pPr>
              <w:pStyle w:val="294"/>
            </w:pPr>
            <w:r>
              <w:t>4800～5707.65</w:t>
            </w:r>
          </w:p>
        </w:tc>
        <w:tc>
          <w:tcPr>
            <w:tcW w:w="2354" w:type="pct"/>
            <w:vAlign w:val="center"/>
          </w:tcPr>
          <w:p>
            <w:pPr>
              <w:pStyle w:val="294"/>
            </w:pPr>
            <w:r>
              <w:t>有机盐无黏土相钻井液</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16" w:hRule="atLeast"/>
        </w:trPr>
        <w:tc>
          <w:tcPr>
            <w:tcW w:w="935" w:type="pct"/>
            <w:vAlign w:val="center"/>
          </w:tcPr>
          <w:p>
            <w:pPr>
              <w:pStyle w:val="294"/>
            </w:pPr>
            <w:r>
              <w:rPr>
                <w:rFonts w:hint="eastAsia"/>
              </w:rPr>
              <w:t>三开</w:t>
            </w:r>
            <w:r>
              <w:t>（</w:t>
            </w:r>
            <w:r>
              <w:rPr>
                <w:rFonts w:hint="eastAsia"/>
              </w:rPr>
              <w:t>油基</w:t>
            </w:r>
            <w:r>
              <w:t>）</w:t>
            </w:r>
          </w:p>
        </w:tc>
        <w:tc>
          <w:tcPr>
            <w:tcW w:w="769" w:type="pct"/>
            <w:vAlign w:val="center"/>
          </w:tcPr>
          <w:p>
            <w:pPr>
              <w:pStyle w:val="294"/>
            </w:pPr>
            <w:r>
              <w:t>215.9</w:t>
            </w:r>
          </w:p>
        </w:tc>
        <w:tc>
          <w:tcPr>
            <w:tcW w:w="941" w:type="pct"/>
            <w:vAlign w:val="center"/>
          </w:tcPr>
          <w:p>
            <w:pPr>
              <w:pStyle w:val="294"/>
            </w:pPr>
            <w:r>
              <w:t>4800～5707.65</w:t>
            </w:r>
          </w:p>
        </w:tc>
        <w:tc>
          <w:tcPr>
            <w:tcW w:w="2354" w:type="pct"/>
            <w:vAlign w:val="center"/>
          </w:tcPr>
          <w:p>
            <w:pPr>
              <w:pStyle w:val="294"/>
            </w:pPr>
            <w:r>
              <w:rPr>
                <w:rFonts w:hint="eastAsia"/>
              </w:rPr>
              <w:t>白油油基钻井液或封堵性聚合物润滑防塌钻井液体系</w:t>
            </w:r>
          </w:p>
        </w:tc>
      </w:tr>
    </w:tbl>
    <w:p>
      <w:pPr>
        <w:pStyle w:val="249"/>
        <w:spacing w:before="120" w:beforeLines="50"/>
        <w:ind w:firstLine="480"/>
        <w:rPr>
          <w:color w:val="000000" w:themeColor="text1"/>
          <w14:textFill>
            <w14:solidFill>
              <w14:schemeClr w14:val="tx1"/>
            </w14:solidFill>
          </w14:textFill>
        </w:rPr>
      </w:pPr>
      <w:r>
        <w:rPr>
          <w:color w:val="000000" w:themeColor="text1"/>
          <w14:textFill>
            <w14:solidFill>
              <w14:schemeClr w14:val="tx1"/>
            </w14:solidFill>
          </w14:textFill>
        </w:rPr>
        <w:t>项目主要原辅材料消耗情况见3.2-11：</w:t>
      </w:r>
    </w:p>
    <w:p>
      <w:pPr>
        <w:pStyle w:val="95"/>
      </w:pPr>
      <w:bookmarkStart w:id="107" w:name="_Ref142593375"/>
      <w:r>
        <w:t>表</w:t>
      </w:r>
      <w:r>
        <w:fldChar w:fldCharType="begin"/>
      </w:r>
      <w:r>
        <w:instrText xml:space="preserve"> STYLEREF 2 \s </w:instrText>
      </w:r>
      <w:r>
        <w:fldChar w:fldCharType="separate"/>
      </w:r>
      <w:r>
        <w:t>3.2</w:t>
      </w:r>
      <w:r>
        <w:fldChar w:fldCharType="end"/>
      </w:r>
      <w:r>
        <w:noBreakHyphen/>
      </w:r>
      <w:bookmarkEnd w:id="107"/>
      <w:r>
        <w:t>11 钻井液储备（钻井液钻井方式）</w:t>
      </w:r>
    </w:p>
    <w:tbl>
      <w:tblPr>
        <w:tblStyle w:val="52"/>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408"/>
        <w:gridCol w:w="1736"/>
        <w:gridCol w:w="1849"/>
        <w:gridCol w:w="1793"/>
        <w:gridCol w:w="1740"/>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07" w:hRule="atLeast"/>
        </w:trPr>
        <w:tc>
          <w:tcPr>
            <w:tcW w:w="826" w:type="pct"/>
            <w:vMerge w:val="restart"/>
            <w:vAlign w:val="center"/>
          </w:tcPr>
          <w:p>
            <w:pPr>
              <w:pStyle w:val="294"/>
            </w:pPr>
            <w:r>
              <w:t>开钻序号</w:t>
            </w:r>
          </w:p>
        </w:tc>
        <w:tc>
          <w:tcPr>
            <w:tcW w:w="2102" w:type="pct"/>
            <w:gridSpan w:val="2"/>
            <w:vAlign w:val="center"/>
          </w:tcPr>
          <w:p>
            <w:pPr>
              <w:pStyle w:val="294"/>
            </w:pPr>
            <w:r>
              <w:t>轻钻井液</w:t>
            </w:r>
          </w:p>
        </w:tc>
        <w:tc>
          <w:tcPr>
            <w:tcW w:w="2071" w:type="pct"/>
            <w:gridSpan w:val="2"/>
            <w:vAlign w:val="center"/>
          </w:tcPr>
          <w:p>
            <w:pPr>
              <w:pStyle w:val="294"/>
            </w:pPr>
            <w:r>
              <w:t>重钻井液</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08" w:hRule="atLeast"/>
        </w:trPr>
        <w:tc>
          <w:tcPr>
            <w:tcW w:w="826" w:type="pct"/>
            <w:vMerge w:val="continue"/>
            <w:vAlign w:val="center"/>
          </w:tcPr>
          <w:p>
            <w:pPr>
              <w:pStyle w:val="294"/>
            </w:pPr>
          </w:p>
        </w:tc>
        <w:tc>
          <w:tcPr>
            <w:tcW w:w="1018" w:type="pct"/>
            <w:vAlign w:val="center"/>
          </w:tcPr>
          <w:p>
            <w:pPr>
              <w:pStyle w:val="294"/>
            </w:pPr>
            <w:r>
              <w:t>ρ</w:t>
            </w:r>
          </w:p>
          <w:p>
            <w:pPr>
              <w:pStyle w:val="294"/>
            </w:pPr>
            <w:r>
              <w:t>(g/cm</w:t>
            </w:r>
            <w:r>
              <w:rPr>
                <w:vertAlign w:val="superscript"/>
              </w:rPr>
              <w:t>3</w:t>
            </w:r>
            <w:r>
              <w:t>)</w:t>
            </w:r>
          </w:p>
        </w:tc>
        <w:tc>
          <w:tcPr>
            <w:tcW w:w="1083" w:type="pct"/>
            <w:vAlign w:val="center"/>
          </w:tcPr>
          <w:p>
            <w:pPr>
              <w:pStyle w:val="294"/>
            </w:pPr>
            <w:r>
              <w:t>数量</w:t>
            </w:r>
          </w:p>
          <w:p>
            <w:pPr>
              <w:pStyle w:val="294"/>
            </w:pPr>
            <w:r>
              <w:t>(m</w:t>
            </w:r>
            <w:r>
              <w:rPr>
                <w:vertAlign w:val="superscript"/>
              </w:rPr>
              <w:t>3</w:t>
            </w:r>
            <w:r>
              <w:t>)</w:t>
            </w:r>
          </w:p>
        </w:tc>
        <w:tc>
          <w:tcPr>
            <w:tcW w:w="1051" w:type="pct"/>
            <w:vAlign w:val="center"/>
          </w:tcPr>
          <w:p>
            <w:pPr>
              <w:pStyle w:val="294"/>
            </w:pPr>
            <w:r>
              <w:t>ρ</w:t>
            </w:r>
          </w:p>
          <w:p>
            <w:pPr>
              <w:pStyle w:val="294"/>
            </w:pPr>
            <w:r>
              <w:t>(g/cm</w:t>
            </w:r>
            <w:r>
              <w:rPr>
                <w:vertAlign w:val="superscript"/>
              </w:rPr>
              <w:t>3</w:t>
            </w:r>
            <w:r>
              <w:t>)</w:t>
            </w:r>
          </w:p>
        </w:tc>
        <w:tc>
          <w:tcPr>
            <w:tcW w:w="1020" w:type="pct"/>
            <w:vAlign w:val="center"/>
          </w:tcPr>
          <w:p>
            <w:pPr>
              <w:pStyle w:val="294"/>
            </w:pPr>
            <w:r>
              <w:t>数量</w:t>
            </w:r>
          </w:p>
          <w:p>
            <w:pPr>
              <w:pStyle w:val="294"/>
            </w:pPr>
            <w:r>
              <w:t>(m</w:t>
            </w:r>
            <w:r>
              <w:rPr>
                <w:vertAlign w:val="superscript"/>
              </w:rPr>
              <w:t>3</w:t>
            </w:r>
            <w: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13" w:hRule="atLeast"/>
        </w:trPr>
        <w:tc>
          <w:tcPr>
            <w:tcW w:w="826" w:type="pct"/>
            <w:vAlign w:val="center"/>
          </w:tcPr>
          <w:p>
            <w:pPr>
              <w:pStyle w:val="294"/>
            </w:pPr>
            <w:r>
              <w:t>一开</w:t>
            </w:r>
          </w:p>
        </w:tc>
        <w:tc>
          <w:tcPr>
            <w:tcW w:w="1018" w:type="pct"/>
            <w:vAlign w:val="center"/>
          </w:tcPr>
          <w:p>
            <w:pPr>
              <w:pStyle w:val="294"/>
            </w:pPr>
            <w:r>
              <w:t>1.07</w:t>
            </w:r>
          </w:p>
        </w:tc>
        <w:tc>
          <w:tcPr>
            <w:tcW w:w="1083" w:type="pct"/>
            <w:vAlign w:val="center"/>
          </w:tcPr>
          <w:p>
            <w:pPr>
              <w:pStyle w:val="294"/>
            </w:pPr>
            <w:r>
              <w:t xml:space="preserve">362 </w:t>
            </w:r>
          </w:p>
        </w:tc>
        <w:tc>
          <w:tcPr>
            <w:tcW w:w="1051" w:type="pct"/>
            <w:vAlign w:val="center"/>
          </w:tcPr>
          <w:p>
            <w:pPr>
              <w:pStyle w:val="294"/>
            </w:pPr>
            <w:r>
              <w:t>1.35</w:t>
            </w:r>
          </w:p>
        </w:tc>
        <w:tc>
          <w:tcPr>
            <w:tcW w:w="1020" w:type="pct"/>
            <w:vAlign w:val="center"/>
          </w:tcPr>
          <w:p>
            <w:pPr>
              <w:pStyle w:val="294"/>
            </w:pPr>
            <w:r>
              <w:t xml:space="preserve">362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12" w:hRule="atLeast"/>
        </w:trPr>
        <w:tc>
          <w:tcPr>
            <w:tcW w:w="826" w:type="pct"/>
            <w:vAlign w:val="center"/>
          </w:tcPr>
          <w:p>
            <w:pPr>
              <w:pStyle w:val="294"/>
            </w:pPr>
            <w:r>
              <w:t>二开</w:t>
            </w:r>
          </w:p>
        </w:tc>
        <w:tc>
          <w:tcPr>
            <w:tcW w:w="1018" w:type="pct"/>
            <w:vAlign w:val="center"/>
          </w:tcPr>
          <w:p>
            <w:pPr>
              <w:pStyle w:val="294"/>
            </w:pPr>
            <w:r>
              <w:t>1.17</w:t>
            </w:r>
          </w:p>
        </w:tc>
        <w:tc>
          <w:tcPr>
            <w:tcW w:w="1083" w:type="pct"/>
            <w:vAlign w:val="center"/>
          </w:tcPr>
          <w:p>
            <w:pPr>
              <w:pStyle w:val="294"/>
            </w:pPr>
            <w:r>
              <w:t xml:space="preserve">408 </w:t>
            </w:r>
          </w:p>
        </w:tc>
        <w:tc>
          <w:tcPr>
            <w:tcW w:w="1051" w:type="pct"/>
            <w:vAlign w:val="center"/>
          </w:tcPr>
          <w:p>
            <w:pPr>
              <w:pStyle w:val="294"/>
            </w:pPr>
            <w:r>
              <w:t>1.65</w:t>
            </w:r>
          </w:p>
        </w:tc>
        <w:tc>
          <w:tcPr>
            <w:tcW w:w="1020" w:type="pct"/>
            <w:vAlign w:val="center"/>
          </w:tcPr>
          <w:p>
            <w:pPr>
              <w:pStyle w:val="294"/>
            </w:pPr>
            <w:r>
              <w:t xml:space="preserve">408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12" w:hRule="atLeast"/>
        </w:trPr>
        <w:tc>
          <w:tcPr>
            <w:tcW w:w="826" w:type="pct"/>
            <w:vAlign w:val="center"/>
          </w:tcPr>
          <w:p>
            <w:pPr>
              <w:pStyle w:val="294"/>
            </w:pPr>
            <w:r>
              <w:t>三开</w:t>
            </w:r>
          </w:p>
        </w:tc>
        <w:tc>
          <w:tcPr>
            <w:tcW w:w="1018" w:type="pct"/>
            <w:vAlign w:val="center"/>
          </w:tcPr>
          <w:p>
            <w:pPr>
              <w:pStyle w:val="294"/>
            </w:pPr>
            <w:r>
              <w:t>1.07</w:t>
            </w:r>
          </w:p>
        </w:tc>
        <w:tc>
          <w:tcPr>
            <w:tcW w:w="1083" w:type="pct"/>
            <w:vAlign w:val="center"/>
          </w:tcPr>
          <w:p>
            <w:pPr>
              <w:pStyle w:val="294"/>
            </w:pPr>
            <w:r>
              <w:t xml:space="preserve">219 </w:t>
            </w:r>
          </w:p>
        </w:tc>
        <w:tc>
          <w:tcPr>
            <w:tcW w:w="1051" w:type="pct"/>
            <w:vAlign w:val="center"/>
          </w:tcPr>
          <w:p>
            <w:pPr>
              <w:pStyle w:val="294"/>
            </w:pPr>
            <w:r>
              <w:t>1.53</w:t>
            </w:r>
          </w:p>
        </w:tc>
        <w:tc>
          <w:tcPr>
            <w:tcW w:w="1020" w:type="pct"/>
            <w:vAlign w:val="center"/>
          </w:tcPr>
          <w:p>
            <w:pPr>
              <w:pStyle w:val="294"/>
            </w:pPr>
            <w:r>
              <w:t xml:space="preserve">219 </w:t>
            </w:r>
          </w:p>
        </w:tc>
      </w:tr>
    </w:tbl>
    <w:p>
      <w:pPr>
        <w:pStyle w:val="95"/>
      </w:pPr>
      <w:bookmarkStart w:id="108" w:name="_Ref142593376"/>
      <w:r>
        <w:t>表</w:t>
      </w:r>
      <w:r>
        <w:fldChar w:fldCharType="begin"/>
      </w:r>
      <w:r>
        <w:instrText xml:space="preserve"> STYLEREF 2 \s </w:instrText>
      </w:r>
      <w:r>
        <w:fldChar w:fldCharType="separate"/>
      </w:r>
      <w:r>
        <w:t>3.2</w:t>
      </w:r>
      <w:r>
        <w:fldChar w:fldCharType="end"/>
      </w:r>
      <w:r>
        <w:noBreakHyphen/>
      </w:r>
      <w:bookmarkEnd w:id="108"/>
      <w:r>
        <w:t>12 钻井作业主要原辅材料消耗情况表</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23"/>
        <w:gridCol w:w="4135"/>
        <w:gridCol w:w="1724"/>
        <w:gridCol w:w="1073"/>
        <w:gridCol w:w="107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tblHeader/>
          <w:jc w:val="center"/>
        </w:trPr>
        <w:tc>
          <w:tcPr>
            <w:tcW w:w="307" w:type="pct"/>
            <w:vAlign w:val="center"/>
          </w:tcPr>
          <w:p>
            <w:pPr>
              <w:pStyle w:val="294"/>
            </w:pPr>
            <w:r>
              <w:t>序号</w:t>
            </w:r>
          </w:p>
        </w:tc>
        <w:tc>
          <w:tcPr>
            <w:tcW w:w="2425" w:type="pct"/>
            <w:vAlign w:val="center"/>
          </w:tcPr>
          <w:p>
            <w:pPr>
              <w:pStyle w:val="294"/>
            </w:pPr>
            <w:r>
              <w:t>材料名称</w:t>
            </w:r>
          </w:p>
        </w:tc>
        <w:tc>
          <w:tcPr>
            <w:tcW w:w="1011" w:type="pct"/>
            <w:vAlign w:val="center"/>
          </w:tcPr>
          <w:p>
            <w:pPr>
              <w:pStyle w:val="294"/>
            </w:pPr>
            <w:r>
              <w:t>普光3011-6井用量（t）</w:t>
            </w:r>
          </w:p>
        </w:tc>
        <w:tc>
          <w:tcPr>
            <w:tcW w:w="629" w:type="pct"/>
            <w:vAlign w:val="center"/>
          </w:tcPr>
          <w:p>
            <w:pPr>
              <w:pStyle w:val="294"/>
            </w:pPr>
            <w:r>
              <w:t>现场最大储量（t）</w:t>
            </w:r>
          </w:p>
        </w:tc>
        <w:tc>
          <w:tcPr>
            <w:tcW w:w="628" w:type="pct"/>
            <w:vAlign w:val="center"/>
          </w:tcPr>
          <w:p>
            <w:pPr>
              <w:pStyle w:val="294"/>
            </w:pPr>
            <w: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1</w:t>
            </w:r>
          </w:p>
        </w:tc>
        <w:tc>
          <w:tcPr>
            <w:tcW w:w="2425" w:type="pct"/>
            <w:vAlign w:val="center"/>
          </w:tcPr>
          <w:p>
            <w:pPr>
              <w:pStyle w:val="294"/>
            </w:pPr>
            <w:r>
              <w:t>膨润土粉</w:t>
            </w:r>
          </w:p>
        </w:tc>
        <w:tc>
          <w:tcPr>
            <w:tcW w:w="1011" w:type="pct"/>
            <w:vAlign w:val="center"/>
          </w:tcPr>
          <w:p>
            <w:pPr>
              <w:pStyle w:val="294"/>
            </w:pPr>
            <w:r>
              <w:rPr>
                <w:snapToGrid w:val="0"/>
              </w:rPr>
              <w:t>55</w:t>
            </w:r>
          </w:p>
        </w:tc>
        <w:tc>
          <w:tcPr>
            <w:tcW w:w="629" w:type="pct"/>
            <w:vAlign w:val="center"/>
          </w:tcPr>
          <w:p>
            <w:pPr>
              <w:pStyle w:val="294"/>
            </w:pPr>
            <w:r>
              <w:t>10</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2</w:t>
            </w:r>
          </w:p>
        </w:tc>
        <w:tc>
          <w:tcPr>
            <w:tcW w:w="2425" w:type="pct"/>
            <w:vAlign w:val="center"/>
          </w:tcPr>
          <w:p>
            <w:pPr>
              <w:pStyle w:val="294"/>
            </w:pPr>
            <w:r>
              <w:t>纯碱Na</w:t>
            </w:r>
            <w:r>
              <w:rPr>
                <w:vertAlign w:val="subscript"/>
              </w:rPr>
              <w:t>2</w:t>
            </w:r>
            <w:r>
              <w:t>CO</w:t>
            </w:r>
            <w:r>
              <w:rPr>
                <w:vertAlign w:val="subscript"/>
              </w:rPr>
              <w:t>3</w:t>
            </w:r>
          </w:p>
        </w:tc>
        <w:tc>
          <w:tcPr>
            <w:tcW w:w="1011" w:type="pct"/>
            <w:vAlign w:val="center"/>
          </w:tcPr>
          <w:p>
            <w:pPr>
              <w:pStyle w:val="294"/>
            </w:pPr>
            <w:r>
              <w:rPr>
                <w:snapToGrid w:val="0"/>
              </w:rPr>
              <w:t>5</w:t>
            </w:r>
          </w:p>
        </w:tc>
        <w:tc>
          <w:tcPr>
            <w:tcW w:w="629" w:type="pct"/>
            <w:vAlign w:val="center"/>
          </w:tcPr>
          <w:p>
            <w:pPr>
              <w:pStyle w:val="294"/>
            </w:pPr>
            <w:r>
              <w:t>2</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3</w:t>
            </w:r>
          </w:p>
        </w:tc>
        <w:tc>
          <w:tcPr>
            <w:tcW w:w="2425" w:type="pct"/>
            <w:vAlign w:val="center"/>
          </w:tcPr>
          <w:p>
            <w:pPr>
              <w:pStyle w:val="294"/>
            </w:pPr>
            <w:r>
              <w:t>氢氧化钠NaOH</w:t>
            </w:r>
          </w:p>
        </w:tc>
        <w:tc>
          <w:tcPr>
            <w:tcW w:w="1011" w:type="pct"/>
            <w:vAlign w:val="center"/>
          </w:tcPr>
          <w:p>
            <w:pPr>
              <w:pStyle w:val="294"/>
            </w:pPr>
            <w:r>
              <w:rPr>
                <w:snapToGrid w:val="0"/>
              </w:rPr>
              <w:t>10</w:t>
            </w:r>
          </w:p>
        </w:tc>
        <w:tc>
          <w:tcPr>
            <w:tcW w:w="629" w:type="pct"/>
            <w:vAlign w:val="center"/>
          </w:tcPr>
          <w:p>
            <w:pPr>
              <w:pStyle w:val="294"/>
            </w:pPr>
            <w:r>
              <w:t>2</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4</w:t>
            </w:r>
          </w:p>
        </w:tc>
        <w:tc>
          <w:tcPr>
            <w:tcW w:w="2425" w:type="pct"/>
            <w:vAlign w:val="center"/>
          </w:tcPr>
          <w:p>
            <w:pPr>
              <w:pStyle w:val="294"/>
            </w:pPr>
            <w:r>
              <w:t>丙烯酸盐多元共聚物SK-</w:t>
            </w:r>
            <w:r>
              <w:rPr>
                <w:rFonts w:hint="eastAsia" w:ascii="宋体" w:hAnsi="宋体" w:cs="宋体"/>
              </w:rPr>
              <w:t>Ⅱ</w:t>
            </w:r>
          </w:p>
        </w:tc>
        <w:tc>
          <w:tcPr>
            <w:tcW w:w="1011" w:type="pct"/>
            <w:vAlign w:val="center"/>
          </w:tcPr>
          <w:p>
            <w:pPr>
              <w:pStyle w:val="294"/>
            </w:pPr>
            <w:r>
              <w:rPr>
                <w:snapToGrid w:val="0"/>
              </w:rPr>
              <w:t>10</w:t>
            </w:r>
          </w:p>
        </w:tc>
        <w:tc>
          <w:tcPr>
            <w:tcW w:w="629" w:type="pct"/>
            <w:vAlign w:val="center"/>
          </w:tcPr>
          <w:p>
            <w:pPr>
              <w:pStyle w:val="294"/>
            </w:pPr>
            <w:r>
              <w:t>2</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5</w:t>
            </w:r>
          </w:p>
        </w:tc>
        <w:tc>
          <w:tcPr>
            <w:tcW w:w="2425" w:type="pct"/>
            <w:vAlign w:val="center"/>
          </w:tcPr>
          <w:p>
            <w:pPr>
              <w:pStyle w:val="294"/>
            </w:pPr>
            <w:r>
              <w:t xml:space="preserve">聚合物增粘剂JJZ-1 </w:t>
            </w:r>
          </w:p>
        </w:tc>
        <w:tc>
          <w:tcPr>
            <w:tcW w:w="1011" w:type="pct"/>
            <w:vAlign w:val="center"/>
          </w:tcPr>
          <w:p>
            <w:pPr>
              <w:pStyle w:val="294"/>
            </w:pPr>
            <w:r>
              <w:rPr>
                <w:snapToGrid w:val="0"/>
              </w:rPr>
              <w:t>10</w:t>
            </w:r>
          </w:p>
        </w:tc>
        <w:tc>
          <w:tcPr>
            <w:tcW w:w="629" w:type="pct"/>
            <w:vAlign w:val="center"/>
          </w:tcPr>
          <w:p>
            <w:pPr>
              <w:pStyle w:val="294"/>
            </w:pPr>
            <w:r>
              <w:t>2</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6</w:t>
            </w:r>
          </w:p>
        </w:tc>
        <w:tc>
          <w:tcPr>
            <w:tcW w:w="2425" w:type="pct"/>
            <w:vAlign w:val="center"/>
          </w:tcPr>
          <w:p>
            <w:pPr>
              <w:pStyle w:val="294"/>
            </w:pPr>
            <w:r>
              <w:t>螯合金属离子聚合物CMP-1</w:t>
            </w:r>
          </w:p>
        </w:tc>
        <w:tc>
          <w:tcPr>
            <w:tcW w:w="1011" w:type="pct"/>
            <w:vAlign w:val="center"/>
          </w:tcPr>
          <w:p>
            <w:pPr>
              <w:pStyle w:val="294"/>
            </w:pPr>
            <w:r>
              <w:rPr>
                <w:snapToGrid w:val="0"/>
              </w:rPr>
              <w:t>10</w:t>
            </w:r>
          </w:p>
        </w:tc>
        <w:tc>
          <w:tcPr>
            <w:tcW w:w="629" w:type="pct"/>
            <w:vAlign w:val="center"/>
          </w:tcPr>
          <w:p>
            <w:pPr>
              <w:pStyle w:val="294"/>
            </w:pPr>
            <w:r>
              <w:t>3</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7</w:t>
            </w:r>
          </w:p>
        </w:tc>
        <w:tc>
          <w:tcPr>
            <w:tcW w:w="2425" w:type="pct"/>
            <w:vAlign w:val="center"/>
          </w:tcPr>
          <w:p>
            <w:pPr>
              <w:pStyle w:val="294"/>
            </w:pPr>
            <w:r>
              <w:t>有机高分子絮凝剂LS-AOF</w:t>
            </w:r>
          </w:p>
        </w:tc>
        <w:tc>
          <w:tcPr>
            <w:tcW w:w="1011" w:type="pct"/>
            <w:vAlign w:val="center"/>
          </w:tcPr>
          <w:p>
            <w:pPr>
              <w:pStyle w:val="294"/>
            </w:pPr>
            <w:r>
              <w:rPr>
                <w:snapToGrid w:val="0"/>
              </w:rPr>
              <w:t>9</w:t>
            </w:r>
          </w:p>
        </w:tc>
        <w:tc>
          <w:tcPr>
            <w:tcW w:w="629" w:type="pct"/>
            <w:vAlign w:val="center"/>
          </w:tcPr>
          <w:p>
            <w:pPr>
              <w:pStyle w:val="294"/>
            </w:pPr>
            <w:r>
              <w:t>3</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8</w:t>
            </w:r>
          </w:p>
        </w:tc>
        <w:tc>
          <w:tcPr>
            <w:tcW w:w="2425" w:type="pct"/>
            <w:vAlign w:val="center"/>
          </w:tcPr>
          <w:p>
            <w:pPr>
              <w:pStyle w:val="294"/>
            </w:pPr>
            <w:r>
              <w:t>高粘羧甲基纤维素钠盐HV-CMC</w:t>
            </w:r>
          </w:p>
        </w:tc>
        <w:tc>
          <w:tcPr>
            <w:tcW w:w="1011" w:type="pct"/>
            <w:vAlign w:val="center"/>
          </w:tcPr>
          <w:p>
            <w:pPr>
              <w:pStyle w:val="294"/>
            </w:pPr>
            <w:r>
              <w:rPr>
                <w:snapToGrid w:val="0"/>
              </w:rPr>
              <w:t>5</w:t>
            </w:r>
          </w:p>
        </w:tc>
        <w:tc>
          <w:tcPr>
            <w:tcW w:w="629" w:type="pct"/>
            <w:vAlign w:val="center"/>
          </w:tcPr>
          <w:p>
            <w:pPr>
              <w:pStyle w:val="294"/>
            </w:pPr>
            <w:r>
              <w:t>3</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9</w:t>
            </w:r>
          </w:p>
        </w:tc>
        <w:tc>
          <w:tcPr>
            <w:tcW w:w="2425" w:type="pct"/>
            <w:vAlign w:val="center"/>
          </w:tcPr>
          <w:p>
            <w:pPr>
              <w:pStyle w:val="294"/>
            </w:pPr>
            <w:r>
              <w:t>聚合物降滤失剂DR-</w:t>
            </w:r>
            <w:r>
              <w:rPr>
                <w:rFonts w:hint="eastAsia" w:ascii="宋体" w:hAnsi="宋体" w:cs="宋体"/>
              </w:rPr>
              <w:t>Ⅱ</w:t>
            </w:r>
            <w:r>
              <w:t>(或JMP-1)</w:t>
            </w:r>
          </w:p>
        </w:tc>
        <w:tc>
          <w:tcPr>
            <w:tcW w:w="1011" w:type="pct"/>
            <w:vAlign w:val="center"/>
          </w:tcPr>
          <w:p>
            <w:pPr>
              <w:pStyle w:val="294"/>
            </w:pPr>
            <w:r>
              <w:rPr>
                <w:snapToGrid w:val="0"/>
              </w:rPr>
              <w:t>3</w:t>
            </w:r>
            <w:r>
              <w:rPr>
                <w:rFonts w:eastAsiaTheme="minorEastAsia"/>
                <w:snapToGrid w:val="0"/>
              </w:rPr>
              <w:t>1</w:t>
            </w:r>
          </w:p>
        </w:tc>
        <w:tc>
          <w:tcPr>
            <w:tcW w:w="629" w:type="pct"/>
            <w:vAlign w:val="center"/>
          </w:tcPr>
          <w:p>
            <w:pPr>
              <w:pStyle w:val="294"/>
            </w:pPr>
            <w:r>
              <w:t>5</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10</w:t>
            </w:r>
          </w:p>
        </w:tc>
        <w:tc>
          <w:tcPr>
            <w:tcW w:w="2425" w:type="pct"/>
            <w:vAlign w:val="center"/>
          </w:tcPr>
          <w:p>
            <w:pPr>
              <w:pStyle w:val="294"/>
            </w:pPr>
            <w:r>
              <w:t>抗高温降粘降滤失剂SD-202</w:t>
            </w:r>
          </w:p>
        </w:tc>
        <w:tc>
          <w:tcPr>
            <w:tcW w:w="1011" w:type="pct"/>
            <w:vAlign w:val="center"/>
          </w:tcPr>
          <w:p>
            <w:pPr>
              <w:pStyle w:val="294"/>
            </w:pPr>
            <w:r>
              <w:rPr>
                <w:snapToGrid w:val="0"/>
              </w:rPr>
              <w:t>35</w:t>
            </w:r>
          </w:p>
        </w:tc>
        <w:tc>
          <w:tcPr>
            <w:tcW w:w="629" w:type="pct"/>
            <w:vAlign w:val="center"/>
          </w:tcPr>
          <w:p>
            <w:pPr>
              <w:pStyle w:val="294"/>
            </w:pPr>
            <w:r>
              <w:t>5</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11</w:t>
            </w:r>
          </w:p>
        </w:tc>
        <w:tc>
          <w:tcPr>
            <w:tcW w:w="2425" w:type="pct"/>
            <w:vAlign w:val="center"/>
          </w:tcPr>
          <w:p>
            <w:pPr>
              <w:pStyle w:val="294"/>
            </w:pPr>
            <w:r>
              <w:t>聚合醇防塌剂PEG</w:t>
            </w:r>
          </w:p>
        </w:tc>
        <w:tc>
          <w:tcPr>
            <w:tcW w:w="1011" w:type="pct"/>
            <w:vAlign w:val="center"/>
          </w:tcPr>
          <w:p>
            <w:pPr>
              <w:pStyle w:val="294"/>
            </w:pPr>
            <w:r>
              <w:rPr>
                <w:snapToGrid w:val="0"/>
              </w:rPr>
              <w:t>35</w:t>
            </w:r>
          </w:p>
        </w:tc>
        <w:tc>
          <w:tcPr>
            <w:tcW w:w="629" w:type="pct"/>
            <w:vAlign w:val="center"/>
          </w:tcPr>
          <w:p>
            <w:pPr>
              <w:pStyle w:val="294"/>
            </w:pPr>
            <w:r>
              <w:t>5</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12</w:t>
            </w:r>
          </w:p>
        </w:tc>
        <w:tc>
          <w:tcPr>
            <w:tcW w:w="2425" w:type="pct"/>
            <w:vAlign w:val="center"/>
          </w:tcPr>
          <w:p>
            <w:pPr>
              <w:pStyle w:val="294"/>
            </w:pPr>
            <w:r>
              <w:t>无荧光防塌剂</w:t>
            </w:r>
          </w:p>
        </w:tc>
        <w:tc>
          <w:tcPr>
            <w:tcW w:w="1011" w:type="pct"/>
            <w:vAlign w:val="center"/>
          </w:tcPr>
          <w:p>
            <w:pPr>
              <w:pStyle w:val="294"/>
            </w:pPr>
            <w:r>
              <w:rPr>
                <w:snapToGrid w:val="0"/>
              </w:rPr>
              <w:t>40</w:t>
            </w:r>
          </w:p>
        </w:tc>
        <w:tc>
          <w:tcPr>
            <w:tcW w:w="629" w:type="pct"/>
            <w:vAlign w:val="center"/>
          </w:tcPr>
          <w:p>
            <w:pPr>
              <w:pStyle w:val="294"/>
            </w:pPr>
            <w:r>
              <w:t>3</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13</w:t>
            </w:r>
          </w:p>
        </w:tc>
        <w:tc>
          <w:tcPr>
            <w:tcW w:w="2425" w:type="pct"/>
            <w:vAlign w:val="center"/>
          </w:tcPr>
          <w:p>
            <w:pPr>
              <w:pStyle w:val="294"/>
            </w:pPr>
            <w:r>
              <w:t>乳化石蜡基润滑剂（或无荧光润滑剂CJ1-2）</w:t>
            </w:r>
          </w:p>
        </w:tc>
        <w:tc>
          <w:tcPr>
            <w:tcW w:w="1011" w:type="pct"/>
            <w:vAlign w:val="center"/>
          </w:tcPr>
          <w:p>
            <w:pPr>
              <w:pStyle w:val="294"/>
            </w:pPr>
            <w:r>
              <w:t>38</w:t>
            </w:r>
          </w:p>
        </w:tc>
        <w:tc>
          <w:tcPr>
            <w:tcW w:w="629" w:type="pct"/>
            <w:vAlign w:val="center"/>
          </w:tcPr>
          <w:p>
            <w:pPr>
              <w:pStyle w:val="294"/>
            </w:pPr>
            <w:r>
              <w:t>5</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14</w:t>
            </w:r>
          </w:p>
        </w:tc>
        <w:tc>
          <w:tcPr>
            <w:tcW w:w="2425" w:type="pct"/>
            <w:vAlign w:val="center"/>
          </w:tcPr>
          <w:p>
            <w:pPr>
              <w:pStyle w:val="294"/>
            </w:pPr>
            <w:r>
              <w:t>超细活化石墨粉固体润滑剂LSW</w:t>
            </w:r>
          </w:p>
        </w:tc>
        <w:tc>
          <w:tcPr>
            <w:tcW w:w="1011" w:type="pct"/>
            <w:vAlign w:val="center"/>
          </w:tcPr>
          <w:p>
            <w:pPr>
              <w:pStyle w:val="294"/>
            </w:pPr>
            <w:r>
              <w:t>12</w:t>
            </w:r>
          </w:p>
        </w:tc>
        <w:tc>
          <w:tcPr>
            <w:tcW w:w="629" w:type="pct"/>
            <w:vAlign w:val="center"/>
          </w:tcPr>
          <w:p>
            <w:pPr>
              <w:pStyle w:val="294"/>
            </w:pPr>
            <w:r>
              <w:t>2</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15</w:t>
            </w:r>
          </w:p>
        </w:tc>
        <w:tc>
          <w:tcPr>
            <w:tcW w:w="2425" w:type="pct"/>
            <w:vAlign w:val="center"/>
          </w:tcPr>
          <w:p>
            <w:pPr>
              <w:pStyle w:val="294"/>
            </w:pPr>
            <w:r>
              <w:t>硅氟稳定剂SF-4</w:t>
            </w:r>
          </w:p>
        </w:tc>
        <w:tc>
          <w:tcPr>
            <w:tcW w:w="1011" w:type="pct"/>
            <w:vAlign w:val="center"/>
          </w:tcPr>
          <w:p>
            <w:pPr>
              <w:pStyle w:val="294"/>
            </w:pPr>
            <w:r>
              <w:t>8</w:t>
            </w:r>
          </w:p>
        </w:tc>
        <w:tc>
          <w:tcPr>
            <w:tcW w:w="629" w:type="pct"/>
            <w:vAlign w:val="center"/>
          </w:tcPr>
          <w:p>
            <w:pPr>
              <w:pStyle w:val="294"/>
            </w:pPr>
            <w:r>
              <w:t>2</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16</w:t>
            </w:r>
          </w:p>
        </w:tc>
        <w:tc>
          <w:tcPr>
            <w:tcW w:w="2425" w:type="pct"/>
            <w:vAlign w:val="center"/>
          </w:tcPr>
          <w:p>
            <w:pPr>
              <w:pStyle w:val="294"/>
            </w:pPr>
            <w:r>
              <w:t>聚合物降粘剂JN-1</w:t>
            </w:r>
          </w:p>
        </w:tc>
        <w:tc>
          <w:tcPr>
            <w:tcW w:w="1011" w:type="pct"/>
            <w:vAlign w:val="center"/>
          </w:tcPr>
          <w:p>
            <w:pPr>
              <w:pStyle w:val="294"/>
            </w:pPr>
            <w:r>
              <w:t>9</w:t>
            </w:r>
          </w:p>
        </w:tc>
        <w:tc>
          <w:tcPr>
            <w:tcW w:w="629" w:type="pct"/>
            <w:vAlign w:val="center"/>
          </w:tcPr>
          <w:p>
            <w:pPr>
              <w:pStyle w:val="294"/>
            </w:pPr>
            <w:r>
              <w:t>2</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17</w:t>
            </w:r>
          </w:p>
        </w:tc>
        <w:tc>
          <w:tcPr>
            <w:tcW w:w="2425" w:type="pct"/>
            <w:vAlign w:val="center"/>
          </w:tcPr>
          <w:p>
            <w:pPr>
              <w:pStyle w:val="294"/>
            </w:pPr>
            <w:r>
              <w:t>硅氟稀释剂SF-1</w:t>
            </w:r>
          </w:p>
        </w:tc>
        <w:tc>
          <w:tcPr>
            <w:tcW w:w="1011" w:type="pct"/>
            <w:vAlign w:val="center"/>
          </w:tcPr>
          <w:p>
            <w:pPr>
              <w:pStyle w:val="294"/>
            </w:pPr>
            <w:r>
              <w:t>8</w:t>
            </w:r>
          </w:p>
        </w:tc>
        <w:tc>
          <w:tcPr>
            <w:tcW w:w="629" w:type="pct"/>
            <w:vAlign w:val="center"/>
          </w:tcPr>
          <w:p>
            <w:pPr>
              <w:pStyle w:val="294"/>
            </w:pPr>
            <w:r>
              <w:t>2</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18</w:t>
            </w:r>
          </w:p>
        </w:tc>
        <w:tc>
          <w:tcPr>
            <w:tcW w:w="2425" w:type="pct"/>
            <w:vAlign w:val="center"/>
          </w:tcPr>
          <w:p>
            <w:pPr>
              <w:pStyle w:val="294"/>
            </w:pPr>
            <w:r>
              <w:t>低荧光封堵防塌剂</w:t>
            </w:r>
          </w:p>
        </w:tc>
        <w:tc>
          <w:tcPr>
            <w:tcW w:w="1011" w:type="pct"/>
            <w:vAlign w:val="center"/>
          </w:tcPr>
          <w:p>
            <w:pPr>
              <w:pStyle w:val="294"/>
            </w:pPr>
            <w:r>
              <w:t>43</w:t>
            </w:r>
          </w:p>
        </w:tc>
        <w:tc>
          <w:tcPr>
            <w:tcW w:w="629" w:type="pct"/>
            <w:vAlign w:val="center"/>
          </w:tcPr>
          <w:p>
            <w:pPr>
              <w:pStyle w:val="294"/>
            </w:pPr>
            <w:r>
              <w:t>3</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19</w:t>
            </w:r>
          </w:p>
        </w:tc>
        <w:tc>
          <w:tcPr>
            <w:tcW w:w="2425" w:type="pct"/>
            <w:vAlign w:val="center"/>
          </w:tcPr>
          <w:p>
            <w:pPr>
              <w:pStyle w:val="294"/>
            </w:pPr>
            <w:r>
              <w:t>非渗透抗压处理剂KSY</w:t>
            </w:r>
          </w:p>
        </w:tc>
        <w:tc>
          <w:tcPr>
            <w:tcW w:w="1011" w:type="pct"/>
            <w:vAlign w:val="center"/>
          </w:tcPr>
          <w:p>
            <w:pPr>
              <w:pStyle w:val="294"/>
            </w:pPr>
            <w:r>
              <w:t>8</w:t>
            </w:r>
          </w:p>
        </w:tc>
        <w:tc>
          <w:tcPr>
            <w:tcW w:w="629" w:type="pct"/>
            <w:vAlign w:val="center"/>
          </w:tcPr>
          <w:p>
            <w:pPr>
              <w:pStyle w:val="294"/>
            </w:pPr>
            <w:r>
              <w:t>3</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20</w:t>
            </w:r>
          </w:p>
        </w:tc>
        <w:tc>
          <w:tcPr>
            <w:tcW w:w="2425" w:type="pct"/>
            <w:vAlign w:val="center"/>
          </w:tcPr>
          <w:p>
            <w:pPr>
              <w:pStyle w:val="294"/>
            </w:pPr>
            <w:r>
              <w:t>固体消泡剂RLC-103A</w:t>
            </w:r>
          </w:p>
        </w:tc>
        <w:tc>
          <w:tcPr>
            <w:tcW w:w="1011" w:type="pct"/>
            <w:vAlign w:val="center"/>
          </w:tcPr>
          <w:p>
            <w:pPr>
              <w:pStyle w:val="294"/>
            </w:pPr>
            <w:r>
              <w:t>5</w:t>
            </w:r>
          </w:p>
        </w:tc>
        <w:tc>
          <w:tcPr>
            <w:tcW w:w="629" w:type="pct"/>
            <w:vAlign w:val="center"/>
          </w:tcPr>
          <w:p>
            <w:pPr>
              <w:pStyle w:val="294"/>
            </w:pPr>
            <w:r>
              <w:t>3</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21</w:t>
            </w:r>
          </w:p>
        </w:tc>
        <w:tc>
          <w:tcPr>
            <w:tcW w:w="2425" w:type="pct"/>
            <w:vAlign w:val="center"/>
          </w:tcPr>
          <w:p>
            <w:pPr>
              <w:pStyle w:val="294"/>
            </w:pPr>
            <w:r>
              <w:t>石灰CaO 备用</w:t>
            </w:r>
          </w:p>
        </w:tc>
        <w:tc>
          <w:tcPr>
            <w:tcW w:w="1011" w:type="pct"/>
            <w:vAlign w:val="center"/>
          </w:tcPr>
          <w:p>
            <w:pPr>
              <w:pStyle w:val="294"/>
            </w:pPr>
            <w:r>
              <w:t>5</w:t>
            </w:r>
          </w:p>
        </w:tc>
        <w:tc>
          <w:tcPr>
            <w:tcW w:w="629" w:type="pct"/>
            <w:vAlign w:val="center"/>
          </w:tcPr>
          <w:p>
            <w:pPr>
              <w:pStyle w:val="294"/>
            </w:pPr>
            <w:r>
              <w:t>3</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22</w:t>
            </w:r>
          </w:p>
        </w:tc>
        <w:tc>
          <w:tcPr>
            <w:tcW w:w="2425" w:type="pct"/>
            <w:vAlign w:val="center"/>
          </w:tcPr>
          <w:p>
            <w:pPr>
              <w:pStyle w:val="294"/>
            </w:pPr>
            <w:r>
              <w:t>抗硫缓蚀剂CJ2-12 (碱式碳酸锌或海绵铁)</w:t>
            </w:r>
          </w:p>
        </w:tc>
        <w:tc>
          <w:tcPr>
            <w:tcW w:w="1011" w:type="pct"/>
            <w:vAlign w:val="center"/>
          </w:tcPr>
          <w:p>
            <w:pPr>
              <w:pStyle w:val="294"/>
            </w:pPr>
            <w:r>
              <w:t>10</w:t>
            </w:r>
          </w:p>
        </w:tc>
        <w:tc>
          <w:tcPr>
            <w:tcW w:w="629" w:type="pct"/>
            <w:vAlign w:val="center"/>
          </w:tcPr>
          <w:p>
            <w:pPr>
              <w:pStyle w:val="294"/>
            </w:pPr>
            <w:r>
              <w:t>3</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23</w:t>
            </w:r>
          </w:p>
        </w:tc>
        <w:tc>
          <w:tcPr>
            <w:tcW w:w="2425" w:type="pct"/>
            <w:vAlign w:val="center"/>
          </w:tcPr>
          <w:p>
            <w:pPr>
              <w:pStyle w:val="294"/>
            </w:pPr>
            <w:r>
              <w:t>抗盐抗高温稀释剂</w:t>
            </w:r>
          </w:p>
        </w:tc>
        <w:tc>
          <w:tcPr>
            <w:tcW w:w="1011" w:type="pct"/>
            <w:vAlign w:val="center"/>
          </w:tcPr>
          <w:p>
            <w:pPr>
              <w:pStyle w:val="294"/>
            </w:pPr>
            <w:r>
              <w:t>12</w:t>
            </w:r>
          </w:p>
        </w:tc>
        <w:tc>
          <w:tcPr>
            <w:tcW w:w="629" w:type="pct"/>
            <w:vAlign w:val="center"/>
          </w:tcPr>
          <w:p>
            <w:pPr>
              <w:pStyle w:val="294"/>
            </w:pPr>
            <w:r>
              <w:t>3</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24</w:t>
            </w:r>
          </w:p>
        </w:tc>
        <w:tc>
          <w:tcPr>
            <w:tcW w:w="2425" w:type="pct"/>
            <w:vAlign w:val="center"/>
          </w:tcPr>
          <w:p>
            <w:pPr>
              <w:pStyle w:val="294"/>
            </w:pPr>
            <w:r>
              <w:t>重晶石</w:t>
            </w:r>
          </w:p>
        </w:tc>
        <w:tc>
          <w:tcPr>
            <w:tcW w:w="1011" w:type="pct"/>
            <w:vAlign w:val="center"/>
          </w:tcPr>
          <w:p>
            <w:pPr>
              <w:pStyle w:val="294"/>
            </w:pPr>
            <w:r>
              <w:t>900</w:t>
            </w:r>
          </w:p>
        </w:tc>
        <w:tc>
          <w:tcPr>
            <w:tcW w:w="629" w:type="pct"/>
            <w:vAlign w:val="center"/>
          </w:tcPr>
          <w:p>
            <w:pPr>
              <w:pStyle w:val="294"/>
            </w:pPr>
            <w:r>
              <w:t>100</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25</w:t>
            </w:r>
          </w:p>
        </w:tc>
        <w:tc>
          <w:tcPr>
            <w:tcW w:w="2425" w:type="pct"/>
            <w:vAlign w:val="center"/>
          </w:tcPr>
          <w:p>
            <w:pPr>
              <w:pStyle w:val="294"/>
            </w:pPr>
            <w:r>
              <w:t>钻井液用固化剂HB113</w:t>
            </w:r>
          </w:p>
        </w:tc>
        <w:tc>
          <w:tcPr>
            <w:tcW w:w="1011" w:type="pct"/>
            <w:vAlign w:val="center"/>
          </w:tcPr>
          <w:p>
            <w:pPr>
              <w:pStyle w:val="294"/>
            </w:pPr>
            <w:r>
              <w:t>35</w:t>
            </w:r>
          </w:p>
        </w:tc>
        <w:tc>
          <w:tcPr>
            <w:tcW w:w="629" w:type="pct"/>
            <w:vAlign w:val="center"/>
          </w:tcPr>
          <w:p>
            <w:pPr>
              <w:pStyle w:val="294"/>
            </w:pPr>
            <w:r>
              <w:t>5</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26</w:t>
            </w:r>
          </w:p>
        </w:tc>
        <w:tc>
          <w:tcPr>
            <w:tcW w:w="2425" w:type="pct"/>
            <w:vAlign w:val="center"/>
          </w:tcPr>
          <w:p>
            <w:pPr>
              <w:pStyle w:val="294"/>
            </w:pPr>
            <w:r>
              <w:t>随钻堵漏剂</w:t>
            </w:r>
          </w:p>
        </w:tc>
        <w:tc>
          <w:tcPr>
            <w:tcW w:w="1011" w:type="pct"/>
            <w:vAlign w:val="center"/>
          </w:tcPr>
          <w:p>
            <w:pPr>
              <w:pStyle w:val="294"/>
            </w:pPr>
            <w:r>
              <w:t>30</w:t>
            </w:r>
          </w:p>
        </w:tc>
        <w:tc>
          <w:tcPr>
            <w:tcW w:w="629" w:type="pct"/>
            <w:vAlign w:val="center"/>
          </w:tcPr>
          <w:p>
            <w:pPr>
              <w:pStyle w:val="294"/>
            </w:pPr>
            <w:r>
              <w:t>5</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27</w:t>
            </w:r>
          </w:p>
        </w:tc>
        <w:tc>
          <w:tcPr>
            <w:tcW w:w="2425" w:type="pct"/>
            <w:vAlign w:val="center"/>
          </w:tcPr>
          <w:p>
            <w:pPr>
              <w:pStyle w:val="294"/>
            </w:pPr>
            <w:r>
              <w:t>复合堵漏剂备用</w:t>
            </w:r>
          </w:p>
        </w:tc>
        <w:tc>
          <w:tcPr>
            <w:tcW w:w="1011" w:type="pct"/>
            <w:vAlign w:val="center"/>
          </w:tcPr>
          <w:p>
            <w:pPr>
              <w:pStyle w:val="294"/>
            </w:pPr>
            <w:r>
              <w:t>10</w:t>
            </w:r>
          </w:p>
        </w:tc>
        <w:tc>
          <w:tcPr>
            <w:tcW w:w="629" w:type="pct"/>
            <w:vAlign w:val="center"/>
          </w:tcPr>
          <w:p>
            <w:pPr>
              <w:pStyle w:val="294"/>
            </w:pPr>
            <w:r>
              <w:t>3</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28</w:t>
            </w:r>
          </w:p>
        </w:tc>
        <w:tc>
          <w:tcPr>
            <w:tcW w:w="2425" w:type="pct"/>
            <w:vAlign w:val="bottom"/>
          </w:tcPr>
          <w:p>
            <w:pPr>
              <w:pStyle w:val="294"/>
            </w:pPr>
            <w:r>
              <w:t>可酸化膨胀堵漏剂（产层）</w:t>
            </w:r>
          </w:p>
        </w:tc>
        <w:tc>
          <w:tcPr>
            <w:tcW w:w="1011" w:type="pct"/>
            <w:vAlign w:val="center"/>
          </w:tcPr>
          <w:p>
            <w:pPr>
              <w:pStyle w:val="294"/>
            </w:pPr>
            <w:r>
              <w:t>10</w:t>
            </w:r>
          </w:p>
        </w:tc>
        <w:tc>
          <w:tcPr>
            <w:tcW w:w="629" w:type="pct"/>
            <w:vAlign w:val="center"/>
          </w:tcPr>
          <w:p>
            <w:pPr>
              <w:pStyle w:val="294"/>
            </w:pPr>
            <w:r>
              <w:t>3</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29</w:t>
            </w:r>
          </w:p>
        </w:tc>
        <w:tc>
          <w:tcPr>
            <w:tcW w:w="2425" w:type="pct"/>
            <w:vAlign w:val="bottom"/>
          </w:tcPr>
          <w:p>
            <w:pPr>
              <w:pStyle w:val="294"/>
            </w:pPr>
            <w:r>
              <w:t>可承压膨胀堵漏剂（非产层）</w:t>
            </w:r>
          </w:p>
        </w:tc>
        <w:tc>
          <w:tcPr>
            <w:tcW w:w="1011" w:type="pct"/>
            <w:vAlign w:val="center"/>
          </w:tcPr>
          <w:p>
            <w:pPr>
              <w:pStyle w:val="294"/>
            </w:pPr>
            <w:r>
              <w:t>10</w:t>
            </w:r>
          </w:p>
        </w:tc>
        <w:tc>
          <w:tcPr>
            <w:tcW w:w="629" w:type="pct"/>
            <w:vAlign w:val="center"/>
          </w:tcPr>
          <w:p>
            <w:pPr>
              <w:pStyle w:val="294"/>
            </w:pPr>
            <w:r>
              <w:t>3</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30</w:t>
            </w:r>
          </w:p>
        </w:tc>
        <w:tc>
          <w:tcPr>
            <w:tcW w:w="2425" w:type="pct"/>
            <w:vAlign w:val="center"/>
          </w:tcPr>
          <w:p>
            <w:pPr>
              <w:pStyle w:val="294"/>
            </w:pPr>
            <w:r>
              <w:t>工业盐</w:t>
            </w:r>
          </w:p>
        </w:tc>
        <w:tc>
          <w:tcPr>
            <w:tcW w:w="1011" w:type="pct"/>
            <w:vAlign w:val="center"/>
          </w:tcPr>
          <w:p>
            <w:pPr>
              <w:pStyle w:val="294"/>
            </w:pPr>
            <w:r>
              <w:t>110</w:t>
            </w:r>
          </w:p>
        </w:tc>
        <w:tc>
          <w:tcPr>
            <w:tcW w:w="629" w:type="pct"/>
            <w:vAlign w:val="center"/>
          </w:tcPr>
          <w:p>
            <w:pPr>
              <w:pStyle w:val="294"/>
            </w:pPr>
            <w:r>
              <w:t>10</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31</w:t>
            </w:r>
          </w:p>
        </w:tc>
        <w:tc>
          <w:tcPr>
            <w:tcW w:w="2425" w:type="pct"/>
            <w:vAlign w:val="center"/>
          </w:tcPr>
          <w:p>
            <w:pPr>
              <w:pStyle w:val="294"/>
            </w:pPr>
            <w:r>
              <w:t>氯化钾</w:t>
            </w:r>
          </w:p>
        </w:tc>
        <w:tc>
          <w:tcPr>
            <w:tcW w:w="1011" w:type="pct"/>
            <w:vAlign w:val="center"/>
          </w:tcPr>
          <w:p>
            <w:pPr>
              <w:pStyle w:val="294"/>
            </w:pPr>
            <w:r>
              <w:t>120</w:t>
            </w:r>
          </w:p>
        </w:tc>
        <w:tc>
          <w:tcPr>
            <w:tcW w:w="629" w:type="pct"/>
            <w:vAlign w:val="center"/>
          </w:tcPr>
          <w:p>
            <w:pPr>
              <w:pStyle w:val="294"/>
            </w:pPr>
            <w:r>
              <w:t>20</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32</w:t>
            </w:r>
          </w:p>
        </w:tc>
        <w:tc>
          <w:tcPr>
            <w:tcW w:w="2425" w:type="pct"/>
            <w:vAlign w:val="bottom"/>
          </w:tcPr>
          <w:p>
            <w:pPr>
              <w:pStyle w:val="294"/>
            </w:pPr>
            <w:r>
              <w:t>发泡剂</w:t>
            </w:r>
          </w:p>
        </w:tc>
        <w:tc>
          <w:tcPr>
            <w:tcW w:w="1011" w:type="pct"/>
            <w:vAlign w:val="center"/>
          </w:tcPr>
          <w:p>
            <w:pPr>
              <w:pStyle w:val="294"/>
            </w:pPr>
            <w:r>
              <w:t>3</w:t>
            </w:r>
          </w:p>
        </w:tc>
        <w:tc>
          <w:tcPr>
            <w:tcW w:w="629" w:type="pct"/>
            <w:vAlign w:val="center"/>
          </w:tcPr>
          <w:p>
            <w:pPr>
              <w:pStyle w:val="294"/>
            </w:pPr>
            <w:r>
              <w:t>2</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33</w:t>
            </w:r>
          </w:p>
        </w:tc>
        <w:tc>
          <w:tcPr>
            <w:tcW w:w="2425" w:type="pct"/>
            <w:vAlign w:val="bottom"/>
          </w:tcPr>
          <w:p>
            <w:pPr>
              <w:pStyle w:val="294"/>
            </w:pPr>
            <w:r>
              <w:t>稳泡剂</w:t>
            </w:r>
          </w:p>
        </w:tc>
        <w:tc>
          <w:tcPr>
            <w:tcW w:w="1011" w:type="pct"/>
            <w:vAlign w:val="center"/>
          </w:tcPr>
          <w:p>
            <w:pPr>
              <w:pStyle w:val="294"/>
            </w:pPr>
            <w:r>
              <w:t>2</w:t>
            </w:r>
          </w:p>
        </w:tc>
        <w:tc>
          <w:tcPr>
            <w:tcW w:w="629" w:type="pct"/>
            <w:vAlign w:val="center"/>
          </w:tcPr>
          <w:p>
            <w:pPr>
              <w:pStyle w:val="294"/>
            </w:pPr>
            <w:r>
              <w:t>2</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34</w:t>
            </w:r>
          </w:p>
        </w:tc>
        <w:tc>
          <w:tcPr>
            <w:tcW w:w="2425" w:type="pct"/>
            <w:vAlign w:val="bottom"/>
          </w:tcPr>
          <w:p>
            <w:pPr>
              <w:pStyle w:val="294"/>
            </w:pPr>
            <w:r>
              <w:t>泡沫增强剂</w:t>
            </w:r>
          </w:p>
        </w:tc>
        <w:tc>
          <w:tcPr>
            <w:tcW w:w="1011" w:type="pct"/>
            <w:vAlign w:val="center"/>
          </w:tcPr>
          <w:p>
            <w:pPr>
              <w:pStyle w:val="294"/>
            </w:pPr>
            <w:r>
              <w:t>3</w:t>
            </w:r>
          </w:p>
        </w:tc>
        <w:tc>
          <w:tcPr>
            <w:tcW w:w="629" w:type="pct"/>
            <w:vAlign w:val="center"/>
          </w:tcPr>
          <w:p>
            <w:pPr>
              <w:pStyle w:val="294"/>
            </w:pPr>
            <w:r>
              <w:t>3</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35</w:t>
            </w:r>
          </w:p>
        </w:tc>
        <w:tc>
          <w:tcPr>
            <w:tcW w:w="2425" w:type="pct"/>
            <w:vAlign w:val="bottom"/>
          </w:tcPr>
          <w:p>
            <w:pPr>
              <w:pStyle w:val="294"/>
            </w:pPr>
            <w:r>
              <w:t>聚胺抑制剂</w:t>
            </w:r>
          </w:p>
        </w:tc>
        <w:tc>
          <w:tcPr>
            <w:tcW w:w="1011" w:type="pct"/>
            <w:vAlign w:val="center"/>
          </w:tcPr>
          <w:p>
            <w:pPr>
              <w:pStyle w:val="294"/>
            </w:pPr>
            <w:r>
              <w:t>3</w:t>
            </w:r>
          </w:p>
        </w:tc>
        <w:tc>
          <w:tcPr>
            <w:tcW w:w="629" w:type="pct"/>
            <w:vAlign w:val="center"/>
          </w:tcPr>
          <w:p>
            <w:pPr>
              <w:pStyle w:val="294"/>
            </w:pPr>
            <w:r>
              <w:t>2</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36</w:t>
            </w:r>
          </w:p>
        </w:tc>
        <w:tc>
          <w:tcPr>
            <w:tcW w:w="2425" w:type="pct"/>
            <w:vAlign w:val="bottom"/>
          </w:tcPr>
          <w:p>
            <w:pPr>
              <w:pStyle w:val="294"/>
            </w:pPr>
            <w:r>
              <w:t>护壁剂</w:t>
            </w:r>
          </w:p>
        </w:tc>
        <w:tc>
          <w:tcPr>
            <w:tcW w:w="1011" w:type="pct"/>
            <w:vAlign w:val="center"/>
          </w:tcPr>
          <w:p>
            <w:pPr>
              <w:pStyle w:val="294"/>
            </w:pPr>
            <w:r>
              <w:t>6.3</w:t>
            </w:r>
          </w:p>
        </w:tc>
        <w:tc>
          <w:tcPr>
            <w:tcW w:w="629" w:type="pct"/>
            <w:vAlign w:val="center"/>
          </w:tcPr>
          <w:p>
            <w:pPr>
              <w:pStyle w:val="294"/>
            </w:pPr>
            <w:r>
              <w:t>2</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37</w:t>
            </w:r>
          </w:p>
        </w:tc>
        <w:tc>
          <w:tcPr>
            <w:tcW w:w="2425" w:type="pct"/>
            <w:vAlign w:val="bottom"/>
          </w:tcPr>
          <w:p>
            <w:pPr>
              <w:pStyle w:val="294"/>
            </w:pPr>
            <w:r>
              <w:t>杀菌剂</w:t>
            </w:r>
          </w:p>
        </w:tc>
        <w:tc>
          <w:tcPr>
            <w:tcW w:w="1011" w:type="pct"/>
            <w:vAlign w:val="center"/>
          </w:tcPr>
          <w:p>
            <w:pPr>
              <w:pStyle w:val="294"/>
            </w:pPr>
            <w:r>
              <w:t>2</w:t>
            </w:r>
          </w:p>
        </w:tc>
        <w:tc>
          <w:tcPr>
            <w:tcW w:w="629" w:type="pct"/>
            <w:vAlign w:val="center"/>
          </w:tcPr>
          <w:p>
            <w:pPr>
              <w:pStyle w:val="294"/>
            </w:pPr>
            <w:r>
              <w:t>2</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38</w:t>
            </w:r>
          </w:p>
        </w:tc>
        <w:tc>
          <w:tcPr>
            <w:tcW w:w="2425" w:type="pct"/>
            <w:vAlign w:val="bottom"/>
          </w:tcPr>
          <w:p>
            <w:pPr>
              <w:pStyle w:val="294"/>
            </w:pPr>
            <w:r>
              <w:t>可酸溶封堵剂</w:t>
            </w:r>
          </w:p>
        </w:tc>
        <w:tc>
          <w:tcPr>
            <w:tcW w:w="1011" w:type="pct"/>
            <w:vAlign w:val="center"/>
          </w:tcPr>
          <w:p>
            <w:pPr>
              <w:pStyle w:val="294"/>
            </w:pPr>
            <w:r>
              <w:t>17</w:t>
            </w:r>
          </w:p>
        </w:tc>
        <w:tc>
          <w:tcPr>
            <w:tcW w:w="629" w:type="pct"/>
            <w:vAlign w:val="center"/>
          </w:tcPr>
          <w:p>
            <w:pPr>
              <w:pStyle w:val="294"/>
            </w:pPr>
            <w:r>
              <w:t>3</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39</w:t>
            </w:r>
          </w:p>
        </w:tc>
        <w:tc>
          <w:tcPr>
            <w:tcW w:w="2425" w:type="pct"/>
            <w:vAlign w:val="bottom"/>
          </w:tcPr>
          <w:p>
            <w:pPr>
              <w:pStyle w:val="294"/>
            </w:pPr>
            <w:r>
              <w:t>可酸溶纳微米封堵剂</w:t>
            </w:r>
          </w:p>
        </w:tc>
        <w:tc>
          <w:tcPr>
            <w:tcW w:w="1011" w:type="pct"/>
            <w:vAlign w:val="center"/>
          </w:tcPr>
          <w:p>
            <w:pPr>
              <w:pStyle w:val="294"/>
            </w:pPr>
            <w:r>
              <w:t>13</w:t>
            </w:r>
          </w:p>
        </w:tc>
        <w:tc>
          <w:tcPr>
            <w:tcW w:w="629" w:type="pct"/>
            <w:vAlign w:val="center"/>
          </w:tcPr>
          <w:p>
            <w:pPr>
              <w:pStyle w:val="294"/>
            </w:pPr>
            <w:r>
              <w:t>3</w:t>
            </w:r>
          </w:p>
        </w:tc>
        <w:tc>
          <w:tcPr>
            <w:tcW w:w="628"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307" w:type="pct"/>
            <w:vAlign w:val="center"/>
          </w:tcPr>
          <w:p>
            <w:pPr>
              <w:pStyle w:val="294"/>
            </w:pPr>
            <w:r>
              <w:t>40</w:t>
            </w:r>
          </w:p>
        </w:tc>
        <w:tc>
          <w:tcPr>
            <w:tcW w:w="2425" w:type="pct"/>
            <w:vAlign w:val="center"/>
          </w:tcPr>
          <w:p>
            <w:pPr>
              <w:pStyle w:val="294"/>
              <w:rPr>
                <w:rFonts w:eastAsia="Times New Roman"/>
                <w:snapToGrid w:val="0"/>
                <w:kern w:val="0"/>
              </w:rPr>
            </w:pPr>
            <w:r>
              <w:t>白油油基钻井液</w:t>
            </w:r>
          </w:p>
        </w:tc>
        <w:tc>
          <w:tcPr>
            <w:tcW w:w="1011" w:type="pct"/>
            <w:vAlign w:val="center"/>
          </w:tcPr>
          <w:p>
            <w:pPr>
              <w:pStyle w:val="294"/>
            </w:pPr>
            <w:r>
              <w:t>580</w:t>
            </w:r>
          </w:p>
        </w:tc>
        <w:tc>
          <w:tcPr>
            <w:tcW w:w="629" w:type="pct"/>
            <w:vAlign w:val="center"/>
          </w:tcPr>
          <w:p>
            <w:pPr>
              <w:pStyle w:val="294"/>
            </w:pPr>
            <w:r>
              <w:t>40</w:t>
            </w:r>
          </w:p>
        </w:tc>
        <w:tc>
          <w:tcPr>
            <w:tcW w:w="628" w:type="pct"/>
            <w:vAlign w:val="center"/>
          </w:tcPr>
          <w:p>
            <w:pPr>
              <w:pStyle w:val="294"/>
            </w:pPr>
            <w:r>
              <w:t>若涉及油基钻井，则使用</w:t>
            </w:r>
          </w:p>
        </w:tc>
      </w:tr>
    </w:tbl>
    <w:p>
      <w:pPr>
        <w:pStyle w:val="249"/>
        <w:spacing w:before="120" w:beforeLines="50"/>
        <w:ind w:firstLine="482"/>
        <w:rPr>
          <w:color w:val="000000" w:themeColor="text1"/>
          <w14:textFill>
            <w14:solidFill>
              <w14:schemeClr w14:val="tx1"/>
            </w14:solidFill>
          </w14:textFill>
        </w:rPr>
      </w:pPr>
      <w:r>
        <w:rPr>
          <w:b/>
          <w:bCs/>
          <w:color w:val="000000" w:themeColor="text1"/>
          <w14:textFill>
            <w14:solidFill>
              <w14:schemeClr w14:val="tx1"/>
            </w14:solidFill>
          </w14:textFill>
        </w:rPr>
        <w:t>钻井液性质及作用：</w:t>
      </w:r>
      <w:r>
        <w:rPr>
          <w:color w:val="000000" w:themeColor="text1"/>
          <w14:textFill>
            <w14:solidFill>
              <w14:schemeClr w14:val="tx1"/>
            </w14:solidFill>
          </w14:textFill>
        </w:rPr>
        <w:t>钻井液是钻探过程中，孔内使用的循环冲洗介质。钻井液是钻井的血液，又称钻孔冲洗液。钻井液按组成成分可分为清水、泥浆、无粘土相冲洗液、乳状液、泡沫和压缩空气等。泥浆是广泛使用的钻井液，主要适用于松散、裂隙发育、易坍塌掉块、遇水膨胀剥落等孔壁不稳定岩层。</w:t>
      </w:r>
    </w:p>
    <w:p>
      <w:pPr>
        <w:pStyle w:val="249"/>
        <w:ind w:firstLine="482"/>
        <w:rPr>
          <w:color w:val="000000" w:themeColor="text1"/>
          <w14:textFill>
            <w14:solidFill>
              <w14:schemeClr w14:val="tx1"/>
            </w14:solidFill>
          </w14:textFill>
        </w:rPr>
      </w:pPr>
      <w:r>
        <w:rPr>
          <w:b/>
          <w:bCs/>
          <w:color w:val="000000" w:themeColor="text1"/>
          <w14:textFill>
            <w14:solidFill>
              <w14:schemeClr w14:val="tx1"/>
            </w14:solidFill>
          </w14:textFill>
        </w:rPr>
        <w:t>钻井液主要功用：</w:t>
      </w: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冷却钻头、清净孔底、带出岩屑。</w:t>
      </w: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润滑钻具。</w:t>
      </w: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停钻时悬浮岩屑，保护孔壁防止坍塌，平衡地层压力、压住高压油气水层。</w:t>
      </w: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输送岩心，为孔底动力机传递破碎孔底岩石需要的动力等。钻井中钻井液的循环程序包括：钻井、液罐、经泵→地面、管汇→立管→水龙带、水龙头→钻柱内→钻头→钻柱外环形空间→井口、泥浆（钻井液）槽→钻井液净化设备→钻井液罐。</w:t>
      </w:r>
    </w:p>
    <w:p>
      <w:pPr>
        <w:pStyle w:val="249"/>
        <w:ind w:firstLine="482"/>
        <w:rPr>
          <w:color w:val="000000" w:themeColor="text1"/>
          <w14:textFill>
            <w14:solidFill>
              <w14:schemeClr w14:val="tx1"/>
            </w14:solidFill>
          </w14:textFill>
        </w:rPr>
      </w:pPr>
      <w:r>
        <w:rPr>
          <w:b/>
          <w:bCs/>
          <w:color w:val="000000" w:themeColor="text1"/>
          <w14:textFill>
            <w14:solidFill>
              <w14:schemeClr w14:val="tx1"/>
            </w14:solidFill>
          </w14:textFill>
        </w:rPr>
        <w:t>本工程钻井液类型及组成：</w:t>
      </w:r>
      <w:r>
        <w:rPr>
          <w:color w:val="000000" w:themeColor="text1"/>
          <w14:textFill>
            <w14:solidFill>
              <w14:schemeClr w14:val="tx1"/>
            </w14:solidFill>
          </w14:textFill>
        </w:rPr>
        <w:t>钻井液的类型较多，根据不同的地层地质情况，选用不同的泥浆。泥浆主要分为水基钻井液和油基钻井液两种基本类型。</w:t>
      </w:r>
    </w:p>
    <w:p>
      <w:pPr>
        <w:adjustRightInd/>
        <w:snapToGrid/>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钻井液主要成分的物理化学特性：</w:t>
      </w:r>
    </w:p>
    <w:p>
      <w:pPr>
        <w:pStyle w:val="95"/>
      </w:pPr>
      <w:r>
        <w:t>表</w:t>
      </w:r>
      <w:r>
        <w:fldChar w:fldCharType="begin"/>
      </w:r>
      <w:r>
        <w:instrText xml:space="preserve"> STYLEREF 2 \s </w:instrText>
      </w:r>
      <w:r>
        <w:fldChar w:fldCharType="separate"/>
      </w:r>
      <w:r>
        <w:t>3.2</w:t>
      </w:r>
      <w:r>
        <w:fldChar w:fldCharType="end"/>
      </w:r>
      <w:r>
        <w:noBreakHyphen/>
      </w:r>
      <w:r>
        <w:t>13  钻井液主要材料物理化学特性</w:t>
      </w:r>
    </w:p>
    <w:tbl>
      <w:tblPr>
        <w:tblStyle w:val="52"/>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4"/>
        <w:gridCol w:w="1523"/>
        <w:gridCol w:w="599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44" w:type="dxa"/>
          </w:tcPr>
          <w:p>
            <w:pPr>
              <w:pStyle w:val="294"/>
              <w:rPr>
                <w:lang w:eastAsia="en-US"/>
              </w:rPr>
            </w:pPr>
            <w:r>
              <w:rPr>
                <w:lang w:eastAsia="en-US"/>
              </w:rPr>
              <w:t>序号</w:t>
            </w:r>
          </w:p>
        </w:tc>
        <w:tc>
          <w:tcPr>
            <w:tcW w:w="1523" w:type="dxa"/>
          </w:tcPr>
          <w:p>
            <w:pPr>
              <w:pStyle w:val="294"/>
              <w:rPr>
                <w:lang w:eastAsia="en-US"/>
              </w:rPr>
            </w:pPr>
            <w:r>
              <w:rPr>
                <w:lang w:eastAsia="en-US"/>
              </w:rPr>
              <w:t>材料名称</w:t>
            </w:r>
          </w:p>
        </w:tc>
        <w:tc>
          <w:tcPr>
            <w:tcW w:w="5998" w:type="dxa"/>
          </w:tcPr>
          <w:p>
            <w:pPr>
              <w:pStyle w:val="294"/>
              <w:rPr>
                <w:lang w:eastAsia="en-US"/>
              </w:rPr>
            </w:pPr>
            <w:r>
              <w:rPr>
                <w:lang w:eastAsia="en-US"/>
              </w:rPr>
              <w:t>物理化学特性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44" w:type="dxa"/>
            <w:vAlign w:val="center"/>
          </w:tcPr>
          <w:p>
            <w:pPr>
              <w:pStyle w:val="294"/>
              <w:rPr>
                <w:lang w:eastAsia="en-US"/>
              </w:rPr>
            </w:pPr>
            <w:r>
              <w:rPr>
                <w:lang w:eastAsia="en-US"/>
              </w:rPr>
              <w:t>1</w:t>
            </w:r>
          </w:p>
        </w:tc>
        <w:tc>
          <w:tcPr>
            <w:tcW w:w="1523" w:type="dxa"/>
            <w:vAlign w:val="center"/>
          </w:tcPr>
          <w:p>
            <w:pPr>
              <w:pStyle w:val="294"/>
              <w:rPr>
                <w:lang w:eastAsia="en-US"/>
              </w:rPr>
            </w:pPr>
            <w:r>
              <w:rPr>
                <w:lang w:eastAsia="en-US"/>
              </w:rPr>
              <w:t>乳化石蜡</w:t>
            </w:r>
          </w:p>
        </w:tc>
        <w:tc>
          <w:tcPr>
            <w:tcW w:w="5998" w:type="dxa"/>
            <w:vAlign w:val="center"/>
          </w:tcPr>
          <w:p>
            <w:pPr>
              <w:pStyle w:val="294"/>
            </w:pPr>
            <w:r>
              <w:t>乳化石蜡是灰白色均质半透明液体，用特殊中性非离子乳化剂乳化，避免以前用碱性皂化不稳定、易分层的缺点，密封放置阴凉处可以存放两年不分层、不破乳、不结块。具有抗酸、抗碱、耐硬水、水溶性强、乳液稳定，任意比例水稀释不分层、不破乳、不结块、保质期长、固含量高、分散性好等性能特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44" w:type="dxa"/>
            <w:vAlign w:val="center"/>
          </w:tcPr>
          <w:p>
            <w:pPr>
              <w:pStyle w:val="294"/>
              <w:rPr>
                <w:lang w:eastAsia="en-US"/>
              </w:rPr>
            </w:pPr>
            <w:r>
              <w:rPr>
                <w:lang w:eastAsia="en-US"/>
              </w:rPr>
              <w:t>2</w:t>
            </w:r>
          </w:p>
        </w:tc>
        <w:tc>
          <w:tcPr>
            <w:tcW w:w="1523" w:type="dxa"/>
            <w:vAlign w:val="center"/>
          </w:tcPr>
          <w:p>
            <w:pPr>
              <w:pStyle w:val="294"/>
              <w:rPr>
                <w:lang w:eastAsia="en-US"/>
              </w:rPr>
            </w:pPr>
            <w:r>
              <w:rPr>
                <w:lang w:eastAsia="en-US"/>
              </w:rPr>
              <w:t>包被絮凝剂</w:t>
            </w:r>
          </w:p>
        </w:tc>
        <w:tc>
          <w:tcPr>
            <w:tcW w:w="5998" w:type="dxa"/>
            <w:vAlign w:val="center"/>
          </w:tcPr>
          <w:p>
            <w:pPr>
              <w:pStyle w:val="294"/>
            </w:pPr>
            <w:r>
              <w:t>是由含有多种有机阳离子基因、阴离子基因和非离子基因的单体通过共聚而形成的水溶性高分子聚合物，既能增强泥浆的抑制性，抑制泥页岩的水化膨胀，控制地层造浆，又能维持泥浆性能的稳定，改善流变性，降低摩阻和滤失量，有利于钻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44" w:type="dxa"/>
            <w:vAlign w:val="center"/>
          </w:tcPr>
          <w:p>
            <w:pPr>
              <w:pStyle w:val="294"/>
              <w:rPr>
                <w:lang w:eastAsia="en-US"/>
              </w:rPr>
            </w:pPr>
            <w:r>
              <w:rPr>
                <w:lang w:eastAsia="en-US"/>
              </w:rPr>
              <w:t>3</w:t>
            </w:r>
          </w:p>
        </w:tc>
        <w:tc>
          <w:tcPr>
            <w:tcW w:w="1523" w:type="dxa"/>
            <w:vAlign w:val="center"/>
          </w:tcPr>
          <w:p>
            <w:pPr>
              <w:pStyle w:val="294"/>
            </w:pPr>
            <w:r>
              <w:t>低黏羧甲基纤维素LV-CMC</w:t>
            </w:r>
          </w:p>
        </w:tc>
        <w:tc>
          <w:tcPr>
            <w:tcW w:w="5998" w:type="dxa"/>
            <w:vAlign w:val="center"/>
          </w:tcPr>
          <w:p>
            <w:pPr>
              <w:pStyle w:val="294"/>
            </w:pPr>
            <w:r>
              <w:t>为白色或微黄色纤维状粉末。具有吸湿性、无臭、无味、无毒、不易发酵、不溶于酸、醇等有机溶剂，易分散于水中成胶体溶液。有一定的抗盐能力和热稳定性，起到控制钻井时的失水量，防止钻井过程中泥浆失水引起的井璧坍塌等事故发生的作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44" w:type="dxa"/>
            <w:vAlign w:val="center"/>
          </w:tcPr>
          <w:p>
            <w:pPr>
              <w:pStyle w:val="294"/>
              <w:rPr>
                <w:lang w:eastAsia="en-US"/>
              </w:rPr>
            </w:pPr>
            <w:r>
              <w:rPr>
                <w:lang w:eastAsia="en-US"/>
              </w:rPr>
              <w:t>4</w:t>
            </w:r>
          </w:p>
        </w:tc>
        <w:tc>
          <w:tcPr>
            <w:tcW w:w="1523" w:type="dxa"/>
            <w:vAlign w:val="center"/>
          </w:tcPr>
          <w:p>
            <w:pPr>
              <w:pStyle w:val="294"/>
              <w:rPr>
                <w:lang w:eastAsia="en-US"/>
              </w:rPr>
            </w:pPr>
            <w:r>
              <w:rPr>
                <w:lang w:eastAsia="en-US"/>
              </w:rPr>
              <w:t>超微细碳酸钙</w:t>
            </w:r>
          </w:p>
        </w:tc>
        <w:tc>
          <w:tcPr>
            <w:tcW w:w="5998" w:type="dxa"/>
            <w:vAlign w:val="center"/>
          </w:tcPr>
          <w:p>
            <w:pPr>
              <w:pStyle w:val="294"/>
            </w:pPr>
            <w:r>
              <w:t>超细碳酸钙是碳酸钙的一个分类，分子化学式为：CaCO</w:t>
            </w:r>
            <w:r>
              <w:rPr>
                <w:vertAlign w:val="subscript"/>
              </w:rPr>
              <w:t>3</w:t>
            </w:r>
            <w:r>
              <w:t>，超细</w:t>
            </w:r>
            <w:r>
              <w:rPr>
                <w:rFonts w:hint="eastAsia"/>
                <w:lang w:eastAsia="zh-CN"/>
              </w:rPr>
              <w:t>活性炭</w:t>
            </w:r>
            <w:r>
              <w:t>酸钙是表面经过乳化剂和表面处理剂处理的超细碳酸钙。粒径：0.01~0.08</w:t>
            </w:r>
            <w:r>
              <w:rPr>
                <w:lang w:eastAsia="en-US"/>
              </w:rPr>
              <w:t>μ</w:t>
            </w:r>
            <w:r>
              <w:t>m、比表面积：10~70m</w:t>
            </w:r>
            <w:r>
              <w:rPr>
                <w:vertAlign w:val="superscript"/>
              </w:rPr>
              <w:t>2</w:t>
            </w:r>
            <w:r>
              <w:t>/g、外观：白色微细粉末、味道：无味、溶解性：几乎不溶于水，不溶于醇、稳定性：在空气中稳定、毒性：无毒。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44" w:type="dxa"/>
            <w:vAlign w:val="center"/>
          </w:tcPr>
          <w:p>
            <w:pPr>
              <w:pStyle w:val="294"/>
              <w:rPr>
                <w:lang w:eastAsia="en-US"/>
              </w:rPr>
            </w:pPr>
            <w:r>
              <w:rPr>
                <w:lang w:eastAsia="en-US"/>
              </w:rPr>
              <w:t>5</w:t>
            </w:r>
          </w:p>
        </w:tc>
        <w:tc>
          <w:tcPr>
            <w:tcW w:w="1523" w:type="dxa"/>
            <w:vAlign w:val="center"/>
          </w:tcPr>
          <w:p>
            <w:pPr>
              <w:pStyle w:val="294"/>
              <w:rPr>
                <w:lang w:eastAsia="en-US"/>
              </w:rPr>
            </w:pPr>
            <w:r>
              <w:rPr>
                <w:lang w:eastAsia="en-US"/>
              </w:rPr>
              <w:t>KCl</w:t>
            </w:r>
          </w:p>
        </w:tc>
        <w:tc>
          <w:tcPr>
            <w:tcW w:w="5998" w:type="dxa"/>
            <w:vAlign w:val="center"/>
          </w:tcPr>
          <w:p>
            <w:pPr>
              <w:pStyle w:val="294"/>
            </w:pPr>
            <w:r>
              <w:t>氯化钾易溶于水、醚、甘油及碱类，微溶于乙醇，但不溶于无水乙醇，有吸湿性，易结块，在农业上是常用的钾肥，在临床上是常用的电解质平衡调节药，还可用于无机工业和染料工业等。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44" w:type="dxa"/>
            <w:vAlign w:val="center"/>
          </w:tcPr>
          <w:p>
            <w:pPr>
              <w:pStyle w:val="294"/>
              <w:rPr>
                <w:lang w:eastAsia="en-US"/>
              </w:rPr>
            </w:pPr>
            <w:r>
              <w:rPr>
                <w:lang w:eastAsia="en-US"/>
              </w:rPr>
              <w:t>6</w:t>
            </w:r>
          </w:p>
        </w:tc>
        <w:tc>
          <w:tcPr>
            <w:tcW w:w="1523" w:type="dxa"/>
            <w:vAlign w:val="center"/>
          </w:tcPr>
          <w:p>
            <w:pPr>
              <w:pStyle w:val="294"/>
              <w:rPr>
                <w:lang w:eastAsia="en-US"/>
              </w:rPr>
            </w:pPr>
            <w:r>
              <w:rPr>
                <w:lang w:eastAsia="en-US"/>
              </w:rPr>
              <w:t>氢氧化钠NaOH</w:t>
            </w:r>
          </w:p>
        </w:tc>
        <w:tc>
          <w:tcPr>
            <w:tcW w:w="5998" w:type="dxa"/>
            <w:vAlign w:val="center"/>
          </w:tcPr>
          <w:p>
            <w:pPr>
              <w:pStyle w:val="294"/>
            </w:pPr>
            <w:r>
              <w:t>氢氧化钠，又称烧碱和苛性钠，化学式为NaOH，是一种具有高腐蚀性的强碱，一般为白色片状或颗粒，能溶于水生成碱性溶液，也能溶于甲醇及乙醇。氢氧化钠具有潮解性，会吸收空气里的水蒸气，也会吸取二氧化碳、二氧化硫等酸性气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44" w:type="dxa"/>
            <w:vAlign w:val="center"/>
          </w:tcPr>
          <w:p>
            <w:pPr>
              <w:pStyle w:val="294"/>
              <w:rPr>
                <w:lang w:eastAsia="en-US"/>
              </w:rPr>
            </w:pPr>
            <w:r>
              <w:rPr>
                <w:lang w:eastAsia="en-US"/>
              </w:rPr>
              <w:t>7</w:t>
            </w:r>
          </w:p>
        </w:tc>
        <w:tc>
          <w:tcPr>
            <w:tcW w:w="1523" w:type="dxa"/>
            <w:vAlign w:val="center"/>
          </w:tcPr>
          <w:p>
            <w:pPr>
              <w:pStyle w:val="294"/>
              <w:rPr>
                <w:lang w:eastAsia="en-US"/>
              </w:rPr>
            </w:pPr>
            <w:r>
              <w:rPr>
                <w:lang w:eastAsia="en-US"/>
              </w:rPr>
              <w:t>纯碱Na</w:t>
            </w:r>
            <w:r>
              <w:rPr>
                <w:vertAlign w:val="subscript"/>
                <w:lang w:eastAsia="en-US"/>
              </w:rPr>
              <w:t>2</w:t>
            </w:r>
            <w:r>
              <w:rPr>
                <w:lang w:eastAsia="en-US"/>
              </w:rPr>
              <w:t>CO</w:t>
            </w:r>
            <w:r>
              <w:rPr>
                <w:vertAlign w:val="subscript"/>
                <w:lang w:eastAsia="en-US"/>
              </w:rPr>
              <w:t>3</w:t>
            </w:r>
          </w:p>
        </w:tc>
        <w:tc>
          <w:tcPr>
            <w:tcW w:w="5998" w:type="dxa"/>
            <w:vAlign w:val="center"/>
          </w:tcPr>
          <w:p>
            <w:pPr>
              <w:pStyle w:val="294"/>
              <w:rPr>
                <w:lang w:eastAsia="en-US"/>
              </w:rPr>
            </w:pPr>
            <w:r>
              <w:t>碳酸钠（Na</w:t>
            </w:r>
            <w:r>
              <w:rPr>
                <w:vertAlign w:val="subscript"/>
              </w:rPr>
              <w:t>2</w:t>
            </w:r>
            <w:r>
              <w:t>CO</w:t>
            </w:r>
            <w:r>
              <w:rPr>
                <w:vertAlign w:val="subscript"/>
              </w:rPr>
              <w:t>3</w:t>
            </w:r>
            <w:r>
              <w:t>），分子量105.99。化学品的纯度多在99.5%以上（质量分数），又叫纯碱，但分类属于盐，不属于碱。国际贸易中又名苏打或碱灰。溶解性易溶于水，水溶液呈弱碱性在35.4</w:t>
            </w:r>
            <w:r>
              <w:rPr>
                <w:rFonts w:hint="eastAsia" w:ascii="宋体" w:hAnsi="宋体" w:cs="宋体"/>
              </w:rPr>
              <w:t>℃</w:t>
            </w:r>
            <w:r>
              <w:t>其溶解度最大，每100g水中可溶解49.7g碳酸钠（0</w:t>
            </w:r>
            <w:r>
              <w:rPr>
                <w:rFonts w:hint="eastAsia" w:ascii="宋体" w:hAnsi="宋体" w:cs="宋体"/>
              </w:rPr>
              <w:t>℃</w:t>
            </w:r>
            <w:r>
              <w:t>时为7.0g，100</w:t>
            </w:r>
            <w:r>
              <w:rPr>
                <w:rFonts w:hint="eastAsia" w:ascii="宋体" w:hAnsi="宋体" w:cs="宋体"/>
              </w:rPr>
              <w:t>℃</w:t>
            </w:r>
            <w:r>
              <w:t>为45.5g）。</w:t>
            </w:r>
            <w:r>
              <w:rPr>
                <w:lang w:eastAsia="en-US"/>
              </w:rPr>
              <w:t>微溶于无水乙醇，不溶于丙醇。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44" w:type="dxa"/>
            <w:vAlign w:val="center"/>
          </w:tcPr>
          <w:p>
            <w:pPr>
              <w:pStyle w:val="294"/>
              <w:rPr>
                <w:lang w:eastAsia="en-US"/>
              </w:rPr>
            </w:pPr>
            <w:r>
              <w:rPr>
                <w:lang w:eastAsia="en-US"/>
              </w:rPr>
              <w:t>8</w:t>
            </w:r>
          </w:p>
        </w:tc>
        <w:tc>
          <w:tcPr>
            <w:tcW w:w="1523" w:type="dxa"/>
            <w:vAlign w:val="center"/>
          </w:tcPr>
          <w:p>
            <w:pPr>
              <w:pStyle w:val="294"/>
              <w:rPr>
                <w:lang w:eastAsia="en-US"/>
              </w:rPr>
            </w:pPr>
            <w:r>
              <w:rPr>
                <w:lang w:eastAsia="en-US"/>
              </w:rPr>
              <w:t>复合堵漏剂</w:t>
            </w:r>
          </w:p>
        </w:tc>
        <w:tc>
          <w:tcPr>
            <w:tcW w:w="5998" w:type="dxa"/>
            <w:vAlign w:val="center"/>
          </w:tcPr>
          <w:p>
            <w:pPr>
              <w:pStyle w:val="294"/>
            </w:pPr>
            <w:r>
              <w:t>堵漏材料有纤维制品（如纸、棉籽壳、），颗粒物（如坚果壳），还有片状物（如片状云母）。把以上材料按比例组合在一起，即为复合堵漏剂。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44" w:type="dxa"/>
            <w:vAlign w:val="center"/>
          </w:tcPr>
          <w:p>
            <w:pPr>
              <w:pStyle w:val="294"/>
              <w:rPr>
                <w:lang w:eastAsia="en-US"/>
              </w:rPr>
            </w:pPr>
            <w:r>
              <w:rPr>
                <w:lang w:eastAsia="en-US"/>
              </w:rPr>
              <w:t>9</w:t>
            </w:r>
          </w:p>
        </w:tc>
        <w:tc>
          <w:tcPr>
            <w:tcW w:w="1523" w:type="dxa"/>
            <w:vAlign w:val="center"/>
          </w:tcPr>
          <w:p>
            <w:pPr>
              <w:pStyle w:val="294"/>
              <w:rPr>
                <w:lang w:eastAsia="en-US"/>
              </w:rPr>
            </w:pPr>
            <w:r>
              <w:rPr>
                <w:lang w:eastAsia="en-US"/>
              </w:rPr>
              <w:t>纳米封堵剂</w:t>
            </w:r>
          </w:p>
        </w:tc>
        <w:tc>
          <w:tcPr>
            <w:tcW w:w="5998" w:type="dxa"/>
            <w:vAlign w:val="center"/>
          </w:tcPr>
          <w:p>
            <w:pPr>
              <w:pStyle w:val="294"/>
            </w:pPr>
            <w:r>
              <w:t>随钻堵漏剂系该性天然植物高分子复合材料，具有良好的水溶胀桥接封堵动能，粘附性强，与传统的随钻堵漏剂相比，不受粒径“匹配”限制，适用于各种泥浆体系，可用于封堵漏失层，也可保护低压产层（油、气、水等）。理化性能：外观：灰白色粉末  细度：40目  水份：≤14%  PH值：7-9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44" w:type="dxa"/>
            <w:vAlign w:val="center"/>
          </w:tcPr>
          <w:p>
            <w:pPr>
              <w:pStyle w:val="294"/>
              <w:rPr>
                <w:lang w:eastAsia="en-US"/>
              </w:rPr>
            </w:pPr>
            <w:r>
              <w:rPr>
                <w:lang w:eastAsia="en-US"/>
              </w:rPr>
              <w:t>10</w:t>
            </w:r>
          </w:p>
        </w:tc>
        <w:tc>
          <w:tcPr>
            <w:tcW w:w="1523" w:type="dxa"/>
            <w:vAlign w:val="center"/>
          </w:tcPr>
          <w:p>
            <w:pPr>
              <w:pStyle w:val="294"/>
              <w:rPr>
                <w:lang w:eastAsia="en-US"/>
              </w:rPr>
            </w:pPr>
            <w:r>
              <w:rPr>
                <w:lang w:eastAsia="en-US"/>
              </w:rPr>
              <w:t>重晶石</w:t>
            </w:r>
          </w:p>
        </w:tc>
        <w:tc>
          <w:tcPr>
            <w:tcW w:w="5998" w:type="dxa"/>
            <w:vAlign w:val="center"/>
          </w:tcPr>
          <w:p>
            <w:pPr>
              <w:pStyle w:val="294"/>
            </w:pPr>
            <w:r>
              <w:t>重晶石化学组成为Ba〔SO</w:t>
            </w:r>
            <w:r>
              <w:rPr>
                <w:vertAlign w:val="subscript"/>
              </w:rPr>
              <w:t>4</w:t>
            </w:r>
            <w:r>
              <w:t>〕，晶体属正交（斜方）晶系的硫酸盐矿物。常呈厚板状或柱状晶体，多为致密块状或板状、粒状集合体。质纯时无色透明，含杂质时被染成各种颜色，条痕白色，玻璃光泽，透明至半透明。三组解理完全，夹角等于或近于90°。摩氏硬度3-3.5，比重4.0-4.6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44" w:type="dxa"/>
            <w:vAlign w:val="center"/>
          </w:tcPr>
          <w:p>
            <w:pPr>
              <w:pStyle w:val="294"/>
              <w:rPr>
                <w:lang w:eastAsia="en-US"/>
              </w:rPr>
            </w:pPr>
            <w:r>
              <w:t>11</w:t>
            </w:r>
          </w:p>
        </w:tc>
        <w:tc>
          <w:tcPr>
            <w:tcW w:w="1523" w:type="dxa"/>
            <w:vAlign w:val="center"/>
          </w:tcPr>
          <w:p>
            <w:pPr>
              <w:pStyle w:val="294"/>
              <w:rPr>
                <w:lang w:eastAsia="en-US"/>
              </w:rPr>
            </w:pPr>
            <w:r>
              <w:t>白油</w:t>
            </w:r>
          </w:p>
        </w:tc>
        <w:tc>
          <w:tcPr>
            <w:tcW w:w="5998" w:type="dxa"/>
            <w:vAlign w:val="center"/>
          </w:tcPr>
          <w:p>
            <w:pPr>
              <w:pStyle w:val="294"/>
            </w:pPr>
            <w:r>
              <w:t>白油为无色透明油状液体，没有气味。白油为液体类烃类的混合物，主要成分为C16～C31的正异构烷烃的混合物，是自石油分馏的高沸馏分（即润滑油馏分）中经脱蜡、碳化、中和、活性白土精制等处理后而成。白油为化妆品中应用最广的一种油溶性原料，可配制浴油、各类护肤膏霜、蜜、护发制品、唇膏等几乎所有化妆品。多用于辅助脱模；增加产品亮度，橡胶上用的多，还可在冲压模具中作为润滑油。</w:t>
            </w:r>
          </w:p>
        </w:tc>
      </w:tr>
    </w:tbl>
    <w:p>
      <w:pPr>
        <w:autoSpaceDE w:val="0"/>
        <w:autoSpaceDN w:val="0"/>
        <w:spacing w:before="120" w:beforeLines="50"/>
        <w:ind w:firstLine="482"/>
        <w:textAlignment w:val="baseline"/>
        <w:rPr>
          <w:rFonts w:cs="Times New Roman"/>
          <w:b/>
          <w:bCs/>
          <w:color w:val="000000" w:themeColor="text1"/>
          <w:kern w:val="0"/>
          <w:szCs w:val="20"/>
          <w14:textFill>
            <w14:solidFill>
              <w14:schemeClr w14:val="tx1"/>
            </w14:solidFill>
          </w14:textFill>
        </w:rPr>
      </w:pPr>
      <w:r>
        <w:rPr>
          <w:rFonts w:cs="Times New Roman"/>
          <w:b/>
          <w:bCs/>
          <w:color w:val="000000" w:themeColor="text1"/>
          <w:kern w:val="0"/>
          <w:szCs w:val="20"/>
          <w14:textFill>
            <w14:solidFill>
              <w14:schemeClr w14:val="tx1"/>
            </w14:solidFill>
          </w14:textFill>
        </w:rPr>
        <w:t>（2）固井作业材料消耗</w:t>
      </w:r>
    </w:p>
    <w:p>
      <w:pPr>
        <w:autoSpaceDE w:val="0"/>
        <w:autoSpaceDN w:val="0"/>
        <w:ind w:firstLine="480"/>
        <w:textAlignment w:val="baseline"/>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1）水泥浆体系</w:t>
      </w:r>
    </w:p>
    <w:p>
      <w:pPr>
        <w:autoSpaceDE w:val="0"/>
        <w:autoSpaceDN w:val="0"/>
        <w:ind w:firstLine="480"/>
        <w:textAlignment w:val="baseline"/>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①</w:t>
      </w:r>
      <w:r>
        <w:rPr>
          <w:rFonts w:cs="Times New Roman"/>
          <w:color w:val="000000" w:themeColor="text1"/>
          <w:szCs w:val="24"/>
          <w14:textFill>
            <w14:solidFill>
              <w14:schemeClr w14:val="tx1"/>
            </w14:solidFill>
          </w14:textFill>
        </w:rPr>
        <w:t>水泥浆体系设计</w:t>
      </w:r>
    </w:p>
    <w:p>
      <w:pPr>
        <w:ind w:firstLine="480"/>
        <w:rPr>
          <w:rFonts w:cs="Times New Roman"/>
          <w:color w:val="000000" w:themeColor="text1"/>
          <w:szCs w:val="28"/>
          <w14:textFill>
            <w14:solidFill>
              <w14:schemeClr w14:val="tx1"/>
            </w14:solidFill>
          </w14:textFill>
        </w:rPr>
      </w:pPr>
      <w:r>
        <w:rPr>
          <w:rFonts w:cs="Times New Roman"/>
          <w:color w:val="000000" w:themeColor="text1"/>
          <w:szCs w:val="24"/>
          <w14:textFill>
            <w14:solidFill>
              <w14:schemeClr w14:val="tx1"/>
            </w14:solidFill>
          </w14:textFill>
        </w:rPr>
        <w:t>针对普光主体易漏的特点，固井采用双密度固井方式。导管、</w:t>
      </w:r>
      <w:r>
        <w:rPr>
          <w:rFonts w:cs="Times New Roman"/>
          <w:color w:val="000000" w:themeColor="text1"/>
          <w:szCs w:val="28"/>
          <w14:textFill>
            <w14:solidFill>
              <w14:schemeClr w14:val="tx1"/>
            </w14:solidFill>
          </w14:textFill>
        </w:rPr>
        <w:t>一开采用常规密度水泥浆；二开领浆采用常规低密度水泥浆体系，尾浆采用防气窜水泥浆体系；三开领浆采用常规低密度水泥浆体系，尾浆采用胶乳防气窜水泥浆体系。</w:t>
      </w:r>
    </w:p>
    <w:p>
      <w:pPr>
        <w:autoSpaceDE w:val="0"/>
        <w:autoSpaceDN w:val="0"/>
        <w:ind w:firstLine="480"/>
        <w:textAlignment w:val="baseline"/>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②</w:t>
      </w:r>
      <w:r>
        <w:rPr>
          <w:rFonts w:cs="Times New Roman"/>
          <w:color w:val="000000" w:themeColor="text1"/>
          <w:szCs w:val="24"/>
          <w14:textFill>
            <w14:solidFill>
              <w14:schemeClr w14:val="tx1"/>
            </w14:solidFill>
          </w14:textFill>
        </w:rPr>
        <w:t>注水泥设计</w:t>
      </w:r>
    </w:p>
    <w:p>
      <w:pPr>
        <w:pStyle w:val="95"/>
      </w:pPr>
      <w:r>
        <w:t>表</w:t>
      </w:r>
      <w:r>
        <w:fldChar w:fldCharType="begin"/>
      </w:r>
      <w:r>
        <w:instrText xml:space="preserve"> STYLEREF 2 \s </w:instrText>
      </w:r>
      <w:r>
        <w:fldChar w:fldCharType="separate"/>
      </w:r>
      <w:r>
        <w:t>3.2</w:t>
      </w:r>
      <w:r>
        <w:fldChar w:fldCharType="end"/>
      </w:r>
      <w:r>
        <w:noBreakHyphen/>
      </w:r>
      <w:r>
        <w:fldChar w:fldCharType="begin"/>
      </w:r>
      <w:r>
        <w:instrText xml:space="preserve"> SEQ 表 \* ARABIC \s 2 </w:instrText>
      </w:r>
      <w:r>
        <w:fldChar w:fldCharType="separate"/>
      </w:r>
      <w:r>
        <w:t>5</w:t>
      </w:r>
      <w:r>
        <w:fldChar w:fldCharType="end"/>
      </w:r>
      <w:r>
        <w:t xml:space="preserve"> 普光3011-6井注水泥设计表</w:t>
      </w:r>
    </w:p>
    <w:tbl>
      <w:tblPr>
        <w:tblStyle w:val="52"/>
        <w:tblW w:w="5124"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894"/>
        <w:gridCol w:w="1199"/>
        <w:gridCol w:w="1208"/>
        <w:gridCol w:w="1068"/>
        <w:gridCol w:w="890"/>
        <w:gridCol w:w="970"/>
        <w:gridCol w:w="781"/>
        <w:gridCol w:w="773"/>
        <w:gridCol w:w="95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88" w:hRule="atLeast"/>
          <w:jc w:val="center"/>
        </w:trPr>
        <w:tc>
          <w:tcPr>
            <w:tcW w:w="512"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开钻</w:t>
            </w:r>
          </w:p>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序号</w:t>
            </w:r>
          </w:p>
        </w:tc>
        <w:tc>
          <w:tcPr>
            <w:tcW w:w="686"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套管</w:t>
            </w:r>
          </w:p>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外径</w:t>
            </w:r>
          </w:p>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mm</w:t>
            </w:r>
          </w:p>
        </w:tc>
        <w:tc>
          <w:tcPr>
            <w:tcW w:w="691"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套管</w:t>
            </w:r>
          </w:p>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下深</w:t>
            </w:r>
          </w:p>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m</w:t>
            </w:r>
          </w:p>
        </w:tc>
        <w:tc>
          <w:tcPr>
            <w:tcW w:w="611"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固井时钻</w:t>
            </w:r>
          </w:p>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井液密度</w:t>
            </w:r>
          </w:p>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g/cm</w:t>
            </w:r>
            <w:r>
              <w:rPr>
                <w:rFonts w:cs="Times New Roman"/>
                <w:sz w:val="21"/>
                <w:szCs w:val="24"/>
                <w:vertAlign w:val="superscript"/>
              </w:rPr>
              <w:t>3</w:t>
            </w:r>
          </w:p>
        </w:tc>
        <w:tc>
          <w:tcPr>
            <w:tcW w:w="509"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水泥上</w:t>
            </w:r>
          </w:p>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返深度</w:t>
            </w:r>
          </w:p>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m</w:t>
            </w:r>
          </w:p>
        </w:tc>
        <w:tc>
          <w:tcPr>
            <w:tcW w:w="555"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水泥浆</w:t>
            </w:r>
          </w:p>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密度</w:t>
            </w:r>
          </w:p>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g/cm</w:t>
            </w:r>
            <w:r>
              <w:rPr>
                <w:rFonts w:cs="Times New Roman"/>
                <w:sz w:val="21"/>
                <w:szCs w:val="24"/>
                <w:vertAlign w:val="superscript"/>
              </w:rPr>
              <w:t>3</w:t>
            </w:r>
          </w:p>
        </w:tc>
        <w:tc>
          <w:tcPr>
            <w:tcW w:w="447"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水泥</w:t>
            </w:r>
          </w:p>
          <w:p>
            <w:pPr>
              <w:adjustRightInd/>
              <w:snapToGrid/>
              <w:spacing w:line="240" w:lineRule="auto"/>
              <w:ind w:left="-91" w:leftChars="-38" w:right="-82" w:rightChars="-34" w:firstLine="0" w:firstLineChars="0"/>
              <w:jc w:val="center"/>
              <w:rPr>
                <w:rFonts w:cs="Times New Roman"/>
                <w:sz w:val="21"/>
                <w:szCs w:val="24"/>
              </w:rPr>
            </w:pPr>
            <w:r>
              <w:rPr>
                <w:rFonts w:cs="Times New Roman"/>
                <w:kern w:val="0"/>
                <w:sz w:val="21"/>
                <w:szCs w:val="20"/>
              </w:rPr>
              <w:t>型号</w:t>
            </w:r>
          </w:p>
        </w:tc>
        <w:tc>
          <w:tcPr>
            <w:tcW w:w="442"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注水</w:t>
            </w:r>
          </w:p>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泥量</w:t>
            </w:r>
          </w:p>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t</w:t>
            </w:r>
          </w:p>
        </w:tc>
        <w:tc>
          <w:tcPr>
            <w:tcW w:w="546"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固井</w:t>
            </w:r>
          </w:p>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方式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09" w:hRule="atLeast"/>
          <w:jc w:val="center"/>
        </w:trPr>
        <w:tc>
          <w:tcPr>
            <w:tcW w:w="512"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导管</w:t>
            </w:r>
          </w:p>
        </w:tc>
        <w:tc>
          <w:tcPr>
            <w:tcW w:w="686"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508</w:t>
            </w:r>
          </w:p>
        </w:tc>
        <w:tc>
          <w:tcPr>
            <w:tcW w:w="691" w:type="pct"/>
            <w:vAlign w:val="center"/>
          </w:tcPr>
          <w:p>
            <w:pPr>
              <w:adjustRightInd/>
              <w:snapToGrid/>
              <w:spacing w:line="240" w:lineRule="auto"/>
              <w:ind w:firstLine="0" w:firstLineChars="0"/>
              <w:jc w:val="center"/>
              <w:rPr>
                <w:rFonts w:cs="Times New Roman"/>
                <w:sz w:val="21"/>
                <w:szCs w:val="24"/>
              </w:rPr>
            </w:pPr>
            <w:r>
              <w:rPr>
                <w:rFonts w:cs="Times New Roman"/>
                <w:sz w:val="21"/>
                <w:szCs w:val="24"/>
              </w:rPr>
              <w:t>250</w:t>
            </w:r>
          </w:p>
        </w:tc>
        <w:tc>
          <w:tcPr>
            <w:tcW w:w="611"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1.10</w:t>
            </w:r>
          </w:p>
        </w:tc>
        <w:tc>
          <w:tcPr>
            <w:tcW w:w="509"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井口</w:t>
            </w:r>
          </w:p>
        </w:tc>
        <w:tc>
          <w:tcPr>
            <w:tcW w:w="555"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1.90</w:t>
            </w:r>
          </w:p>
        </w:tc>
        <w:tc>
          <w:tcPr>
            <w:tcW w:w="447"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G</w:t>
            </w:r>
          </w:p>
        </w:tc>
        <w:tc>
          <w:tcPr>
            <w:tcW w:w="442"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90</w:t>
            </w:r>
          </w:p>
        </w:tc>
        <w:tc>
          <w:tcPr>
            <w:tcW w:w="546"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内插或常规</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09" w:hRule="atLeast"/>
          <w:jc w:val="center"/>
        </w:trPr>
        <w:tc>
          <w:tcPr>
            <w:tcW w:w="512" w:type="pct"/>
            <w:vMerge w:val="restar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一开</w:t>
            </w:r>
          </w:p>
        </w:tc>
        <w:tc>
          <w:tcPr>
            <w:tcW w:w="686" w:type="pct"/>
            <w:vMerge w:val="restar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339.7</w:t>
            </w:r>
          </w:p>
        </w:tc>
        <w:tc>
          <w:tcPr>
            <w:tcW w:w="691" w:type="pct"/>
            <w:vMerge w:val="restart"/>
            <w:vAlign w:val="center"/>
          </w:tcPr>
          <w:p>
            <w:pPr>
              <w:adjustRightInd/>
              <w:snapToGrid/>
              <w:spacing w:line="240" w:lineRule="auto"/>
              <w:ind w:firstLine="0" w:firstLineChars="0"/>
              <w:jc w:val="center"/>
              <w:rPr>
                <w:rFonts w:cs="Times New Roman"/>
                <w:sz w:val="21"/>
                <w:szCs w:val="24"/>
              </w:rPr>
            </w:pPr>
            <w:r>
              <w:rPr>
                <w:rFonts w:cs="Times New Roman"/>
                <w:sz w:val="21"/>
                <w:szCs w:val="24"/>
              </w:rPr>
              <w:t>2261</w:t>
            </w:r>
          </w:p>
        </w:tc>
        <w:tc>
          <w:tcPr>
            <w:tcW w:w="611"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1.25</w:t>
            </w:r>
          </w:p>
        </w:tc>
        <w:tc>
          <w:tcPr>
            <w:tcW w:w="509"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井口</w:t>
            </w:r>
          </w:p>
        </w:tc>
        <w:tc>
          <w:tcPr>
            <w:tcW w:w="555"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1.65</w:t>
            </w:r>
          </w:p>
        </w:tc>
        <w:tc>
          <w:tcPr>
            <w:tcW w:w="447"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G</w:t>
            </w:r>
          </w:p>
        </w:tc>
        <w:tc>
          <w:tcPr>
            <w:tcW w:w="442"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120</w:t>
            </w:r>
          </w:p>
        </w:tc>
        <w:tc>
          <w:tcPr>
            <w:tcW w:w="546" w:type="pct"/>
            <w:vMerge w:val="restar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常规或</w:t>
            </w:r>
          </w:p>
          <w:p>
            <w:pPr>
              <w:adjustRightInd/>
              <w:snapToGrid/>
              <w:spacing w:line="240" w:lineRule="auto"/>
              <w:ind w:left="80" w:firstLine="0" w:firstLineChars="0"/>
              <w:jc w:val="center"/>
              <w:rPr>
                <w:rFonts w:cs="Times New Roman"/>
                <w:sz w:val="21"/>
                <w:szCs w:val="24"/>
              </w:rPr>
            </w:pPr>
            <w:r>
              <w:rPr>
                <w:rFonts w:cs="Times New Roman"/>
                <w:sz w:val="21"/>
                <w:szCs w:val="24"/>
              </w:rPr>
              <w:t>干法</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09" w:hRule="atLeast"/>
          <w:jc w:val="center"/>
        </w:trPr>
        <w:tc>
          <w:tcPr>
            <w:tcW w:w="512" w:type="pct"/>
            <w:vMerge w:val="continue"/>
            <w:vAlign w:val="center"/>
          </w:tcPr>
          <w:p>
            <w:pPr>
              <w:adjustRightInd/>
              <w:snapToGrid/>
              <w:spacing w:line="240" w:lineRule="auto"/>
              <w:ind w:left="80" w:firstLine="0" w:firstLineChars="0"/>
              <w:jc w:val="center"/>
              <w:rPr>
                <w:rFonts w:cs="Times New Roman"/>
                <w:sz w:val="21"/>
                <w:szCs w:val="24"/>
              </w:rPr>
            </w:pPr>
          </w:p>
        </w:tc>
        <w:tc>
          <w:tcPr>
            <w:tcW w:w="686" w:type="pct"/>
            <w:vMerge w:val="continue"/>
            <w:vAlign w:val="center"/>
          </w:tcPr>
          <w:p>
            <w:pPr>
              <w:adjustRightInd/>
              <w:snapToGrid/>
              <w:spacing w:line="240" w:lineRule="auto"/>
              <w:ind w:left="80" w:firstLine="0" w:firstLineChars="0"/>
              <w:jc w:val="center"/>
              <w:rPr>
                <w:rFonts w:cs="Times New Roman"/>
                <w:sz w:val="21"/>
                <w:szCs w:val="24"/>
              </w:rPr>
            </w:pPr>
          </w:p>
        </w:tc>
        <w:tc>
          <w:tcPr>
            <w:tcW w:w="691" w:type="pct"/>
            <w:vMerge w:val="continue"/>
            <w:vAlign w:val="center"/>
          </w:tcPr>
          <w:p>
            <w:pPr>
              <w:adjustRightInd/>
              <w:snapToGrid/>
              <w:spacing w:line="240" w:lineRule="auto"/>
              <w:ind w:firstLine="0" w:firstLineChars="0"/>
              <w:jc w:val="center"/>
              <w:rPr>
                <w:rFonts w:cs="Times New Roman"/>
                <w:sz w:val="21"/>
                <w:szCs w:val="24"/>
              </w:rPr>
            </w:pPr>
          </w:p>
        </w:tc>
        <w:tc>
          <w:tcPr>
            <w:tcW w:w="611"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1.25</w:t>
            </w:r>
          </w:p>
        </w:tc>
        <w:tc>
          <w:tcPr>
            <w:tcW w:w="509"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1500</w:t>
            </w:r>
          </w:p>
        </w:tc>
        <w:tc>
          <w:tcPr>
            <w:tcW w:w="555"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1.90</w:t>
            </w:r>
          </w:p>
        </w:tc>
        <w:tc>
          <w:tcPr>
            <w:tcW w:w="447"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G</w:t>
            </w:r>
          </w:p>
        </w:tc>
        <w:tc>
          <w:tcPr>
            <w:tcW w:w="442" w:type="pct"/>
            <w:vAlign w:val="center"/>
          </w:tcPr>
          <w:p>
            <w:pPr>
              <w:adjustRightInd/>
              <w:snapToGrid/>
              <w:spacing w:line="240" w:lineRule="auto"/>
              <w:ind w:left="80" w:firstLine="0" w:firstLineChars="0"/>
              <w:jc w:val="center"/>
              <w:rPr>
                <w:rFonts w:cs="Times New Roman"/>
                <w:sz w:val="21"/>
                <w:szCs w:val="24"/>
              </w:rPr>
            </w:pPr>
            <w:r>
              <w:rPr>
                <w:rFonts w:cs="Times New Roman"/>
                <w:sz w:val="21"/>
                <w:szCs w:val="24"/>
              </w:rPr>
              <w:t>75</w:t>
            </w:r>
          </w:p>
        </w:tc>
        <w:tc>
          <w:tcPr>
            <w:tcW w:w="546" w:type="pct"/>
            <w:vMerge w:val="continue"/>
            <w:vAlign w:val="center"/>
          </w:tcPr>
          <w:p>
            <w:pPr>
              <w:adjustRightInd/>
              <w:snapToGrid/>
              <w:spacing w:line="240" w:lineRule="auto"/>
              <w:ind w:left="80" w:firstLine="0" w:firstLineChars="0"/>
              <w:jc w:val="center"/>
              <w:rPr>
                <w:rFonts w:cs="Times New Roman"/>
                <w:sz w:val="21"/>
                <w:szCs w:val="24"/>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93" w:hRule="atLeast"/>
          <w:jc w:val="center"/>
        </w:trPr>
        <w:tc>
          <w:tcPr>
            <w:tcW w:w="512" w:type="pct"/>
            <w:vMerge w:val="restar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二开</w:t>
            </w:r>
          </w:p>
        </w:tc>
        <w:tc>
          <w:tcPr>
            <w:tcW w:w="686" w:type="pct"/>
            <w:vMerge w:val="restar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244.5+260.4</w:t>
            </w:r>
          </w:p>
        </w:tc>
        <w:tc>
          <w:tcPr>
            <w:tcW w:w="691" w:type="pct"/>
            <w:vMerge w:val="restar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4798</w:t>
            </w:r>
          </w:p>
        </w:tc>
        <w:tc>
          <w:tcPr>
            <w:tcW w:w="611"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1.45</w:t>
            </w:r>
          </w:p>
        </w:tc>
        <w:tc>
          <w:tcPr>
            <w:tcW w:w="509"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井口</w:t>
            </w:r>
          </w:p>
        </w:tc>
        <w:tc>
          <w:tcPr>
            <w:tcW w:w="555"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1.65</w:t>
            </w:r>
          </w:p>
        </w:tc>
        <w:tc>
          <w:tcPr>
            <w:tcW w:w="447"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G</w:t>
            </w:r>
          </w:p>
        </w:tc>
        <w:tc>
          <w:tcPr>
            <w:tcW w:w="442"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180</w:t>
            </w:r>
          </w:p>
        </w:tc>
        <w:tc>
          <w:tcPr>
            <w:tcW w:w="546" w:type="pct"/>
            <w:vMerge w:val="restar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常规或</w:t>
            </w:r>
          </w:p>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分级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93" w:hRule="atLeast"/>
          <w:jc w:val="center"/>
        </w:trPr>
        <w:tc>
          <w:tcPr>
            <w:tcW w:w="512" w:type="pct"/>
            <w:vMerge w:val="continue"/>
            <w:vAlign w:val="center"/>
          </w:tcPr>
          <w:p>
            <w:pPr>
              <w:adjustRightInd/>
              <w:snapToGrid/>
              <w:spacing w:line="240" w:lineRule="auto"/>
              <w:ind w:left="-91" w:leftChars="-38" w:right="-82" w:rightChars="-34" w:firstLine="0" w:firstLineChars="0"/>
              <w:jc w:val="center"/>
              <w:rPr>
                <w:rFonts w:cs="Times New Roman"/>
                <w:sz w:val="21"/>
                <w:szCs w:val="24"/>
              </w:rPr>
            </w:pPr>
          </w:p>
        </w:tc>
        <w:tc>
          <w:tcPr>
            <w:tcW w:w="686" w:type="pct"/>
            <w:vMerge w:val="continue"/>
            <w:vAlign w:val="center"/>
          </w:tcPr>
          <w:p>
            <w:pPr>
              <w:adjustRightInd/>
              <w:snapToGrid/>
              <w:spacing w:line="240" w:lineRule="auto"/>
              <w:ind w:left="-91" w:leftChars="-38" w:right="-82" w:rightChars="-34" w:firstLine="0" w:firstLineChars="0"/>
              <w:jc w:val="center"/>
              <w:rPr>
                <w:rFonts w:cs="Times New Roman"/>
                <w:sz w:val="21"/>
                <w:szCs w:val="24"/>
              </w:rPr>
            </w:pPr>
          </w:p>
        </w:tc>
        <w:tc>
          <w:tcPr>
            <w:tcW w:w="691" w:type="pct"/>
            <w:vMerge w:val="continue"/>
            <w:vAlign w:val="center"/>
          </w:tcPr>
          <w:p>
            <w:pPr>
              <w:adjustRightInd/>
              <w:snapToGrid/>
              <w:spacing w:line="240" w:lineRule="auto"/>
              <w:ind w:left="-91" w:leftChars="-38" w:right="-82" w:rightChars="-34" w:firstLine="0" w:firstLineChars="0"/>
              <w:jc w:val="center"/>
              <w:rPr>
                <w:rFonts w:cs="Times New Roman"/>
                <w:sz w:val="21"/>
                <w:szCs w:val="24"/>
              </w:rPr>
            </w:pPr>
          </w:p>
        </w:tc>
        <w:tc>
          <w:tcPr>
            <w:tcW w:w="611"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1.45</w:t>
            </w:r>
          </w:p>
        </w:tc>
        <w:tc>
          <w:tcPr>
            <w:tcW w:w="509"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4000</w:t>
            </w:r>
          </w:p>
        </w:tc>
        <w:tc>
          <w:tcPr>
            <w:tcW w:w="555"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1.90</w:t>
            </w:r>
          </w:p>
        </w:tc>
        <w:tc>
          <w:tcPr>
            <w:tcW w:w="447"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G</w:t>
            </w:r>
          </w:p>
        </w:tc>
        <w:tc>
          <w:tcPr>
            <w:tcW w:w="442"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50</w:t>
            </w:r>
          </w:p>
        </w:tc>
        <w:tc>
          <w:tcPr>
            <w:tcW w:w="546" w:type="pct"/>
            <w:vMerge w:val="continue"/>
            <w:vAlign w:val="center"/>
          </w:tcPr>
          <w:p>
            <w:pPr>
              <w:adjustRightInd/>
              <w:snapToGrid/>
              <w:spacing w:line="240" w:lineRule="auto"/>
              <w:ind w:left="-91" w:leftChars="-38" w:right="-82" w:rightChars="-34" w:firstLine="0" w:firstLineChars="0"/>
              <w:jc w:val="center"/>
              <w:rPr>
                <w:rFonts w:cs="Times New Roman"/>
                <w:sz w:val="21"/>
                <w:szCs w:val="24"/>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93" w:hRule="atLeast"/>
          <w:jc w:val="center"/>
        </w:trPr>
        <w:tc>
          <w:tcPr>
            <w:tcW w:w="512"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三开尾管</w:t>
            </w:r>
          </w:p>
        </w:tc>
        <w:tc>
          <w:tcPr>
            <w:tcW w:w="686"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139.7+146.1</w:t>
            </w:r>
          </w:p>
        </w:tc>
        <w:tc>
          <w:tcPr>
            <w:tcW w:w="691"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3780～5704</w:t>
            </w:r>
          </w:p>
        </w:tc>
        <w:tc>
          <w:tcPr>
            <w:tcW w:w="611"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1.10</w:t>
            </w:r>
          </w:p>
        </w:tc>
        <w:tc>
          <w:tcPr>
            <w:tcW w:w="509"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3780</w:t>
            </w:r>
          </w:p>
        </w:tc>
        <w:tc>
          <w:tcPr>
            <w:tcW w:w="555"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1.90</w:t>
            </w:r>
          </w:p>
        </w:tc>
        <w:tc>
          <w:tcPr>
            <w:tcW w:w="447"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G</w:t>
            </w:r>
          </w:p>
        </w:tc>
        <w:tc>
          <w:tcPr>
            <w:tcW w:w="442"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70</w:t>
            </w:r>
          </w:p>
        </w:tc>
        <w:tc>
          <w:tcPr>
            <w:tcW w:w="546"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尾管</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93" w:hRule="atLeast"/>
          <w:jc w:val="center"/>
        </w:trPr>
        <w:tc>
          <w:tcPr>
            <w:tcW w:w="512"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三开回接</w:t>
            </w:r>
          </w:p>
        </w:tc>
        <w:tc>
          <w:tcPr>
            <w:tcW w:w="686"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139.7+177.8</w:t>
            </w:r>
          </w:p>
        </w:tc>
        <w:tc>
          <w:tcPr>
            <w:tcW w:w="691"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3780</w:t>
            </w:r>
          </w:p>
        </w:tc>
        <w:tc>
          <w:tcPr>
            <w:tcW w:w="611"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1.10</w:t>
            </w:r>
          </w:p>
        </w:tc>
        <w:tc>
          <w:tcPr>
            <w:tcW w:w="509"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井口</w:t>
            </w:r>
          </w:p>
        </w:tc>
        <w:tc>
          <w:tcPr>
            <w:tcW w:w="555"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1.90</w:t>
            </w:r>
          </w:p>
        </w:tc>
        <w:tc>
          <w:tcPr>
            <w:tcW w:w="447"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G</w:t>
            </w:r>
          </w:p>
        </w:tc>
        <w:tc>
          <w:tcPr>
            <w:tcW w:w="442"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125</w:t>
            </w:r>
          </w:p>
        </w:tc>
        <w:tc>
          <w:tcPr>
            <w:tcW w:w="546" w:type="pct"/>
            <w:vAlign w:val="center"/>
          </w:tcPr>
          <w:p>
            <w:pPr>
              <w:adjustRightInd/>
              <w:snapToGrid/>
              <w:spacing w:line="240" w:lineRule="auto"/>
              <w:ind w:left="-91" w:leftChars="-38" w:right="-82" w:rightChars="-34" w:firstLine="0" w:firstLineChars="0"/>
              <w:jc w:val="center"/>
              <w:rPr>
                <w:rFonts w:cs="Times New Roman"/>
                <w:sz w:val="21"/>
                <w:szCs w:val="24"/>
              </w:rPr>
            </w:pPr>
            <w:r>
              <w:rPr>
                <w:rFonts w:cs="Times New Roman"/>
                <w:sz w:val="21"/>
                <w:szCs w:val="24"/>
              </w:rPr>
              <w:t>回接</w:t>
            </w:r>
          </w:p>
        </w:tc>
      </w:tr>
    </w:tbl>
    <w:p>
      <w:pPr>
        <w:spacing w:line="240" w:lineRule="auto"/>
        <w:ind w:firstLine="0" w:firstLineChars="0"/>
        <w:rPr>
          <w:rFonts w:cs="Times New Roman"/>
          <w:b/>
          <w:bCs/>
          <w:color w:val="000000" w:themeColor="text1"/>
          <w:sz w:val="20"/>
          <w:szCs w:val="20"/>
          <w14:textFill>
            <w14:solidFill>
              <w14:schemeClr w14:val="tx1"/>
            </w14:solidFill>
          </w14:textFill>
        </w:rPr>
      </w:pPr>
      <w:r>
        <w:rPr>
          <w:rFonts w:cs="Times New Roman"/>
          <w:b/>
          <w:bCs/>
          <w:color w:val="000000" w:themeColor="text1"/>
          <w:sz w:val="20"/>
          <w:szCs w:val="20"/>
          <w14:textFill>
            <w14:solidFill>
              <w14:schemeClr w14:val="tx1"/>
            </w14:solidFill>
          </w14:textFill>
        </w:rPr>
        <w:t>注：</w:t>
      </w:r>
      <w:r>
        <w:rPr>
          <w:rFonts w:hint="eastAsia" w:ascii="宋体" w:hAnsi="宋体" w:cs="宋体"/>
          <w:b/>
          <w:bCs/>
          <w:color w:val="000000" w:themeColor="text1"/>
          <w:sz w:val="20"/>
          <w:szCs w:val="20"/>
          <w14:textFill>
            <w14:solidFill>
              <w14:schemeClr w14:val="tx1"/>
            </w14:solidFill>
          </w14:textFill>
        </w:rPr>
        <w:t>①</w:t>
      </w:r>
      <w:r>
        <w:rPr>
          <w:rFonts w:cs="Times New Roman"/>
          <w:b/>
          <w:bCs/>
          <w:color w:val="000000" w:themeColor="text1"/>
          <w:sz w:val="20"/>
          <w:szCs w:val="20"/>
          <w14:textFill>
            <w14:solidFill>
              <w14:schemeClr w14:val="tx1"/>
            </w14:solidFill>
          </w14:textFill>
        </w:rPr>
        <w:t>水泥用量及上返深度为理论数据，施工中应根据实测井径进行修正。</w:t>
      </w:r>
    </w:p>
    <w:p>
      <w:pPr>
        <w:spacing w:line="240" w:lineRule="auto"/>
        <w:ind w:firstLine="0" w:firstLineChars="0"/>
        <w:rPr>
          <w:rFonts w:cs="Times New Roman"/>
          <w:b/>
          <w:bCs/>
          <w:color w:val="000000" w:themeColor="text1"/>
          <w:sz w:val="20"/>
          <w:szCs w:val="20"/>
          <w14:textFill>
            <w14:solidFill>
              <w14:schemeClr w14:val="tx1"/>
            </w14:solidFill>
          </w14:textFill>
        </w:rPr>
      </w:pPr>
      <w:r>
        <w:rPr>
          <w:rFonts w:hint="eastAsia" w:ascii="宋体" w:hAnsi="宋体" w:cs="宋体"/>
          <w:b/>
          <w:bCs/>
          <w:color w:val="000000" w:themeColor="text1"/>
          <w:sz w:val="20"/>
          <w:szCs w:val="20"/>
          <w14:textFill>
            <w14:solidFill>
              <w14:schemeClr w14:val="tx1"/>
            </w14:solidFill>
          </w14:textFill>
        </w:rPr>
        <w:t>②</w:t>
      </w:r>
      <w:r>
        <w:rPr>
          <w:rFonts w:cs="Times New Roman"/>
          <w:b/>
          <w:bCs/>
          <w:color w:val="000000" w:themeColor="text1"/>
          <w:sz w:val="20"/>
          <w:szCs w:val="20"/>
          <w14:textFill>
            <w14:solidFill>
              <w14:schemeClr w14:val="tx1"/>
            </w14:solidFill>
          </w14:textFill>
        </w:rPr>
        <w:t>现场水泥浆密度应根据实际地层压力需要进行调整。</w:t>
      </w:r>
    </w:p>
    <w:p>
      <w:pPr>
        <w:spacing w:line="240" w:lineRule="auto"/>
        <w:ind w:firstLine="0" w:firstLineChars="0"/>
        <w:rPr>
          <w:rFonts w:cs="Times New Roman"/>
          <w:b/>
          <w:bCs/>
          <w:color w:val="000000" w:themeColor="text1"/>
          <w:sz w:val="20"/>
          <w:szCs w:val="20"/>
          <w14:textFill>
            <w14:solidFill>
              <w14:schemeClr w14:val="tx1"/>
            </w14:solidFill>
          </w14:textFill>
        </w:rPr>
      </w:pPr>
      <w:r>
        <w:rPr>
          <w:rFonts w:hint="eastAsia" w:ascii="宋体" w:hAnsi="宋体" w:cs="宋体"/>
          <w:b/>
          <w:bCs/>
          <w:color w:val="000000" w:themeColor="text1"/>
          <w:sz w:val="20"/>
          <w:szCs w:val="20"/>
          <w14:textFill>
            <w14:solidFill>
              <w14:schemeClr w14:val="tx1"/>
            </w14:solidFill>
          </w14:textFill>
        </w:rPr>
        <w:t>③</w:t>
      </w:r>
      <w:r>
        <w:rPr>
          <w:rFonts w:cs="Times New Roman"/>
          <w:b/>
          <w:bCs/>
          <w:color w:val="000000" w:themeColor="text1"/>
          <w:sz w:val="20"/>
          <w:szCs w:val="20"/>
          <w14:textFill>
            <w14:solidFill>
              <w14:schemeClr w14:val="tx1"/>
            </w14:solidFill>
          </w14:textFill>
        </w:rPr>
        <w:t>注水泥前，采取KSY等堵漏方法提高裸眼承压能力，确保在压稳、不漏的基础上进行固井施工。</w:t>
      </w:r>
    </w:p>
    <w:p>
      <w:pPr>
        <w:autoSpaceDE w:val="0"/>
        <w:autoSpaceDN w:val="0"/>
        <w:spacing w:line="240" w:lineRule="auto"/>
        <w:ind w:firstLine="0" w:firstLineChars="0"/>
        <w:textAlignment w:val="baseline"/>
        <w:rPr>
          <w:rFonts w:cs="Times New Roman"/>
          <w:b/>
          <w:bCs/>
          <w:color w:val="000000" w:themeColor="text1"/>
          <w:sz w:val="20"/>
          <w:szCs w:val="20"/>
          <w14:textFill>
            <w14:solidFill>
              <w14:schemeClr w14:val="tx1"/>
            </w14:solidFill>
          </w14:textFill>
        </w:rPr>
      </w:pPr>
      <w:r>
        <w:rPr>
          <w:rFonts w:hint="eastAsia" w:ascii="宋体" w:hAnsi="宋体" w:cs="宋体"/>
          <w:b/>
          <w:bCs/>
          <w:color w:val="000000" w:themeColor="text1"/>
          <w:sz w:val="20"/>
          <w:szCs w:val="20"/>
          <w14:textFill>
            <w14:solidFill>
              <w14:schemeClr w14:val="tx1"/>
            </w14:solidFill>
          </w14:textFill>
        </w:rPr>
        <w:t>④</w:t>
      </w:r>
      <w:r>
        <w:rPr>
          <w:rFonts w:cs="Times New Roman"/>
          <w:b/>
          <w:bCs/>
          <w:color w:val="000000" w:themeColor="text1"/>
          <w:sz w:val="20"/>
          <w:szCs w:val="20"/>
          <w14:textFill>
            <w14:solidFill>
              <w14:schemeClr w14:val="tx1"/>
            </w14:solidFill>
          </w14:textFill>
        </w:rPr>
        <w:t>如果固井质量不好应采取挤水泥、短回接等方式补救至合格。</w:t>
      </w:r>
    </w:p>
    <w:p>
      <w:pPr>
        <w:pStyle w:val="95"/>
      </w:pPr>
      <w:r>
        <w:t>表</w:t>
      </w:r>
      <w:r>
        <w:fldChar w:fldCharType="begin"/>
      </w:r>
      <w:r>
        <w:instrText xml:space="preserve"> STYLEREF 2 \s </w:instrText>
      </w:r>
      <w:r>
        <w:fldChar w:fldCharType="separate"/>
      </w:r>
      <w:r>
        <w:t>3.2</w:t>
      </w:r>
      <w:r>
        <w:fldChar w:fldCharType="end"/>
      </w:r>
      <w:r>
        <w:noBreakHyphen/>
      </w:r>
      <w:r>
        <w:t>15 水泥浆体系及性能参数</w:t>
      </w:r>
    </w:p>
    <w:tbl>
      <w:tblPr>
        <w:tblStyle w:val="54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79"/>
        <w:gridCol w:w="1226"/>
        <w:gridCol w:w="1226"/>
        <w:gridCol w:w="1228"/>
        <w:gridCol w:w="1226"/>
        <w:gridCol w:w="15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0" w:hRule="atLeast"/>
          <w:tblHeader/>
        </w:trPr>
        <w:tc>
          <w:tcPr>
            <w:tcW w:w="1219" w:type="pct"/>
            <w:tcBorders>
              <w:top w:val="single" w:color="auto" w:sz="8" w:space="0"/>
              <w:left w:val="single" w:color="auto" w:sz="8" w:space="0"/>
              <w:bottom w:val="single" w:color="auto" w:sz="4" w:space="0"/>
            </w:tcBorders>
            <w:vAlign w:val="center"/>
          </w:tcPr>
          <w:p>
            <w:pPr>
              <w:pStyle w:val="594"/>
              <w:rPr>
                <w:rStyle w:val="334"/>
                <w:rFonts w:eastAsia="Times New Roman" w:cs="Times New Roman"/>
                <w:b/>
                <w:bCs/>
                <w:color w:val="000000" w:themeColor="text1"/>
                <w:sz w:val="21"/>
                <w:szCs w:val="21"/>
                <w14:textFill>
                  <w14:solidFill>
                    <w14:schemeClr w14:val="tx1"/>
                  </w14:solidFill>
                </w14:textFill>
              </w:rPr>
            </w:pPr>
            <w:r>
              <w:rPr>
                <w:rStyle w:val="334"/>
                <w:rFonts w:hint="eastAsia" w:ascii="宋体" w:hAnsi="宋体" w:eastAsia="Times New Roman" w:cs="宋体"/>
                <w:b/>
                <w:bCs/>
                <w:color w:val="000000" w:themeColor="text1"/>
                <w:sz w:val="21"/>
                <w:szCs w:val="21"/>
                <w14:textFill>
                  <w14:solidFill>
                    <w14:schemeClr w14:val="tx1"/>
                  </w14:solidFill>
                </w14:textFill>
              </w:rPr>
              <w:t>项</w:t>
            </w:r>
            <w:r>
              <w:rPr>
                <w:rStyle w:val="334"/>
                <w:rFonts w:eastAsia="Times New Roman" w:cs="Times New Roman"/>
                <w:b/>
                <w:bCs/>
                <w:color w:val="000000" w:themeColor="text1"/>
                <w:sz w:val="21"/>
                <w:szCs w:val="21"/>
                <w14:textFill>
                  <w14:solidFill>
                    <w14:schemeClr w14:val="tx1"/>
                  </w14:solidFill>
                </w14:textFill>
              </w:rPr>
              <w:t xml:space="preserve"> </w:t>
            </w:r>
            <w:r>
              <w:rPr>
                <w:rStyle w:val="334"/>
                <w:rFonts w:hint="eastAsia" w:ascii="宋体" w:hAnsi="宋体" w:eastAsia="Times New Roman" w:cs="宋体"/>
                <w:b/>
                <w:bCs/>
                <w:color w:val="000000" w:themeColor="text1"/>
                <w:sz w:val="21"/>
                <w:szCs w:val="21"/>
                <w14:textFill>
                  <w14:solidFill>
                    <w14:schemeClr w14:val="tx1"/>
                  </w14:solidFill>
                </w14:textFill>
              </w:rPr>
              <w:t>目</w:t>
            </w:r>
          </w:p>
        </w:tc>
        <w:tc>
          <w:tcPr>
            <w:tcW w:w="719" w:type="pct"/>
            <w:tcBorders>
              <w:top w:val="single" w:color="auto" w:sz="8" w:space="0"/>
              <w:bottom w:val="single" w:color="auto" w:sz="4" w:space="0"/>
            </w:tcBorders>
            <w:vAlign w:val="center"/>
          </w:tcPr>
          <w:p>
            <w:pPr>
              <w:pStyle w:val="594"/>
              <w:rPr>
                <w:rStyle w:val="334"/>
                <w:rFonts w:eastAsia="Times New Roman" w:cs="Times New Roman"/>
                <w:b/>
                <w:bCs/>
                <w:color w:val="000000" w:themeColor="text1"/>
                <w:sz w:val="21"/>
                <w:szCs w:val="21"/>
                <w14:textFill>
                  <w14:solidFill>
                    <w14:schemeClr w14:val="tx1"/>
                  </w14:solidFill>
                </w14:textFill>
              </w:rPr>
            </w:pPr>
            <w:r>
              <w:rPr>
                <w:rStyle w:val="334"/>
                <w:rFonts w:hint="eastAsia" w:ascii="宋体" w:hAnsi="宋体" w:eastAsia="Times New Roman" w:cs="宋体"/>
                <w:b/>
                <w:bCs/>
                <w:color w:val="000000" w:themeColor="text1"/>
                <w:sz w:val="21"/>
                <w:szCs w:val="21"/>
                <w14:textFill>
                  <w14:solidFill>
                    <w14:schemeClr w14:val="tx1"/>
                  </w14:solidFill>
                </w14:textFill>
              </w:rPr>
              <w:t>一开</w:t>
            </w:r>
          </w:p>
        </w:tc>
        <w:tc>
          <w:tcPr>
            <w:tcW w:w="1439" w:type="pct"/>
            <w:gridSpan w:val="2"/>
            <w:tcBorders>
              <w:top w:val="single" w:color="auto" w:sz="8" w:space="0"/>
              <w:bottom w:val="single" w:color="auto" w:sz="4" w:space="0"/>
            </w:tcBorders>
            <w:vAlign w:val="center"/>
          </w:tcPr>
          <w:p>
            <w:pPr>
              <w:pStyle w:val="594"/>
              <w:rPr>
                <w:rStyle w:val="334"/>
                <w:rFonts w:eastAsia="Times New Roman" w:cs="Times New Roman"/>
                <w:b/>
                <w:bCs/>
                <w:color w:val="000000" w:themeColor="text1"/>
                <w:sz w:val="21"/>
                <w:szCs w:val="21"/>
                <w14:textFill>
                  <w14:solidFill>
                    <w14:schemeClr w14:val="tx1"/>
                  </w14:solidFill>
                </w14:textFill>
              </w:rPr>
            </w:pPr>
            <w:r>
              <w:rPr>
                <w:rStyle w:val="334"/>
                <w:rFonts w:hint="eastAsia" w:ascii="宋体" w:hAnsi="宋体" w:eastAsia="Times New Roman" w:cs="宋体"/>
                <w:b/>
                <w:bCs/>
                <w:color w:val="000000" w:themeColor="text1"/>
                <w:sz w:val="21"/>
                <w:szCs w:val="21"/>
                <w14:textFill>
                  <w14:solidFill>
                    <w14:schemeClr w14:val="tx1"/>
                  </w14:solidFill>
                </w14:textFill>
              </w:rPr>
              <w:t>二开</w:t>
            </w:r>
          </w:p>
        </w:tc>
        <w:tc>
          <w:tcPr>
            <w:tcW w:w="1622" w:type="pct"/>
            <w:gridSpan w:val="2"/>
            <w:tcBorders>
              <w:top w:val="single" w:color="auto" w:sz="8" w:space="0"/>
              <w:bottom w:val="single" w:color="auto" w:sz="4" w:space="0"/>
              <w:right w:val="single" w:color="auto" w:sz="8" w:space="0"/>
            </w:tcBorders>
            <w:vAlign w:val="center"/>
          </w:tcPr>
          <w:p>
            <w:pPr>
              <w:pStyle w:val="594"/>
              <w:rPr>
                <w:rStyle w:val="334"/>
                <w:rFonts w:eastAsia="Times New Roman" w:cs="Times New Roman"/>
                <w:b/>
                <w:bCs/>
                <w:color w:val="000000" w:themeColor="text1"/>
                <w:sz w:val="21"/>
                <w:szCs w:val="21"/>
                <w14:textFill>
                  <w14:solidFill>
                    <w14:schemeClr w14:val="tx1"/>
                  </w14:solidFill>
                </w14:textFill>
              </w:rPr>
            </w:pPr>
            <w:r>
              <w:rPr>
                <w:rStyle w:val="334"/>
                <w:rFonts w:hint="eastAsia" w:ascii="宋体" w:hAnsi="宋体" w:eastAsia="Times New Roman" w:cs="宋体"/>
                <w:b/>
                <w:bCs/>
                <w:color w:val="000000" w:themeColor="text1"/>
                <w:sz w:val="21"/>
                <w:szCs w:val="21"/>
                <w14:textFill>
                  <w14:solidFill>
                    <w14:schemeClr w14:val="tx1"/>
                  </w14:solidFill>
                </w14:textFill>
              </w:rPr>
              <w:t>三开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219" w:type="pct"/>
            <w:tcBorders>
              <w:top w:val="single" w:color="auto" w:sz="4" w:space="0"/>
              <w:left w:val="single" w:color="auto" w:sz="8"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设计体系</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领浆</w:t>
            </w:r>
          </w:p>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常规低密度</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尾浆</w:t>
            </w:r>
          </w:p>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增韧防漏</w:t>
            </w:r>
          </w:p>
        </w:tc>
        <w:tc>
          <w:tcPr>
            <w:tcW w:w="720"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领浆</w:t>
            </w:r>
          </w:p>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常规低密度</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尾浆</w:t>
            </w:r>
          </w:p>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增韧防窜</w:t>
            </w:r>
          </w:p>
        </w:tc>
        <w:tc>
          <w:tcPr>
            <w:tcW w:w="903" w:type="pct"/>
            <w:tcBorders>
              <w:top w:val="single" w:color="auto" w:sz="4" w:space="0"/>
              <w:bottom w:val="single" w:color="auto" w:sz="4" w:space="0"/>
              <w:right w:val="single" w:color="auto" w:sz="8"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回接</w:t>
            </w:r>
          </w:p>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常规水泥浆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1219" w:type="pct"/>
            <w:tcBorders>
              <w:top w:val="single" w:color="auto" w:sz="4" w:space="0"/>
              <w:left w:val="single" w:color="auto" w:sz="8"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密度，</w:t>
            </w:r>
            <w:r>
              <w:rPr>
                <w:rStyle w:val="334"/>
                <w:rFonts w:eastAsia="Times New Roman" w:cs="Times New Roman"/>
                <w:color w:val="000000" w:themeColor="text1"/>
                <w:sz w:val="21"/>
                <w:szCs w:val="21"/>
                <w14:textFill>
                  <w14:solidFill>
                    <w14:schemeClr w14:val="tx1"/>
                  </w14:solidFill>
                </w14:textFill>
              </w:rPr>
              <w:t>g/cm</w:t>
            </w:r>
            <w:r>
              <w:rPr>
                <w:rStyle w:val="334"/>
                <w:rFonts w:eastAsia="Times New Roman" w:cs="Times New Roman"/>
                <w:color w:val="000000" w:themeColor="text1"/>
                <w:sz w:val="21"/>
                <w:szCs w:val="21"/>
                <w:vertAlign w:val="superscript"/>
                <w14:textFill>
                  <w14:solidFill>
                    <w14:schemeClr w14:val="tx1"/>
                  </w14:solidFill>
                </w14:textFill>
              </w:rPr>
              <w:t>3</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1.65</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1.90</w:t>
            </w:r>
          </w:p>
        </w:tc>
        <w:tc>
          <w:tcPr>
            <w:tcW w:w="720"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1.65</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1.90</w:t>
            </w:r>
          </w:p>
        </w:tc>
        <w:tc>
          <w:tcPr>
            <w:tcW w:w="903" w:type="pct"/>
            <w:tcBorders>
              <w:top w:val="single" w:color="auto" w:sz="4" w:space="0"/>
              <w:bottom w:val="single" w:color="auto" w:sz="4" w:space="0"/>
              <w:right w:val="single" w:color="auto" w:sz="8"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1.90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1219" w:type="pct"/>
            <w:tcBorders>
              <w:top w:val="single" w:color="auto" w:sz="4" w:space="0"/>
              <w:left w:val="single" w:color="auto" w:sz="8"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游离液，</w:t>
            </w:r>
            <w:r>
              <w:rPr>
                <w:rStyle w:val="334"/>
                <w:rFonts w:eastAsia="Times New Roman" w:cs="Times New Roman"/>
                <w:color w:val="000000" w:themeColor="text1"/>
                <w:sz w:val="21"/>
                <w:szCs w:val="21"/>
                <w14:textFill>
                  <w14:solidFill>
                    <w14:schemeClr w14:val="tx1"/>
                  </w14:solidFill>
                </w14:textFill>
              </w:rPr>
              <w:t>%</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&lt;1.4</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&lt;1.0</w:t>
            </w:r>
          </w:p>
        </w:tc>
        <w:tc>
          <w:tcPr>
            <w:tcW w:w="720"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&lt;1.4</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&lt;1.0</w:t>
            </w:r>
          </w:p>
        </w:tc>
        <w:tc>
          <w:tcPr>
            <w:tcW w:w="903" w:type="pct"/>
            <w:tcBorders>
              <w:top w:val="single" w:color="auto" w:sz="4" w:space="0"/>
              <w:bottom w:val="single" w:color="auto" w:sz="4" w:space="0"/>
              <w:right w:val="single" w:color="auto" w:sz="8"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1219" w:type="pct"/>
            <w:tcBorders>
              <w:top w:val="single" w:color="auto" w:sz="4" w:space="0"/>
              <w:left w:val="single" w:color="auto" w:sz="8"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失水量</w:t>
            </w:r>
            <w:r>
              <w:rPr>
                <w:rStyle w:val="334"/>
                <w:rFonts w:eastAsia="Times New Roman" w:cs="Times New Roman"/>
                <w:color w:val="000000" w:themeColor="text1"/>
                <w:sz w:val="21"/>
                <w:szCs w:val="21"/>
                <w14:textFill>
                  <w14:solidFill>
                    <w14:schemeClr w14:val="tx1"/>
                  </w14:solidFill>
                </w14:textFill>
              </w:rPr>
              <w:t>mL</w:t>
            </w:r>
            <w:r>
              <w:rPr>
                <w:rStyle w:val="334"/>
                <w:rFonts w:hint="eastAsia" w:ascii="宋体" w:hAnsi="宋体" w:eastAsia="Times New Roman" w:cs="宋体"/>
                <w:color w:val="000000" w:themeColor="text1"/>
                <w:sz w:val="21"/>
                <w:szCs w:val="21"/>
                <w14:textFill>
                  <w14:solidFill>
                    <w14:schemeClr w14:val="tx1"/>
                  </w14:solidFill>
                </w14:textFill>
              </w:rPr>
              <w:t>（</w:t>
            </w:r>
            <w:r>
              <w:rPr>
                <w:rStyle w:val="334"/>
                <w:rFonts w:eastAsia="Times New Roman" w:cs="Times New Roman"/>
                <w:color w:val="000000" w:themeColor="text1"/>
                <w:sz w:val="21"/>
                <w:szCs w:val="21"/>
                <w14:textFill>
                  <w14:solidFill>
                    <w14:schemeClr w14:val="tx1"/>
                  </w14:solidFill>
                </w14:textFill>
              </w:rPr>
              <w:t>30min/6.9MPa</w:t>
            </w:r>
            <w:r>
              <w:rPr>
                <w:rStyle w:val="334"/>
                <w:rFonts w:hint="eastAsia" w:ascii="宋体" w:hAnsi="宋体" w:eastAsia="Times New Roman" w:cs="宋体"/>
                <w:color w:val="000000" w:themeColor="text1"/>
                <w:sz w:val="21"/>
                <w:szCs w:val="21"/>
                <w14:textFill>
                  <w14:solidFill>
                    <w14:schemeClr w14:val="tx1"/>
                  </w14:solidFill>
                </w14:textFill>
              </w:rPr>
              <w:t>）</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&lt;250</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&lt;100</w:t>
            </w:r>
          </w:p>
        </w:tc>
        <w:tc>
          <w:tcPr>
            <w:tcW w:w="720"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&lt;250</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&lt;100</w:t>
            </w:r>
          </w:p>
        </w:tc>
        <w:tc>
          <w:tcPr>
            <w:tcW w:w="903" w:type="pct"/>
            <w:tcBorders>
              <w:top w:val="single" w:color="auto" w:sz="4" w:space="0"/>
              <w:bottom w:val="single" w:color="auto" w:sz="4" w:space="0"/>
              <w:right w:val="single" w:color="auto" w:sz="8"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&lt;50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219" w:type="pct"/>
            <w:tcBorders>
              <w:top w:val="single" w:color="auto" w:sz="4" w:space="0"/>
              <w:left w:val="single" w:color="auto" w:sz="8"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24h</w:t>
            </w:r>
            <w:r>
              <w:rPr>
                <w:rStyle w:val="334"/>
                <w:rFonts w:hint="eastAsia" w:ascii="宋体" w:hAnsi="宋体" w:eastAsia="Times New Roman" w:cs="宋体"/>
                <w:color w:val="000000" w:themeColor="text1"/>
                <w:sz w:val="21"/>
                <w:szCs w:val="21"/>
                <w14:textFill>
                  <w14:solidFill>
                    <w14:schemeClr w14:val="tx1"/>
                  </w14:solidFill>
                </w14:textFill>
              </w:rPr>
              <w:t>抗压强度，</w:t>
            </w:r>
            <w:r>
              <w:rPr>
                <w:rStyle w:val="334"/>
                <w:rFonts w:eastAsia="Times New Roman" w:cs="Times New Roman"/>
                <w:color w:val="000000" w:themeColor="text1"/>
                <w:sz w:val="21"/>
                <w:szCs w:val="21"/>
                <w14:textFill>
                  <w14:solidFill>
                    <w14:schemeClr w14:val="tx1"/>
                  </w14:solidFill>
                </w14:textFill>
              </w:rPr>
              <w:t>MPa</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&gt;7</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&gt;14.0</w:t>
            </w:r>
          </w:p>
        </w:tc>
        <w:tc>
          <w:tcPr>
            <w:tcW w:w="720"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&gt;7</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&gt;14.0</w:t>
            </w:r>
          </w:p>
        </w:tc>
        <w:tc>
          <w:tcPr>
            <w:tcW w:w="903" w:type="pct"/>
            <w:tcBorders>
              <w:top w:val="single" w:color="auto" w:sz="4" w:space="0"/>
              <w:bottom w:val="single" w:color="auto" w:sz="4" w:space="0"/>
              <w:right w:val="single" w:color="auto" w:sz="8"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&gt;14.0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1219" w:type="pct"/>
            <w:tcBorders>
              <w:top w:val="single" w:color="auto" w:sz="4" w:space="0"/>
              <w:left w:val="single" w:color="auto" w:sz="8"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稠化安全附加时间，</w:t>
            </w:r>
            <w:r>
              <w:rPr>
                <w:rStyle w:val="334"/>
                <w:rFonts w:eastAsia="Times New Roman" w:cs="Times New Roman"/>
                <w:color w:val="000000" w:themeColor="text1"/>
                <w:sz w:val="21"/>
                <w:szCs w:val="21"/>
                <w14:textFill>
                  <w14:solidFill>
                    <w14:schemeClr w14:val="tx1"/>
                  </w14:solidFill>
                </w14:textFill>
              </w:rPr>
              <w:t>min</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30-60</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30-60</w:t>
            </w:r>
          </w:p>
        </w:tc>
        <w:tc>
          <w:tcPr>
            <w:tcW w:w="720"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30-60</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30-60</w:t>
            </w:r>
          </w:p>
        </w:tc>
        <w:tc>
          <w:tcPr>
            <w:tcW w:w="903" w:type="pct"/>
            <w:tcBorders>
              <w:top w:val="single" w:color="auto" w:sz="4" w:space="0"/>
              <w:bottom w:val="single" w:color="auto" w:sz="4" w:space="0"/>
              <w:right w:val="single" w:color="auto" w:sz="8"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60-90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1219" w:type="pct"/>
            <w:tcBorders>
              <w:top w:val="single" w:color="auto" w:sz="4" w:space="0"/>
              <w:left w:val="single" w:color="auto" w:sz="8"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初始稠度，</w:t>
            </w:r>
            <w:r>
              <w:rPr>
                <w:rStyle w:val="334"/>
                <w:rFonts w:eastAsia="Times New Roman" w:cs="Times New Roman"/>
                <w:color w:val="000000" w:themeColor="text1"/>
                <w:sz w:val="21"/>
                <w:szCs w:val="21"/>
                <w14:textFill>
                  <w14:solidFill>
                    <w14:schemeClr w14:val="tx1"/>
                  </w14:solidFill>
                </w14:textFill>
              </w:rPr>
              <w:t>Bc</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&lt;30</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&lt;30</w:t>
            </w:r>
          </w:p>
        </w:tc>
        <w:tc>
          <w:tcPr>
            <w:tcW w:w="720"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&lt;30</w:t>
            </w:r>
          </w:p>
        </w:tc>
        <w:tc>
          <w:tcPr>
            <w:tcW w:w="719" w:type="pct"/>
            <w:tcBorders>
              <w:top w:val="single" w:color="auto" w:sz="4" w:space="0"/>
              <w:bottom w:val="single" w:color="auto" w:sz="4"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&lt;30</w:t>
            </w:r>
          </w:p>
        </w:tc>
        <w:tc>
          <w:tcPr>
            <w:tcW w:w="903" w:type="pct"/>
            <w:tcBorders>
              <w:top w:val="single" w:color="auto" w:sz="4" w:space="0"/>
              <w:bottom w:val="single" w:color="auto" w:sz="4" w:space="0"/>
              <w:right w:val="single" w:color="auto" w:sz="8"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&lt;30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1219" w:type="pct"/>
            <w:tcBorders>
              <w:top w:val="single" w:color="auto" w:sz="4" w:space="0"/>
              <w:left w:val="single" w:color="auto" w:sz="8" w:space="0"/>
              <w:bottom w:val="single" w:color="auto" w:sz="8"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hint="eastAsia" w:ascii="宋体" w:hAnsi="宋体" w:eastAsia="Times New Roman" w:cs="宋体"/>
                <w:color w:val="000000" w:themeColor="text1"/>
                <w:sz w:val="21"/>
                <w:szCs w:val="21"/>
                <w14:textFill>
                  <w14:solidFill>
                    <w14:schemeClr w14:val="tx1"/>
                  </w14:solidFill>
                </w14:textFill>
              </w:rPr>
              <w:t>防气窜性能（</w:t>
            </w:r>
            <w:r>
              <w:rPr>
                <w:rStyle w:val="334"/>
                <w:rFonts w:eastAsia="Times New Roman" w:cs="Times New Roman"/>
                <w:color w:val="000000" w:themeColor="text1"/>
                <w:sz w:val="21"/>
                <w:szCs w:val="21"/>
                <w14:textFill>
                  <w14:solidFill>
                    <w14:schemeClr w14:val="tx1"/>
                  </w14:solidFill>
                </w14:textFill>
              </w:rPr>
              <w:t>SPN</w:t>
            </w:r>
            <w:r>
              <w:rPr>
                <w:rStyle w:val="334"/>
                <w:rFonts w:hint="eastAsia" w:ascii="宋体" w:hAnsi="宋体" w:eastAsia="Times New Roman" w:cs="宋体"/>
                <w:color w:val="000000" w:themeColor="text1"/>
                <w:sz w:val="21"/>
                <w:szCs w:val="21"/>
                <w14:textFill>
                  <w14:solidFill>
                    <w14:schemeClr w14:val="tx1"/>
                  </w14:solidFill>
                </w14:textFill>
              </w:rPr>
              <w:t>值）</w:t>
            </w:r>
          </w:p>
        </w:tc>
        <w:tc>
          <w:tcPr>
            <w:tcW w:w="719" w:type="pct"/>
            <w:tcBorders>
              <w:top w:val="single" w:color="auto" w:sz="4" w:space="0"/>
              <w:bottom w:val="single" w:color="auto" w:sz="8"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w:t>
            </w:r>
          </w:p>
        </w:tc>
        <w:tc>
          <w:tcPr>
            <w:tcW w:w="719" w:type="pct"/>
            <w:tcBorders>
              <w:top w:val="single" w:color="auto" w:sz="4" w:space="0"/>
              <w:bottom w:val="single" w:color="auto" w:sz="8"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w:t>
            </w:r>
          </w:p>
        </w:tc>
        <w:tc>
          <w:tcPr>
            <w:tcW w:w="720" w:type="pct"/>
            <w:tcBorders>
              <w:top w:val="single" w:color="auto" w:sz="4" w:space="0"/>
              <w:bottom w:val="single" w:color="auto" w:sz="8"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w:t>
            </w:r>
          </w:p>
        </w:tc>
        <w:tc>
          <w:tcPr>
            <w:tcW w:w="719" w:type="pct"/>
            <w:tcBorders>
              <w:top w:val="single" w:color="auto" w:sz="4" w:space="0"/>
              <w:bottom w:val="single" w:color="auto" w:sz="8"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w:t>
            </w:r>
          </w:p>
        </w:tc>
        <w:tc>
          <w:tcPr>
            <w:tcW w:w="903" w:type="pct"/>
            <w:tcBorders>
              <w:top w:val="single" w:color="auto" w:sz="4" w:space="0"/>
              <w:bottom w:val="single" w:color="auto" w:sz="8" w:space="0"/>
              <w:right w:val="single" w:color="auto" w:sz="8" w:space="0"/>
            </w:tcBorders>
            <w:vAlign w:val="center"/>
          </w:tcPr>
          <w:p>
            <w:pPr>
              <w:pStyle w:val="594"/>
              <w:rPr>
                <w:rStyle w:val="334"/>
                <w:rFonts w:eastAsia="Times New Roman" w:cs="Times New Roman"/>
                <w:color w:val="000000" w:themeColor="text1"/>
                <w:sz w:val="21"/>
                <w:szCs w:val="21"/>
                <w14:textFill>
                  <w14:solidFill>
                    <w14:schemeClr w14:val="tx1"/>
                  </w14:solidFill>
                </w14:textFill>
              </w:rPr>
            </w:pPr>
            <w:r>
              <w:rPr>
                <w:rStyle w:val="334"/>
                <w:rFonts w:eastAsia="Times New Roman" w:cs="Times New Roman"/>
                <w:color w:val="000000" w:themeColor="text1"/>
                <w:sz w:val="21"/>
                <w:szCs w:val="21"/>
                <w14:textFill>
                  <w14:solidFill>
                    <w14:schemeClr w14:val="tx1"/>
                  </w14:solidFill>
                </w14:textFill>
              </w:rPr>
              <w:t>≤3</w:t>
            </w:r>
          </w:p>
        </w:tc>
      </w:tr>
    </w:tbl>
    <w:p>
      <w:pPr>
        <w:autoSpaceDE w:val="0"/>
        <w:autoSpaceDN w:val="0"/>
        <w:spacing w:before="120" w:beforeLines="50"/>
        <w:ind w:firstLine="480"/>
        <w:textAlignment w:val="baseline"/>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2）固井材料</w:t>
      </w:r>
    </w:p>
    <w:p>
      <w:pPr>
        <w:autoSpaceDE w:val="0"/>
        <w:autoSpaceDN w:val="0"/>
        <w:ind w:firstLine="480"/>
        <w:textAlignment w:val="baseline"/>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固井作业主要原辅材料、能源消耗及来源统计见</w:t>
      </w:r>
      <w:r>
        <w:rPr>
          <w:rFonts w:cs="Times New Roman"/>
          <w:color w:val="000000" w:themeColor="text1"/>
          <w:szCs w:val="24"/>
          <w14:textFill>
            <w14:solidFill>
              <w14:schemeClr w14:val="tx1"/>
            </w14:solidFill>
          </w14:textFill>
        </w:rPr>
        <w:fldChar w:fldCharType="begin"/>
      </w:r>
      <w:r>
        <w:rPr>
          <w:rFonts w:cs="Times New Roman"/>
          <w:color w:val="000000" w:themeColor="text1"/>
          <w:szCs w:val="24"/>
          <w14:textFill>
            <w14:solidFill>
              <w14:schemeClr w14:val="tx1"/>
            </w14:solidFill>
          </w14:textFill>
        </w:rPr>
        <w:instrText xml:space="preserve"> REF _Ref142593382 \h  \* MERGEFORMAT </w:instrText>
      </w:r>
      <w:r>
        <w:rPr>
          <w:rFonts w:cs="Times New Roman"/>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表3.2</w:t>
      </w:r>
      <w:r>
        <w:rPr>
          <w:rFonts w:cs="Times New Roman"/>
          <w:color w:val="000000" w:themeColor="text1"/>
          <w14:textFill>
            <w14:solidFill>
              <w14:schemeClr w14:val="tx1"/>
            </w14:solidFill>
          </w14:textFill>
        </w:rPr>
        <w:noBreakHyphen/>
      </w:r>
      <w:r>
        <w:rPr>
          <w:rFonts w:cs="Times New Roman"/>
          <w:color w:val="000000" w:themeColor="text1"/>
          <w:szCs w:val="24"/>
          <w14:textFill>
            <w14:solidFill>
              <w14:schemeClr w14:val="tx1"/>
            </w14:solidFill>
          </w14:textFill>
        </w:rPr>
        <w:fldChar w:fldCharType="end"/>
      </w:r>
      <w:r>
        <w:rPr>
          <w:rFonts w:cs="Times New Roman"/>
          <w:color w:val="000000" w:themeColor="text1"/>
          <w:szCs w:val="24"/>
          <w14:textFill>
            <w14:solidFill>
              <w14:schemeClr w14:val="tx1"/>
            </w14:solidFill>
          </w14:textFill>
        </w:rPr>
        <w:t>16。</w:t>
      </w:r>
    </w:p>
    <w:p>
      <w:pPr>
        <w:pStyle w:val="95"/>
      </w:pPr>
      <w:bookmarkStart w:id="109" w:name="_Ref142593382"/>
      <w:r>
        <w:t>表</w:t>
      </w:r>
      <w:r>
        <w:fldChar w:fldCharType="begin"/>
      </w:r>
      <w:r>
        <w:instrText xml:space="preserve"> STYLEREF 2 \s </w:instrText>
      </w:r>
      <w:r>
        <w:fldChar w:fldCharType="separate"/>
      </w:r>
      <w:r>
        <w:t>3.2</w:t>
      </w:r>
      <w:r>
        <w:fldChar w:fldCharType="end"/>
      </w:r>
      <w:r>
        <w:noBreakHyphen/>
      </w:r>
      <w:bookmarkEnd w:id="109"/>
      <w:r>
        <w:t>16   普光3011-6井固井主要附件和添加剂表</w:t>
      </w:r>
    </w:p>
    <w:tbl>
      <w:tblPr>
        <w:tblStyle w:val="54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28"/>
        <w:gridCol w:w="1959"/>
        <w:gridCol w:w="1023"/>
        <w:gridCol w:w="945"/>
        <w:gridCol w:w="1091"/>
        <w:gridCol w:w="1028"/>
        <w:gridCol w:w="95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045" w:type="pct"/>
            <w:gridSpan w:val="2"/>
            <w:vMerge w:val="restart"/>
            <w:tcBorders>
              <w:top w:val="single" w:color="auto" w:sz="8" w:space="0"/>
              <w:left w:val="single" w:color="auto" w:sz="8" w:space="0"/>
              <w:bottom w:val="single" w:color="auto" w:sz="6" w:space="0"/>
            </w:tcBorders>
            <w:vAlign w:val="center"/>
          </w:tcPr>
          <w:p>
            <w:pPr>
              <w:pStyle w:val="594"/>
              <w:rPr>
                <w:rFonts w:eastAsia="Times New Roman" w:cs="Times New Roman"/>
                <w:b/>
                <w:bCs/>
                <w:color w:val="000000" w:themeColor="text1"/>
                <w14:textFill>
                  <w14:solidFill>
                    <w14:schemeClr w14:val="tx1"/>
                  </w14:solidFill>
                </w14:textFill>
              </w:rPr>
            </w:pPr>
            <w:r>
              <w:rPr>
                <w:rFonts w:hint="eastAsia" w:ascii="宋体" w:hAnsi="宋体" w:eastAsia="Times New Roman" w:cs="宋体"/>
                <w:b/>
                <w:bCs/>
                <w:color w:val="000000" w:themeColor="text1"/>
                <w14:textFill>
                  <w14:solidFill>
                    <w14:schemeClr w14:val="tx1"/>
                  </w14:solidFill>
                </w14:textFill>
              </w:rPr>
              <w:t>材</w:t>
            </w:r>
            <w:r>
              <w:rPr>
                <w:rFonts w:eastAsia="Times New Roman" w:cs="Times New Roman"/>
                <w:b/>
                <w:bCs/>
                <w:color w:val="000000" w:themeColor="text1"/>
                <w14:textFill>
                  <w14:solidFill>
                    <w14:schemeClr w14:val="tx1"/>
                  </w14:solidFill>
                </w14:textFill>
              </w:rPr>
              <w:t>料名称</w:t>
            </w:r>
          </w:p>
        </w:tc>
        <w:tc>
          <w:tcPr>
            <w:tcW w:w="2955" w:type="pct"/>
            <w:gridSpan w:val="5"/>
            <w:tcBorders>
              <w:top w:val="single" w:color="auto" w:sz="8" w:space="0"/>
              <w:bottom w:val="single" w:color="auto" w:sz="6" w:space="0"/>
              <w:right w:val="single" w:color="auto" w:sz="8" w:space="0"/>
            </w:tcBorders>
            <w:vAlign w:val="center"/>
          </w:tcPr>
          <w:p>
            <w:pPr>
              <w:pStyle w:val="594"/>
              <w:rPr>
                <w:rFonts w:eastAsia="Times New Roman" w:cs="Times New Roman"/>
                <w:b/>
                <w:bCs/>
                <w:color w:val="000000" w:themeColor="text1"/>
                <w14:textFill>
                  <w14:solidFill>
                    <w14:schemeClr w14:val="tx1"/>
                  </w14:solidFill>
                </w14:textFill>
              </w:rPr>
            </w:pPr>
            <w:r>
              <w:rPr>
                <w:rFonts w:eastAsia="Times New Roman" w:cs="Times New Roman"/>
                <w:b/>
                <w:bCs/>
                <w:color w:val="000000" w:themeColor="text1"/>
                <w14:textFill>
                  <w14:solidFill>
                    <w14:schemeClr w14:val="tx1"/>
                  </w14:solidFill>
                </w14:textFill>
              </w:rPr>
              <w:t>用量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045" w:type="pct"/>
            <w:gridSpan w:val="2"/>
            <w:vMerge w:val="continue"/>
            <w:tcBorders>
              <w:top w:val="single" w:color="auto" w:sz="6" w:space="0"/>
              <w:left w:val="single" w:color="auto" w:sz="8" w:space="0"/>
              <w:bottom w:val="single" w:color="auto" w:sz="6" w:space="0"/>
            </w:tcBorders>
            <w:vAlign w:val="center"/>
          </w:tcPr>
          <w:p>
            <w:pPr>
              <w:pStyle w:val="594"/>
              <w:rPr>
                <w:rFonts w:eastAsia="Times New Roman" w:cs="Times New Roman"/>
                <w:b/>
                <w:bCs/>
                <w:color w:val="000000" w:themeColor="text1"/>
                <w14:textFill>
                  <w14:solidFill>
                    <w14:schemeClr w14:val="tx1"/>
                  </w14:solidFill>
                </w14:textFill>
              </w:rPr>
            </w:pPr>
          </w:p>
        </w:tc>
        <w:tc>
          <w:tcPr>
            <w:tcW w:w="600" w:type="pct"/>
            <w:tcBorders>
              <w:top w:val="single" w:color="auto" w:sz="6" w:space="0"/>
              <w:bottom w:val="single" w:color="auto" w:sz="6" w:space="0"/>
            </w:tcBorders>
            <w:vAlign w:val="center"/>
          </w:tcPr>
          <w:p>
            <w:pPr>
              <w:pStyle w:val="594"/>
              <w:rPr>
                <w:rFonts w:eastAsia="Times New Roman" w:cs="Times New Roman"/>
                <w:b/>
                <w:bCs/>
                <w:color w:val="000000" w:themeColor="text1"/>
                <w14:textFill>
                  <w14:solidFill>
                    <w14:schemeClr w14:val="tx1"/>
                  </w14:solidFill>
                </w14:textFill>
              </w:rPr>
            </w:pPr>
            <w:r>
              <w:rPr>
                <w:rFonts w:eastAsia="Times New Roman" w:cs="Times New Roman"/>
                <w:b/>
                <w:bCs/>
                <w:color w:val="000000" w:themeColor="text1"/>
                <w14:textFill>
                  <w14:solidFill>
                    <w14:schemeClr w14:val="tx1"/>
                  </w14:solidFill>
                </w14:textFill>
              </w:rPr>
              <w:t>导管</w:t>
            </w:r>
          </w:p>
        </w:tc>
        <w:tc>
          <w:tcPr>
            <w:tcW w:w="554" w:type="pct"/>
            <w:tcBorders>
              <w:top w:val="single" w:color="auto" w:sz="6" w:space="0"/>
              <w:bottom w:val="single" w:color="auto" w:sz="6" w:space="0"/>
            </w:tcBorders>
            <w:vAlign w:val="center"/>
          </w:tcPr>
          <w:p>
            <w:pPr>
              <w:pStyle w:val="594"/>
              <w:rPr>
                <w:rFonts w:eastAsia="Times New Roman" w:cs="Times New Roman"/>
                <w:b/>
                <w:bCs/>
                <w:color w:val="000000" w:themeColor="text1"/>
                <w14:textFill>
                  <w14:solidFill>
                    <w14:schemeClr w14:val="tx1"/>
                  </w14:solidFill>
                </w14:textFill>
              </w:rPr>
            </w:pPr>
            <w:r>
              <w:rPr>
                <w:rFonts w:eastAsia="Times New Roman" w:cs="Times New Roman"/>
                <w:b/>
                <w:bCs/>
                <w:color w:val="000000" w:themeColor="text1"/>
                <w14:textFill>
                  <w14:solidFill>
                    <w14:schemeClr w14:val="tx1"/>
                  </w14:solidFill>
                </w14:textFill>
              </w:rPr>
              <w:t>一开</w:t>
            </w:r>
          </w:p>
        </w:tc>
        <w:tc>
          <w:tcPr>
            <w:tcW w:w="640" w:type="pct"/>
            <w:tcBorders>
              <w:top w:val="single" w:color="auto" w:sz="6" w:space="0"/>
              <w:bottom w:val="single" w:color="auto" w:sz="6" w:space="0"/>
            </w:tcBorders>
            <w:vAlign w:val="center"/>
          </w:tcPr>
          <w:p>
            <w:pPr>
              <w:pStyle w:val="594"/>
              <w:rPr>
                <w:rFonts w:eastAsia="Times New Roman" w:cs="Times New Roman"/>
                <w:b/>
                <w:bCs/>
                <w:color w:val="000000" w:themeColor="text1"/>
                <w14:textFill>
                  <w14:solidFill>
                    <w14:schemeClr w14:val="tx1"/>
                  </w14:solidFill>
                </w14:textFill>
              </w:rPr>
            </w:pPr>
            <w:r>
              <w:rPr>
                <w:rFonts w:eastAsia="Times New Roman" w:cs="Times New Roman"/>
                <w:b/>
                <w:bCs/>
                <w:color w:val="000000" w:themeColor="text1"/>
                <w14:textFill>
                  <w14:solidFill>
                    <w14:schemeClr w14:val="tx1"/>
                  </w14:solidFill>
                </w14:textFill>
              </w:rPr>
              <w:t>二开</w:t>
            </w:r>
          </w:p>
        </w:tc>
        <w:tc>
          <w:tcPr>
            <w:tcW w:w="603" w:type="pct"/>
            <w:tcBorders>
              <w:top w:val="single" w:color="auto" w:sz="6" w:space="0"/>
              <w:bottom w:val="single" w:color="auto" w:sz="6" w:space="0"/>
            </w:tcBorders>
            <w:vAlign w:val="center"/>
          </w:tcPr>
          <w:p>
            <w:pPr>
              <w:pStyle w:val="594"/>
              <w:rPr>
                <w:rFonts w:eastAsia="Times New Roman" w:cs="Times New Roman"/>
                <w:b/>
                <w:bCs/>
                <w:color w:val="000000" w:themeColor="text1"/>
                <w14:textFill>
                  <w14:solidFill>
                    <w14:schemeClr w14:val="tx1"/>
                  </w14:solidFill>
                </w14:textFill>
              </w:rPr>
            </w:pPr>
            <w:r>
              <w:rPr>
                <w:rFonts w:eastAsia="Times New Roman" w:cs="Times New Roman"/>
                <w:b/>
                <w:bCs/>
                <w:color w:val="000000" w:themeColor="text1"/>
                <w14:textFill>
                  <w14:solidFill>
                    <w14:schemeClr w14:val="tx1"/>
                  </w14:solidFill>
                </w14:textFill>
              </w:rPr>
              <w:t>三开</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b/>
                <w:bCs/>
                <w:color w:val="000000" w:themeColor="text1"/>
                <w14:textFill>
                  <w14:solidFill>
                    <w14:schemeClr w14:val="tx1"/>
                  </w14:solidFill>
                </w14:textFill>
              </w:rPr>
            </w:pPr>
            <w:r>
              <w:rPr>
                <w:rFonts w:eastAsia="Times New Roman" w:cs="Times New Roman"/>
                <w:b/>
                <w:bCs/>
                <w:color w:val="000000" w:themeColor="text1"/>
                <w14:textFill>
                  <w14:solidFill>
                    <w14:schemeClr w14:val="tx1"/>
                  </w14:solidFill>
                </w14:textFill>
              </w:rPr>
              <w:t>回接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6" w:type="pct"/>
            <w:vMerge w:val="restart"/>
            <w:tcBorders>
              <w:top w:val="single" w:color="auto" w:sz="6" w:space="0"/>
              <w:left w:val="single" w:color="auto" w:sz="8"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hint="eastAsia" w:ascii="宋体" w:hAnsi="宋体" w:eastAsia="Times New Roman" w:cs="宋体"/>
                <w:color w:val="000000" w:themeColor="text1"/>
                <w14:textFill>
                  <w14:solidFill>
                    <w14:schemeClr w14:val="tx1"/>
                  </w14:solidFill>
                </w14:textFill>
              </w:rPr>
              <w:t>水</w:t>
            </w:r>
            <w:r>
              <w:rPr>
                <w:rFonts w:eastAsia="Times New Roman" w:cs="Times New Roman"/>
                <w:color w:val="000000" w:themeColor="text1"/>
                <w14:textFill>
                  <w14:solidFill>
                    <w14:schemeClr w14:val="tx1"/>
                  </w14:solidFill>
                </w14:textFill>
              </w:rPr>
              <w:t>泥</w:t>
            </w:r>
          </w:p>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添加剂</w:t>
            </w:r>
          </w:p>
        </w:tc>
        <w:tc>
          <w:tcPr>
            <w:tcW w:w="1149"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降失水剂（t）</w:t>
            </w:r>
          </w:p>
        </w:tc>
        <w:tc>
          <w:tcPr>
            <w:tcW w:w="60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554"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2.34</w:t>
            </w:r>
          </w:p>
        </w:tc>
        <w:tc>
          <w:tcPr>
            <w:tcW w:w="64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3.68</w:t>
            </w:r>
          </w:p>
        </w:tc>
        <w:tc>
          <w:tcPr>
            <w:tcW w:w="603"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2.10</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6" w:type="pct"/>
            <w:vMerge w:val="continue"/>
            <w:tcBorders>
              <w:top w:val="single" w:color="auto" w:sz="6" w:space="0"/>
              <w:left w:val="single" w:color="auto" w:sz="8"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p>
        </w:tc>
        <w:tc>
          <w:tcPr>
            <w:tcW w:w="1149"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减阻剂（t）</w:t>
            </w:r>
          </w:p>
        </w:tc>
        <w:tc>
          <w:tcPr>
            <w:tcW w:w="60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554"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1.56</w:t>
            </w:r>
          </w:p>
        </w:tc>
        <w:tc>
          <w:tcPr>
            <w:tcW w:w="64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2.53</w:t>
            </w:r>
          </w:p>
        </w:tc>
        <w:tc>
          <w:tcPr>
            <w:tcW w:w="603"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1.40</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6" w:type="pct"/>
            <w:vMerge w:val="continue"/>
            <w:tcBorders>
              <w:top w:val="single" w:color="auto" w:sz="6" w:space="0"/>
              <w:left w:val="single" w:color="auto" w:sz="8"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p>
        </w:tc>
        <w:tc>
          <w:tcPr>
            <w:tcW w:w="1149"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消泡剂（t）</w:t>
            </w:r>
          </w:p>
        </w:tc>
        <w:tc>
          <w:tcPr>
            <w:tcW w:w="60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554"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0.78</w:t>
            </w:r>
          </w:p>
        </w:tc>
        <w:tc>
          <w:tcPr>
            <w:tcW w:w="64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0.64</w:t>
            </w:r>
          </w:p>
        </w:tc>
        <w:tc>
          <w:tcPr>
            <w:tcW w:w="603"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0.70</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0.63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6" w:type="pct"/>
            <w:vMerge w:val="continue"/>
            <w:tcBorders>
              <w:top w:val="single" w:color="auto" w:sz="6" w:space="0"/>
              <w:left w:val="single" w:color="auto" w:sz="8"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p>
        </w:tc>
        <w:tc>
          <w:tcPr>
            <w:tcW w:w="1149"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晶格膨胀剂（t）</w:t>
            </w:r>
          </w:p>
        </w:tc>
        <w:tc>
          <w:tcPr>
            <w:tcW w:w="60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554"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0.98</w:t>
            </w:r>
          </w:p>
        </w:tc>
        <w:tc>
          <w:tcPr>
            <w:tcW w:w="64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2.53</w:t>
            </w:r>
          </w:p>
        </w:tc>
        <w:tc>
          <w:tcPr>
            <w:tcW w:w="603"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1.40</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6" w:type="pct"/>
            <w:vMerge w:val="continue"/>
            <w:tcBorders>
              <w:top w:val="single" w:color="auto" w:sz="6" w:space="0"/>
              <w:left w:val="single" w:color="auto" w:sz="8"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p>
        </w:tc>
        <w:tc>
          <w:tcPr>
            <w:tcW w:w="1149"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增韧剂（t）</w:t>
            </w:r>
          </w:p>
        </w:tc>
        <w:tc>
          <w:tcPr>
            <w:tcW w:w="60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554"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1.95</w:t>
            </w:r>
          </w:p>
        </w:tc>
        <w:tc>
          <w:tcPr>
            <w:tcW w:w="64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2.76</w:t>
            </w:r>
          </w:p>
        </w:tc>
        <w:tc>
          <w:tcPr>
            <w:tcW w:w="603"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1.40</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6" w:type="pct"/>
            <w:vMerge w:val="continue"/>
            <w:tcBorders>
              <w:top w:val="single" w:color="auto" w:sz="6" w:space="0"/>
              <w:left w:val="single" w:color="auto" w:sz="8"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p>
        </w:tc>
        <w:tc>
          <w:tcPr>
            <w:tcW w:w="1149"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缓凝剂（t）</w:t>
            </w:r>
          </w:p>
        </w:tc>
        <w:tc>
          <w:tcPr>
            <w:tcW w:w="60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554"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0.98</w:t>
            </w:r>
          </w:p>
        </w:tc>
        <w:tc>
          <w:tcPr>
            <w:tcW w:w="64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2.53</w:t>
            </w:r>
          </w:p>
        </w:tc>
        <w:tc>
          <w:tcPr>
            <w:tcW w:w="603"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1.40</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6" w:type="pct"/>
            <w:vMerge w:val="continue"/>
            <w:tcBorders>
              <w:top w:val="single" w:color="auto" w:sz="6" w:space="0"/>
              <w:left w:val="single" w:color="auto" w:sz="8"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p>
        </w:tc>
        <w:tc>
          <w:tcPr>
            <w:tcW w:w="1149"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防气窜剂（t）</w:t>
            </w:r>
          </w:p>
        </w:tc>
        <w:tc>
          <w:tcPr>
            <w:tcW w:w="60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554"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64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0.92</w:t>
            </w:r>
          </w:p>
        </w:tc>
        <w:tc>
          <w:tcPr>
            <w:tcW w:w="603"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2.10</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6" w:type="pct"/>
            <w:vMerge w:val="continue"/>
            <w:tcBorders>
              <w:top w:val="single" w:color="auto" w:sz="6" w:space="0"/>
              <w:left w:val="single" w:color="auto" w:sz="8"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p>
        </w:tc>
        <w:tc>
          <w:tcPr>
            <w:tcW w:w="1149"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胶乳水泥浆（t）</w:t>
            </w:r>
          </w:p>
        </w:tc>
        <w:tc>
          <w:tcPr>
            <w:tcW w:w="60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554"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64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603"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7.00</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045" w:type="pct"/>
            <w:gridSpan w:val="2"/>
            <w:tcBorders>
              <w:top w:val="single" w:color="auto" w:sz="6" w:space="0"/>
              <w:left w:val="single" w:color="auto" w:sz="8"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hint="eastAsia" w:ascii="宋体" w:hAnsi="宋体" w:eastAsia="Times New Roman" w:cs="宋体"/>
                <w:color w:val="000000" w:themeColor="text1"/>
                <w14:textFill>
                  <w14:solidFill>
                    <w14:schemeClr w14:val="tx1"/>
                  </w14:solidFill>
                </w14:textFill>
              </w:rPr>
              <w:t>冲</w:t>
            </w:r>
            <w:r>
              <w:rPr>
                <w:rFonts w:eastAsia="Times New Roman" w:cs="Times New Roman"/>
                <w:color w:val="000000" w:themeColor="text1"/>
                <w14:textFill>
                  <w14:solidFill>
                    <w14:schemeClr w14:val="tx1"/>
                  </w14:solidFill>
                </w14:textFill>
              </w:rPr>
              <w:t>洗液（m</w:t>
            </w:r>
            <w:r>
              <w:rPr>
                <w:rFonts w:eastAsia="Times New Roman" w:cs="Times New Roman"/>
                <w:color w:val="000000" w:themeColor="text1"/>
                <w:vertAlign w:val="superscript"/>
                <w14:textFill>
                  <w14:solidFill>
                    <w14:schemeClr w14:val="tx1"/>
                  </w14:solidFill>
                </w14:textFill>
              </w:rPr>
              <w:t>3</w:t>
            </w:r>
            <w:r>
              <w:rPr>
                <w:rFonts w:eastAsia="Times New Roman" w:cs="Times New Roman"/>
                <w:color w:val="000000" w:themeColor="text1"/>
                <w14:textFill>
                  <w14:solidFill>
                    <w14:schemeClr w14:val="tx1"/>
                  </w14:solidFill>
                </w14:textFill>
              </w:rPr>
              <w:t>）</w:t>
            </w:r>
          </w:p>
        </w:tc>
        <w:tc>
          <w:tcPr>
            <w:tcW w:w="60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p>
        </w:tc>
        <w:tc>
          <w:tcPr>
            <w:tcW w:w="554"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64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10.00</w:t>
            </w:r>
          </w:p>
        </w:tc>
        <w:tc>
          <w:tcPr>
            <w:tcW w:w="603"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10.00</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045" w:type="pct"/>
            <w:gridSpan w:val="2"/>
            <w:tcBorders>
              <w:top w:val="single" w:color="auto" w:sz="6" w:space="0"/>
              <w:left w:val="single" w:color="auto" w:sz="8"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hint="eastAsia" w:ascii="宋体" w:hAnsi="宋体" w:eastAsia="Times New Roman" w:cs="宋体"/>
                <w:color w:val="000000" w:themeColor="text1"/>
                <w14:textFill>
                  <w14:solidFill>
                    <w14:schemeClr w14:val="tx1"/>
                  </w14:solidFill>
                </w14:textFill>
              </w:rPr>
              <w:t>隔</w:t>
            </w:r>
            <w:r>
              <w:rPr>
                <w:rFonts w:eastAsia="Times New Roman" w:cs="Times New Roman"/>
                <w:color w:val="000000" w:themeColor="text1"/>
                <w14:textFill>
                  <w14:solidFill>
                    <w14:schemeClr w14:val="tx1"/>
                  </w14:solidFill>
                </w14:textFill>
              </w:rPr>
              <w:t>离液（m</w:t>
            </w:r>
            <w:r>
              <w:rPr>
                <w:rFonts w:eastAsia="Times New Roman" w:cs="Times New Roman"/>
                <w:color w:val="000000" w:themeColor="text1"/>
                <w:vertAlign w:val="superscript"/>
                <w14:textFill>
                  <w14:solidFill>
                    <w14:schemeClr w14:val="tx1"/>
                  </w14:solidFill>
                </w14:textFill>
              </w:rPr>
              <w:t>3</w:t>
            </w:r>
            <w:r>
              <w:rPr>
                <w:rFonts w:eastAsia="Times New Roman" w:cs="Times New Roman"/>
                <w:color w:val="000000" w:themeColor="text1"/>
                <w14:textFill>
                  <w14:solidFill>
                    <w14:schemeClr w14:val="tx1"/>
                  </w14:solidFill>
                </w14:textFill>
              </w:rPr>
              <w:t>）</w:t>
            </w:r>
          </w:p>
        </w:tc>
        <w:tc>
          <w:tcPr>
            <w:tcW w:w="60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p>
        </w:tc>
        <w:tc>
          <w:tcPr>
            <w:tcW w:w="554"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64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15.00</w:t>
            </w:r>
          </w:p>
        </w:tc>
        <w:tc>
          <w:tcPr>
            <w:tcW w:w="603"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15.00</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20.00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6" w:type="pct"/>
            <w:vMerge w:val="restart"/>
            <w:tcBorders>
              <w:top w:val="single" w:color="auto" w:sz="6" w:space="0"/>
              <w:left w:val="single" w:color="auto" w:sz="8"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hint="eastAsia" w:ascii="宋体" w:hAnsi="宋体" w:eastAsia="Times New Roman" w:cs="宋体"/>
                <w:color w:val="000000" w:themeColor="text1"/>
                <w14:textFill>
                  <w14:solidFill>
                    <w14:schemeClr w14:val="tx1"/>
                  </w14:solidFill>
                </w14:textFill>
              </w:rPr>
              <w:t>固</w:t>
            </w:r>
            <w:r>
              <w:rPr>
                <w:rFonts w:eastAsia="Times New Roman" w:cs="Times New Roman"/>
                <w:color w:val="000000" w:themeColor="text1"/>
                <w14:textFill>
                  <w14:solidFill>
                    <w14:schemeClr w14:val="tx1"/>
                  </w14:solidFill>
                </w14:textFill>
              </w:rPr>
              <w:t>井附件</w:t>
            </w:r>
          </w:p>
        </w:tc>
        <w:tc>
          <w:tcPr>
            <w:tcW w:w="1149"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常规附件(套)</w:t>
            </w:r>
          </w:p>
        </w:tc>
        <w:tc>
          <w:tcPr>
            <w:tcW w:w="60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w:t>
            </w:r>
          </w:p>
        </w:tc>
        <w:tc>
          <w:tcPr>
            <w:tcW w:w="554"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w:t>
            </w:r>
          </w:p>
        </w:tc>
        <w:tc>
          <w:tcPr>
            <w:tcW w:w="64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w:t>
            </w:r>
          </w:p>
        </w:tc>
        <w:tc>
          <w:tcPr>
            <w:tcW w:w="603"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6" w:type="pct"/>
            <w:vMerge w:val="continue"/>
            <w:tcBorders>
              <w:top w:val="single" w:color="auto" w:sz="6" w:space="0"/>
              <w:left w:val="single" w:color="auto" w:sz="8"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p>
        </w:tc>
        <w:tc>
          <w:tcPr>
            <w:tcW w:w="1149"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尾管悬挂器（套）</w:t>
            </w:r>
          </w:p>
        </w:tc>
        <w:tc>
          <w:tcPr>
            <w:tcW w:w="60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554"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64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603"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6" w:type="pct"/>
            <w:vMerge w:val="continue"/>
            <w:tcBorders>
              <w:top w:val="single" w:color="auto" w:sz="6" w:space="0"/>
              <w:left w:val="single" w:color="auto" w:sz="8"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p>
        </w:tc>
        <w:tc>
          <w:tcPr>
            <w:tcW w:w="1149"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回接筒（只）</w:t>
            </w:r>
          </w:p>
        </w:tc>
        <w:tc>
          <w:tcPr>
            <w:tcW w:w="60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554"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64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603"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6" w:type="pct"/>
            <w:tcBorders>
              <w:top w:val="single" w:color="auto" w:sz="6" w:space="0"/>
              <w:left w:val="single" w:color="auto" w:sz="8"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hint="eastAsia" w:ascii="宋体" w:hAnsi="宋体" w:eastAsia="Times New Roman" w:cs="宋体"/>
                <w:color w:val="000000" w:themeColor="text1"/>
                <w14:textFill>
                  <w14:solidFill>
                    <w14:schemeClr w14:val="tx1"/>
                  </w14:solidFill>
                </w14:textFill>
              </w:rPr>
              <w:t>防</w:t>
            </w:r>
            <w:r>
              <w:rPr>
                <w:rFonts w:eastAsia="Times New Roman" w:cs="Times New Roman"/>
                <w:color w:val="000000" w:themeColor="text1"/>
                <w14:textFill>
                  <w14:solidFill>
                    <w14:schemeClr w14:val="tx1"/>
                  </w14:solidFill>
                </w14:textFill>
              </w:rPr>
              <w:t>磨接头</w:t>
            </w:r>
          </w:p>
        </w:tc>
        <w:tc>
          <w:tcPr>
            <w:tcW w:w="1149"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防磨接头（只）</w:t>
            </w:r>
          </w:p>
        </w:tc>
        <w:tc>
          <w:tcPr>
            <w:tcW w:w="60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554"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45</w:t>
            </w:r>
          </w:p>
        </w:tc>
        <w:tc>
          <w:tcPr>
            <w:tcW w:w="64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30</w:t>
            </w:r>
          </w:p>
        </w:tc>
        <w:tc>
          <w:tcPr>
            <w:tcW w:w="603"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6" w:type="pct"/>
            <w:vMerge w:val="restart"/>
            <w:tcBorders>
              <w:top w:val="single" w:color="auto" w:sz="6" w:space="0"/>
              <w:left w:val="single" w:color="auto" w:sz="8"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hint="eastAsia" w:ascii="宋体" w:hAnsi="宋体" w:eastAsia="Times New Roman" w:cs="宋体"/>
                <w:color w:val="000000" w:themeColor="text1"/>
                <w14:textFill>
                  <w14:solidFill>
                    <w14:schemeClr w14:val="tx1"/>
                  </w14:solidFill>
                </w14:textFill>
              </w:rPr>
              <w:t>套</w:t>
            </w:r>
            <w:r>
              <w:rPr>
                <w:rFonts w:eastAsia="Times New Roman" w:cs="Times New Roman"/>
                <w:color w:val="000000" w:themeColor="text1"/>
                <w14:textFill>
                  <w14:solidFill>
                    <w14:schemeClr w14:val="tx1"/>
                  </w14:solidFill>
                </w14:textFill>
              </w:rPr>
              <w:t>管</w:t>
            </w:r>
          </w:p>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扶正器</w:t>
            </w:r>
          </w:p>
        </w:tc>
        <w:tc>
          <w:tcPr>
            <w:tcW w:w="1149"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弹性扶正器（只）</w:t>
            </w:r>
          </w:p>
        </w:tc>
        <w:tc>
          <w:tcPr>
            <w:tcW w:w="60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554"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64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65</w:t>
            </w:r>
          </w:p>
        </w:tc>
        <w:tc>
          <w:tcPr>
            <w:tcW w:w="603"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15</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6" w:type="pct"/>
            <w:vMerge w:val="continue"/>
            <w:tcBorders>
              <w:top w:val="single" w:color="auto" w:sz="6" w:space="0"/>
              <w:left w:val="single" w:color="auto" w:sz="8"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p>
        </w:tc>
        <w:tc>
          <w:tcPr>
            <w:tcW w:w="1149"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整体式扶正器（只）</w:t>
            </w:r>
          </w:p>
        </w:tc>
        <w:tc>
          <w:tcPr>
            <w:tcW w:w="60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554"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640"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603" w:type="pct"/>
            <w:tcBorders>
              <w:top w:val="single" w:color="auto" w:sz="6" w:space="0"/>
              <w:bottom w:val="single" w:color="auto" w:sz="6"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20</w:t>
            </w:r>
          </w:p>
        </w:tc>
        <w:tc>
          <w:tcPr>
            <w:tcW w:w="558" w:type="pct"/>
            <w:tcBorders>
              <w:top w:val="single" w:color="auto" w:sz="6" w:space="0"/>
              <w:bottom w:val="single" w:color="auto" w:sz="6"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76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6" w:type="pct"/>
            <w:vMerge w:val="continue"/>
            <w:tcBorders>
              <w:top w:val="single" w:color="auto" w:sz="6" w:space="0"/>
              <w:left w:val="single" w:color="auto" w:sz="8" w:space="0"/>
              <w:bottom w:val="single" w:color="auto" w:sz="8" w:space="0"/>
            </w:tcBorders>
            <w:vAlign w:val="center"/>
          </w:tcPr>
          <w:p>
            <w:pPr>
              <w:pStyle w:val="594"/>
              <w:rPr>
                <w:rFonts w:eastAsia="Times New Roman" w:cs="Times New Roman"/>
                <w:color w:val="000000" w:themeColor="text1"/>
                <w14:textFill>
                  <w14:solidFill>
                    <w14:schemeClr w14:val="tx1"/>
                  </w14:solidFill>
                </w14:textFill>
              </w:rPr>
            </w:pPr>
          </w:p>
        </w:tc>
        <w:tc>
          <w:tcPr>
            <w:tcW w:w="1149" w:type="pct"/>
            <w:tcBorders>
              <w:top w:val="single" w:color="auto" w:sz="6" w:space="0"/>
              <w:bottom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滚珠刚性扶正器（只）</w:t>
            </w:r>
          </w:p>
        </w:tc>
        <w:tc>
          <w:tcPr>
            <w:tcW w:w="600" w:type="pct"/>
            <w:tcBorders>
              <w:top w:val="single" w:color="auto" w:sz="6" w:space="0"/>
              <w:bottom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554" w:type="pct"/>
            <w:tcBorders>
              <w:top w:val="single" w:color="auto" w:sz="6" w:space="0"/>
              <w:bottom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640" w:type="pct"/>
            <w:tcBorders>
              <w:top w:val="single" w:color="auto" w:sz="6" w:space="0"/>
              <w:bottom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603" w:type="pct"/>
            <w:tcBorders>
              <w:top w:val="single" w:color="auto" w:sz="6" w:space="0"/>
              <w:bottom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45</w:t>
            </w:r>
          </w:p>
        </w:tc>
        <w:tc>
          <w:tcPr>
            <w:tcW w:w="558" w:type="pct"/>
            <w:tcBorders>
              <w:top w:val="single" w:color="auto" w:sz="6" w:space="0"/>
              <w:bottom w:val="single" w:color="auto" w:sz="8" w:space="0"/>
              <w:right w:val="single" w:color="auto" w:sz="8" w:space="0"/>
            </w:tcBorders>
            <w:vAlign w:val="center"/>
          </w:tcPr>
          <w:p>
            <w:pPr>
              <w:pStyle w:val="594"/>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r>
    </w:tbl>
    <w:p>
      <w:pPr>
        <w:autoSpaceDE w:val="0"/>
        <w:autoSpaceDN w:val="0"/>
        <w:ind w:firstLine="0" w:firstLineChars="0"/>
        <w:textAlignment w:val="baseline"/>
        <w:rPr>
          <w:rFonts w:eastAsia="仿宋" w:cs="Times New Roman"/>
          <w:color w:val="000000" w:themeColor="text1"/>
          <w:sz w:val="21"/>
          <w:szCs w:val="21"/>
          <w14:textFill>
            <w14:solidFill>
              <w14:schemeClr w14:val="tx1"/>
            </w14:solidFill>
          </w14:textFill>
        </w:rPr>
      </w:pPr>
      <w:r>
        <w:rPr>
          <w:rFonts w:eastAsia="仿宋" w:cs="Times New Roman"/>
          <w:color w:val="000000" w:themeColor="text1"/>
          <w:sz w:val="21"/>
          <w:szCs w:val="21"/>
          <w14:textFill>
            <w14:solidFill>
              <w14:schemeClr w14:val="tx1"/>
            </w14:solidFill>
          </w14:textFill>
        </w:rPr>
        <w:t>注：固井材料可根据实际情况进行调整，必须满足水泥浆性能要求和施工要求。</w:t>
      </w:r>
    </w:p>
    <w:p>
      <w:pPr>
        <w:autoSpaceDE w:val="0"/>
        <w:autoSpaceDN w:val="0"/>
        <w:ind w:firstLine="482"/>
        <w:textAlignment w:val="baseline"/>
        <w:rPr>
          <w:rFonts w:cs="Times New Roman"/>
          <w:b/>
          <w:bCs/>
          <w:color w:val="000000" w:themeColor="text1"/>
          <w:kern w:val="0"/>
          <w:szCs w:val="20"/>
          <w14:textFill>
            <w14:solidFill>
              <w14:schemeClr w14:val="tx1"/>
            </w14:solidFill>
          </w14:textFill>
        </w:rPr>
      </w:pPr>
      <w:r>
        <w:rPr>
          <w:rFonts w:cs="Times New Roman"/>
          <w:b/>
          <w:bCs/>
          <w:color w:val="000000" w:themeColor="text1"/>
          <w:kern w:val="0"/>
          <w:szCs w:val="20"/>
          <w14:textFill>
            <w14:solidFill>
              <w14:schemeClr w14:val="tx1"/>
            </w14:solidFill>
          </w14:textFill>
        </w:rPr>
        <w:t>（3）压裂作业材料消耗</w:t>
      </w:r>
    </w:p>
    <w:p>
      <w:pPr>
        <w:autoSpaceDE w:val="0"/>
        <w:autoSpaceDN w:val="0"/>
        <w:ind w:firstLine="480"/>
        <w:textAlignment w:val="baseline"/>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本项目酸化压裂使用酸液主要为盐酸、缓蚀剂、铁离子、KCl、降阻剂、防膨剂、稳定剂等按照比例组成，不含重金属。项目酸化压裂液均不在现场配制，由罐车拉运至井场，所有压裂液均储存在罐中。</w:t>
      </w:r>
    </w:p>
    <w:p>
      <w:pPr>
        <w:ind w:firstLine="480"/>
        <w:rPr>
          <w:rFonts w:cs="Times New Roman"/>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普光3011-6井采用“钻采一体化”投产模式，自上而下为井下安全阀+永久封隔器+悬挂封隔器+（投球滑套+分段封隔器）+压差滑套+隔断球座+浮鞋，永久封隔器以上4c类镍基合金材油管；永久封隔器及以下采用110SS油管。采用分三级酸化技术模式，对夹缝带三个断块实施分级酸化改造，设计总液量320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，其中前置酸60m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，清洁酸210 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，活性水50 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w:t>
      </w:r>
    </w:p>
    <w:p>
      <w:pPr>
        <w:pStyle w:val="5"/>
      </w:pPr>
      <w:r>
        <w:rPr>
          <w:rFonts w:hint="eastAsia"/>
        </w:rPr>
        <w:t>3.2.5.2</w:t>
      </w:r>
      <w:r>
        <w:t>试采期</w:t>
      </w:r>
    </w:p>
    <w:p>
      <w:pPr>
        <w:autoSpaceDE w:val="0"/>
        <w:autoSpaceDN w:val="0"/>
        <w:ind w:firstLine="480"/>
        <w:textAlignment w:val="baseline"/>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项目试采期为天然气的试采，控制系统消耗一定的电能，水套加热炉加热系统消耗一定的天然气，扩建1座试采站将产生生产用电，试采工程主要原辅材料消耗情况见下</w:t>
      </w:r>
      <w:r>
        <w:rPr>
          <w:rFonts w:cs="Times New Roman"/>
          <w:color w:val="000000" w:themeColor="text1"/>
          <w:szCs w:val="24"/>
          <w14:textFill>
            <w14:solidFill>
              <w14:schemeClr w14:val="tx1"/>
            </w14:solidFill>
          </w14:textFill>
        </w:rPr>
        <w:fldChar w:fldCharType="begin"/>
      </w:r>
      <w:r>
        <w:rPr>
          <w:rFonts w:cs="Times New Roman"/>
          <w:color w:val="000000" w:themeColor="text1"/>
          <w:szCs w:val="24"/>
          <w14:textFill>
            <w14:solidFill>
              <w14:schemeClr w14:val="tx1"/>
            </w14:solidFill>
          </w14:textFill>
        </w:rPr>
        <w:instrText xml:space="preserve"> REF _Ref142593390 \h  \* MERGEFORMAT </w:instrText>
      </w:r>
      <w:r>
        <w:rPr>
          <w:rFonts w:cs="Times New Roman"/>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表3.2</w:t>
      </w:r>
      <w:r>
        <w:rPr>
          <w:rFonts w:cs="Times New Roman"/>
          <w:color w:val="000000" w:themeColor="text1"/>
          <w:szCs w:val="24"/>
          <w14:textFill>
            <w14:solidFill>
              <w14:schemeClr w14:val="tx1"/>
            </w14:solidFill>
          </w14:textFill>
        </w:rPr>
        <w:fldChar w:fldCharType="end"/>
      </w:r>
      <w:r>
        <w:rPr>
          <w:rFonts w:cs="Times New Roman"/>
          <w:color w:val="000000" w:themeColor="text1"/>
          <w:szCs w:val="24"/>
          <w14:textFill>
            <w14:solidFill>
              <w14:schemeClr w14:val="tx1"/>
            </w14:solidFill>
          </w14:textFill>
        </w:rPr>
        <w:t>。</w:t>
      </w:r>
    </w:p>
    <w:p>
      <w:pPr>
        <w:pStyle w:val="95"/>
      </w:pPr>
      <w:bookmarkStart w:id="110" w:name="_Ref142593390"/>
      <w:r>
        <w:t>表</w:t>
      </w:r>
      <w:r>
        <w:fldChar w:fldCharType="begin"/>
      </w:r>
      <w:r>
        <w:instrText xml:space="preserve"> STYLEREF 2 \s </w:instrText>
      </w:r>
      <w:r>
        <w:fldChar w:fldCharType="separate"/>
      </w:r>
      <w:r>
        <w:t>3.2</w:t>
      </w:r>
      <w:r>
        <w:fldChar w:fldCharType="end"/>
      </w:r>
      <w:bookmarkEnd w:id="110"/>
      <w:r>
        <w:t>-17试采工程材料消耗一览表</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04"/>
        <w:gridCol w:w="992"/>
        <w:gridCol w:w="993"/>
        <w:gridCol w:w="1275"/>
        <w:gridCol w:w="1134"/>
        <w:gridCol w:w="31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94"/>
            </w:pPr>
            <w:r>
              <w:t>类别</w:t>
            </w:r>
          </w:p>
        </w:tc>
        <w:tc>
          <w:tcPr>
            <w:tcW w:w="992" w:type="dxa"/>
            <w:vAlign w:val="center"/>
          </w:tcPr>
          <w:p>
            <w:pPr>
              <w:pStyle w:val="294"/>
            </w:pPr>
            <w:r>
              <w:t>序号</w:t>
            </w:r>
          </w:p>
        </w:tc>
        <w:tc>
          <w:tcPr>
            <w:tcW w:w="993" w:type="dxa"/>
            <w:vAlign w:val="center"/>
          </w:tcPr>
          <w:p>
            <w:pPr>
              <w:pStyle w:val="294"/>
            </w:pPr>
            <w:r>
              <w:t>名称</w:t>
            </w:r>
          </w:p>
        </w:tc>
        <w:tc>
          <w:tcPr>
            <w:tcW w:w="1275" w:type="dxa"/>
            <w:vAlign w:val="center"/>
          </w:tcPr>
          <w:p>
            <w:pPr>
              <w:pStyle w:val="294"/>
            </w:pPr>
            <w:r>
              <w:t>单位</w:t>
            </w:r>
          </w:p>
        </w:tc>
        <w:tc>
          <w:tcPr>
            <w:tcW w:w="1134" w:type="dxa"/>
            <w:vAlign w:val="center"/>
          </w:tcPr>
          <w:p>
            <w:pPr>
              <w:pStyle w:val="294"/>
            </w:pPr>
            <w:r>
              <w:t>数量</w:t>
            </w:r>
          </w:p>
        </w:tc>
        <w:tc>
          <w:tcPr>
            <w:tcW w:w="3124" w:type="dxa"/>
            <w:vAlign w:val="center"/>
          </w:tcPr>
          <w:p>
            <w:pPr>
              <w:pStyle w:val="294"/>
            </w:pPr>
            <w: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94"/>
            </w:pPr>
            <w:r>
              <w:t>能源</w:t>
            </w:r>
          </w:p>
        </w:tc>
        <w:tc>
          <w:tcPr>
            <w:tcW w:w="992" w:type="dxa"/>
            <w:vAlign w:val="center"/>
          </w:tcPr>
          <w:p>
            <w:pPr>
              <w:pStyle w:val="294"/>
            </w:pPr>
            <w:r>
              <w:t>1</w:t>
            </w:r>
          </w:p>
        </w:tc>
        <w:tc>
          <w:tcPr>
            <w:tcW w:w="993" w:type="dxa"/>
            <w:vAlign w:val="center"/>
          </w:tcPr>
          <w:p>
            <w:pPr>
              <w:pStyle w:val="294"/>
            </w:pPr>
            <w:r>
              <w:t>电</w:t>
            </w:r>
          </w:p>
        </w:tc>
        <w:tc>
          <w:tcPr>
            <w:tcW w:w="1275" w:type="dxa"/>
            <w:vAlign w:val="center"/>
          </w:tcPr>
          <w:p>
            <w:pPr>
              <w:pStyle w:val="294"/>
            </w:pPr>
            <w:r>
              <w:t>万kw·h/a</w:t>
            </w:r>
          </w:p>
        </w:tc>
        <w:tc>
          <w:tcPr>
            <w:tcW w:w="1134" w:type="dxa"/>
            <w:vAlign w:val="center"/>
          </w:tcPr>
          <w:p>
            <w:pPr>
              <w:pStyle w:val="294"/>
            </w:pPr>
            <w:r>
              <w:t>15</w:t>
            </w:r>
          </w:p>
        </w:tc>
        <w:tc>
          <w:tcPr>
            <w:tcW w:w="3124" w:type="dxa"/>
            <w:vAlign w:val="center"/>
          </w:tcPr>
          <w:p>
            <w:pPr>
              <w:pStyle w:val="294"/>
            </w:pPr>
            <w:r>
              <w:t>当地电网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94"/>
            </w:pPr>
            <w:r>
              <w:t>耗材</w:t>
            </w:r>
          </w:p>
        </w:tc>
        <w:tc>
          <w:tcPr>
            <w:tcW w:w="992" w:type="dxa"/>
            <w:vAlign w:val="center"/>
          </w:tcPr>
          <w:p>
            <w:pPr>
              <w:pStyle w:val="294"/>
            </w:pPr>
            <w:r>
              <w:t>2</w:t>
            </w:r>
          </w:p>
        </w:tc>
        <w:tc>
          <w:tcPr>
            <w:tcW w:w="993" w:type="dxa"/>
            <w:vAlign w:val="center"/>
          </w:tcPr>
          <w:p>
            <w:pPr>
              <w:pStyle w:val="294"/>
            </w:pPr>
            <w:r>
              <w:t>管材</w:t>
            </w:r>
          </w:p>
        </w:tc>
        <w:tc>
          <w:tcPr>
            <w:tcW w:w="1275" w:type="dxa"/>
            <w:vAlign w:val="center"/>
          </w:tcPr>
          <w:p>
            <w:pPr>
              <w:pStyle w:val="294"/>
            </w:pPr>
            <w:r>
              <w:t>m</w:t>
            </w:r>
          </w:p>
        </w:tc>
        <w:tc>
          <w:tcPr>
            <w:tcW w:w="1134" w:type="dxa"/>
            <w:vAlign w:val="center"/>
          </w:tcPr>
          <w:p>
            <w:pPr>
              <w:pStyle w:val="294"/>
            </w:pPr>
            <w:r>
              <w:t>100</w:t>
            </w:r>
          </w:p>
        </w:tc>
        <w:tc>
          <w:tcPr>
            <w:tcW w:w="3124" w:type="dxa"/>
            <w:vAlign w:val="center"/>
          </w:tcPr>
          <w:p>
            <w:pPr>
              <w:pStyle w:val="294"/>
            </w:pPr>
            <w:r>
              <w:t>采气站站内管道约100m</w:t>
            </w:r>
          </w:p>
        </w:tc>
      </w:tr>
    </w:tbl>
    <w:p>
      <w:pPr>
        <w:pStyle w:val="4"/>
        <w:ind w:firstLine="241"/>
        <w:rPr>
          <w:b w:val="0"/>
        </w:rPr>
      </w:pPr>
      <w:bookmarkStart w:id="111" w:name="_bookmark19"/>
      <w:bookmarkEnd w:id="111"/>
      <w:bookmarkStart w:id="112" w:name="3.3建设项目环境影响因素分析"/>
      <w:bookmarkEnd w:id="112"/>
      <w:bookmarkStart w:id="113" w:name="_Toc120173104"/>
      <w:r>
        <w:rPr>
          <w:rFonts w:hint="eastAsia"/>
        </w:rPr>
        <w:t>3.2.6</w:t>
      </w:r>
      <w:r>
        <w:t>项目给排水及供电</w:t>
      </w:r>
      <w:bookmarkEnd w:id="113"/>
    </w:p>
    <w:p>
      <w:pPr>
        <w:pStyle w:val="21"/>
        <w:spacing w:before="0"/>
        <w:ind w:left="0" w:firstLine="480"/>
        <w:jc w:val="both"/>
        <w:rPr>
          <w:rFonts w:ascii="Times New Roman" w:hAnsi="Times New Roman" w:eastAsia="黑体"/>
          <w:color w:val="000000" w:themeColor="text1"/>
          <w:lang w:eastAsia="zh-CN"/>
          <w14:textFill>
            <w14:solidFill>
              <w14:schemeClr w14:val="tx1"/>
            </w14:solidFill>
          </w14:textFill>
        </w:rPr>
      </w:pPr>
      <w:r>
        <w:rPr>
          <w:rFonts w:ascii="Times New Roman" w:hAnsi="Times New Roman" w:eastAsia="黑体"/>
          <w:color w:val="000000" w:themeColor="text1"/>
          <w:lang w:eastAsia="zh-CN"/>
          <w14:textFill>
            <w14:solidFill>
              <w14:schemeClr w14:val="tx1"/>
            </w14:solidFill>
          </w14:textFill>
        </w:rPr>
        <w:t>1、项目给水</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本项目施工期的生产用水就近采用周边地表水（可从后河罐车拉运或水泵抽取），生活用水车辆拉运桶装水至场地</w:t>
      </w:r>
      <w:bookmarkStart w:id="114" w:name="_Hlk91062915"/>
      <w:r>
        <w:rPr>
          <w:rFonts w:ascii="Times New Roman" w:hAnsi="Times New Roman"/>
          <w:color w:val="000000" w:themeColor="text1"/>
          <w:lang w:eastAsia="zh-CN"/>
          <w14:textFill>
            <w14:solidFill>
              <w14:schemeClr w14:val="tx1"/>
            </w14:solidFill>
          </w14:textFill>
        </w:rPr>
        <w:t>。试采期用水为车辆拉运</w:t>
      </w:r>
      <w:r>
        <w:rPr>
          <w:rFonts w:ascii="Times New Roman" w:hAnsi="Times New Roman"/>
          <w:color w:val="000000" w:themeColor="text1"/>
          <w:kern w:val="28"/>
          <w:szCs w:val="21"/>
          <w:lang w:eastAsia="zh-CN"/>
          <w14:textFill>
            <w14:solidFill>
              <w14:schemeClr w14:val="tx1"/>
            </w14:solidFill>
          </w14:textFill>
        </w:rPr>
        <w:t>桶装水至场地</w:t>
      </w:r>
      <w:r>
        <w:rPr>
          <w:rFonts w:ascii="Times New Roman" w:hAnsi="Times New Roman"/>
          <w:color w:val="000000" w:themeColor="text1"/>
          <w:lang w:eastAsia="zh-CN"/>
          <w14:textFill>
            <w14:solidFill>
              <w14:schemeClr w14:val="tx1"/>
            </w14:solidFill>
          </w14:textFill>
        </w:rPr>
        <w:t>。</w:t>
      </w:r>
      <w:bookmarkEnd w:id="114"/>
    </w:p>
    <w:p>
      <w:pPr>
        <w:pStyle w:val="21"/>
        <w:spacing w:before="0"/>
        <w:ind w:left="0" w:firstLine="480"/>
        <w:jc w:val="both"/>
        <w:rPr>
          <w:rFonts w:ascii="Times New Roman" w:hAnsi="Times New Roman" w:eastAsia="黑体"/>
          <w:color w:val="000000" w:themeColor="text1"/>
          <w:lang w:eastAsia="zh-CN"/>
          <w14:textFill>
            <w14:solidFill>
              <w14:schemeClr w14:val="tx1"/>
            </w14:solidFill>
          </w14:textFill>
        </w:rPr>
      </w:pPr>
      <w:r>
        <w:rPr>
          <w:rFonts w:ascii="Times New Roman" w:hAnsi="Times New Roman" w:eastAsia="黑体"/>
          <w:color w:val="000000" w:themeColor="text1"/>
          <w:lang w:eastAsia="zh-CN"/>
          <w14:textFill>
            <w14:solidFill>
              <w14:schemeClr w14:val="tx1"/>
            </w14:solidFill>
          </w14:textFill>
        </w:rPr>
        <w:t>2、项目排水</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本项目井场排水采用雨污分流，井场四周设置排水沟，并设置集水坑，场内雨水通过场内排水沟和集水坑隔油收集后，初期雨水、井口方井内收集的雨水通过泵提升至泥浆不落地区域暂存，与钻井废水合并处理，后期雨水散排至附近沟渠。若场内雨水被污染流入外环沟，则需封闭外环沟由作业队伍从集水坑抽汲至废水罐或放喷池。</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经固液分离后的钻井液满足要求的全部在钻井过程中回用，剩余部分和设备冲洗废水、方井雨水、失效泥浆、岩屑等经泥浆不落地装置接收处理后形成钻井废水，部分回用于钻井过程，不可回用于钻井过程的钻井废水、洗井废水（固液分离的上清液）与压裂返排液一起通过密闭罐车拉运至赵家坝污水处理站达标后管输至普光11井回注站回注，不外排；</w:t>
      </w:r>
      <w:r>
        <w:rPr>
          <w:rFonts w:ascii="Times New Roman" w:hAnsi="Times New Roman"/>
          <w:bCs/>
          <w:color w:val="000000" w:themeColor="text1"/>
          <w:lang w:eastAsia="zh-CN"/>
          <w14:textFill>
            <w14:solidFill>
              <w14:schemeClr w14:val="tx1"/>
            </w14:solidFill>
          </w14:textFill>
        </w:rPr>
        <w:t>生活污水依托站场已建的厕所收集，</w:t>
      </w:r>
      <w:r>
        <w:rPr>
          <w:rFonts w:ascii="Times New Roman" w:hAnsi="Times New Roman"/>
          <w:lang w:eastAsia="zh-CN"/>
        </w:rPr>
        <w:t>定期由密闭罐车拉运至周边生活污水处理厂处理。</w:t>
      </w:r>
      <w:r>
        <w:rPr>
          <w:rFonts w:ascii="Times New Roman" w:hAnsi="Times New Roman"/>
          <w:color w:val="000000" w:themeColor="text1"/>
          <w:lang w:eastAsia="zh-CN"/>
          <w14:textFill>
            <w14:solidFill>
              <w14:schemeClr w14:val="tx1"/>
            </w14:solidFill>
          </w14:textFill>
        </w:rPr>
        <w:t>在井场主要设备基础周边均设置了环状污水沟，用于收集可能产生的污水及雨季时雨水淋滤水，这部分废水通过连接处的集污坑隔油沉淀后最终汇入废水接收罐，接收罐及排污沟围堰上边缘均要高出井场20cm左右，确保污水不进入雨水排水系统，也防止雨水进入污水系统增加废水量。项目天然气试采产生的采气废水（气田水）用火炬分液罐收集暂存，暂存一定量后密闭罐车运至赵家坝污水处理站处理达到《气田水回注方法》（SY/T 6596-2016）中注入水基本要求后管输至普光11井回注站回注处理，不外排。</w:t>
      </w:r>
    </w:p>
    <w:p>
      <w:pPr>
        <w:pStyle w:val="21"/>
        <w:spacing w:before="0"/>
        <w:ind w:left="0" w:firstLine="480"/>
        <w:jc w:val="both"/>
        <w:rPr>
          <w:rFonts w:ascii="Times New Roman" w:hAnsi="Times New Roman" w:eastAsia="黑体"/>
          <w:color w:val="000000" w:themeColor="text1"/>
          <w:lang w:eastAsia="zh-CN"/>
          <w14:textFill>
            <w14:solidFill>
              <w14:schemeClr w14:val="tx1"/>
            </w14:solidFill>
          </w14:textFill>
        </w:rPr>
      </w:pPr>
      <w:r>
        <w:rPr>
          <w:rFonts w:ascii="Times New Roman" w:hAnsi="Times New Roman" w:eastAsia="黑体"/>
          <w:color w:val="000000" w:themeColor="text1"/>
          <w:lang w:eastAsia="zh-CN"/>
          <w14:textFill>
            <w14:solidFill>
              <w14:schemeClr w14:val="tx1"/>
            </w14:solidFill>
          </w14:textFill>
        </w:rPr>
        <w:t>3、项目供电</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项目施工期用电优先采用电网接入，在停电等紧急情况下则启用备用柴油发电机组供电。项目试采期，场站内的控制系统计量系统用电等均由地方电网供给。</w:t>
      </w:r>
    </w:p>
    <w:p>
      <w:pPr>
        <w:pStyle w:val="4"/>
        <w:ind w:firstLine="241"/>
        <w:rPr>
          <w:b w:val="0"/>
        </w:rPr>
      </w:pPr>
      <w:bookmarkStart w:id="115" w:name="_Toc120173105"/>
      <w:r>
        <w:rPr>
          <w:rFonts w:hint="eastAsia"/>
        </w:rPr>
        <w:t>3.2.7</w:t>
      </w:r>
      <w:r>
        <w:t>工程占地及土石方平衡</w:t>
      </w:r>
      <w:bookmarkEnd w:id="115"/>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本项目为新建，主要建设内容为新建井场、进场道路、利旧修复放喷池、清水池等。工程占地及土石方情况如下。</w:t>
      </w:r>
    </w:p>
    <w:p>
      <w:pPr>
        <w:pStyle w:val="21"/>
        <w:spacing w:before="0"/>
        <w:ind w:left="0" w:firstLine="480"/>
        <w:jc w:val="both"/>
        <w:rPr>
          <w:rFonts w:ascii="Times New Roman" w:hAnsi="Times New Roman" w:eastAsia="黑体"/>
          <w:color w:val="000000" w:themeColor="text1"/>
          <w:lang w:eastAsia="zh-CN"/>
          <w14:textFill>
            <w14:solidFill>
              <w14:schemeClr w14:val="tx1"/>
            </w14:solidFill>
          </w14:textFill>
        </w:rPr>
      </w:pPr>
      <w:r>
        <w:rPr>
          <w:rFonts w:ascii="Times New Roman" w:hAnsi="Times New Roman" w:eastAsia="黑体"/>
          <w:color w:val="000000" w:themeColor="text1"/>
          <w:lang w:eastAsia="zh-CN"/>
          <w14:textFill>
            <w14:solidFill>
              <w14:schemeClr w14:val="tx1"/>
            </w14:solidFill>
          </w14:textFill>
        </w:rPr>
        <w:t>1、工程占地</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拟建工程用新增占地约12593m</w:t>
      </w:r>
      <w:r>
        <w:rPr>
          <w:rFonts w:ascii="Times New Roman" w:hAnsi="Times New Roman"/>
          <w:color w:val="000000" w:themeColor="text1"/>
          <w:vertAlign w:val="superscript"/>
          <w:lang w:eastAsia="zh-CN"/>
          <w14:textFill>
            <w14:solidFill>
              <w14:schemeClr w14:val="tx1"/>
            </w14:solidFill>
          </w14:textFill>
        </w:rPr>
        <w:t>2</w:t>
      </w:r>
      <w:r>
        <w:rPr>
          <w:rFonts w:ascii="Times New Roman" w:hAnsi="Times New Roman"/>
          <w:color w:val="000000" w:themeColor="text1"/>
          <w:lang w:eastAsia="zh-CN"/>
          <w14:textFill>
            <w14:solidFill>
              <w14:schemeClr w14:val="tx1"/>
            </w14:solidFill>
          </w14:textFill>
        </w:rPr>
        <w:t>，其中长期临时占地为采气站扩建区域，面积合计约581m</w:t>
      </w:r>
      <w:r>
        <w:rPr>
          <w:rFonts w:ascii="Times New Roman" w:hAnsi="Times New Roman"/>
          <w:color w:val="000000" w:themeColor="text1"/>
          <w:vertAlign w:val="superscript"/>
          <w:lang w:eastAsia="zh-CN"/>
          <w14:textFill>
            <w14:solidFill>
              <w14:schemeClr w14:val="tx1"/>
            </w14:solidFill>
          </w14:textFill>
        </w:rPr>
        <w:t>2</w:t>
      </w:r>
      <w:r>
        <w:rPr>
          <w:rFonts w:ascii="Times New Roman" w:hAnsi="Times New Roman"/>
          <w:color w:val="000000" w:themeColor="text1"/>
          <w:lang w:eastAsia="zh-CN"/>
          <w14:textFill>
            <w14:solidFill>
              <w14:schemeClr w14:val="tx1"/>
            </w14:solidFill>
          </w14:textFill>
        </w:rPr>
        <w:t>；短期临时占地包括井场施工区域、井场边坡防护、施工期临时道路、表土堆放、施工营地等，面积约为12012m</w:t>
      </w:r>
      <w:r>
        <w:rPr>
          <w:rFonts w:ascii="Times New Roman" w:hAnsi="Times New Roman"/>
          <w:color w:val="000000" w:themeColor="text1"/>
          <w:vertAlign w:val="superscript"/>
          <w:lang w:eastAsia="zh-CN"/>
          <w14:textFill>
            <w14:solidFill>
              <w14:schemeClr w14:val="tx1"/>
            </w14:solidFill>
          </w14:textFill>
        </w:rPr>
        <w:t>2</w:t>
      </w:r>
      <w:r>
        <w:rPr>
          <w:rFonts w:ascii="Times New Roman" w:hAnsi="Times New Roman"/>
          <w:color w:val="000000" w:themeColor="text1"/>
          <w:lang w:eastAsia="zh-CN"/>
          <w14:textFill>
            <w14:solidFill>
              <w14:schemeClr w14:val="tx1"/>
            </w14:solidFill>
          </w14:textFill>
        </w:rPr>
        <w:t>。</w:t>
      </w:r>
      <w:r>
        <w:rPr>
          <w:rFonts w:ascii="Times New Roman" w:hAnsi="Times New Roman"/>
          <w:bCs/>
          <w:color w:val="000000" w:themeColor="text1"/>
          <w:lang w:eastAsia="zh-CN"/>
          <w14:textFill>
            <w14:solidFill>
              <w14:schemeClr w14:val="tx1"/>
            </w14:solidFill>
          </w14:textFill>
        </w:rPr>
        <w:t>主要占用林地和耕地</w:t>
      </w:r>
      <w:r>
        <w:rPr>
          <w:rFonts w:ascii="Times New Roman" w:hAnsi="Times New Roman"/>
          <w:color w:val="000000" w:themeColor="text1"/>
          <w:lang w:eastAsia="zh-CN"/>
          <w14:textFill>
            <w14:solidFill>
              <w14:schemeClr w14:val="tx1"/>
            </w14:solidFill>
          </w14:textFill>
        </w:rPr>
        <w:t>，本项目不涉及天然林、公益林等占用。工程的具体占地情况见</w:t>
      </w:r>
      <w:r>
        <w:rPr>
          <w:rFonts w:ascii="Times New Roman" w:hAnsi="Times New Roman"/>
          <w:color w:val="000000" w:themeColor="text1"/>
          <w:lang w:eastAsia="zh-CN"/>
          <w14:textFill>
            <w14:solidFill>
              <w14:schemeClr w14:val="tx1"/>
            </w14:solidFill>
          </w14:textFill>
        </w:rPr>
        <w:fldChar w:fldCharType="begin"/>
      </w:r>
      <w:r>
        <w:rPr>
          <w:rFonts w:ascii="Times New Roman" w:hAnsi="Times New Roman"/>
          <w:color w:val="000000" w:themeColor="text1"/>
          <w:lang w:eastAsia="zh-CN"/>
          <w14:textFill>
            <w14:solidFill>
              <w14:schemeClr w14:val="tx1"/>
            </w14:solidFill>
          </w14:textFill>
        </w:rPr>
        <w:instrText xml:space="preserve"> REF _Ref142593399 \h  \* MERGEFORMAT </w:instrText>
      </w:r>
      <w:r>
        <w:rPr>
          <w:rFonts w:ascii="Times New Roman" w:hAnsi="Times New Roman"/>
          <w:color w:val="000000" w:themeColor="text1"/>
          <w:lang w:eastAsia="zh-CN"/>
          <w14:textFill>
            <w14:solidFill>
              <w14:schemeClr w14:val="tx1"/>
            </w14:solidFill>
          </w14:textFill>
        </w:rPr>
        <w:fldChar w:fldCharType="separate"/>
      </w:r>
      <w:r>
        <w:rPr>
          <w:rFonts w:ascii="Times New Roman" w:hAnsi="Times New Roman"/>
          <w:color w:val="000000" w:themeColor="text1"/>
          <w:lang w:eastAsia="zh-CN"/>
          <w14:textFill>
            <w14:solidFill>
              <w14:schemeClr w14:val="tx1"/>
            </w14:solidFill>
          </w14:textFill>
        </w:rPr>
        <w:t>表3.2</w:t>
      </w:r>
      <w:r>
        <w:rPr>
          <w:rFonts w:ascii="Times New Roman" w:hAnsi="Times New Roman"/>
          <w:color w:val="000000" w:themeColor="text1"/>
          <w:lang w:eastAsia="zh-CN"/>
          <w14:textFill>
            <w14:solidFill>
              <w14:schemeClr w14:val="tx1"/>
            </w14:solidFill>
          </w14:textFill>
        </w:rPr>
        <w:noBreakHyphen/>
      </w:r>
      <w:r>
        <w:rPr>
          <w:rFonts w:ascii="Times New Roman" w:hAnsi="Times New Roman"/>
          <w:color w:val="000000" w:themeColor="text1"/>
          <w:lang w:eastAsia="zh-CN"/>
          <w14:textFill>
            <w14:solidFill>
              <w14:schemeClr w14:val="tx1"/>
            </w14:solidFill>
          </w14:textFill>
        </w:rPr>
        <w:fldChar w:fldCharType="end"/>
      </w:r>
      <w:r>
        <w:rPr>
          <w:rFonts w:ascii="Times New Roman" w:hAnsi="Times New Roman"/>
          <w:color w:val="000000" w:themeColor="text1"/>
          <w:lang w:eastAsia="zh-CN"/>
          <w14:textFill>
            <w14:solidFill>
              <w14:schemeClr w14:val="tx1"/>
            </w14:solidFill>
          </w14:textFill>
        </w:rPr>
        <w:t>。</w:t>
      </w:r>
    </w:p>
    <w:p>
      <w:pPr>
        <w:pStyle w:val="95"/>
      </w:pPr>
      <w:bookmarkStart w:id="116" w:name="_Ref142593399"/>
      <w:r>
        <w:t>表</w:t>
      </w:r>
      <w:r>
        <w:fldChar w:fldCharType="begin"/>
      </w:r>
      <w:r>
        <w:instrText xml:space="preserve"> STYLEREF 2 \s </w:instrText>
      </w:r>
      <w:r>
        <w:fldChar w:fldCharType="separate"/>
      </w:r>
      <w:r>
        <w:t>3.2</w:t>
      </w:r>
      <w:r>
        <w:fldChar w:fldCharType="end"/>
      </w:r>
      <w:r>
        <w:noBreakHyphen/>
      </w:r>
      <w:bookmarkEnd w:id="116"/>
      <w:r>
        <w:t>18  工程</w:t>
      </w:r>
      <w:r>
        <w:rPr>
          <w:rFonts w:hint="eastAsia"/>
        </w:rPr>
        <w:t>新增</w:t>
      </w:r>
      <w:r>
        <w:t>占地类型一览表   单位：m</w:t>
      </w:r>
      <w:r>
        <w:rPr>
          <w:vertAlign w:val="superscript"/>
        </w:rPr>
        <w:t>2</w:t>
      </w:r>
    </w:p>
    <w:tbl>
      <w:tblPr>
        <w:tblStyle w:val="52"/>
        <w:tblW w:w="88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55"/>
        <w:gridCol w:w="1270"/>
        <w:gridCol w:w="993"/>
        <w:gridCol w:w="1958"/>
        <w:gridCol w:w="1275"/>
        <w:gridCol w:w="17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1555" w:type="dxa"/>
            <w:vMerge w:val="restart"/>
            <w:tcBorders>
              <w:top w:val="single" w:color="auto" w:sz="8" w:space="0"/>
              <w:left w:val="single" w:color="auto" w:sz="8" w:space="0"/>
              <w:bottom w:val="single" w:color="auto" w:sz="4" w:space="0"/>
            </w:tcBorders>
            <w:vAlign w:val="center"/>
          </w:tcPr>
          <w:p>
            <w:pPr>
              <w:pStyle w:val="294"/>
            </w:pPr>
            <w:r>
              <w:t>项目组成</w:t>
            </w:r>
          </w:p>
        </w:tc>
        <w:tc>
          <w:tcPr>
            <w:tcW w:w="4221" w:type="dxa"/>
            <w:gridSpan w:val="3"/>
            <w:tcBorders>
              <w:top w:val="single" w:color="auto" w:sz="8" w:space="0"/>
              <w:bottom w:val="single" w:color="auto" w:sz="4" w:space="0"/>
            </w:tcBorders>
            <w:vAlign w:val="center"/>
          </w:tcPr>
          <w:p>
            <w:pPr>
              <w:pStyle w:val="294"/>
            </w:pPr>
            <w:r>
              <w:t>占地类型</w:t>
            </w:r>
          </w:p>
        </w:tc>
        <w:tc>
          <w:tcPr>
            <w:tcW w:w="1275" w:type="dxa"/>
            <w:vMerge w:val="restart"/>
            <w:tcBorders>
              <w:top w:val="single" w:color="auto" w:sz="8" w:space="0"/>
              <w:bottom w:val="single" w:color="auto" w:sz="4" w:space="0"/>
            </w:tcBorders>
            <w:vAlign w:val="center"/>
          </w:tcPr>
          <w:p>
            <w:pPr>
              <w:pStyle w:val="294"/>
            </w:pPr>
            <w:r>
              <w:t>合计</w:t>
            </w:r>
          </w:p>
        </w:tc>
        <w:tc>
          <w:tcPr>
            <w:tcW w:w="1753" w:type="dxa"/>
            <w:vMerge w:val="restart"/>
            <w:tcBorders>
              <w:top w:val="single" w:color="auto" w:sz="8" w:space="0"/>
              <w:bottom w:val="single" w:color="auto" w:sz="4" w:space="0"/>
              <w:right w:val="single" w:color="auto" w:sz="8" w:space="0"/>
            </w:tcBorders>
            <w:vAlign w:val="center"/>
          </w:tcPr>
          <w:p>
            <w:pPr>
              <w:pStyle w:val="294"/>
            </w:pPr>
            <w:r>
              <w:t>占地性质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555" w:type="dxa"/>
            <w:vMerge w:val="continue"/>
            <w:tcBorders>
              <w:top w:val="single" w:color="auto" w:sz="4" w:space="0"/>
              <w:left w:val="single" w:color="auto" w:sz="8" w:space="0"/>
              <w:bottom w:val="single" w:color="auto" w:sz="4" w:space="0"/>
            </w:tcBorders>
            <w:vAlign w:val="center"/>
          </w:tcPr>
          <w:p>
            <w:pPr>
              <w:pStyle w:val="294"/>
            </w:pPr>
          </w:p>
        </w:tc>
        <w:tc>
          <w:tcPr>
            <w:tcW w:w="1270" w:type="dxa"/>
            <w:tcBorders>
              <w:top w:val="single" w:color="auto" w:sz="4" w:space="0"/>
              <w:bottom w:val="single" w:color="auto" w:sz="4" w:space="0"/>
            </w:tcBorders>
            <w:vAlign w:val="center"/>
          </w:tcPr>
          <w:p>
            <w:pPr>
              <w:pStyle w:val="294"/>
            </w:pPr>
            <w:r>
              <w:t>林地</w:t>
            </w:r>
          </w:p>
        </w:tc>
        <w:tc>
          <w:tcPr>
            <w:tcW w:w="993" w:type="dxa"/>
            <w:tcBorders>
              <w:top w:val="single" w:color="auto" w:sz="4" w:space="0"/>
              <w:bottom w:val="single" w:color="auto" w:sz="4" w:space="0"/>
            </w:tcBorders>
            <w:vAlign w:val="center"/>
          </w:tcPr>
          <w:p>
            <w:pPr>
              <w:pStyle w:val="294"/>
            </w:pPr>
            <w:r>
              <w:t>耕地</w:t>
            </w:r>
          </w:p>
        </w:tc>
        <w:tc>
          <w:tcPr>
            <w:tcW w:w="1958" w:type="dxa"/>
            <w:tcBorders>
              <w:top w:val="single" w:color="auto" w:sz="4" w:space="0"/>
              <w:bottom w:val="single" w:color="auto" w:sz="4" w:space="0"/>
            </w:tcBorders>
            <w:vAlign w:val="center"/>
          </w:tcPr>
          <w:p>
            <w:pPr>
              <w:pStyle w:val="294"/>
            </w:pPr>
            <w:r>
              <w:t>其他</w:t>
            </w:r>
            <w:r>
              <w:rPr>
                <w:rFonts w:hint="eastAsia"/>
              </w:rPr>
              <w:t>（工况用地）</w:t>
            </w:r>
          </w:p>
        </w:tc>
        <w:tc>
          <w:tcPr>
            <w:tcW w:w="1275" w:type="dxa"/>
            <w:vMerge w:val="continue"/>
            <w:tcBorders>
              <w:top w:val="single" w:color="auto" w:sz="4" w:space="0"/>
              <w:bottom w:val="single" w:color="auto" w:sz="4" w:space="0"/>
            </w:tcBorders>
            <w:vAlign w:val="center"/>
          </w:tcPr>
          <w:p>
            <w:pPr>
              <w:pStyle w:val="294"/>
            </w:pPr>
          </w:p>
        </w:tc>
        <w:tc>
          <w:tcPr>
            <w:tcW w:w="1753" w:type="dxa"/>
            <w:vMerge w:val="continue"/>
            <w:tcBorders>
              <w:top w:val="single" w:color="auto" w:sz="4" w:space="0"/>
              <w:bottom w:val="single" w:color="auto" w:sz="4" w:space="0"/>
              <w:right w:val="single" w:color="auto" w:sz="8" w:space="0"/>
            </w:tcBorders>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555" w:type="dxa"/>
            <w:tcBorders>
              <w:top w:val="single" w:color="auto" w:sz="4" w:space="0"/>
              <w:left w:val="single" w:color="auto" w:sz="8" w:space="0"/>
              <w:bottom w:val="single" w:color="auto" w:sz="4" w:space="0"/>
            </w:tcBorders>
            <w:vAlign w:val="center"/>
          </w:tcPr>
          <w:p>
            <w:pPr>
              <w:pStyle w:val="294"/>
            </w:pPr>
            <w:r>
              <w:t>新建井场用地</w:t>
            </w:r>
          </w:p>
        </w:tc>
        <w:tc>
          <w:tcPr>
            <w:tcW w:w="1270" w:type="dxa"/>
            <w:tcBorders>
              <w:top w:val="single" w:color="auto" w:sz="4" w:space="0"/>
              <w:bottom w:val="single" w:color="auto" w:sz="4" w:space="0"/>
            </w:tcBorders>
            <w:vAlign w:val="center"/>
          </w:tcPr>
          <w:p>
            <w:pPr>
              <w:pStyle w:val="294"/>
            </w:pPr>
            <w:r>
              <w:t>239</w:t>
            </w:r>
          </w:p>
        </w:tc>
        <w:tc>
          <w:tcPr>
            <w:tcW w:w="993" w:type="dxa"/>
            <w:tcBorders>
              <w:top w:val="single" w:color="auto" w:sz="4" w:space="0"/>
              <w:bottom w:val="single" w:color="auto" w:sz="4" w:space="0"/>
            </w:tcBorders>
            <w:vAlign w:val="center"/>
          </w:tcPr>
          <w:p>
            <w:pPr>
              <w:pStyle w:val="294"/>
            </w:pPr>
            <w:r>
              <w:rPr>
                <w:rFonts w:hint="eastAsia"/>
              </w:rPr>
              <w:t>4</w:t>
            </w:r>
            <w:r>
              <w:t>354</w:t>
            </w:r>
          </w:p>
        </w:tc>
        <w:tc>
          <w:tcPr>
            <w:tcW w:w="1958" w:type="dxa"/>
            <w:tcBorders>
              <w:top w:val="single" w:color="auto" w:sz="4" w:space="0"/>
              <w:bottom w:val="single" w:color="auto" w:sz="4" w:space="0"/>
            </w:tcBorders>
            <w:vAlign w:val="center"/>
          </w:tcPr>
          <w:p>
            <w:pPr>
              <w:pStyle w:val="294"/>
            </w:pPr>
            <w:r>
              <w:t>/</w:t>
            </w:r>
          </w:p>
        </w:tc>
        <w:tc>
          <w:tcPr>
            <w:tcW w:w="1275" w:type="dxa"/>
            <w:tcBorders>
              <w:top w:val="single" w:color="auto" w:sz="4" w:space="0"/>
              <w:bottom w:val="single" w:color="auto" w:sz="4" w:space="0"/>
            </w:tcBorders>
            <w:vAlign w:val="center"/>
          </w:tcPr>
          <w:p>
            <w:pPr>
              <w:pStyle w:val="294"/>
            </w:pPr>
            <w:r>
              <w:t>4593</w:t>
            </w:r>
          </w:p>
        </w:tc>
        <w:tc>
          <w:tcPr>
            <w:tcW w:w="1753" w:type="dxa"/>
            <w:vMerge w:val="restart"/>
            <w:tcBorders>
              <w:top w:val="single" w:color="auto" w:sz="4" w:space="0"/>
              <w:bottom w:val="single" w:color="auto" w:sz="4" w:space="0"/>
              <w:right w:val="single" w:color="auto" w:sz="8" w:space="0"/>
            </w:tcBorders>
            <w:vAlign w:val="center"/>
          </w:tcPr>
          <w:p>
            <w:pPr>
              <w:pStyle w:val="294"/>
            </w:pPr>
            <w:r>
              <w:t>临时占地（占用基本农田</w:t>
            </w:r>
            <w:r>
              <w:rPr>
                <w:rFonts w:hint="eastAsia"/>
              </w:rPr>
              <w:t>约</w:t>
            </w:r>
            <w:r>
              <w:t>10207）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555" w:type="dxa"/>
            <w:tcBorders>
              <w:top w:val="single" w:color="auto" w:sz="4" w:space="0"/>
              <w:left w:val="single" w:color="auto" w:sz="8" w:space="0"/>
              <w:bottom w:val="single" w:color="auto" w:sz="4" w:space="0"/>
            </w:tcBorders>
            <w:vAlign w:val="center"/>
          </w:tcPr>
          <w:p>
            <w:pPr>
              <w:pStyle w:val="294"/>
            </w:pPr>
            <w:r>
              <w:t>井场边坡用地</w:t>
            </w:r>
          </w:p>
        </w:tc>
        <w:tc>
          <w:tcPr>
            <w:tcW w:w="1270" w:type="dxa"/>
            <w:tcBorders>
              <w:top w:val="single" w:color="auto" w:sz="4" w:space="0"/>
              <w:bottom w:val="single" w:color="auto" w:sz="4" w:space="0"/>
            </w:tcBorders>
            <w:vAlign w:val="center"/>
          </w:tcPr>
          <w:p>
            <w:pPr>
              <w:pStyle w:val="294"/>
            </w:pPr>
            <w:r>
              <w:rPr>
                <w:rFonts w:hint="eastAsia"/>
              </w:rPr>
              <w:t>694</w:t>
            </w:r>
          </w:p>
        </w:tc>
        <w:tc>
          <w:tcPr>
            <w:tcW w:w="993" w:type="dxa"/>
            <w:tcBorders>
              <w:top w:val="single" w:color="auto" w:sz="4" w:space="0"/>
              <w:bottom w:val="single" w:color="auto" w:sz="4" w:space="0"/>
            </w:tcBorders>
            <w:vAlign w:val="center"/>
          </w:tcPr>
          <w:p>
            <w:pPr>
              <w:pStyle w:val="294"/>
            </w:pPr>
            <w:r>
              <w:rPr>
                <w:rFonts w:hint="eastAsia"/>
              </w:rPr>
              <w:t>1289</w:t>
            </w:r>
          </w:p>
        </w:tc>
        <w:tc>
          <w:tcPr>
            <w:tcW w:w="1958" w:type="dxa"/>
            <w:tcBorders>
              <w:top w:val="single" w:color="auto" w:sz="4" w:space="0"/>
              <w:bottom w:val="single" w:color="auto" w:sz="4" w:space="0"/>
            </w:tcBorders>
            <w:vAlign w:val="center"/>
          </w:tcPr>
          <w:p>
            <w:pPr>
              <w:pStyle w:val="294"/>
            </w:pPr>
            <w:r>
              <w:rPr>
                <w:rFonts w:hint="eastAsia"/>
              </w:rPr>
              <w:t>/</w:t>
            </w:r>
          </w:p>
        </w:tc>
        <w:tc>
          <w:tcPr>
            <w:tcW w:w="1275" w:type="dxa"/>
            <w:tcBorders>
              <w:top w:val="single" w:color="auto" w:sz="4" w:space="0"/>
              <w:bottom w:val="single" w:color="auto" w:sz="4" w:space="0"/>
            </w:tcBorders>
            <w:vAlign w:val="center"/>
          </w:tcPr>
          <w:p>
            <w:pPr>
              <w:pStyle w:val="294"/>
            </w:pPr>
            <w:r>
              <w:t>1983</w:t>
            </w:r>
          </w:p>
        </w:tc>
        <w:tc>
          <w:tcPr>
            <w:tcW w:w="1753" w:type="dxa"/>
            <w:vMerge w:val="continue"/>
            <w:tcBorders>
              <w:top w:val="single" w:color="auto" w:sz="4" w:space="0"/>
              <w:bottom w:val="single" w:color="auto" w:sz="4" w:space="0"/>
              <w:right w:val="single" w:color="auto" w:sz="8" w:space="0"/>
            </w:tcBorders>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555" w:type="dxa"/>
            <w:tcBorders>
              <w:top w:val="single" w:color="auto" w:sz="4" w:space="0"/>
              <w:left w:val="single" w:color="auto" w:sz="8" w:space="0"/>
              <w:bottom w:val="single" w:color="auto" w:sz="4" w:space="0"/>
            </w:tcBorders>
            <w:vAlign w:val="center"/>
          </w:tcPr>
          <w:p>
            <w:pPr>
              <w:pStyle w:val="294"/>
            </w:pPr>
            <w:r>
              <w:t>进场道路用地</w:t>
            </w:r>
          </w:p>
        </w:tc>
        <w:tc>
          <w:tcPr>
            <w:tcW w:w="1270" w:type="dxa"/>
            <w:tcBorders>
              <w:top w:val="single" w:color="auto" w:sz="4" w:space="0"/>
              <w:bottom w:val="single" w:color="auto" w:sz="4" w:space="0"/>
            </w:tcBorders>
            <w:vAlign w:val="center"/>
          </w:tcPr>
          <w:p>
            <w:pPr>
              <w:pStyle w:val="294"/>
            </w:pPr>
            <w:r>
              <w:rPr>
                <w:rFonts w:hint="eastAsia"/>
              </w:rPr>
              <w:t>/</w:t>
            </w:r>
          </w:p>
        </w:tc>
        <w:tc>
          <w:tcPr>
            <w:tcW w:w="993" w:type="dxa"/>
            <w:tcBorders>
              <w:top w:val="single" w:color="auto" w:sz="4" w:space="0"/>
              <w:bottom w:val="single" w:color="auto" w:sz="4" w:space="0"/>
            </w:tcBorders>
            <w:vAlign w:val="center"/>
          </w:tcPr>
          <w:p>
            <w:pPr>
              <w:pStyle w:val="294"/>
            </w:pPr>
            <w:r>
              <w:rPr>
                <w:rFonts w:hint="eastAsia"/>
              </w:rPr>
              <w:t>2120</w:t>
            </w:r>
          </w:p>
        </w:tc>
        <w:tc>
          <w:tcPr>
            <w:tcW w:w="1958" w:type="dxa"/>
            <w:tcBorders>
              <w:top w:val="single" w:color="auto" w:sz="4" w:space="0"/>
              <w:bottom w:val="single" w:color="auto" w:sz="4" w:space="0"/>
            </w:tcBorders>
          </w:tcPr>
          <w:p>
            <w:pPr>
              <w:pStyle w:val="294"/>
            </w:pPr>
            <w:r>
              <w:rPr>
                <w:rFonts w:hint="eastAsia"/>
              </w:rPr>
              <w:t>/</w:t>
            </w:r>
          </w:p>
        </w:tc>
        <w:tc>
          <w:tcPr>
            <w:tcW w:w="1275" w:type="dxa"/>
            <w:tcBorders>
              <w:top w:val="single" w:color="auto" w:sz="4" w:space="0"/>
              <w:bottom w:val="single" w:color="auto" w:sz="4" w:space="0"/>
            </w:tcBorders>
            <w:vAlign w:val="center"/>
          </w:tcPr>
          <w:p>
            <w:pPr>
              <w:pStyle w:val="294"/>
            </w:pPr>
            <w:r>
              <w:t>2120</w:t>
            </w:r>
          </w:p>
        </w:tc>
        <w:tc>
          <w:tcPr>
            <w:tcW w:w="1753" w:type="dxa"/>
            <w:vMerge w:val="continue"/>
            <w:tcBorders>
              <w:top w:val="single" w:color="auto" w:sz="4" w:space="0"/>
              <w:bottom w:val="single" w:color="auto" w:sz="4" w:space="0"/>
              <w:right w:val="single" w:color="auto" w:sz="8" w:space="0"/>
            </w:tcBorders>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555" w:type="dxa"/>
            <w:tcBorders>
              <w:top w:val="single" w:color="auto" w:sz="4" w:space="0"/>
              <w:left w:val="single" w:color="auto" w:sz="8" w:space="0"/>
              <w:bottom w:val="single" w:color="auto" w:sz="4" w:space="0"/>
            </w:tcBorders>
            <w:vAlign w:val="center"/>
          </w:tcPr>
          <w:p>
            <w:pPr>
              <w:pStyle w:val="294"/>
            </w:pPr>
            <w:r>
              <w:t>放喷管线用地</w:t>
            </w:r>
          </w:p>
        </w:tc>
        <w:tc>
          <w:tcPr>
            <w:tcW w:w="1270" w:type="dxa"/>
            <w:tcBorders>
              <w:top w:val="single" w:color="auto" w:sz="4" w:space="0"/>
              <w:bottom w:val="single" w:color="auto" w:sz="4" w:space="0"/>
            </w:tcBorders>
            <w:vAlign w:val="center"/>
          </w:tcPr>
          <w:p>
            <w:pPr>
              <w:pStyle w:val="294"/>
            </w:pPr>
            <w:r>
              <w:rPr>
                <w:rFonts w:hint="eastAsia"/>
              </w:rPr>
              <w:t>225</w:t>
            </w:r>
          </w:p>
        </w:tc>
        <w:tc>
          <w:tcPr>
            <w:tcW w:w="993" w:type="dxa"/>
            <w:tcBorders>
              <w:top w:val="single" w:color="auto" w:sz="4" w:space="0"/>
              <w:bottom w:val="single" w:color="auto" w:sz="4" w:space="0"/>
            </w:tcBorders>
            <w:vAlign w:val="center"/>
          </w:tcPr>
          <w:p>
            <w:pPr>
              <w:pStyle w:val="294"/>
            </w:pPr>
            <w:r>
              <w:rPr>
                <w:rFonts w:hint="eastAsia"/>
              </w:rPr>
              <w:t>779</w:t>
            </w:r>
          </w:p>
        </w:tc>
        <w:tc>
          <w:tcPr>
            <w:tcW w:w="1958" w:type="dxa"/>
            <w:tcBorders>
              <w:top w:val="single" w:color="auto" w:sz="4" w:space="0"/>
              <w:bottom w:val="single" w:color="auto" w:sz="4" w:space="0"/>
            </w:tcBorders>
          </w:tcPr>
          <w:p>
            <w:pPr>
              <w:pStyle w:val="294"/>
            </w:pPr>
            <w:r>
              <w:rPr>
                <w:rFonts w:hint="eastAsia"/>
              </w:rPr>
              <w:t>/</w:t>
            </w:r>
          </w:p>
        </w:tc>
        <w:tc>
          <w:tcPr>
            <w:tcW w:w="1275" w:type="dxa"/>
            <w:tcBorders>
              <w:top w:val="single" w:color="auto" w:sz="4" w:space="0"/>
              <w:bottom w:val="single" w:color="auto" w:sz="4" w:space="0"/>
            </w:tcBorders>
            <w:vAlign w:val="center"/>
          </w:tcPr>
          <w:p>
            <w:pPr>
              <w:pStyle w:val="294"/>
            </w:pPr>
            <w:r>
              <w:t>1004</w:t>
            </w:r>
          </w:p>
        </w:tc>
        <w:tc>
          <w:tcPr>
            <w:tcW w:w="1753" w:type="dxa"/>
            <w:vMerge w:val="continue"/>
            <w:tcBorders>
              <w:top w:val="single" w:color="auto" w:sz="4" w:space="0"/>
              <w:bottom w:val="single" w:color="auto" w:sz="4" w:space="0"/>
              <w:right w:val="single" w:color="auto" w:sz="8" w:space="0"/>
            </w:tcBorders>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555" w:type="dxa"/>
            <w:tcBorders>
              <w:top w:val="single" w:color="auto" w:sz="4" w:space="0"/>
              <w:left w:val="single" w:color="auto" w:sz="8" w:space="0"/>
              <w:bottom w:val="single" w:color="auto" w:sz="4" w:space="0"/>
            </w:tcBorders>
            <w:vAlign w:val="center"/>
          </w:tcPr>
          <w:p>
            <w:pPr>
              <w:pStyle w:val="294"/>
            </w:pPr>
            <w:r>
              <w:t>表土堆场</w:t>
            </w:r>
          </w:p>
        </w:tc>
        <w:tc>
          <w:tcPr>
            <w:tcW w:w="1270" w:type="dxa"/>
            <w:tcBorders>
              <w:top w:val="single" w:color="auto" w:sz="4" w:space="0"/>
              <w:bottom w:val="single" w:color="auto" w:sz="4" w:space="0"/>
            </w:tcBorders>
            <w:vAlign w:val="center"/>
          </w:tcPr>
          <w:p>
            <w:pPr>
              <w:pStyle w:val="294"/>
            </w:pPr>
            <w:r>
              <w:rPr>
                <w:rFonts w:hint="eastAsia"/>
              </w:rPr>
              <w:t>/</w:t>
            </w:r>
          </w:p>
        </w:tc>
        <w:tc>
          <w:tcPr>
            <w:tcW w:w="993" w:type="dxa"/>
            <w:tcBorders>
              <w:top w:val="single" w:color="auto" w:sz="4" w:space="0"/>
              <w:bottom w:val="single" w:color="auto" w:sz="4" w:space="0"/>
            </w:tcBorders>
            <w:vAlign w:val="center"/>
          </w:tcPr>
          <w:p>
            <w:pPr>
              <w:pStyle w:val="294"/>
            </w:pPr>
            <w:r>
              <w:rPr>
                <w:rFonts w:hint="eastAsia"/>
              </w:rPr>
              <w:t>1352</w:t>
            </w:r>
          </w:p>
        </w:tc>
        <w:tc>
          <w:tcPr>
            <w:tcW w:w="1958" w:type="dxa"/>
            <w:tcBorders>
              <w:top w:val="single" w:color="auto" w:sz="4" w:space="0"/>
              <w:bottom w:val="single" w:color="auto" w:sz="4" w:space="0"/>
            </w:tcBorders>
            <w:vAlign w:val="center"/>
          </w:tcPr>
          <w:p>
            <w:pPr>
              <w:pStyle w:val="294"/>
            </w:pPr>
            <w:r>
              <w:rPr>
                <w:rFonts w:hint="eastAsia"/>
              </w:rPr>
              <w:t>/</w:t>
            </w:r>
          </w:p>
        </w:tc>
        <w:tc>
          <w:tcPr>
            <w:tcW w:w="1275" w:type="dxa"/>
            <w:tcBorders>
              <w:top w:val="single" w:color="auto" w:sz="4" w:space="0"/>
              <w:bottom w:val="single" w:color="auto" w:sz="4" w:space="0"/>
            </w:tcBorders>
            <w:vAlign w:val="center"/>
          </w:tcPr>
          <w:p>
            <w:pPr>
              <w:pStyle w:val="294"/>
            </w:pPr>
            <w:r>
              <w:t>1352</w:t>
            </w:r>
          </w:p>
        </w:tc>
        <w:tc>
          <w:tcPr>
            <w:tcW w:w="1753" w:type="dxa"/>
            <w:vMerge w:val="continue"/>
            <w:tcBorders>
              <w:top w:val="single" w:color="auto" w:sz="4" w:space="0"/>
              <w:bottom w:val="single" w:color="auto" w:sz="4" w:space="0"/>
              <w:right w:val="single" w:color="auto" w:sz="8" w:space="0"/>
            </w:tcBorders>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555" w:type="dxa"/>
            <w:tcBorders>
              <w:top w:val="single" w:color="auto" w:sz="4" w:space="0"/>
              <w:left w:val="single" w:color="auto" w:sz="8" w:space="0"/>
              <w:bottom w:val="single" w:color="auto" w:sz="4" w:space="0"/>
            </w:tcBorders>
            <w:vAlign w:val="center"/>
          </w:tcPr>
          <w:p>
            <w:pPr>
              <w:pStyle w:val="294"/>
            </w:pPr>
            <w:r>
              <w:t>生活营地</w:t>
            </w:r>
          </w:p>
        </w:tc>
        <w:tc>
          <w:tcPr>
            <w:tcW w:w="1270" w:type="dxa"/>
            <w:tcBorders>
              <w:top w:val="single" w:color="auto" w:sz="4" w:space="0"/>
              <w:bottom w:val="single" w:color="auto" w:sz="4" w:space="0"/>
            </w:tcBorders>
            <w:vAlign w:val="center"/>
          </w:tcPr>
          <w:p>
            <w:pPr>
              <w:pStyle w:val="294"/>
            </w:pPr>
            <w:r>
              <w:rPr>
                <w:rFonts w:hint="eastAsia"/>
              </w:rPr>
              <w:t>/</w:t>
            </w:r>
          </w:p>
        </w:tc>
        <w:tc>
          <w:tcPr>
            <w:tcW w:w="993" w:type="dxa"/>
            <w:tcBorders>
              <w:top w:val="single" w:color="auto" w:sz="4" w:space="0"/>
              <w:bottom w:val="single" w:color="auto" w:sz="4" w:space="0"/>
            </w:tcBorders>
            <w:vAlign w:val="center"/>
          </w:tcPr>
          <w:p>
            <w:pPr>
              <w:pStyle w:val="294"/>
            </w:pPr>
            <w:r>
              <w:rPr>
                <w:rFonts w:hint="eastAsia"/>
              </w:rPr>
              <w:t>1541</w:t>
            </w:r>
          </w:p>
        </w:tc>
        <w:tc>
          <w:tcPr>
            <w:tcW w:w="1958" w:type="dxa"/>
            <w:tcBorders>
              <w:top w:val="single" w:color="auto" w:sz="4" w:space="0"/>
              <w:bottom w:val="single" w:color="auto" w:sz="4" w:space="0"/>
            </w:tcBorders>
          </w:tcPr>
          <w:p>
            <w:pPr>
              <w:pStyle w:val="294"/>
            </w:pPr>
            <w:r>
              <w:rPr>
                <w:rFonts w:hint="eastAsia"/>
              </w:rPr>
              <w:t>/</w:t>
            </w:r>
          </w:p>
        </w:tc>
        <w:tc>
          <w:tcPr>
            <w:tcW w:w="1275" w:type="dxa"/>
            <w:tcBorders>
              <w:top w:val="single" w:color="auto" w:sz="4" w:space="0"/>
              <w:bottom w:val="single" w:color="auto" w:sz="4" w:space="0"/>
            </w:tcBorders>
            <w:vAlign w:val="center"/>
          </w:tcPr>
          <w:p>
            <w:pPr>
              <w:pStyle w:val="294"/>
            </w:pPr>
            <w:r>
              <w:t>1541</w:t>
            </w:r>
          </w:p>
        </w:tc>
        <w:tc>
          <w:tcPr>
            <w:tcW w:w="1753" w:type="dxa"/>
            <w:vMerge w:val="continue"/>
            <w:tcBorders>
              <w:top w:val="single" w:color="auto" w:sz="4" w:space="0"/>
              <w:bottom w:val="single" w:color="auto" w:sz="4" w:space="0"/>
              <w:right w:val="single" w:color="auto" w:sz="8" w:space="0"/>
            </w:tcBorders>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555" w:type="dxa"/>
            <w:tcBorders>
              <w:top w:val="single" w:color="auto" w:sz="4" w:space="0"/>
              <w:left w:val="single" w:color="auto" w:sz="8" w:space="0"/>
              <w:bottom w:val="single" w:color="auto" w:sz="8" w:space="0"/>
            </w:tcBorders>
            <w:vAlign w:val="center"/>
          </w:tcPr>
          <w:p>
            <w:pPr>
              <w:pStyle w:val="294"/>
            </w:pPr>
            <w:r>
              <w:t>合计</w:t>
            </w:r>
          </w:p>
        </w:tc>
        <w:tc>
          <w:tcPr>
            <w:tcW w:w="1270" w:type="dxa"/>
            <w:tcBorders>
              <w:top w:val="single" w:color="auto" w:sz="4" w:space="0"/>
              <w:bottom w:val="single" w:color="auto" w:sz="8" w:space="0"/>
            </w:tcBorders>
            <w:vAlign w:val="bottom"/>
          </w:tcPr>
          <w:p>
            <w:pPr>
              <w:pStyle w:val="294"/>
            </w:pPr>
            <w:r>
              <w:rPr>
                <w:rFonts w:hint="eastAsia"/>
              </w:rPr>
              <w:t>1158</w:t>
            </w:r>
          </w:p>
        </w:tc>
        <w:tc>
          <w:tcPr>
            <w:tcW w:w="993" w:type="dxa"/>
            <w:tcBorders>
              <w:top w:val="single" w:color="auto" w:sz="4" w:space="0"/>
              <w:bottom w:val="single" w:color="auto" w:sz="8" w:space="0"/>
            </w:tcBorders>
            <w:vAlign w:val="bottom"/>
          </w:tcPr>
          <w:p>
            <w:pPr>
              <w:pStyle w:val="294"/>
            </w:pPr>
            <w:r>
              <w:rPr>
                <w:rFonts w:hint="eastAsia"/>
              </w:rPr>
              <w:t>11435</w:t>
            </w:r>
          </w:p>
        </w:tc>
        <w:tc>
          <w:tcPr>
            <w:tcW w:w="1958" w:type="dxa"/>
            <w:tcBorders>
              <w:top w:val="single" w:color="auto" w:sz="4" w:space="0"/>
              <w:bottom w:val="single" w:color="auto" w:sz="8" w:space="0"/>
            </w:tcBorders>
            <w:vAlign w:val="bottom"/>
          </w:tcPr>
          <w:p>
            <w:pPr>
              <w:pStyle w:val="294"/>
            </w:pPr>
            <w:r>
              <w:rPr>
                <w:rFonts w:hint="eastAsia"/>
              </w:rPr>
              <w:t>/</w:t>
            </w:r>
          </w:p>
        </w:tc>
        <w:tc>
          <w:tcPr>
            <w:tcW w:w="1275" w:type="dxa"/>
            <w:tcBorders>
              <w:top w:val="single" w:color="auto" w:sz="4" w:space="0"/>
              <w:bottom w:val="single" w:color="auto" w:sz="8" w:space="0"/>
            </w:tcBorders>
            <w:vAlign w:val="bottom"/>
          </w:tcPr>
          <w:p>
            <w:pPr>
              <w:pStyle w:val="294"/>
            </w:pPr>
            <w:r>
              <w:t>12593</w:t>
            </w:r>
          </w:p>
        </w:tc>
        <w:tc>
          <w:tcPr>
            <w:tcW w:w="1753" w:type="dxa"/>
            <w:tcBorders>
              <w:top w:val="single" w:color="auto" w:sz="4" w:space="0"/>
              <w:bottom w:val="single" w:color="auto" w:sz="8" w:space="0"/>
              <w:right w:val="single" w:color="auto" w:sz="8" w:space="0"/>
            </w:tcBorders>
            <w:vAlign w:val="center"/>
          </w:tcPr>
          <w:p>
            <w:pPr>
              <w:pStyle w:val="294"/>
            </w:pPr>
            <w:r>
              <w:t>/</w:t>
            </w:r>
          </w:p>
        </w:tc>
      </w:tr>
    </w:tbl>
    <w:p>
      <w:pPr>
        <w:pStyle w:val="21"/>
        <w:spacing w:before="120" w:beforeLines="50"/>
        <w:ind w:left="0" w:firstLine="480"/>
        <w:jc w:val="both"/>
        <w:rPr>
          <w:rFonts w:ascii="Times New Roman" w:hAnsi="Times New Roman" w:eastAsia="黑体"/>
          <w:color w:val="000000" w:themeColor="text1"/>
          <w:lang w:eastAsia="zh-CN"/>
          <w14:textFill>
            <w14:solidFill>
              <w14:schemeClr w14:val="tx1"/>
            </w14:solidFill>
          </w14:textFill>
        </w:rPr>
      </w:pPr>
      <w:r>
        <w:rPr>
          <w:rFonts w:ascii="Times New Roman" w:hAnsi="Times New Roman" w:eastAsia="黑体"/>
          <w:color w:val="000000" w:themeColor="text1"/>
          <w:lang w:eastAsia="zh-CN"/>
          <w14:textFill>
            <w14:solidFill>
              <w14:schemeClr w14:val="tx1"/>
            </w14:solidFill>
          </w14:textFill>
        </w:rPr>
        <w:t>2、工程土石方工程量</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（1）表土剥离</w:t>
      </w:r>
    </w:p>
    <w:p>
      <w:pPr>
        <w:ind w:firstLine="480"/>
        <w:rPr>
          <w:rFonts w:cs="Times New Roman"/>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根据项目设计资料可知，剥离表土就近堆放于项目设置的表土堆放场，堆放场采用密目网对其进行遮盖，定期洒水保持土壤的含水量。本项目施工期剥离表土总计约2600m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，表土堆放于井场建设的表土堆放区，后期全部用于施工开挖剥离面绿化耕植。</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（2）土石方</w:t>
      </w:r>
    </w:p>
    <w:p>
      <w:pPr>
        <w:pStyle w:val="122"/>
        <w:rPr>
          <w:color w:val="000000" w:themeColor="text1"/>
          <w14:textFill>
            <w14:solidFill>
              <w14:schemeClr w14:val="tx1"/>
            </w14:solidFill>
          </w14:textFill>
        </w:rPr>
      </w:pPr>
      <w:r>
        <w:rPr>
          <w:color w:val="000000" w:themeColor="text1"/>
          <w14:textFill>
            <w14:solidFill>
              <w14:schemeClr w14:val="tx1"/>
            </w14:solidFill>
          </w14:textFill>
        </w:rPr>
        <w:t>根据钻前工程设计可知，项目井场平场、设备基础等土石方总开挖方量3760m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，总填方量16180m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，弃方约0m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。剥离表土集中堆放至表土堆场，表土用于后期生态恢复，综合利用。</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项目土石方平衡见</w:t>
      </w:r>
      <w:r>
        <w:rPr>
          <w:rFonts w:ascii="Times New Roman" w:hAnsi="Times New Roman"/>
          <w:color w:val="000000" w:themeColor="text1"/>
          <w:lang w:eastAsia="zh-CN"/>
          <w14:textFill>
            <w14:solidFill>
              <w14:schemeClr w14:val="tx1"/>
            </w14:solidFill>
          </w14:textFill>
        </w:rPr>
        <w:fldChar w:fldCharType="begin"/>
      </w:r>
      <w:r>
        <w:rPr>
          <w:rFonts w:ascii="Times New Roman" w:hAnsi="Times New Roman"/>
          <w:color w:val="000000" w:themeColor="text1"/>
          <w:lang w:eastAsia="zh-CN"/>
          <w14:textFill>
            <w14:solidFill>
              <w14:schemeClr w14:val="tx1"/>
            </w14:solidFill>
          </w14:textFill>
        </w:rPr>
        <w:instrText xml:space="preserve"> REF _Ref142593419 \h  \* MERGEFORMAT </w:instrText>
      </w:r>
      <w:r>
        <w:rPr>
          <w:rFonts w:ascii="Times New Roman" w:hAnsi="Times New Roman"/>
          <w:color w:val="000000" w:themeColor="text1"/>
          <w:lang w:eastAsia="zh-CN"/>
          <w14:textFill>
            <w14:solidFill>
              <w14:schemeClr w14:val="tx1"/>
            </w14:solidFill>
          </w14:textFill>
        </w:rPr>
        <w:fldChar w:fldCharType="separate"/>
      </w:r>
      <w:r>
        <w:rPr>
          <w:rFonts w:ascii="Times New Roman" w:hAnsi="Times New Roman"/>
          <w:color w:val="000000" w:themeColor="text1"/>
          <w:lang w:eastAsia="zh-CN"/>
          <w14:textFill>
            <w14:solidFill>
              <w14:schemeClr w14:val="tx1"/>
            </w14:solidFill>
          </w14:textFill>
        </w:rPr>
        <w:t>表3.2</w:t>
      </w:r>
      <w:r>
        <w:rPr>
          <w:rFonts w:ascii="Times New Roman" w:hAnsi="Times New Roman"/>
          <w:color w:val="000000" w:themeColor="text1"/>
          <w:lang w:eastAsia="zh-CN"/>
          <w14:textFill>
            <w14:solidFill>
              <w14:schemeClr w14:val="tx1"/>
            </w14:solidFill>
          </w14:textFill>
        </w:rPr>
        <w:fldChar w:fldCharType="end"/>
      </w:r>
      <w:r>
        <w:rPr>
          <w:rFonts w:ascii="Times New Roman" w:hAnsi="Times New Roman"/>
          <w:color w:val="000000" w:themeColor="text1"/>
          <w:lang w:eastAsia="zh-CN"/>
          <w14:textFill>
            <w14:solidFill>
              <w14:schemeClr w14:val="tx1"/>
            </w14:solidFill>
          </w14:textFill>
        </w:rPr>
        <w:t>。</w:t>
      </w:r>
    </w:p>
    <w:p>
      <w:pPr>
        <w:pStyle w:val="95"/>
      </w:pPr>
      <w:bookmarkStart w:id="117" w:name="_Ref142593419"/>
      <w:r>
        <w:t>表</w:t>
      </w:r>
      <w:r>
        <w:fldChar w:fldCharType="begin"/>
      </w:r>
      <w:r>
        <w:instrText xml:space="preserve"> STYLEREF 2 \s </w:instrText>
      </w:r>
      <w:r>
        <w:fldChar w:fldCharType="separate"/>
      </w:r>
      <w:r>
        <w:t>3.2</w:t>
      </w:r>
      <w:r>
        <w:fldChar w:fldCharType="end"/>
      </w:r>
      <w:bookmarkEnd w:id="117"/>
      <w:r>
        <w:t>-19 本项目土石方平衡一览表</w:t>
      </w:r>
    </w:p>
    <w:tbl>
      <w:tblPr>
        <w:tblStyle w:val="52"/>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181"/>
        <w:gridCol w:w="1160"/>
        <w:gridCol w:w="1226"/>
        <w:gridCol w:w="1542"/>
        <w:gridCol w:w="839"/>
        <w:gridCol w:w="157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279" w:type="pct"/>
            <w:vAlign w:val="center"/>
          </w:tcPr>
          <w:p>
            <w:pPr>
              <w:pStyle w:val="294"/>
            </w:pPr>
            <w:r>
              <w:t>项目</w:t>
            </w:r>
          </w:p>
        </w:tc>
        <w:tc>
          <w:tcPr>
            <w:tcW w:w="680" w:type="pct"/>
            <w:vAlign w:val="center"/>
          </w:tcPr>
          <w:p>
            <w:pPr>
              <w:pStyle w:val="294"/>
            </w:pPr>
            <w:r>
              <w:t>挖方</w:t>
            </w:r>
          </w:p>
        </w:tc>
        <w:tc>
          <w:tcPr>
            <w:tcW w:w="719" w:type="pct"/>
            <w:vAlign w:val="center"/>
          </w:tcPr>
          <w:p>
            <w:pPr>
              <w:pStyle w:val="294"/>
            </w:pPr>
            <w:r>
              <w:t>填方</w:t>
            </w:r>
          </w:p>
        </w:tc>
        <w:tc>
          <w:tcPr>
            <w:tcW w:w="904" w:type="pct"/>
            <w:vAlign w:val="center"/>
          </w:tcPr>
          <w:p>
            <w:pPr>
              <w:pStyle w:val="294"/>
            </w:pPr>
            <w:r>
              <w:t>借方（买土）</w:t>
            </w:r>
          </w:p>
        </w:tc>
        <w:tc>
          <w:tcPr>
            <w:tcW w:w="492" w:type="pct"/>
            <w:vAlign w:val="center"/>
          </w:tcPr>
          <w:p>
            <w:pPr>
              <w:pStyle w:val="294"/>
            </w:pPr>
            <w:r>
              <w:t>余方</w:t>
            </w:r>
          </w:p>
        </w:tc>
        <w:tc>
          <w:tcPr>
            <w:tcW w:w="925" w:type="pct"/>
            <w:vAlign w:val="center"/>
          </w:tcPr>
          <w:p>
            <w:pPr>
              <w:pStyle w:val="294"/>
            </w:pPr>
            <w: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1279" w:type="pct"/>
            <w:vAlign w:val="center"/>
          </w:tcPr>
          <w:p>
            <w:pPr>
              <w:pStyle w:val="294"/>
            </w:pPr>
            <w:r>
              <w:t>井场工程</w:t>
            </w:r>
          </w:p>
        </w:tc>
        <w:tc>
          <w:tcPr>
            <w:tcW w:w="680" w:type="pct"/>
            <w:vAlign w:val="center"/>
          </w:tcPr>
          <w:p>
            <w:pPr>
              <w:pStyle w:val="294"/>
            </w:pPr>
            <w:r>
              <w:t>3760</w:t>
            </w:r>
          </w:p>
        </w:tc>
        <w:tc>
          <w:tcPr>
            <w:tcW w:w="719" w:type="pct"/>
            <w:vAlign w:val="center"/>
          </w:tcPr>
          <w:p>
            <w:pPr>
              <w:widowControl/>
              <w:adjustRightInd/>
              <w:snapToGrid/>
              <w:spacing w:line="240" w:lineRule="auto"/>
              <w:ind w:firstLine="0" w:firstLineChars="0"/>
              <w:jc w:val="center"/>
              <w:rPr>
                <w:rFonts w:cs="Times New Roman"/>
                <w:bCs/>
                <w:color w:val="000000" w:themeColor="text1"/>
                <w:sz w:val="21"/>
                <w:szCs w:val="20"/>
                <w14:textFill>
                  <w14:solidFill>
                    <w14:schemeClr w14:val="tx1"/>
                  </w14:solidFill>
                </w14:textFill>
              </w:rPr>
            </w:pPr>
            <w:r>
              <w:rPr>
                <w:rFonts w:cs="Times New Roman"/>
                <w:bCs/>
                <w:color w:val="000000" w:themeColor="text1"/>
                <w:sz w:val="21"/>
                <w:szCs w:val="20"/>
                <w14:textFill>
                  <w14:solidFill>
                    <w14:schemeClr w14:val="tx1"/>
                  </w14:solidFill>
                </w14:textFill>
              </w:rPr>
              <w:t>16180</w:t>
            </w:r>
          </w:p>
        </w:tc>
        <w:tc>
          <w:tcPr>
            <w:tcW w:w="904" w:type="pct"/>
            <w:vAlign w:val="center"/>
          </w:tcPr>
          <w:p>
            <w:pPr>
              <w:pStyle w:val="294"/>
            </w:pPr>
            <w:r>
              <w:t>12420</w:t>
            </w:r>
          </w:p>
        </w:tc>
        <w:tc>
          <w:tcPr>
            <w:tcW w:w="492" w:type="pct"/>
            <w:vAlign w:val="center"/>
          </w:tcPr>
          <w:p>
            <w:pPr>
              <w:pStyle w:val="294"/>
            </w:pPr>
            <w:r>
              <w:t>0</w:t>
            </w:r>
          </w:p>
        </w:tc>
        <w:tc>
          <w:tcPr>
            <w:tcW w:w="925" w:type="pct"/>
            <w:vAlign w:val="center"/>
          </w:tcPr>
          <w:p>
            <w:pPr>
              <w:pStyle w:val="294"/>
            </w:pPr>
            <w:r>
              <w:t>挖填方平衡</w:t>
            </w:r>
          </w:p>
        </w:tc>
      </w:tr>
    </w:tbl>
    <w:p>
      <w:pPr>
        <w:pStyle w:val="21"/>
        <w:spacing w:before="120" w:beforeLines="50"/>
        <w:ind w:left="0" w:firstLine="480"/>
        <w:jc w:val="both"/>
        <w:rPr>
          <w:rFonts w:ascii="Times New Roman" w:hAnsi="Times New Roman" w:eastAsia="黑体"/>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从上表可以看出，本项目无弃方产生，井场工程开挖所产生的土石方在井场内平整。</w:t>
      </w:r>
    </w:p>
    <w:p>
      <w:pPr>
        <w:pStyle w:val="4"/>
        <w:ind w:firstLine="241"/>
        <w:rPr>
          <w:b w:val="0"/>
        </w:rPr>
      </w:pPr>
      <w:bookmarkStart w:id="118" w:name="_Toc120173106"/>
      <w:r>
        <w:rPr>
          <w:rFonts w:hint="eastAsia"/>
        </w:rPr>
        <w:t>3.2.8</w:t>
      </w:r>
      <w:r>
        <w:t>劳动定员及工作制度</w:t>
      </w:r>
      <w:bookmarkEnd w:id="118"/>
    </w:p>
    <w:p>
      <w:pPr>
        <w:pStyle w:val="21"/>
        <w:spacing w:before="0"/>
        <w:ind w:left="0" w:firstLine="480"/>
        <w:jc w:val="both"/>
        <w:rPr>
          <w:rFonts w:ascii="Times New Roman" w:hAnsi="Times New Roman" w:eastAsia="黑体"/>
          <w:color w:val="000000" w:themeColor="text1"/>
          <w:lang w:eastAsia="zh-CN"/>
          <w14:textFill>
            <w14:solidFill>
              <w14:schemeClr w14:val="tx1"/>
            </w14:solidFill>
          </w14:textFill>
        </w:rPr>
      </w:pPr>
      <w:r>
        <w:rPr>
          <w:rFonts w:ascii="Times New Roman" w:hAnsi="Times New Roman" w:eastAsia="黑体"/>
          <w:color w:val="000000" w:themeColor="text1"/>
          <w:lang w:eastAsia="zh-CN"/>
          <w14:textFill>
            <w14:solidFill>
              <w14:schemeClr w14:val="tx1"/>
            </w14:solidFill>
          </w14:textFill>
        </w:rPr>
        <w:t>1、钻前工程</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为土建施工，由专业施工单位组织当地民工施工作业为主，高峰时每天施工人员约20人，施工工期约90天，白天施工，夜间不作业。</w:t>
      </w:r>
    </w:p>
    <w:p>
      <w:pPr>
        <w:pStyle w:val="21"/>
        <w:spacing w:before="0"/>
        <w:ind w:left="0" w:firstLine="480"/>
        <w:jc w:val="both"/>
        <w:rPr>
          <w:rFonts w:ascii="Times New Roman" w:hAnsi="Times New Roman" w:eastAsia="黑体"/>
          <w:color w:val="000000" w:themeColor="text1"/>
          <w:lang w:eastAsia="zh-CN"/>
          <w14:textFill>
            <w14:solidFill>
              <w14:schemeClr w14:val="tx1"/>
            </w14:solidFill>
          </w14:textFill>
        </w:rPr>
      </w:pPr>
      <w:r>
        <w:rPr>
          <w:rFonts w:ascii="Times New Roman" w:hAnsi="Times New Roman" w:eastAsia="黑体"/>
          <w:color w:val="000000" w:themeColor="text1"/>
          <w:lang w:eastAsia="zh-CN"/>
          <w14:textFill>
            <w14:solidFill>
              <w14:schemeClr w14:val="tx1"/>
            </w14:solidFill>
          </w14:textFill>
        </w:rPr>
        <w:t>2、钻井工程</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由专业人员组成，钻井队编制约45人，其中，管理人员有队长、副队长、钻井工程师、地质工程师、泥浆工程师、动力机械师、HSE管理员；下设3个钻井班、一个地质资料组、一个后勤组，外加炊事人员、医疗人员、勤杂人员等。施工工期约123天。</w:t>
      </w:r>
    </w:p>
    <w:p>
      <w:pPr>
        <w:pStyle w:val="21"/>
        <w:spacing w:before="0"/>
        <w:ind w:left="0" w:firstLine="480"/>
        <w:jc w:val="both"/>
        <w:rPr>
          <w:rFonts w:ascii="Times New Roman" w:hAnsi="Times New Roman" w:eastAsia="黑体"/>
          <w:color w:val="000000" w:themeColor="text1"/>
          <w:lang w:eastAsia="zh-CN"/>
          <w14:textFill>
            <w14:solidFill>
              <w14:schemeClr w14:val="tx1"/>
            </w14:solidFill>
          </w14:textFill>
        </w:rPr>
      </w:pPr>
      <w:r>
        <w:rPr>
          <w:rFonts w:ascii="Times New Roman" w:hAnsi="Times New Roman" w:eastAsia="黑体"/>
          <w:color w:val="000000" w:themeColor="text1"/>
          <w:lang w:eastAsia="zh-CN"/>
          <w14:textFill>
            <w14:solidFill>
              <w14:schemeClr w14:val="tx1"/>
            </w14:solidFill>
          </w14:textFill>
        </w:rPr>
        <w:t>3、储层改造工程</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包含施工准备、套管通井、射孔、刮削、下完井管柱、装采气树、坐封、分段酸化以及放喷排液合计施工工期约41天。</w:t>
      </w:r>
    </w:p>
    <w:p>
      <w:pPr>
        <w:pStyle w:val="21"/>
        <w:spacing w:before="0"/>
        <w:ind w:left="0" w:firstLine="480"/>
        <w:jc w:val="both"/>
        <w:rPr>
          <w:rFonts w:ascii="Times New Roman" w:hAnsi="Times New Roman" w:eastAsia="黑体"/>
          <w:color w:val="000000" w:themeColor="text1"/>
          <w:lang w:eastAsia="zh-CN"/>
          <w14:textFill>
            <w14:solidFill>
              <w14:schemeClr w14:val="tx1"/>
            </w14:solidFill>
          </w14:textFill>
        </w:rPr>
      </w:pPr>
      <w:r>
        <w:rPr>
          <w:rFonts w:ascii="Times New Roman" w:hAnsi="Times New Roman" w:eastAsia="黑体"/>
          <w:color w:val="000000" w:themeColor="text1"/>
          <w:lang w:eastAsia="zh-CN"/>
          <w14:textFill>
            <w14:solidFill>
              <w14:schemeClr w14:val="tx1"/>
            </w14:solidFill>
          </w14:textFill>
        </w:rPr>
        <w:t>4、地面工程</w:t>
      </w:r>
    </w:p>
    <w:p>
      <w:pPr>
        <w:pStyle w:val="21"/>
        <w:ind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地面工程高峰施工期约20人，施工工期约60天，仅白天施工，夜间不作业。</w:t>
      </w:r>
    </w:p>
    <w:p>
      <w:pPr>
        <w:pStyle w:val="21"/>
        <w:spacing w:before="120" w:beforeLines="50"/>
        <w:ind w:left="0" w:firstLine="480"/>
        <w:jc w:val="both"/>
        <w:rPr>
          <w:rFonts w:ascii="Times New Roman" w:hAnsi="Times New Roman" w:eastAsia="黑体"/>
          <w:color w:val="000000" w:themeColor="text1"/>
          <w:lang w:eastAsia="zh-CN"/>
          <w14:textFill>
            <w14:solidFill>
              <w14:schemeClr w14:val="tx1"/>
            </w14:solidFill>
          </w14:textFill>
        </w:rPr>
      </w:pPr>
      <w:r>
        <w:rPr>
          <w:rFonts w:ascii="Times New Roman" w:hAnsi="Times New Roman" w:eastAsia="黑体"/>
          <w:color w:val="000000" w:themeColor="text1"/>
          <w:lang w:eastAsia="zh-CN"/>
          <w14:textFill>
            <w14:solidFill>
              <w14:schemeClr w14:val="tx1"/>
            </w14:solidFill>
          </w14:textFill>
        </w:rPr>
        <w:t>5、试采工程</w:t>
      </w:r>
    </w:p>
    <w:p>
      <w:pPr>
        <w:ind w:firstLine="480"/>
        <w:rPr>
          <w:rFonts w:cs="Times New Roman"/>
          <w:color w:val="000000" w:themeColor="text1"/>
          <w14:textFill>
            <w14:solidFill>
              <w14:schemeClr w14:val="tx1"/>
            </w14:solidFill>
          </w14:textFill>
        </w:rPr>
      </w:pPr>
      <w:bookmarkStart w:id="119" w:name="_Hlk88749992"/>
      <w:r>
        <w:rPr>
          <w:rFonts w:cs="Times New Roman"/>
          <w:color w:val="000000" w:themeColor="text1"/>
          <w14:textFill>
            <w14:solidFill>
              <w14:schemeClr w14:val="tx1"/>
            </w14:solidFill>
          </w14:textFill>
        </w:rPr>
        <w:t>普光3011-6试采站按无人值守设计，实行连续24h不间断生产，年运行365天。</w:t>
      </w:r>
      <w:bookmarkEnd w:id="119"/>
    </w:p>
    <w:p>
      <w:pPr>
        <w:pStyle w:val="3"/>
      </w:pPr>
      <w:bookmarkStart w:id="120" w:name="_Toc164667019"/>
      <w:r>
        <w:rPr>
          <w:rFonts w:hint="eastAsia"/>
        </w:rPr>
        <w:t>3.3</w:t>
      </w:r>
      <w:r>
        <w:t>建设项目工程分析</w:t>
      </w:r>
      <w:bookmarkEnd w:id="120"/>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包含钻前工程、钻完井工程、地面工程及试采工程。本项目充分参考了《陆上钻井作业环境保护推荐作法》的相关要求，并结合项目拟建地周边环境情况和中国石油化工股份有限公司多年的钻井工程经验，各项作业均达到该地区行业推荐作业方案的要求。钻井过程主要包括钻前工程（井场平整、道路、放喷池建设或修复等）、设备搬运及安装、钻井（固井、录井）、洗井、完井作业、设备搬迁及污染物治理等，项目工艺过程见</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REF _Ref142593685 \h  \* MERGEFORMAT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图3.3</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w:t>
      </w:r>
    </w:p>
    <w:p>
      <w:pPr>
        <w:pStyle w:val="92"/>
        <w:rPr>
          <w:color w:val="000000" w:themeColor="text1"/>
          <w14:textFill>
            <w14:solidFill>
              <w14:schemeClr w14:val="tx1"/>
            </w14:solidFill>
          </w14:textFill>
        </w:rPr>
      </w:pPr>
      <w:r>
        <w:rPr>
          <w:color w:val="000000" w:themeColor="text1"/>
          <w:lang w:eastAsia="zh-CN"/>
          <w14:textFill>
            <w14:solidFill>
              <w14:schemeClr w14:val="tx1"/>
            </w14:solidFill>
          </w14:textFill>
        </w:rPr>
        <w:drawing>
          <wp:inline distT="0" distB="0" distL="0" distR="0">
            <wp:extent cx="5242560" cy="3129915"/>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279139" cy="3151603"/>
                    </a:xfrm>
                    <a:prstGeom prst="rect">
                      <a:avLst/>
                    </a:prstGeom>
                    <a:solidFill>
                      <a:srgbClr val="000000"/>
                    </a:solidFill>
                    <a:ln>
                      <a:noFill/>
                    </a:ln>
                  </pic:spPr>
                </pic:pic>
              </a:graphicData>
            </a:graphic>
          </wp:inline>
        </w:drawing>
      </w:r>
    </w:p>
    <w:p>
      <w:pPr>
        <w:pStyle w:val="161"/>
        <w:rPr>
          <w:b/>
          <w:color w:val="000000" w:themeColor="text1"/>
          <w:szCs w:val="21"/>
          <w14:textFill>
            <w14:solidFill>
              <w14:schemeClr w14:val="tx1"/>
            </w14:solidFill>
          </w14:textFill>
        </w:rPr>
      </w:pPr>
      <w:bookmarkStart w:id="121" w:name="_Ref142593685"/>
      <w:r>
        <w:rPr>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图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bookmarkEnd w:id="121"/>
      <w:r>
        <w:rPr>
          <w:color w:val="000000" w:themeColor="text1"/>
          <w14:textFill>
            <w14:solidFill>
              <w14:schemeClr w14:val="tx1"/>
            </w14:solidFill>
          </w14:textFill>
        </w:rPr>
        <w:t xml:space="preserve"> 项目工艺概况图</w:t>
      </w:r>
    </w:p>
    <w:p>
      <w:pPr>
        <w:pStyle w:val="4"/>
        <w:ind w:firstLine="241"/>
        <w:rPr>
          <w:b w:val="0"/>
        </w:rPr>
      </w:pPr>
      <w:bookmarkStart w:id="122" w:name="_bookmark20"/>
      <w:bookmarkEnd w:id="122"/>
      <w:bookmarkStart w:id="123" w:name="3.3.1施工期污染源"/>
      <w:bookmarkEnd w:id="123"/>
      <w:bookmarkStart w:id="124" w:name="_Toc120173108"/>
      <w:r>
        <w:rPr>
          <w:rFonts w:hint="eastAsia"/>
        </w:rPr>
        <w:t>3.3.1</w:t>
      </w:r>
      <w:r>
        <w:t>施工期工程分析</w:t>
      </w:r>
      <w:bookmarkEnd w:id="124"/>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施工期主要有钻前工程、钻井工程、储层改造（压裂作业）、完井测试、地面集输工程（试采站+管网），总的施工期工艺流程如</w:t>
      </w:r>
      <w:r>
        <w:rPr>
          <w:rFonts w:cs="Times New Roman"/>
          <w:color w:val="000000" w:themeColor="text1"/>
          <w:kern w:val="0"/>
          <w:szCs w:val="24"/>
          <w14:textFill>
            <w14:solidFill>
              <w14:schemeClr w14:val="tx1"/>
            </w14:solidFill>
          </w14:textFill>
        </w:rPr>
        <w:fldChar w:fldCharType="begin"/>
      </w:r>
      <w:r>
        <w:rPr>
          <w:rFonts w:cs="Times New Roman"/>
          <w:color w:val="000000" w:themeColor="text1"/>
          <w:kern w:val="0"/>
          <w:szCs w:val="24"/>
          <w14:textFill>
            <w14:solidFill>
              <w14:schemeClr w14:val="tx1"/>
            </w14:solidFill>
          </w14:textFill>
        </w:rPr>
        <w:instrText xml:space="preserve"> REF _Ref142594245 \h  \* MERGEFORMAT </w:instrText>
      </w:r>
      <w:r>
        <w:rPr>
          <w:rFonts w:cs="Times New Roman"/>
          <w:color w:val="000000" w:themeColor="text1"/>
          <w:kern w:val="0"/>
          <w:szCs w:val="24"/>
          <w14:textFill>
            <w14:solidFill>
              <w14:schemeClr w14:val="tx1"/>
            </w14:solidFill>
          </w14:textFill>
        </w:rPr>
        <w:fldChar w:fldCharType="separate"/>
      </w:r>
      <w:r>
        <w:rPr>
          <w:rFonts w:cs="Times New Roman"/>
          <w:color w:val="000000" w:themeColor="text1"/>
          <w:kern w:val="0"/>
          <w:szCs w:val="24"/>
          <w14:textFill>
            <w14:solidFill>
              <w14:schemeClr w14:val="tx1"/>
            </w14:solidFill>
          </w14:textFill>
        </w:rPr>
        <w:t>图3.3</w:t>
      </w:r>
      <w:r>
        <w:rPr>
          <w:rFonts w:cs="Times New Roman"/>
          <w:color w:val="000000" w:themeColor="text1"/>
          <w:kern w:val="0"/>
          <w:szCs w:val="24"/>
          <w14:textFill>
            <w14:solidFill>
              <w14:schemeClr w14:val="tx1"/>
            </w14:solidFill>
          </w14:textFill>
        </w:rPr>
        <w:noBreakHyphen/>
      </w:r>
      <w:r>
        <w:rPr>
          <w:rFonts w:cs="Times New Roman"/>
          <w:color w:val="000000" w:themeColor="text1"/>
          <w:kern w:val="0"/>
          <w:szCs w:val="24"/>
          <w14:textFill>
            <w14:solidFill>
              <w14:schemeClr w14:val="tx1"/>
            </w14:solidFill>
          </w14:textFill>
        </w:rPr>
        <w:t>2</w:t>
      </w:r>
      <w:r>
        <w:rPr>
          <w:rFonts w:cs="Times New Roman"/>
          <w:color w:val="000000" w:themeColor="text1"/>
          <w:kern w:val="0"/>
          <w:szCs w:val="24"/>
          <w14:textFill>
            <w14:solidFill>
              <w14:schemeClr w14:val="tx1"/>
            </w14:solidFill>
          </w14:textFill>
        </w:rPr>
        <w:fldChar w:fldCharType="end"/>
      </w:r>
      <w:r>
        <w:rPr>
          <w:rFonts w:cs="Times New Roman"/>
          <w:color w:val="000000" w:themeColor="text1"/>
          <w:kern w:val="0"/>
          <w:szCs w:val="24"/>
          <w14:textFill>
            <w14:solidFill>
              <w14:schemeClr w14:val="tx1"/>
            </w14:solidFill>
          </w14:textFill>
        </w:rPr>
        <w:t>。</w:t>
      </w:r>
    </w:p>
    <w:p>
      <w:pPr>
        <w:pStyle w:val="92"/>
        <w:rPr>
          <w:color w:val="000000" w:themeColor="text1"/>
          <w14:textFill>
            <w14:solidFill>
              <w14:schemeClr w14:val="tx1"/>
            </w14:solidFill>
          </w14:textFill>
        </w:rPr>
      </w:pPr>
      <w:r>
        <w:rPr>
          <w:color w:val="000000" w:themeColor="text1"/>
          <w:lang w:eastAsia="zh-CN"/>
          <w14:textFill>
            <w14:solidFill>
              <w14:schemeClr w14:val="tx1"/>
            </w14:solidFill>
          </w14:textFill>
        </w:rPr>
        <w:drawing>
          <wp:inline distT="0" distB="0" distL="0" distR="0">
            <wp:extent cx="5039995" cy="370205"/>
            <wp:effectExtent l="0" t="0" r="0" b="0"/>
            <wp:docPr id="1619" name="图片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图片 1619"/>
                    <pic:cNvPicPr>
                      <a:picLocks noChangeAspect="1"/>
                    </pic:cNvPicPr>
                  </pic:nvPicPr>
                  <pic:blipFill>
                    <a:blip r:embed="rId47"/>
                    <a:stretch>
                      <a:fillRect/>
                    </a:stretch>
                  </pic:blipFill>
                  <pic:spPr>
                    <a:xfrm>
                      <a:off x="0" y="0"/>
                      <a:ext cx="5040000" cy="370570"/>
                    </a:xfrm>
                    <a:prstGeom prst="rect">
                      <a:avLst/>
                    </a:prstGeom>
                  </pic:spPr>
                </pic:pic>
              </a:graphicData>
            </a:graphic>
          </wp:inline>
        </w:drawing>
      </w:r>
    </w:p>
    <w:p>
      <w:pPr>
        <w:pStyle w:val="161"/>
        <w:rPr>
          <w:color w:val="000000" w:themeColor="text1"/>
          <w14:textFill>
            <w14:solidFill>
              <w14:schemeClr w14:val="tx1"/>
            </w14:solidFill>
          </w14:textFill>
        </w:rPr>
      </w:pPr>
      <w:bookmarkStart w:id="125" w:name="_Ref142594245"/>
      <w:r>
        <w:rPr>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图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w:t>
      </w:r>
      <w:r>
        <w:rPr>
          <w:color w:val="000000" w:themeColor="text1"/>
          <w14:textFill>
            <w14:solidFill>
              <w14:schemeClr w14:val="tx1"/>
            </w14:solidFill>
          </w14:textFill>
        </w:rPr>
        <w:fldChar w:fldCharType="end"/>
      </w:r>
      <w:bookmarkEnd w:id="125"/>
      <w:r>
        <w:rPr>
          <w:color w:val="000000" w:themeColor="text1"/>
          <w14:textFill>
            <w14:solidFill>
              <w14:schemeClr w14:val="tx1"/>
            </w14:solidFill>
          </w14:textFill>
        </w:rPr>
        <w:t xml:space="preserve"> 施工工艺流程示意图</w:t>
      </w:r>
    </w:p>
    <w:p>
      <w:pPr>
        <w:pStyle w:val="5"/>
      </w:pPr>
      <w:r>
        <w:rPr>
          <w:rFonts w:hint="eastAsia"/>
        </w:rPr>
        <w:t>3.3.1.1</w:t>
      </w:r>
      <w:r>
        <w:t>钻前工程</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（1）钻前工程工艺流程简述</w:t>
      </w:r>
    </w:p>
    <w:p>
      <w:pPr>
        <w:ind w:firstLine="480"/>
        <w:rPr>
          <w:rFonts w:cs="Times New Roman"/>
          <w:b/>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w:t>
      </w:r>
      <w:r>
        <w:rPr>
          <w:rFonts w:cs="Times New Roman"/>
          <w:color w:val="000000" w:themeColor="text1"/>
          <w14:textFill>
            <w14:solidFill>
              <w14:schemeClr w14:val="tx1"/>
            </w14:solidFill>
          </w14:textFill>
        </w:rPr>
        <w:t>钻前工程主要新建井场长125m，宽48m，其中老井场利旧约1180m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，新建材料棚基础、泥浆不落地基础、危废处理房基础、储备罐基础、泥浆泵基础、油罐基础、高压房基础等；利旧修复放喷池2座，利旧修复清水池1座；新建1条80m长进场道路、硬化场地及边坡支护工程</w:t>
      </w:r>
      <w:r>
        <w:rPr>
          <w:rFonts w:cs="Times New Roman"/>
          <w:bCs/>
          <w:color w:val="000000" w:themeColor="text1"/>
          <w14:textFill>
            <w14:solidFill>
              <w14:schemeClr w14:val="tx1"/>
            </w14:solidFill>
          </w14:textFill>
        </w:rPr>
        <w:t>等，主要为土建施工，由专业施工单位组织当地民工作业。</w:t>
      </w:r>
    </w:p>
    <w:p>
      <w:pPr>
        <w:pStyle w:val="21"/>
        <w:spacing w:before="0"/>
        <w:ind w:left="0" w:firstLine="480"/>
        <w:jc w:val="both"/>
        <w:rPr>
          <w:rFonts w:ascii="Times New Roman" w:hAnsi="Times New Roman"/>
          <w:b/>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钻前工程工艺流程及产污环节如</w:t>
      </w:r>
      <w:r>
        <w:rPr>
          <w:rFonts w:ascii="Times New Roman" w:hAnsi="Times New Roman"/>
          <w:color w:val="000000" w:themeColor="text1"/>
          <w:lang w:eastAsia="zh-CN"/>
          <w14:textFill>
            <w14:solidFill>
              <w14:schemeClr w14:val="tx1"/>
            </w14:solidFill>
          </w14:textFill>
        </w:rPr>
        <w:fldChar w:fldCharType="begin"/>
      </w:r>
      <w:r>
        <w:rPr>
          <w:rFonts w:ascii="Times New Roman" w:hAnsi="Times New Roman"/>
          <w:color w:val="000000" w:themeColor="text1"/>
          <w:lang w:eastAsia="zh-CN"/>
          <w14:textFill>
            <w14:solidFill>
              <w14:schemeClr w14:val="tx1"/>
            </w14:solidFill>
          </w14:textFill>
        </w:rPr>
        <w:instrText xml:space="preserve"> REF _Ref142594235 \h  \* MERGEFORMAT </w:instrText>
      </w:r>
      <w:r>
        <w:rPr>
          <w:rFonts w:ascii="Times New Roman" w:hAnsi="Times New Roman"/>
          <w:color w:val="000000" w:themeColor="text1"/>
          <w:lang w:eastAsia="zh-CN"/>
          <w14:textFill>
            <w14:solidFill>
              <w14:schemeClr w14:val="tx1"/>
            </w14:solidFill>
          </w14:textFill>
        </w:rPr>
        <w:fldChar w:fldCharType="separate"/>
      </w:r>
      <w:r>
        <w:rPr>
          <w:rFonts w:ascii="Times New Roman" w:hAnsi="Times New Roman"/>
          <w:color w:val="000000" w:themeColor="text1"/>
          <w:lang w:eastAsia="zh-CN"/>
          <w14:textFill>
            <w14:solidFill>
              <w14:schemeClr w14:val="tx1"/>
            </w14:solidFill>
          </w14:textFill>
        </w:rPr>
        <w:t>图3.3</w:t>
      </w:r>
      <w:r>
        <w:rPr>
          <w:rFonts w:ascii="Times New Roman" w:hAnsi="Times New Roman"/>
          <w:color w:val="000000" w:themeColor="text1"/>
          <w:lang w:eastAsia="zh-CN"/>
          <w14:textFill>
            <w14:solidFill>
              <w14:schemeClr w14:val="tx1"/>
            </w14:solidFill>
          </w14:textFill>
        </w:rPr>
        <w:noBreakHyphen/>
      </w:r>
      <w:r>
        <w:rPr>
          <w:rFonts w:ascii="Times New Roman" w:hAnsi="Times New Roman"/>
          <w:color w:val="000000" w:themeColor="text1"/>
          <w:lang w:eastAsia="zh-CN"/>
          <w14:textFill>
            <w14:solidFill>
              <w14:schemeClr w14:val="tx1"/>
            </w14:solidFill>
          </w14:textFill>
        </w:rPr>
        <w:t>3</w:t>
      </w:r>
      <w:r>
        <w:rPr>
          <w:rFonts w:ascii="Times New Roman" w:hAnsi="Times New Roman"/>
          <w:color w:val="000000" w:themeColor="text1"/>
          <w:lang w:eastAsia="zh-CN"/>
          <w14:textFill>
            <w14:solidFill>
              <w14:schemeClr w14:val="tx1"/>
            </w14:solidFill>
          </w14:textFill>
        </w:rPr>
        <w:fldChar w:fldCharType="end"/>
      </w:r>
      <w:r>
        <w:rPr>
          <w:rFonts w:ascii="Times New Roman" w:hAnsi="Times New Roman"/>
          <w:color w:val="000000" w:themeColor="text1"/>
          <w:lang w:eastAsia="zh-CN"/>
          <w14:textFill>
            <w14:solidFill>
              <w14:schemeClr w14:val="tx1"/>
            </w14:solidFill>
          </w14:textFill>
        </w:rPr>
        <w:t>所示。</w:t>
      </w:r>
    </w:p>
    <w:p>
      <w:pPr>
        <w:pStyle w:val="92"/>
        <w:rPr>
          <w:color w:val="000000" w:themeColor="text1"/>
          <w14:textFill>
            <w14:solidFill>
              <w14:schemeClr w14:val="tx1"/>
            </w14:solidFill>
          </w14:textFill>
        </w:rPr>
      </w:pPr>
      <w:r>
        <w:rPr>
          <w:color w:val="000000" w:themeColor="text1"/>
          <w:lang w:eastAsia="zh-CN"/>
          <w14:textFill>
            <w14:solidFill>
              <w14:schemeClr w14:val="tx1"/>
            </w14:solidFill>
          </w14:textFill>
        </w:rPr>
        <w:drawing>
          <wp:inline distT="0" distB="0" distL="0" distR="0">
            <wp:extent cx="4855210" cy="1720850"/>
            <wp:effectExtent l="0" t="0" r="2540" b="0"/>
            <wp:docPr id="1622" name="图片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图片 1622"/>
                    <pic:cNvPicPr>
                      <a:picLocks noChangeAspect="1"/>
                    </pic:cNvPicPr>
                  </pic:nvPicPr>
                  <pic:blipFill>
                    <a:blip r:embed="rId48"/>
                    <a:stretch>
                      <a:fillRect/>
                    </a:stretch>
                  </pic:blipFill>
                  <pic:spPr>
                    <a:xfrm>
                      <a:off x="0" y="0"/>
                      <a:ext cx="4897509" cy="1736229"/>
                    </a:xfrm>
                    <a:prstGeom prst="rect">
                      <a:avLst/>
                    </a:prstGeom>
                  </pic:spPr>
                </pic:pic>
              </a:graphicData>
            </a:graphic>
          </wp:inline>
        </w:drawing>
      </w:r>
    </w:p>
    <w:p>
      <w:pPr>
        <w:pStyle w:val="161"/>
        <w:rPr>
          <w:color w:val="000000" w:themeColor="text1"/>
          <w:szCs w:val="21"/>
          <w14:textFill>
            <w14:solidFill>
              <w14:schemeClr w14:val="tx1"/>
            </w14:solidFill>
          </w14:textFill>
        </w:rPr>
      </w:pPr>
      <w:bookmarkStart w:id="126" w:name="_Ref142594235"/>
      <w:r>
        <w:rPr>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图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w:t>
      </w:r>
      <w:r>
        <w:rPr>
          <w:color w:val="000000" w:themeColor="text1"/>
          <w14:textFill>
            <w14:solidFill>
              <w14:schemeClr w14:val="tx1"/>
            </w14:solidFill>
          </w14:textFill>
        </w:rPr>
        <w:fldChar w:fldCharType="end"/>
      </w:r>
      <w:bookmarkEnd w:id="126"/>
      <w:r>
        <w:rPr>
          <w:color w:val="000000" w:themeColor="text1"/>
          <w14:textFill>
            <w14:solidFill>
              <w14:schemeClr w14:val="tx1"/>
            </w14:solidFill>
          </w14:textFill>
        </w:rPr>
        <w:t xml:space="preserve"> 钻前工程施工过程及主要环境影响示意图</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1）道路工程</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新建进场道路，道路路基宽度4.5m，路面宽度4.0m，长度约80m，采用20cm厚6%水泥稳定碎石路面+20cm级配碎石+20cmC30混凝土，新建0.4m宽总长80m的道路排水沟，采用浆砌石修筑。</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2）井场平整及硬化</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cs="Times New Roman"/>
          <w:color w:val="000000" w:themeColor="text1"/>
          <w14:textFill>
            <w14:solidFill>
              <w14:schemeClr w14:val="tx1"/>
            </w14:solidFill>
          </w14:textFill>
        </w:rPr>
        <w:t>井场平整：按照钻井工程的总平面布置完成场地平整，新建井场长125m，宽48m。</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rFonts w:cs="Times New Roman"/>
          <w:color w:val="000000" w:themeColor="text1"/>
          <w14:textFill>
            <w14:solidFill>
              <w14:schemeClr w14:val="tx1"/>
            </w14:solidFill>
          </w14:textFill>
        </w:rPr>
        <w:t>硬化区域：除井架基础、方井、厕所不硬化外，其余地方全部硬化（本项目方井等均为硬化防渗状态），采用C20混凝土硬化，厚度0.2m；</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rFonts w:cs="Times New Roman"/>
          <w:color w:val="000000" w:themeColor="text1"/>
          <w14:textFill>
            <w14:solidFill>
              <w14:schemeClr w14:val="tx1"/>
            </w14:solidFill>
          </w14:textFill>
        </w:rPr>
        <w:t>场基结构基层为压实厚度400mm毛石，面层为压实厚度100mm碎石（已硬化）；</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rFonts w:cs="Times New Roman"/>
          <w:color w:val="000000" w:themeColor="text1"/>
          <w14:textFill>
            <w14:solidFill>
              <w14:schemeClr w14:val="tx1"/>
            </w14:solidFill>
          </w14:textFill>
        </w:rPr>
        <w:t>泥浆车道（长35m×宽3.5m）在基层上浇注200mm厚C20混凝土，泥浆材料台80m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在基层上浇筑C15混凝土厚200mm，见</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REF _Ref142597415 \h  \* MERGEFORMAT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图3.3</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4</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w:t>
      </w:r>
    </w:p>
    <w:p>
      <w:pPr>
        <w:pStyle w:val="92"/>
        <w:rPr>
          <w:color w:val="000000" w:themeColor="text1"/>
          <w14:textFill>
            <w14:solidFill>
              <w14:schemeClr w14:val="tx1"/>
            </w14:solidFill>
          </w14:textFill>
        </w:rPr>
      </w:pPr>
      <w:r>
        <w:rPr>
          <w:color w:val="000000" w:themeColor="text1"/>
          <w:lang w:eastAsia="zh-CN"/>
          <w14:textFill>
            <w14:solidFill>
              <w14:schemeClr w14:val="tx1"/>
            </w14:solidFill>
          </w14:textFill>
        </w:rPr>
        <w:drawing>
          <wp:inline distT="0" distB="0" distL="0" distR="0">
            <wp:extent cx="5219700" cy="1530350"/>
            <wp:effectExtent l="0" t="0" r="0" b="0"/>
            <wp:docPr id="141" name="图片 141" descr="井场硬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井场硬化"/>
                    <pic:cNvPicPr>
                      <a:picLocks noChangeAspect="1" noChangeArrowheads="1"/>
                    </pic:cNvPicPr>
                  </pic:nvPicPr>
                  <pic:blipFill>
                    <a:blip r:embed="rId49">
                      <a:extLst>
                        <a:ext uri="{28A0092B-C50C-407E-A947-70E740481C1C}">
                          <a14:useLocalDpi xmlns:a14="http://schemas.microsoft.com/office/drawing/2010/main" val="0"/>
                        </a:ext>
                      </a:extLst>
                    </a:blip>
                    <a:srcRect l="-1540" t="77849" r="2420" b="1460"/>
                    <a:stretch>
                      <a:fillRect/>
                    </a:stretch>
                  </pic:blipFill>
                  <pic:spPr>
                    <a:xfrm>
                      <a:off x="0" y="0"/>
                      <a:ext cx="5220000" cy="1530603"/>
                    </a:xfrm>
                    <a:prstGeom prst="rect">
                      <a:avLst/>
                    </a:prstGeom>
                    <a:noFill/>
                    <a:ln>
                      <a:noFill/>
                    </a:ln>
                  </pic:spPr>
                </pic:pic>
              </a:graphicData>
            </a:graphic>
          </wp:inline>
        </w:drawing>
      </w:r>
    </w:p>
    <w:p>
      <w:pPr>
        <w:pStyle w:val="161"/>
        <w:rPr>
          <w:color w:val="000000" w:themeColor="text1"/>
          <w14:textFill>
            <w14:solidFill>
              <w14:schemeClr w14:val="tx1"/>
            </w14:solidFill>
          </w14:textFill>
        </w:rPr>
      </w:pPr>
      <w:bookmarkStart w:id="127" w:name="_Ref142597415"/>
      <w:r>
        <w:rPr>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图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w:t>
      </w:r>
      <w:r>
        <w:rPr>
          <w:color w:val="000000" w:themeColor="text1"/>
          <w14:textFill>
            <w14:solidFill>
              <w14:schemeClr w14:val="tx1"/>
            </w14:solidFill>
          </w14:textFill>
        </w:rPr>
        <w:fldChar w:fldCharType="end"/>
      </w:r>
      <w:bookmarkEnd w:id="127"/>
      <w:r>
        <w:rPr>
          <w:color w:val="000000" w:themeColor="text1"/>
          <w14:textFill>
            <w14:solidFill>
              <w14:schemeClr w14:val="tx1"/>
            </w14:solidFill>
          </w14:textFill>
        </w:rPr>
        <w:t xml:space="preserve"> 井场场基结构图</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3）井场建设</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本项目井场为新建，井场基础采用C20混凝土基础，基础厚度1200mm，基础置于天然地基持力层上，地基承载力不小于0.15MPa，基础下先浇筑C15垫层厚度100mm，其设计结构图如下。</w:t>
      </w:r>
    </w:p>
    <w:p>
      <w:pPr>
        <w:pStyle w:val="92"/>
        <w:rPr>
          <w:color w:val="000000" w:themeColor="text1"/>
          <w14:textFill>
            <w14:solidFill>
              <w14:schemeClr w14:val="tx1"/>
            </w14:solidFill>
          </w14:textFill>
        </w:rPr>
      </w:pPr>
      <w:r>
        <w:rPr>
          <w:color w:val="000000" w:themeColor="text1"/>
          <w14:textFill>
            <w14:solidFill>
              <w14:schemeClr w14:val="tx1"/>
            </w14:solidFill>
          </w14:textFill>
        </w:rPr>
        <w:object>
          <v:shape id="_x0000_i1025" o:spt="75" type="#_x0000_t75" style="height:106.35pt;width:193.4pt;" o:ole="t" filled="f" o:preferrelative="t" stroked="f" coordsize="21600,21600">
            <v:path/>
            <v:fill on="f" focussize="0,0"/>
            <v:stroke on="f" joinstyle="miter"/>
            <v:imagedata r:id="rId51" cropleft="32204f" croptop="45407f" cropright="15532f" cropbottom="5124f" o:title=""/>
            <o:lock v:ext="edit" aspectratio="t"/>
            <w10:wrap type="none"/>
            <w10:anchorlock/>
          </v:shape>
          <o:OLEObject Type="Embed" ProgID="AutoCAD.Drawing.18" ShapeID="_x0000_i1025" DrawAspect="Content" ObjectID="_1468075725" r:id="rId50">
            <o:LockedField>false</o:LockedField>
          </o:OLEObject>
        </w:object>
      </w:r>
      <w:r>
        <w:rPr>
          <w:color w:val="000000" w:themeColor="text1"/>
          <w:lang w:eastAsia="zh-CN"/>
          <w14:textFill>
            <w14:solidFill>
              <w14:schemeClr w14:val="tx1"/>
            </w14:solidFill>
          </w14:textFill>
        </w:rPr>
        <w:drawing>
          <wp:inline distT="0" distB="0" distL="0" distR="0">
            <wp:extent cx="2614930" cy="133477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52" cstate="print">
                      <a:extLst>
                        <a:ext uri="{28A0092B-C50C-407E-A947-70E740481C1C}">
                          <a14:useLocalDpi xmlns:a14="http://schemas.microsoft.com/office/drawing/2010/main" val="0"/>
                        </a:ext>
                      </a:extLst>
                    </a:blip>
                    <a:srcRect l="48778" t="26443" r="20851" b="28958"/>
                    <a:stretch>
                      <a:fillRect/>
                    </a:stretch>
                  </pic:blipFill>
                  <pic:spPr>
                    <a:xfrm>
                      <a:off x="0" y="0"/>
                      <a:ext cx="2639776" cy="1347817"/>
                    </a:xfrm>
                    <a:prstGeom prst="rect">
                      <a:avLst/>
                    </a:prstGeom>
                    <a:noFill/>
                    <a:ln>
                      <a:noFill/>
                    </a:ln>
                  </pic:spPr>
                </pic:pic>
              </a:graphicData>
            </a:graphic>
          </wp:inline>
        </w:drawing>
      </w:r>
    </w:p>
    <w:p>
      <w:pPr>
        <w:pStyle w:val="161"/>
        <w:rPr>
          <w:color w:val="000000" w:themeColor="text1"/>
          <w14:textFill>
            <w14:solidFill>
              <w14:schemeClr w14:val="tx1"/>
            </w14:solidFill>
          </w14:textFill>
        </w:rPr>
      </w:pPr>
      <w:r>
        <w:rPr>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图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井场基础设计结构图</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4）清污分流</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本项目井场采用雨污分流设计，</w:t>
      </w:r>
      <w:r>
        <w:rPr>
          <w:rFonts w:cs="Times New Roman"/>
          <w:color w:val="000000" w:themeColor="text1"/>
          <w:kern w:val="0"/>
          <w14:textFill>
            <w14:solidFill>
              <w14:schemeClr w14:val="tx1"/>
            </w14:solidFill>
          </w14:textFill>
        </w:rPr>
        <w:t>在场内四周设排水边沟，站内雨水排向井场周围新建排水沟，再沿排水沟排向原集气站已建边沟，新建排水边沟总长295m</w:t>
      </w:r>
      <w:r>
        <w:rPr>
          <w:rFonts w:cs="Times New Roman"/>
          <w:color w:val="000000" w:themeColor="text1"/>
          <w14:textFill>
            <w14:solidFill>
              <w14:schemeClr w14:val="tx1"/>
            </w14:solidFill>
          </w14:textFill>
        </w:rPr>
        <w:t>。新建环保检测池（2m×2m×1m）2座。同时沿设备基础新建0.35m宽环状排污沟380m，放坡坡度i=0.2%。污水沟放坡开始位置可根据现场做适当调整，但必须满足正常放坡和无倒流。</w:t>
      </w:r>
      <w:r>
        <w:rPr>
          <w:rFonts w:cs="Times New Roman"/>
          <w:color w:val="000000" w:themeColor="text1"/>
          <w:kern w:val="0"/>
          <w14:textFill>
            <w14:solidFill>
              <w14:schemeClr w14:val="tx1"/>
            </w14:solidFill>
          </w14:textFill>
        </w:rPr>
        <w:t>新建1.5m宽坡顶截水沟160m，放坡坡度i=0.2%。坡率可根据现场做适当调整，但必须满足正常放坡和无倒流</w:t>
      </w:r>
      <w:r>
        <w:rPr>
          <w:rFonts w:cs="Times New Roman"/>
          <w:color w:val="000000" w:themeColor="text1"/>
          <w14:textFill>
            <w14:solidFill>
              <w14:schemeClr w14:val="tx1"/>
            </w14:solidFill>
          </w14:textFill>
        </w:rPr>
        <w:t>。</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为满足钻井期间污水不渗入井场，井场内泥浆循环系统区域和清洁生产操作平台区域设置排污沟，离污水罐或放喷池较近区域设置净空0.5m×0.5m×0.5m的集污坑，若场内雨水被污染流入外环沟，则需封闭沟渠由作业队伍从集水坑抽汲至废水罐或放喷池，集污坑体宽度12cm，底板浇筑10cmC15混凝土。井场排水沟结构图见</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REF _Ref142597404 \h  \* MERGEFORMAT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图3.3</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6</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w:t>
      </w:r>
    </w:p>
    <w:p>
      <w:pPr>
        <w:spacing w:line="240" w:lineRule="auto"/>
        <w:ind w:firstLine="0" w:firstLineChars="0"/>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3244215</wp:posOffset>
                </wp:positionH>
                <wp:positionV relativeFrom="paragraph">
                  <wp:posOffset>1135380</wp:posOffset>
                </wp:positionV>
                <wp:extent cx="250825" cy="125095"/>
                <wp:effectExtent l="0" t="0" r="0" b="8255"/>
                <wp:wrapNone/>
                <wp:docPr id="21" name="文本框 21"/>
                <wp:cNvGraphicFramePr/>
                <a:graphic xmlns:a="http://schemas.openxmlformats.org/drawingml/2006/main">
                  <a:graphicData uri="http://schemas.microsoft.com/office/word/2010/wordprocessingShape">
                    <wps:wsp>
                      <wps:cNvSpPr txBox="1"/>
                      <wps:spPr bwMode="auto">
                        <a:xfrm>
                          <a:off x="0" y="0"/>
                          <a:ext cx="250723" cy="125362"/>
                        </a:xfrm>
                        <a:prstGeom prst="rect">
                          <a:avLst/>
                        </a:prstGeom>
                        <a:solidFill>
                          <a:srgbClr val="FFFFFF"/>
                        </a:solidFill>
                        <a:ln w="9525">
                          <a:noFill/>
                          <a:miter lim="800000"/>
                        </a:ln>
                      </wps:spPr>
                      <wps:txbx>
                        <w:txbxContent>
                          <w:p>
                            <w:pPr>
                              <w:ind w:firstLine="360"/>
                              <w:rPr>
                                <w:sz w:val="18"/>
                                <w:szCs w:val="18"/>
                              </w:rPr>
                            </w:pPr>
                            <w:r>
                              <w:rPr>
                                <w:sz w:val="18"/>
                                <w:szCs w:val="18"/>
                              </w:rPr>
                              <w:t>350</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55.45pt;margin-top:89.4pt;height:9.85pt;width:19.75pt;z-index:251660288;mso-width-relative:page;mso-height-relative:page;" fillcolor="#FFFFFF" filled="t" stroked="f" coordsize="21600,21600" o:gfxdata="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MEy2x3ZAAAACwEAAA8AAAAAAAAAAQAgAAAAIgAAAGRycy9kb3ducmV2LnhtbFBLAQIU&#10;ABQAAAAIAIdO4kCJ96eJZAIAALEEAAAOAAAAAAAAAAEAIAAAACgBAABkcnMvZTJvRG9jLnhtbFBL&#10;BQYAAAAABgAGAFkBAAD+BQAAAAA=&#10;">
                <v:fill on="t" focussize="0,0"/>
                <v:stroke on="f" miterlimit="8" joinstyle="miter"/>
                <v:imagedata o:title=""/>
                <o:lock v:ext="edit" aspectratio="f"/>
                <v:textbox inset="0mm,0mm,0mm,0mm">
                  <w:txbxContent>
                    <w:p>
                      <w:pPr>
                        <w:ind w:firstLine="360"/>
                        <w:rPr>
                          <w:sz w:val="18"/>
                          <w:szCs w:val="18"/>
                        </w:rPr>
                      </w:pPr>
                      <w:r>
                        <w:rPr>
                          <w:sz w:val="18"/>
                          <w:szCs w:val="18"/>
                        </w:rPr>
                        <w:t>350</w:t>
                      </w:r>
                    </w:p>
                  </w:txbxContent>
                </v:textbox>
              </v:shape>
            </w:pict>
          </mc:Fallback>
        </mc:AlternateContent>
      </w:r>
      <w:r>
        <w:rPr>
          <w:rFonts w:cs="Times New Roman"/>
          <w:color w:val="000000" w:themeColor="text1"/>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1423035</wp:posOffset>
                </wp:positionH>
                <wp:positionV relativeFrom="paragraph">
                  <wp:posOffset>1157605</wp:posOffset>
                </wp:positionV>
                <wp:extent cx="250825" cy="125095"/>
                <wp:effectExtent l="0" t="0" r="0" b="8255"/>
                <wp:wrapNone/>
                <wp:docPr id="20" name="文本框 20"/>
                <wp:cNvGraphicFramePr/>
                <a:graphic xmlns:a="http://schemas.openxmlformats.org/drawingml/2006/main">
                  <a:graphicData uri="http://schemas.microsoft.com/office/word/2010/wordprocessingShape">
                    <wps:wsp>
                      <wps:cNvSpPr txBox="1"/>
                      <wps:spPr bwMode="auto">
                        <a:xfrm>
                          <a:off x="0" y="0"/>
                          <a:ext cx="250723" cy="125362"/>
                        </a:xfrm>
                        <a:prstGeom prst="rect">
                          <a:avLst/>
                        </a:prstGeom>
                        <a:solidFill>
                          <a:srgbClr val="FFFFFF"/>
                        </a:solidFill>
                        <a:ln w="9525">
                          <a:noFill/>
                          <a:miter lim="800000"/>
                        </a:ln>
                      </wps:spPr>
                      <wps:txbx>
                        <w:txbxContent>
                          <w:p>
                            <w:pPr>
                              <w:ind w:firstLine="300"/>
                              <w:rPr>
                                <w:sz w:val="15"/>
                                <w:szCs w:val="15"/>
                              </w:rPr>
                            </w:pPr>
                            <w:r>
                              <w:rPr>
                                <w:sz w:val="15"/>
                                <w:szCs w:val="15"/>
                              </w:rPr>
                              <w:t>350</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12.05pt;margin-top:91.15pt;height:9.85pt;width:19.75pt;z-index:251659264;mso-width-relative:page;mso-height-relative:page;" fillcolor="#FFFFFF" filled="t" stroked="f" coordsize="21600,21600" o:gfxdata="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XO8xjdgAAAALAQAADwAAAAAAAAABACAAAAAiAAAAZHJzL2Rvd25yZXYueG1sUEsBAhQA&#10;FAAAAAgAh07iQGbKdX1kAgAAsQQAAA4AAAAAAAAAAQAgAAAAJwEAAGRycy9lMm9Eb2MueG1sUEsF&#10;BgAAAAAGAAYAWQEAAP0FAAAAAA==&#10;">
                <v:fill on="t" focussize="0,0"/>
                <v:stroke on="f" miterlimit="8" joinstyle="miter"/>
                <v:imagedata o:title=""/>
                <o:lock v:ext="edit" aspectratio="f"/>
                <v:textbox inset="0mm,0mm,0mm,0mm">
                  <w:txbxContent>
                    <w:p>
                      <w:pPr>
                        <w:ind w:firstLine="300"/>
                        <w:rPr>
                          <w:sz w:val="15"/>
                          <w:szCs w:val="15"/>
                        </w:rPr>
                      </w:pPr>
                      <w:r>
                        <w:rPr>
                          <w:sz w:val="15"/>
                          <w:szCs w:val="15"/>
                        </w:rPr>
                        <w:t>350</w:t>
                      </w:r>
                    </w:p>
                  </w:txbxContent>
                </v:textbox>
              </v:shape>
            </w:pict>
          </mc:Fallback>
        </mc:AlternateContent>
      </w:r>
      <w:r>
        <w:rPr>
          <w:rFonts w:cs="Times New Roman"/>
          <w:color w:val="000000" w:themeColor="text1"/>
          <w14:textFill>
            <w14:solidFill>
              <w14:schemeClr w14:val="tx1"/>
            </w14:solidFill>
          </w14:textFill>
        </w:rPr>
        <w:drawing>
          <wp:inline distT="0" distB="0" distL="0" distR="0">
            <wp:extent cx="2742565" cy="2216150"/>
            <wp:effectExtent l="0" t="0" r="635" b="0"/>
            <wp:docPr id="12" name="图片 12"/>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753096" cy="2224778"/>
                    </a:xfrm>
                    <a:prstGeom prst="rect">
                      <a:avLst/>
                    </a:prstGeom>
                    <a:noFill/>
                    <a:ln>
                      <a:noFill/>
                    </a:ln>
                  </pic:spPr>
                </pic:pic>
              </a:graphicData>
            </a:graphic>
          </wp:inline>
        </w:drawing>
      </w:r>
      <w:r>
        <w:rPr>
          <w:rFonts w:cs="Times New Roman"/>
          <w:color w:val="000000" w:themeColor="text1"/>
          <w14:textFill>
            <w14:solidFill>
              <w14:schemeClr w14:val="tx1"/>
            </w14:solidFill>
          </w14:textFill>
        </w:rPr>
        <w:drawing>
          <wp:inline distT="0" distB="0" distL="0" distR="0">
            <wp:extent cx="2380615" cy="2216150"/>
            <wp:effectExtent l="0" t="0" r="635" b="0"/>
            <wp:docPr id="13" name="图片 13"/>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401625" cy="2235732"/>
                    </a:xfrm>
                    <a:prstGeom prst="rect">
                      <a:avLst/>
                    </a:prstGeom>
                    <a:noFill/>
                    <a:ln>
                      <a:noFill/>
                    </a:ln>
                  </pic:spPr>
                </pic:pic>
              </a:graphicData>
            </a:graphic>
          </wp:inline>
        </w:drawing>
      </w:r>
    </w:p>
    <w:p>
      <w:pPr>
        <w:pStyle w:val="161"/>
        <w:rPr>
          <w:color w:val="000000" w:themeColor="text1"/>
          <w14:textFill>
            <w14:solidFill>
              <w14:schemeClr w14:val="tx1"/>
            </w14:solidFill>
          </w14:textFill>
        </w:rPr>
      </w:pPr>
      <w:bookmarkStart w:id="128" w:name="_Ref142597404"/>
      <w:r>
        <w:rPr>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图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w:t>
      </w:r>
      <w:r>
        <w:rPr>
          <w:color w:val="000000" w:themeColor="text1"/>
          <w14:textFill>
            <w14:solidFill>
              <w14:schemeClr w14:val="tx1"/>
            </w14:solidFill>
          </w14:textFill>
        </w:rPr>
        <w:fldChar w:fldCharType="end"/>
      </w:r>
      <w:bookmarkEnd w:id="128"/>
      <w:r>
        <w:rPr>
          <w:color w:val="000000" w:themeColor="text1"/>
          <w14:textFill>
            <w14:solidFill>
              <w14:schemeClr w14:val="tx1"/>
            </w14:solidFill>
          </w14:textFill>
        </w:rPr>
        <w:t xml:space="preserve"> 井场排水沟结构图</w:t>
      </w:r>
    </w:p>
    <w:p>
      <w:pPr>
        <w:ind w:firstLine="480"/>
        <w:rPr>
          <w:rFonts w:cs="Times New Roman"/>
        </w:rPr>
      </w:pPr>
      <w:r>
        <w:rPr>
          <w:rFonts w:cs="Times New Roman"/>
        </w:rPr>
        <w:t>5）清洁生产操作平台区</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清洁生产操作平台区占地面积约630m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，采用</w:t>
      </w:r>
      <w:r>
        <w:rPr>
          <w:rFonts w:cs="Times New Roman"/>
          <w:bCs/>
          <w:color w:val="000000" w:themeColor="text1"/>
          <w14:textFill>
            <w14:solidFill>
              <w14:schemeClr w14:val="tx1"/>
            </w14:solidFill>
          </w14:textFill>
        </w:rPr>
        <w:t>10cm厚C25钢筋混凝土垫层+30cmC25钢筋混凝土面层+2cm厚1：3水泥砂浆抹面+聚乙烯丙纶防渗层。</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设置40m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废水罐4个，20m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岩屑固化罐4个，3m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岩屑收集罐8个，化学品存放区1处。</w:t>
      </w:r>
    </w:p>
    <w:p>
      <w:pPr>
        <w:ind w:firstLine="480"/>
        <w:rPr>
          <w:rFonts w:cs="Times New Roman"/>
          <w:highlight w:val="yellow"/>
        </w:rPr>
      </w:pPr>
      <w:r>
        <w:rPr>
          <w:rFonts w:cs="Times New Roman"/>
        </w:rPr>
        <w:t>6）放喷池</w:t>
      </w:r>
    </w:p>
    <w:p>
      <w:pPr>
        <w:ind w:firstLine="480"/>
        <w:rPr>
          <w:rFonts w:cs="Times New Roman"/>
          <w:color w:val="000000" w:themeColor="text1"/>
          <w14:textFill>
            <w14:solidFill>
              <w14:schemeClr w14:val="tx1"/>
            </w14:solidFill>
          </w14:textFill>
        </w:rPr>
      </w:pPr>
      <w:r>
        <w:rPr>
          <w:rFonts w:cs="Times New Roman"/>
          <w:color w:val="000000" w:themeColor="text1"/>
          <w:szCs w:val="24"/>
          <w14:textFill>
            <w14:solidFill>
              <w14:schemeClr w14:val="tx1"/>
            </w14:solidFill>
          </w14:textFill>
        </w:rPr>
        <w:t>利旧修复放喷池2座，尺寸均为10m×20m×1.5m，容积均为300m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，用于测试放喷，池内重点防渗。</w:t>
      </w:r>
      <w:r>
        <w:rPr>
          <w:rFonts w:cs="Times New Roman"/>
          <w:bCs/>
          <w:color w:val="000000" w:themeColor="text1"/>
          <w:szCs w:val="24"/>
          <w14:textFill>
            <w14:solidFill>
              <w14:schemeClr w14:val="tx1"/>
            </w14:solidFill>
          </w14:textFill>
        </w:rPr>
        <w:t>喷池分别位于井场外西北侧和东南侧，距离井口分别为125m和220m</w:t>
      </w:r>
      <w:r>
        <w:rPr>
          <w:rFonts w:cs="Times New Roman"/>
          <w:color w:val="000000" w:themeColor="text1"/>
          <w14:textFill>
            <w14:solidFill>
              <w14:schemeClr w14:val="tx1"/>
            </w14:solidFill>
          </w14:textFill>
        </w:rPr>
        <w:t>。放喷管使用双四通、二条放喷管线，放喷池具体结构图见</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REF _Ref142597398 \h  \* MERGEFORMAT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图3.3</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7</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w:t>
      </w:r>
    </w:p>
    <w:p>
      <w:pPr>
        <w:spacing w:line="240" w:lineRule="auto"/>
        <w:ind w:firstLine="0" w:firstLineChars="0"/>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object>
          <v:shape id="_x0000_i1026" o:spt="75" type="#_x0000_t75" style="height:182.5pt;width:416.95pt;" o:ole="t" filled="f" o:preferrelative="t" stroked="f" coordsize="21600,21600">
            <v:path/>
            <v:fill on="f" focussize="0,0"/>
            <v:stroke on="f" joinstyle="miter"/>
            <v:imagedata r:id="rId56" o:title=""/>
            <o:lock v:ext="edit" aspectratio="t"/>
            <w10:wrap type="none"/>
            <w10:anchorlock/>
          </v:shape>
          <o:OLEObject Type="Embed" ProgID="Equation.3" ShapeID="_x0000_i1026" DrawAspect="Content" ObjectID="_1468075726" r:id="rId55">
            <o:LockedField>false</o:LockedField>
          </o:OLEObject>
        </w:object>
      </w:r>
    </w:p>
    <w:p>
      <w:pPr>
        <w:pStyle w:val="161"/>
        <w:rPr>
          <w:color w:val="000000" w:themeColor="text1"/>
          <w14:textFill>
            <w14:solidFill>
              <w14:schemeClr w14:val="tx1"/>
            </w14:solidFill>
          </w14:textFill>
        </w:rPr>
      </w:pPr>
      <w:bookmarkStart w:id="129" w:name="_Ref142597398"/>
      <w:r>
        <w:rPr>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图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w:t>
      </w:r>
      <w:r>
        <w:rPr>
          <w:color w:val="000000" w:themeColor="text1"/>
          <w14:textFill>
            <w14:solidFill>
              <w14:schemeClr w14:val="tx1"/>
            </w14:solidFill>
          </w14:textFill>
        </w:rPr>
        <w:fldChar w:fldCharType="end"/>
      </w:r>
      <w:bookmarkEnd w:id="129"/>
      <w:r>
        <w:rPr>
          <w:color w:val="000000" w:themeColor="text1"/>
          <w14:textFill>
            <w14:solidFill>
              <w14:schemeClr w14:val="tx1"/>
            </w14:solidFill>
          </w14:textFill>
        </w:rPr>
        <w:t xml:space="preserve"> 井场放喷池结构图</w:t>
      </w:r>
    </w:p>
    <w:p>
      <w:pPr>
        <w:overflowPunct w:val="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7）分区防渗</w:t>
      </w:r>
    </w:p>
    <w:p>
      <w:pPr>
        <w:overflowPunct w:val="0"/>
        <w:ind w:firstLine="480"/>
        <w:rPr>
          <w:rFonts w:cs="Times New Roman"/>
          <w:color w:val="000000" w:themeColor="text1"/>
          <w14:textFill>
            <w14:solidFill>
              <w14:schemeClr w14:val="tx1"/>
            </w14:solidFill>
          </w14:textFill>
        </w:rPr>
      </w:pPr>
      <w:bookmarkStart w:id="130" w:name="_Hlk56241817"/>
      <w:r>
        <w:rPr>
          <w:rFonts w:cs="Times New Roman"/>
          <w:color w:val="000000" w:themeColor="text1"/>
          <w14:textFill>
            <w14:solidFill>
              <w14:schemeClr w14:val="tx1"/>
            </w14:solidFill>
          </w14:textFill>
        </w:rPr>
        <w:t>本项目井场内除放喷池、清水池外，主要存水和泥浆设备均为罐体，设置于防渗基础上，四周修建防渗沟，能有效防止废水、泥浆都撒漏进入外环境。</w:t>
      </w:r>
      <w:bookmarkEnd w:id="130"/>
      <w:r>
        <w:rPr>
          <w:rFonts w:cs="Times New Roman"/>
          <w:color w:val="000000" w:themeColor="text1"/>
          <w:szCs w:val="24"/>
          <w14:textFill>
            <w14:solidFill>
              <w14:schemeClr w14:val="tx1"/>
            </w14:solidFill>
          </w14:textFill>
        </w:rPr>
        <w:t>场地内场地内方井、泥浆循环系统区域、泥浆不落地系统区域（含油桶堆放区）、泥浆储备罐区、循环罐区、柴油罐区、放喷池等采取重点防渗措施；井架基础、发电机房、钻井固废暂存区、气源房、材料棚、雨污分流等区域采取一般防渗措施；其他区域等采取简单防渗措施。</w:t>
      </w:r>
    </w:p>
    <w:p>
      <w:pPr>
        <w:overflowPunct w:val="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8）设备设施的搬运及安装</w:t>
      </w:r>
    </w:p>
    <w:p>
      <w:pPr>
        <w:overflowPunct w:val="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用汽车将钻井设备和泥浆罐、泥浆不落地装置等设施运至进场并安装，通常2~5天安装完毕。</w:t>
      </w:r>
    </w:p>
    <w:p>
      <w:pPr>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（2）钻前工程产污环节分析</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1）生态影响</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本项目为扩建，</w:t>
      </w:r>
      <w:r>
        <w:rPr>
          <w:rFonts w:cs="Times New Roman"/>
          <w:color w:val="000000" w:themeColor="text1"/>
          <w14:textFill>
            <w14:solidFill>
              <w14:schemeClr w14:val="tx1"/>
            </w14:solidFill>
          </w14:textFill>
        </w:rPr>
        <w:t>利用P3011采气站北侧剩余位置进行扩建井场。</w:t>
      </w:r>
      <w:r>
        <w:rPr>
          <w:rFonts w:cs="Times New Roman"/>
          <w:bCs/>
          <w:color w:val="000000" w:themeColor="text1"/>
          <w:szCs w:val="24"/>
          <w14:textFill>
            <w14:solidFill>
              <w14:schemeClr w14:val="tx1"/>
            </w14:solidFill>
          </w14:textFill>
        </w:rPr>
        <w:t>本项目扩建的采气站区域为新增永久占地，面积约</w:t>
      </w:r>
      <w:r>
        <w:rPr>
          <w:rFonts w:cs="Times New Roman"/>
          <w:color w:val="000000" w:themeColor="text1"/>
          <w14:textFill>
            <w14:solidFill>
              <w14:schemeClr w14:val="tx1"/>
            </w14:solidFill>
          </w14:textFill>
        </w:rPr>
        <w:t>581.3m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，临时占地包括井场施工区域、井场边坡防护、施工临时道路、表土堆放、施工营地等，面积约为12593m</w:t>
      </w:r>
      <w:r>
        <w:rPr>
          <w:rFonts w:cs="Times New Roman"/>
          <w:color w:val="000000" w:themeColor="text1"/>
          <w:vertAlign w:val="superscript"/>
          <w14:textFill>
            <w14:solidFill>
              <w14:schemeClr w14:val="tx1"/>
            </w14:solidFill>
          </w14:textFill>
        </w:rPr>
        <w:t>2</w:t>
      </w:r>
      <w:r>
        <w:rPr>
          <w:rFonts w:cs="Times New Roman"/>
          <w:bCs/>
          <w:color w:val="000000" w:themeColor="text1"/>
          <w:szCs w:val="24"/>
          <w14:textFill>
            <w14:solidFill>
              <w14:schemeClr w14:val="tx1"/>
            </w14:solidFill>
          </w14:textFill>
        </w:rPr>
        <w:t>，主要占用林地和耕地，改变土地使用功能，将造成地表裸露，形成水土流失。</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2）污染影响</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钻前工程污染物为机械废气和施工扬尘、生活污水、施工噪声和生活垃圾。</w:t>
      </w:r>
    </w:p>
    <w:p>
      <w:pPr>
        <w:pStyle w:val="5"/>
      </w:pPr>
      <w:r>
        <w:rPr>
          <w:rFonts w:hint="eastAsia"/>
        </w:rPr>
        <w:t>3.3.1.2</w:t>
      </w:r>
      <w:r>
        <w:t>钻井工程</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钻井工程是本项目施工期最主要的施工活动之一，主要包括钻井、固井、完井阶段。钻井工程以网电为动力（备用柴油发电机），通过钻机、转盘，带动钻头切削地层，同时由泥浆泵经钻杆向井内注入高压泥浆，冲刷井底，将切削下的岩屑不断带至地面，整个过程循环进行，直至目的井深；钻井中途需要停钻，以便起下钻具更换钻头、下套管、固井、替换洗井液和检修设备；当钻井钻至目的层位后即可进入完井阶段，完井阶段采用裸眼一体化分段管柱完井，然后再进行压裂作业，以实现储层改造。钻井作业24小时连续作业。</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（1）钻井工程工艺流程简述</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本项目钻井方式为泥浆钻井方式，采用气体钻或水基泥浆钻井，钻井工艺流程及产污环节见</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REF _Ref142597391 \h  \* MERGEFORMAT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图3.3</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8</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w:t>
      </w:r>
    </w:p>
    <w:p>
      <w:pPr>
        <w:ind w:firstLine="480"/>
        <w:jc w:val="center"/>
        <w:rPr>
          <w:rFonts w:cs="Times New Roman"/>
          <w:color w:val="000000" w:themeColor="text1"/>
          <w:szCs w:val="24"/>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92"/>
        <w:rPr>
          <w:color w:val="000000" w:themeColor="text1"/>
          <w14:textFill>
            <w14:solidFill>
              <w14:schemeClr w14:val="tx1"/>
            </w14:solidFill>
          </w14:textFill>
        </w:rPr>
      </w:pPr>
      <w:r>
        <w:rPr>
          <w:color w:val="000000" w:themeColor="text1"/>
          <w:lang w:eastAsia="zh-CN"/>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3585845</wp:posOffset>
                </wp:positionH>
                <wp:positionV relativeFrom="paragraph">
                  <wp:posOffset>1891030</wp:posOffset>
                </wp:positionV>
                <wp:extent cx="1831975" cy="319405"/>
                <wp:effectExtent l="0" t="0" r="15875" b="24130"/>
                <wp:wrapNone/>
                <wp:docPr id="95" name="文本框 95"/>
                <wp:cNvGraphicFramePr/>
                <a:graphic xmlns:a="http://schemas.openxmlformats.org/drawingml/2006/main">
                  <a:graphicData uri="http://schemas.microsoft.com/office/word/2010/wordprocessingShape">
                    <wps:wsp>
                      <wps:cNvSpPr txBox="1"/>
                      <wps:spPr bwMode="auto">
                        <a:xfrm>
                          <a:off x="0" y="0"/>
                          <a:ext cx="1832286" cy="319178"/>
                        </a:xfrm>
                        <a:prstGeom prst="rect">
                          <a:avLst/>
                        </a:prstGeom>
                        <a:solidFill>
                          <a:schemeClr val="accent1">
                            <a:lumMod val="40000"/>
                            <a:lumOff val="60000"/>
                          </a:schemeClr>
                        </a:solidFill>
                        <a:ln w="9525">
                          <a:solidFill>
                            <a:srgbClr val="000000"/>
                          </a:solidFill>
                          <a:miter lim="800000"/>
                        </a:ln>
                      </wps:spPr>
                      <wps:txbx>
                        <w:txbxContent>
                          <w:p>
                            <w:pPr>
                              <w:spacing w:line="240" w:lineRule="auto"/>
                              <w:ind w:firstLine="0" w:firstLineChars="0"/>
                              <w:jc w:val="center"/>
                              <w:rPr>
                                <w:sz w:val="16"/>
                                <w:szCs w:val="18"/>
                              </w:rPr>
                            </w:pPr>
                            <w:r>
                              <w:rPr>
                                <w:rFonts w:hint="eastAsia"/>
                                <w:sz w:val="16"/>
                                <w:szCs w:val="18"/>
                              </w:rPr>
                              <w:t>水基钻井固废：固废烧结</w:t>
                            </w:r>
                            <w:r>
                              <w:rPr>
                                <w:sz w:val="16"/>
                                <w:szCs w:val="18"/>
                              </w:rPr>
                              <w:t>厂资源化利用</w:t>
                            </w:r>
                          </w:p>
                          <w:p>
                            <w:pPr>
                              <w:spacing w:line="240" w:lineRule="auto"/>
                              <w:ind w:firstLine="0" w:firstLineChars="0"/>
                              <w:jc w:val="center"/>
                              <w:rPr>
                                <w:sz w:val="16"/>
                                <w:szCs w:val="18"/>
                              </w:rPr>
                            </w:pPr>
                            <w:r>
                              <w:rPr>
                                <w:rFonts w:hint="eastAsia"/>
                                <w:sz w:val="16"/>
                                <w:szCs w:val="18"/>
                              </w:rPr>
                              <w:t>油基钻井固废：委托有资质单位处置</w:t>
                            </w:r>
                          </w:p>
                          <w:p>
                            <w:pPr>
                              <w:pStyle w:val="13"/>
                              <w:spacing w:line="240" w:lineRule="auto"/>
                              <w:ind w:firstLine="300"/>
                              <w:rPr>
                                <w:sz w:val="15"/>
                                <w:szCs w:val="15"/>
                              </w:rPr>
                            </w:pP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82.35pt;margin-top:148.9pt;height:25.15pt;width:144.25pt;z-index:251670528;mso-width-relative:page;mso-height-relative:page;" fillcolor="#B4C7E7 [1300]" filled="t" stroked="t" coordsize="21600,21600" o:gfxdata="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Gqs2VHcAAAACwEA&#10;AA8AAAAAAAAAAQAgAAAAIgAAAGRycy9kb3ducmV2LnhtbFBLAQIUABQAAAAIAIdO4kAJ3UVdiAIA&#10;ABQFAAAOAAAAAAAAAAEAIAAAACsBAABkcnMvZTJvRG9jLnhtbFBLBQYAAAAABgAGAFkBAAAlBgAA&#10;AAA=&#10;">
                <v:fill on="t" focussize="0,0"/>
                <v:stroke color="#000000" miterlimit="8" joinstyle="miter"/>
                <v:imagedata o:title=""/>
                <o:lock v:ext="edit" aspectratio="f"/>
                <v:textbox inset="0mm,0mm,0mm,0mm">
                  <w:txbxContent>
                    <w:p>
                      <w:pPr>
                        <w:spacing w:line="240" w:lineRule="auto"/>
                        <w:ind w:firstLine="0" w:firstLineChars="0"/>
                        <w:jc w:val="center"/>
                        <w:rPr>
                          <w:sz w:val="16"/>
                          <w:szCs w:val="18"/>
                        </w:rPr>
                      </w:pPr>
                      <w:r>
                        <w:rPr>
                          <w:rFonts w:hint="eastAsia"/>
                          <w:sz w:val="16"/>
                          <w:szCs w:val="18"/>
                        </w:rPr>
                        <w:t>水基钻井固废：固废烧结</w:t>
                      </w:r>
                      <w:r>
                        <w:rPr>
                          <w:sz w:val="16"/>
                          <w:szCs w:val="18"/>
                        </w:rPr>
                        <w:t>厂资源化利用</w:t>
                      </w:r>
                    </w:p>
                    <w:p>
                      <w:pPr>
                        <w:spacing w:line="240" w:lineRule="auto"/>
                        <w:ind w:firstLine="0" w:firstLineChars="0"/>
                        <w:jc w:val="center"/>
                        <w:rPr>
                          <w:sz w:val="16"/>
                          <w:szCs w:val="18"/>
                        </w:rPr>
                      </w:pPr>
                      <w:r>
                        <w:rPr>
                          <w:rFonts w:hint="eastAsia"/>
                          <w:sz w:val="16"/>
                          <w:szCs w:val="18"/>
                        </w:rPr>
                        <w:t>油基钻井固废：委托有资质单位处置</w:t>
                      </w:r>
                    </w:p>
                    <w:p>
                      <w:pPr>
                        <w:pStyle w:val="13"/>
                        <w:spacing w:line="240" w:lineRule="auto"/>
                        <w:ind w:firstLine="300"/>
                        <w:rPr>
                          <w:sz w:val="15"/>
                          <w:szCs w:val="15"/>
                        </w:rPr>
                      </w:pPr>
                    </w:p>
                  </w:txbxContent>
                </v:textbox>
              </v:shape>
            </w:pict>
          </mc:Fallback>
        </mc:AlternateContent>
      </w:r>
      <w:r>
        <w:rPr>
          <w:color w:val="000000" w:themeColor="text1"/>
          <w:lang w:eastAsia="zh-CN"/>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2117725</wp:posOffset>
                </wp:positionH>
                <wp:positionV relativeFrom="paragraph">
                  <wp:posOffset>2044065</wp:posOffset>
                </wp:positionV>
                <wp:extent cx="1405890" cy="233045"/>
                <wp:effectExtent l="0" t="0" r="22860" b="15240"/>
                <wp:wrapNone/>
                <wp:docPr id="91926" name="文本框 91926"/>
                <wp:cNvGraphicFramePr/>
                <a:graphic xmlns:a="http://schemas.openxmlformats.org/drawingml/2006/main">
                  <a:graphicData uri="http://schemas.microsoft.com/office/word/2010/wordprocessingShape">
                    <wps:wsp>
                      <wps:cNvSpPr txBox="1"/>
                      <wps:spPr bwMode="auto">
                        <a:xfrm>
                          <a:off x="0" y="0"/>
                          <a:ext cx="1406106" cy="232914"/>
                        </a:xfrm>
                        <a:prstGeom prst="rect">
                          <a:avLst/>
                        </a:prstGeom>
                        <a:solidFill>
                          <a:schemeClr val="accent1">
                            <a:lumMod val="40000"/>
                            <a:lumOff val="60000"/>
                          </a:schemeClr>
                        </a:solidFill>
                        <a:ln w="9525">
                          <a:solidFill>
                            <a:srgbClr val="000000"/>
                          </a:solidFill>
                          <a:miter lim="800000"/>
                        </a:ln>
                      </wps:spPr>
                      <wps:txbx>
                        <w:txbxContent>
                          <w:p>
                            <w:pPr>
                              <w:spacing w:line="240" w:lineRule="auto"/>
                              <w:ind w:firstLine="0" w:firstLineChars="0"/>
                              <w:jc w:val="center"/>
                              <w:rPr>
                                <w:sz w:val="16"/>
                                <w:szCs w:val="18"/>
                              </w:rPr>
                            </w:pPr>
                            <w:r>
                              <w:rPr>
                                <w:rFonts w:hint="eastAsia"/>
                                <w:sz w:val="16"/>
                                <w:szCs w:val="18"/>
                              </w:rPr>
                              <w:t>普光11井回注站回注</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66.75pt;margin-top:160.95pt;height:18.35pt;width:110.7pt;z-index:251669504;mso-width-relative:page;mso-height-relative:page;" fillcolor="#B4C7E7 [1300]" filled="t" stroked="t" coordsize="21600,21600" o:gfxdata="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6Q57&#10;RdkAAAALAQAADwAAAAAAAAABACAAAAAiAAAAZHJzL2Rvd25yZXYueG1sUEsBAhQAFAAAAAgAh07i&#10;QGsRZSiTAgAAKgUAAA4AAAAAAAAAAQAgAAAAKAEAAGRycy9lMm9Eb2MueG1sUEsFBgAAAAAGAAYA&#10;WQEAAC0GAAAAAA==&#10;">
                <v:fill on="t" focussize="0,0"/>
                <v:stroke color="#000000" miterlimit="8" joinstyle="miter"/>
                <v:imagedata o:title=""/>
                <o:lock v:ext="edit" aspectratio="f"/>
                <v:textbox>
                  <w:txbxContent>
                    <w:p>
                      <w:pPr>
                        <w:spacing w:line="240" w:lineRule="auto"/>
                        <w:ind w:firstLine="0" w:firstLineChars="0"/>
                        <w:jc w:val="center"/>
                        <w:rPr>
                          <w:sz w:val="16"/>
                          <w:szCs w:val="18"/>
                        </w:rPr>
                      </w:pPr>
                      <w:r>
                        <w:rPr>
                          <w:rFonts w:hint="eastAsia"/>
                          <w:sz w:val="16"/>
                          <w:szCs w:val="18"/>
                        </w:rPr>
                        <w:t>普光11井回注站回注</w:t>
                      </w:r>
                    </w:p>
                  </w:txbxContent>
                </v:textbox>
              </v:shape>
            </w:pict>
          </mc:Fallback>
        </mc:AlternateContent>
      </w:r>
      <w:r>
        <w:rPr>
          <w:color w:val="000000" w:themeColor="text1"/>
          <w:lang w:eastAsia="zh-CN"/>
          <w14:textFill>
            <w14:solidFill>
              <w14:schemeClr w14:val="tx1"/>
            </w14:solidFill>
          </w14:textFill>
        </w:rPr>
        <w:drawing>
          <wp:inline distT="0" distB="0" distL="0" distR="0">
            <wp:extent cx="5276850" cy="2343150"/>
            <wp:effectExtent l="0" t="0" r="0" b="0"/>
            <wp:docPr id="1827" name="图片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图片 18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276850" cy="2343552"/>
                    </a:xfrm>
                    <a:prstGeom prst="rect">
                      <a:avLst/>
                    </a:prstGeom>
                    <a:noFill/>
                    <a:ln>
                      <a:noFill/>
                    </a:ln>
                  </pic:spPr>
                </pic:pic>
              </a:graphicData>
            </a:graphic>
          </wp:inline>
        </w:drawing>
      </w:r>
    </w:p>
    <w:p>
      <w:pPr>
        <w:pStyle w:val="161"/>
        <w:rPr>
          <w:color w:val="000000" w:themeColor="text1"/>
          <w14:textFill>
            <w14:solidFill>
              <w14:schemeClr w14:val="tx1"/>
            </w14:solidFill>
          </w14:textFill>
        </w:rPr>
      </w:pPr>
      <w:bookmarkStart w:id="131" w:name="_Ref142597391"/>
      <w:r>
        <w:rPr>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图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8</w:t>
      </w:r>
      <w:r>
        <w:rPr>
          <w:color w:val="000000" w:themeColor="text1"/>
          <w14:textFill>
            <w14:solidFill>
              <w14:schemeClr w14:val="tx1"/>
            </w14:solidFill>
          </w14:textFill>
        </w:rPr>
        <w:fldChar w:fldCharType="end"/>
      </w:r>
      <w:bookmarkEnd w:id="131"/>
      <w:r>
        <w:rPr>
          <w:color w:val="000000" w:themeColor="text1"/>
          <w14:textFill>
            <w14:solidFill>
              <w14:schemeClr w14:val="tx1"/>
            </w14:solidFill>
          </w14:textFill>
        </w:rPr>
        <w:t xml:space="preserve"> 钻井工程工艺流程及产污环节图</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1）钻井</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工程采用常规钻井工艺，双电机同时钻井，钻井工程作业正常情况下以网电为动力，停电等非正常情况下以柴油机为动力，通过钻机、转盘，带动钻杆切削地层，同时用泥浆泵经钻杆向井内注入高压泥浆，冲刷井底，将切削下的岩屑不断带至地面，整个过程循环进行，使井不断加深，直至目的井深。钻井中途会停钻，以起下钻具更换钻头、下套管、固井、替换洗井液、设备检修等。钻井工艺设备组成示意见</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REF _Ref142597382 \h  \* MERGEFORMAT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图3.3</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9</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w:t>
      </w:r>
    </w:p>
    <w:p>
      <w:pPr>
        <w:pStyle w:val="92"/>
        <w:rPr>
          <w:color w:val="000000" w:themeColor="text1"/>
          <w14:textFill>
            <w14:solidFill>
              <w14:schemeClr w14:val="tx1"/>
            </w14:solidFill>
          </w14:textFill>
        </w:rPr>
      </w:pPr>
      <w:r>
        <w:rPr>
          <w:rFonts w:eastAsia="黑体"/>
          <w:color w:val="000000" w:themeColor="text1"/>
          <w:lang w:eastAsia="zh-CN"/>
          <w14:textFill>
            <w14:solidFill>
              <w14:schemeClr w14:val="tx1"/>
            </w14:solidFill>
          </w14:textFill>
        </w:rPr>
        <w:drawing>
          <wp:inline distT="0" distB="0" distL="0" distR="0">
            <wp:extent cx="2576830" cy="3432175"/>
            <wp:effectExtent l="0" t="0" r="0" b="0"/>
            <wp:docPr id="1631" name="图片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图片 1631"/>
                    <pic:cNvPicPr>
                      <a:picLocks noChangeAspect="1" noChangeArrowheads="1"/>
                    </pic:cNvPicPr>
                  </pic:nvPicPr>
                  <pic:blipFill>
                    <a:blip r:embed="rId58">
                      <a:extLst>
                        <a:ext uri="{28A0092B-C50C-407E-A947-70E740481C1C}">
                          <a14:useLocalDpi xmlns:a14="http://schemas.microsoft.com/office/drawing/2010/main" val="0"/>
                        </a:ext>
                      </a:extLst>
                    </a:blip>
                    <a:srcRect l="22397"/>
                    <a:stretch>
                      <a:fillRect/>
                    </a:stretch>
                  </pic:blipFill>
                  <pic:spPr>
                    <a:xfrm>
                      <a:off x="0" y="0"/>
                      <a:ext cx="2576830" cy="3432175"/>
                    </a:xfrm>
                    <a:prstGeom prst="rect">
                      <a:avLst/>
                    </a:prstGeom>
                    <a:noFill/>
                    <a:ln>
                      <a:noFill/>
                    </a:ln>
                  </pic:spPr>
                </pic:pic>
              </a:graphicData>
            </a:graphic>
          </wp:inline>
        </w:drawing>
      </w:r>
    </w:p>
    <w:p>
      <w:pPr>
        <w:pStyle w:val="161"/>
        <w:rPr>
          <w:color w:val="000000" w:themeColor="text1"/>
          <w14:textFill>
            <w14:solidFill>
              <w14:schemeClr w14:val="tx1"/>
            </w14:solidFill>
          </w14:textFill>
        </w:rPr>
      </w:pPr>
      <w:bookmarkStart w:id="132" w:name="_Ref142597382"/>
      <w:r>
        <w:rPr>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图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w:t>
      </w:r>
      <w:r>
        <w:rPr>
          <w:color w:val="000000" w:themeColor="text1"/>
          <w14:textFill>
            <w14:solidFill>
              <w14:schemeClr w14:val="tx1"/>
            </w14:solidFill>
          </w14:textFill>
        </w:rPr>
        <w:fldChar w:fldCharType="end"/>
      </w:r>
      <w:bookmarkEnd w:id="132"/>
      <w:r>
        <w:rPr>
          <w:color w:val="000000" w:themeColor="text1"/>
          <w14:textFill>
            <w14:solidFill>
              <w14:schemeClr w14:val="tx1"/>
            </w14:solidFill>
          </w14:textFill>
        </w:rPr>
        <w:t xml:space="preserve"> 钻井工艺设备组成示意图</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2）钻井液循环系统</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钻井泥浆系统是钻井工程的核心部分，钻井泥浆分为可生物降解、水基、油基三种，清洁性能依次减弱。本工程采用的钻井泥浆为水基钻井泥浆（若遇特殊地层情况，三开段可能会转为油基钻井），不含重金属物质。泥浆循环系统主要包括钻井液振动筛、真空除气器、除砂器、除泥器，除砂除泥一体机、液气分离器、搅拌器、砂泵、泥浆罐等石油钻井固控设备及成套泥浆循环系统，泥浆循环系统，适用于油井、水井钻探中泥浆循环作业。箱体外壳均用钢板压制成型，外形美观，强度高。</w:t>
      </w:r>
    </w:p>
    <w:p>
      <w:pPr>
        <w:ind w:firstLine="480"/>
        <w:rPr>
          <w:rFonts w:cs="Times New Roman"/>
          <w:color w:val="000000" w:themeColor="text1"/>
          <w14:textFill>
            <w14:solidFill>
              <w14:schemeClr w14:val="tx1"/>
            </w14:solidFill>
          </w14:textFill>
        </w:rPr>
      </w:pPr>
      <w:bookmarkStart w:id="133" w:name="_Hlk90917264"/>
      <w:r>
        <w:rPr>
          <w:rFonts w:cs="Times New Roman"/>
          <w:color w:val="000000" w:themeColor="text1"/>
          <w14:textFill>
            <w14:solidFill>
              <w14:schemeClr w14:val="tx1"/>
            </w14:solidFill>
          </w14:textFill>
        </w:rPr>
        <w:t>钻井泥浆泵经钻杆向井内注入高压钻井泥浆，通过钻头挤入井底，冲刷井底，将钻头切削下的岩屑不断地带至地面，通过泥浆循环系统实现泥浆与岩屑的分离，回收泥浆进入泥浆罐再利用。本项目气井</w:t>
      </w:r>
      <w:r>
        <w:rPr>
          <w:rFonts w:cs="Times New Roman"/>
          <w:color w:val="000000" w:themeColor="text1"/>
          <w:szCs w:val="24"/>
          <w14:textFill>
            <w14:solidFill>
              <w14:schemeClr w14:val="tx1"/>
            </w14:solidFill>
          </w14:textFill>
        </w:rPr>
        <w:t>导管段选用清水钻进，</w:t>
      </w:r>
      <w:r>
        <w:rPr>
          <w:rFonts w:cs="Times New Roman"/>
          <w:color w:val="000000" w:themeColor="text1"/>
          <w:kern w:val="0"/>
          <w:szCs w:val="20"/>
          <w14:textFill>
            <w14:solidFill>
              <w14:schemeClr w14:val="tx1"/>
            </w14:solidFill>
          </w14:textFill>
        </w:rPr>
        <w:t>一开采用气体钻井/氯化钾聚合物钻井液体系</w:t>
      </w:r>
      <w:r>
        <w:rPr>
          <w:rFonts w:cs="Times New Roman"/>
          <w:color w:val="000000" w:themeColor="text1"/>
          <w14:textFill>
            <w14:solidFill>
              <w14:schemeClr w14:val="tx1"/>
            </w14:solidFill>
          </w14:textFill>
        </w:rPr>
        <w:t>，二开采用</w:t>
      </w:r>
      <w:r>
        <w:rPr>
          <w:rFonts w:cs="Times New Roman"/>
          <w:color w:val="000000" w:themeColor="text1"/>
          <w:kern w:val="0"/>
          <w:szCs w:val="20"/>
          <w14:textFill>
            <w14:solidFill>
              <w14:schemeClr w14:val="tx1"/>
            </w14:solidFill>
          </w14:textFill>
        </w:rPr>
        <w:t>气体钻井/氯化钾</w:t>
      </w:r>
      <w:r>
        <w:rPr>
          <w:rFonts w:cs="Times New Roman"/>
          <w:color w:val="000000" w:themeColor="text1"/>
          <w14:textFill>
            <w14:solidFill>
              <w14:schemeClr w14:val="tx1"/>
            </w14:solidFill>
          </w14:textFill>
        </w:rPr>
        <w:t>聚合物防塌钻井液体系，三开采用有机盐无黏土相钻井液体系（若遇特殊地层情况，三开段可能会转为油基钻井），有利于降低作业成本，减少对地层污染。钻井过程严格按照中国石油化工股份有限公司中原油田普光分公司钻井作业指导书进行，强化泥浆的循环利用率。完井后泥浆循环系统中产生的合格泥浆暂存在泥浆储备罐内，用于区域内其他井水基泥浆配置。钻井过程中产生的废弃泥浆通过现场泥浆不落地工艺进行固液分离，回收上清液用于泥浆配置，剩余废水定期由罐车拉运至赵家坝污水处理站达标后管输至普光11井回注站回注，不外排；水基钻井固废及时转运至</w:t>
      </w:r>
      <w:r>
        <w:rPr>
          <w:color w:val="000000" w:themeColor="text1"/>
          <w:szCs w:val="24"/>
          <w14:textFill>
            <w14:solidFill>
              <w14:schemeClr w14:val="tx1"/>
            </w14:solidFill>
          </w14:textFill>
        </w:rPr>
        <w:t>达州地区环保手续齐全、环保设施稳定运行固废烧结厂进行烧结后综合利用</w:t>
      </w:r>
      <w:r>
        <w:rPr>
          <w:rFonts w:cs="Times New Roman"/>
          <w:color w:val="000000" w:themeColor="text1"/>
          <w14:textFill>
            <w14:solidFill>
              <w14:schemeClr w14:val="tx1"/>
            </w14:solidFill>
          </w14:textFill>
        </w:rPr>
        <w:t>。如遇特殊地层，油基钻井废泥浆、岩屑暂存于新建的60m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危险废物暂存场所（采取必要的防风、防晒、防雨、防漏、防渗、防腐以及其他环境污染防治措施，不得露天堆放危险废物），泥浆和油基钻井岩屑及时后交由有资质的单位处置。</w:t>
      </w:r>
      <w:bookmarkEnd w:id="133"/>
    </w:p>
    <w:p>
      <w:pPr>
        <w:ind w:firstLine="480"/>
        <w:rPr>
          <w:rFonts w:cs="Times New Roman"/>
          <w:color w:val="000000" w:themeColor="text1"/>
          <w14:textFill>
            <w14:solidFill>
              <w14:schemeClr w14:val="tx1"/>
            </w14:solidFill>
          </w14:textFill>
        </w:rPr>
      </w:pPr>
      <w:bookmarkStart w:id="134" w:name="_Ref142906909"/>
      <w:r>
        <w:rPr>
          <w:rFonts w:cs="Times New Roman"/>
          <w:color w:val="000000" w:themeColor="text1"/>
          <w14:textFill>
            <w14:solidFill>
              <w14:schemeClr w14:val="tx1"/>
            </w14:solidFill>
          </w14:textFill>
        </w:rPr>
        <w:t>3）清洁化操作工艺</w:t>
      </w:r>
    </w:p>
    <w:p>
      <w:pPr>
        <w:ind w:firstLine="480"/>
        <w:rPr>
          <w:rFonts w:cs="Times New Roman"/>
          <w:color w:val="000000" w:themeColor="text1"/>
          <w14:textFill>
            <w14:solidFill>
              <w14:schemeClr w14:val="tx1"/>
            </w14:solidFill>
          </w14:textFill>
        </w:rPr>
      </w:pPr>
      <w:bookmarkStart w:id="135" w:name="_Hlk107412190"/>
      <w:r>
        <w:rPr>
          <w:rFonts w:cs="Times New Roman"/>
          <w:color w:val="000000" w:themeColor="text1"/>
          <w14:textFill>
            <w14:solidFill>
              <w14:schemeClr w14:val="tx1"/>
            </w14:solidFill>
          </w14:textFill>
        </w:rPr>
        <w:t>由于钻井工程按照清洁化生产方案组织钻井施工，实施的清洁生产分为收集、处理系统两部分，主要对钻井过程产生的废泥浆及岩屑实时处理、设备冲洗废水实时处理和场地雨水收集处理排放，随钻不落地处置工艺流程图</w:t>
      </w:r>
      <w:bookmarkEnd w:id="135"/>
      <w:r>
        <w:rPr>
          <w:rFonts w:cs="Times New Roman"/>
          <w:color w:val="000000" w:themeColor="text1"/>
          <w14:textFill>
            <w14:solidFill>
              <w14:schemeClr w14:val="tx1"/>
            </w14:solidFill>
          </w14:textFill>
        </w:rPr>
        <w:t>见下图：</w:t>
      </w:r>
    </w:p>
    <w:p>
      <w:pPr>
        <w:pStyle w:val="161"/>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6850" cy="3157855"/>
            <wp:effectExtent l="0" t="0" r="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9"/>
                    <a:stretch>
                      <a:fillRect/>
                    </a:stretch>
                  </pic:blipFill>
                  <pic:spPr>
                    <a:xfrm>
                      <a:off x="0" y="0"/>
                      <a:ext cx="5276850" cy="3157855"/>
                    </a:xfrm>
                    <a:prstGeom prst="rect">
                      <a:avLst/>
                    </a:prstGeom>
                  </pic:spPr>
                </pic:pic>
              </a:graphicData>
            </a:graphic>
          </wp:inline>
        </w:drawing>
      </w:r>
      <w:r>
        <w:rPr>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图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w:t>
      </w:r>
      <w:r>
        <w:rPr>
          <w:color w:val="000000" w:themeColor="text1"/>
          <w14:textFill>
            <w14:solidFill>
              <w14:schemeClr w14:val="tx1"/>
            </w14:solidFill>
          </w14:textFill>
        </w:rPr>
        <w:fldChar w:fldCharType="end"/>
      </w:r>
      <w:bookmarkEnd w:id="134"/>
      <w:r>
        <w:rPr>
          <w:color w:val="000000" w:themeColor="text1"/>
          <w14:textFill>
            <w14:solidFill>
              <w14:schemeClr w14:val="tx1"/>
            </w14:solidFill>
          </w14:textFill>
        </w:rPr>
        <w:t xml:space="preserve"> 随钻不落地处置工艺</w:t>
      </w:r>
      <w:bookmarkStart w:id="136" w:name="_Hlk152596808"/>
      <w:r>
        <w:rPr>
          <w:color w:val="000000" w:themeColor="text1"/>
          <w14:textFill>
            <w14:solidFill>
              <w14:schemeClr w14:val="tx1"/>
            </w14:solidFill>
          </w14:textFill>
        </w:rPr>
        <w:t>（清洁化操作工艺）</w:t>
      </w:r>
      <w:bookmarkEnd w:id="136"/>
      <w:r>
        <w:rPr>
          <w:color w:val="000000" w:themeColor="text1"/>
          <w14:textFill>
            <w14:solidFill>
              <w14:schemeClr w14:val="tx1"/>
            </w14:solidFill>
          </w14:textFill>
        </w:rPr>
        <w:t>流程图</w:t>
      </w:r>
    </w:p>
    <w:p>
      <w:pPr>
        <w:ind w:firstLine="480"/>
        <w:rPr>
          <w:rFonts w:cs="Times New Roman"/>
          <w:color w:val="000000" w:themeColor="text1"/>
          <w:szCs w:val="24"/>
          <w14:textFill>
            <w14:solidFill>
              <w14:schemeClr w14:val="tx1"/>
            </w14:solidFill>
          </w14:textFill>
        </w:rPr>
      </w:pPr>
      <w:r>
        <w:rPr>
          <w:rFonts w:cs="Times New Roman"/>
          <w:szCs w:val="24"/>
        </w:rPr>
        <w:t>随钻不落地处理工艺含泥浆不落地装置一套，占地面积660m</w:t>
      </w:r>
      <w:r>
        <w:rPr>
          <w:rFonts w:cs="Times New Roman"/>
          <w:szCs w:val="24"/>
          <w:vertAlign w:val="superscript"/>
        </w:rPr>
        <w:t>2</w:t>
      </w:r>
      <w:r>
        <w:rPr>
          <w:rFonts w:cs="Times New Roman"/>
          <w:szCs w:val="24"/>
        </w:rPr>
        <w:t>。主要</w:t>
      </w:r>
      <w:r>
        <w:rPr>
          <w:rFonts w:hint="eastAsia" w:cs="Times New Roman"/>
          <w:szCs w:val="24"/>
        </w:rPr>
        <w:t>布置</w:t>
      </w:r>
      <w:r>
        <w:rPr>
          <w:rFonts w:cs="Times New Roman"/>
          <w:szCs w:val="24"/>
        </w:rPr>
        <w:t>40m</w:t>
      </w:r>
      <w:r>
        <w:rPr>
          <w:rFonts w:cs="Times New Roman"/>
          <w:szCs w:val="24"/>
          <w:vertAlign w:val="superscript"/>
        </w:rPr>
        <w:t>3</w:t>
      </w:r>
      <w:r>
        <w:rPr>
          <w:rFonts w:cs="Times New Roman"/>
          <w:szCs w:val="24"/>
        </w:rPr>
        <w:t>废水罐4个</w:t>
      </w:r>
      <w:r>
        <w:rPr>
          <w:rFonts w:hint="eastAsia" w:cs="Times New Roman"/>
          <w:szCs w:val="24"/>
        </w:rPr>
        <w:t>、</w:t>
      </w:r>
      <w:r>
        <w:rPr>
          <w:rFonts w:cs="Times New Roman"/>
          <w:szCs w:val="24"/>
        </w:rPr>
        <w:t>20m</w:t>
      </w:r>
      <w:r>
        <w:rPr>
          <w:rFonts w:cs="Times New Roman"/>
          <w:szCs w:val="24"/>
          <w:vertAlign w:val="superscript"/>
        </w:rPr>
        <w:t>3</w:t>
      </w:r>
      <w:r>
        <w:rPr>
          <w:rFonts w:cs="Times New Roman"/>
          <w:szCs w:val="24"/>
        </w:rPr>
        <w:t>岩屑固化罐4个</w:t>
      </w:r>
      <w:r>
        <w:rPr>
          <w:rFonts w:hint="eastAsia" w:cs="Times New Roman"/>
          <w:szCs w:val="24"/>
        </w:rPr>
        <w:t>、</w:t>
      </w:r>
      <w:r>
        <w:rPr>
          <w:rFonts w:cs="Times New Roman"/>
          <w:szCs w:val="24"/>
        </w:rPr>
        <w:t>3m</w:t>
      </w:r>
      <w:r>
        <w:rPr>
          <w:rFonts w:cs="Times New Roman"/>
          <w:szCs w:val="24"/>
          <w:vertAlign w:val="superscript"/>
        </w:rPr>
        <w:t>3</w:t>
      </w:r>
      <w:r>
        <w:rPr>
          <w:rFonts w:cs="Times New Roman"/>
          <w:szCs w:val="24"/>
        </w:rPr>
        <w:t>岩屑收集罐8个。</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cs="Times New Roman"/>
          <w:color w:val="000000" w:themeColor="text1"/>
          <w14:textFill>
            <w14:solidFill>
              <w14:schemeClr w14:val="tx1"/>
            </w14:solidFill>
          </w14:textFill>
        </w:rPr>
        <w:t>泥浆循环及岩屑处理清洁生产方案</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在清水及水基泥浆钻井过程中，仅泥浆参与钻井循环带动钻头不断钻进地层，井下岩屑也随钻井泥浆一并返排地面，返排泥浆经钻井泥浆循环系统自带的振动筛分、除砂分离后分离成三部分：</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A可循环利用钻井泥浆：直接再次进入泥浆循环系统，重复利用于钻井作业，减少钻井泥浆的调配量；</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B废泥浆：泥浆循环系统分离产生的废泥浆（失效泥浆），通过螺旋输送装置输送进收集罐，收集后叉车转运至井场旁的清洁生产操作平台再次进行脱水处理，脱水产生的废水经固化操作平台内的废水处理罐混凝沉淀处理后，上清液重复利用于钻井泥浆现场调配生产用水，下部沉淀污泥和脱水后的泥浆由叉车转运至固化罐进行固化后，外运至有处理能力和接收能力的</w:t>
      </w:r>
      <w:r>
        <w:rPr>
          <w:rFonts w:hint="eastAsia" w:cs="Times New Roman"/>
          <w:color w:val="000000" w:themeColor="text1"/>
          <w14:textFill>
            <w14:solidFill>
              <w14:schemeClr w14:val="tx1"/>
            </w14:solidFill>
          </w14:textFill>
        </w:rPr>
        <w:t>固废烧结厂</w:t>
      </w:r>
      <w:r>
        <w:rPr>
          <w:rFonts w:cs="Times New Roman"/>
          <w:color w:val="000000" w:themeColor="text1"/>
          <w14:textFill>
            <w14:solidFill>
              <w14:schemeClr w14:val="tx1"/>
            </w14:solidFill>
          </w14:textFill>
        </w:rPr>
        <w:t>资源化利用；</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C钻井岩屑：振动筛分分离产生的岩屑离由螺旋输送装置输送进岩屑收集罐，收集后叉车转运至井场旁的清洁生产操作平台固化罐进行固化。岩屑经固化罐进行固化后，前期一至二开钻井产生的水基岩屑外运至有处理能力和接收能力的</w:t>
      </w:r>
      <w:r>
        <w:rPr>
          <w:rFonts w:hint="eastAsia" w:cs="Times New Roman"/>
          <w:color w:val="000000" w:themeColor="text1"/>
          <w14:textFill>
            <w14:solidFill>
              <w14:schemeClr w14:val="tx1"/>
            </w14:solidFill>
          </w14:textFill>
        </w:rPr>
        <w:t>固废烧结厂</w:t>
      </w:r>
      <w:r>
        <w:rPr>
          <w:rFonts w:cs="Times New Roman"/>
          <w:color w:val="000000" w:themeColor="text1"/>
          <w14:textFill>
            <w14:solidFill>
              <w14:schemeClr w14:val="tx1"/>
            </w14:solidFill>
          </w14:textFill>
        </w:rPr>
        <w:t>资源化利用。</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水基泥浆、岩屑固化工艺：泥浆、岩屑通过机械设备进行脱水。固化剂包括传统固化剂、聚合氯化铝、石灰等不含Fe、Mg离子的碱性药剂。固液分离后含水率小于等于60%的固相转运至岩屑堆放区暂存，定期外运至有处理能力和接收能力的砖厂制砖资源化利用，含水率高于60%的部分则再次进行固化处理，直至含水率降低至60%以下。固化预处理使用一般水基钻屑固化剂，处置过程中应控制Ca离子的掺入，包括硅酸盐水泥或含Ca离子为主的固化剂，使用此类药剂时，其与水基钻屑质量比应控制在4%以内。分离出的液相导入其它暂存罐收集，达到回用要求的液相抽至井队配浆罐回用，达不到回用要求的液相暂存于暂存罐，外运处置。钻井废弃物通过上述脱水工艺处理后，固相含水率≤60%，转运外委处置。</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rFonts w:cs="Times New Roman"/>
          <w:color w:val="000000" w:themeColor="text1"/>
          <w14:textFill>
            <w14:solidFill>
              <w14:schemeClr w14:val="tx1"/>
            </w14:solidFill>
          </w14:textFill>
        </w:rPr>
        <w:t>油基泥浆循环及岩屑处理清洁生产方案</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油基钻井作业：本项目三开段可能采用油基钻井液钻井，钻井过程中以钻井液作为载体将岩屑带至地面，返排钻井液与岩屑混合物经钻井液循环处理系统固液分离</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实现钻井液的循环利用，分离的固相（钻井岩屑）进入油基钻井液清洁化生产随钻处理系统处理。油基钻井液清洁化生产随钻处理系统由收集油基钻井液钻井污染物清洁生产随钻处理系统单元、输送装置（螺旋输送机）、脱油装置（油基岩屑和废弃油基钻井泥浆甩干机1套）三部分组成，实现对油基岩屑和废弃油基钻井泥浆和钻井废水等污染物的随钻处理。</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清洁生产随钻处理系统工艺步骤：钻井液循环处理系统分离的油基钻井岩屑（振动筛和除砂器、除泥器分离的岩屑）收集后通过螺旋输送机送入油基岩屑和废弃油基钻井泥浆甩干机处理，甩干后的干岩屑通过岩屑收集罐和储存罐收集，暂存在清洁化操作平台，及时交有资质单位外运处置，甩干机分离后的液体钻井液进入钻井液循环系统重新用于钻井。</w:t>
      </w:r>
    </w:p>
    <w:p>
      <w:pPr>
        <w:ind w:firstLine="480"/>
        <w:rPr>
          <w:rFonts w:cs="Times New Roman"/>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清洁生产随钻处理系统分离后的油基岩屑和废弃油基钻井泥浆，转移至清洁化操作平台岩屑堆放区（按危废贮存场地采取防渗、防扩散、防流失措施）暂存，及时交由危废处置资质单位妥善处置</w:t>
      </w:r>
      <w:r>
        <w:rPr>
          <w:rFonts w:cs="Times New Roman"/>
          <w:color w:val="000000" w:themeColor="text1"/>
          <w:szCs w:val="24"/>
          <w14:textFill>
            <w14:solidFill>
              <w14:schemeClr w14:val="tx1"/>
            </w14:solidFill>
          </w14:textFill>
        </w:rPr>
        <w:t>。</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4）测井、取心、录井</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测井是把利用电、磁、声、热、核等物理原理制造的各种测井仪器，由测井电缆下入井内，使地面电测仪可沿着井筒连续记录随深度变化的各种参数。通过表示这类参数的曲线，来识别地下的岩层，如油、气、水层、煤层、金属矿床等。</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取心是在钻井过程中使用特殊的取心工具把地下岩石成块地取到地面上来，这种成块的岩石叫做岩心，通过它可以测定岩石的各种性质，直观地研究地下构造和岩石沉积环境，了解其中的流体性质等。</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录井是根据</w:t>
      </w:r>
      <w:r>
        <w:fldChar w:fldCharType="begin"/>
      </w:r>
      <w:r>
        <w:instrText xml:space="preserve"> HYPERLINK "http://baike.baidu.com/view/1231512.htm" \t "_blank" </w:instrText>
      </w:r>
      <w:r>
        <w:fldChar w:fldCharType="separate"/>
      </w:r>
      <w:r>
        <w:rPr>
          <w:rFonts w:cs="Times New Roman"/>
          <w:color w:val="000000" w:themeColor="text1"/>
          <w:szCs w:val="24"/>
          <w14:textFill>
            <w14:solidFill>
              <w14:schemeClr w14:val="tx1"/>
            </w14:solidFill>
          </w14:textFill>
        </w:rPr>
        <w:t>测井</w:t>
      </w:r>
      <w:r>
        <w:rPr>
          <w:rFonts w:cs="Times New Roman"/>
          <w:color w:val="000000" w:themeColor="text1"/>
          <w:szCs w:val="24"/>
          <w14:textFill>
            <w14:solidFill>
              <w14:schemeClr w14:val="tx1"/>
            </w14:solidFill>
          </w14:textFill>
        </w:rPr>
        <w:fldChar w:fldCharType="end"/>
      </w:r>
      <w:r>
        <w:rPr>
          <w:rFonts w:cs="Times New Roman"/>
          <w:color w:val="000000" w:themeColor="text1"/>
          <w:szCs w:val="24"/>
          <w14:textFill>
            <w14:solidFill>
              <w14:schemeClr w14:val="tx1"/>
            </w14:solidFill>
          </w14:textFill>
        </w:rPr>
        <w:t>数据、现场录井数据及综合分析化验数据进行岩性解释、归位，确定含油、气、水产状。</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测井、取心、录井主要就是取样分析地质等情况，该过程基本不涉及污染物。</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5）固井作业</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固井是钻井达到预定深度后，下入套管并注入水泥浆，封固套管和井壁之间的环形空间的作业。固井的主要目的是封隔疏松的易塌、易漏地层；封隔油、气、水层，防止互相窜漏。固井作业的主要设备有水泥车、下灰罐车、混合漏斗和其他附属设备等。</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固井是钻井过程中的重要作业，最上面的固井是</w:t>
      </w:r>
      <w:r>
        <w:fldChar w:fldCharType="begin"/>
      </w:r>
      <w:r>
        <w:instrText xml:space="preserve"> HYPERLINK "http://baike.baidu.com/view/2376304.htm" \t "_blank" </w:instrText>
      </w:r>
      <w:r>
        <w:fldChar w:fldCharType="separate"/>
      </w:r>
      <w:r>
        <w:rPr>
          <w:rFonts w:cs="Times New Roman"/>
          <w:color w:val="000000" w:themeColor="text1"/>
          <w:szCs w:val="24"/>
          <w14:textFill>
            <w14:solidFill>
              <w14:schemeClr w14:val="tx1"/>
            </w14:solidFill>
          </w14:textFill>
        </w:rPr>
        <w:t>表层套管</w:t>
      </w:r>
      <w:r>
        <w:rPr>
          <w:rFonts w:cs="Times New Roman"/>
          <w:color w:val="000000" w:themeColor="text1"/>
          <w:szCs w:val="24"/>
          <w14:textFill>
            <w14:solidFill>
              <w14:schemeClr w14:val="tx1"/>
            </w14:solidFill>
          </w14:textFill>
        </w:rPr>
        <w:fldChar w:fldCharType="end"/>
      </w:r>
      <w:r>
        <w:rPr>
          <w:rFonts w:cs="Times New Roman"/>
          <w:color w:val="000000" w:themeColor="text1"/>
          <w:szCs w:val="24"/>
          <w14:textFill>
            <w14:solidFill>
              <w14:schemeClr w14:val="tx1"/>
            </w14:solidFill>
          </w14:textFill>
        </w:rPr>
        <w:t>固井，它起的是“泥浆通路，油气门户”的作用。在下一次开钻之前，表层套管上要装防喷器预防井喷。防喷器之上要装泥浆导管，是</w:t>
      </w:r>
      <w:r>
        <w:fldChar w:fldCharType="begin"/>
      </w:r>
      <w:r>
        <w:instrText xml:space="preserve"> HYPERLINK "http://baike.baidu.com/view/94622.htm" \t "_blank" </w:instrText>
      </w:r>
      <w:r>
        <w:fldChar w:fldCharType="separate"/>
      </w:r>
      <w:r>
        <w:rPr>
          <w:rFonts w:cs="Times New Roman"/>
          <w:color w:val="000000" w:themeColor="text1"/>
          <w:szCs w:val="24"/>
          <w14:textFill>
            <w14:solidFill>
              <w14:schemeClr w14:val="tx1"/>
            </w14:solidFill>
          </w14:textFill>
        </w:rPr>
        <w:t>钻井液</w:t>
      </w:r>
      <w:r>
        <w:rPr>
          <w:rFonts w:cs="Times New Roman"/>
          <w:color w:val="000000" w:themeColor="text1"/>
          <w:szCs w:val="24"/>
          <w14:textFill>
            <w14:solidFill>
              <w14:schemeClr w14:val="tx1"/>
            </w14:solidFill>
          </w14:textFill>
        </w:rPr>
        <w:fldChar w:fldCharType="end"/>
      </w:r>
      <w:r>
        <w:rPr>
          <w:rFonts w:cs="Times New Roman"/>
          <w:color w:val="000000" w:themeColor="text1"/>
          <w:szCs w:val="24"/>
          <w14:textFill>
            <w14:solidFill>
              <w14:schemeClr w14:val="tx1"/>
            </w14:solidFill>
          </w14:textFill>
        </w:rPr>
        <w:t>返回泥浆池的通路。钻井过程中往往要下技术套管固井，它起的是“巩固后方，安全探路”的作用。和公路的隧道、煤矿中的巷道一样，钻井过程中也会遇到井塌、高压和不稳定的地层，同时也是为了在向前“探路”中遇险有个退路，起到“救助”的作用。</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固井主要是注入水泥，基本无污染物产生，固井过程分为三步如下：</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下套管：套管有不同的尺寸和钢级。根据用途、地层预测压力和套管下入深度设计套管的强度，确定套管的使用壁厚，钢级和丝扣类型。套管与钻杆不同，是一次性下入的管材，没有加厚部分，长度没有严格规定。为保证固井质量和顺利地下入套管，要做套管柱的结构设计。</w:t>
      </w:r>
      <w:bookmarkStart w:id="137" w:name="4_2"/>
      <w:bookmarkEnd w:id="137"/>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注水泥：是套管下入井后的关键工序，其作用是将套管和井壁的环形空间封固起来，以封隔油气水层，使套管成为油气通向井中的通道。</w:t>
      </w:r>
      <w:bookmarkStart w:id="138" w:name="4_5"/>
      <w:bookmarkEnd w:id="138"/>
      <w:bookmarkStart w:id="139" w:name="4_3"/>
      <w:bookmarkEnd w:id="139"/>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井口安装和套管试压，下套管注水泥之后，在水泥凝固期间就要安装井口。表层套管的顶端要安套管头的壳体。各层套管的顶端都挂在套管头内，套管头主要用来支撑技术套管和油层套管的重量，这对</w:t>
      </w:r>
      <w:r>
        <w:fldChar w:fldCharType="begin"/>
      </w:r>
      <w:r>
        <w:instrText xml:space="preserve"> HYPERLINK "http://baike.baidu.com/view/2326697.htm" \t "_blank" </w:instrText>
      </w:r>
      <w:r>
        <w:fldChar w:fldCharType="separate"/>
      </w:r>
      <w:r>
        <w:rPr>
          <w:rFonts w:cs="Times New Roman"/>
          <w:color w:val="000000" w:themeColor="text1"/>
          <w:szCs w:val="24"/>
          <w14:textFill>
            <w14:solidFill>
              <w14:schemeClr w14:val="tx1"/>
            </w14:solidFill>
          </w14:textFill>
        </w:rPr>
        <w:t>固井水泥</w:t>
      </w:r>
      <w:r>
        <w:rPr>
          <w:rFonts w:cs="Times New Roman"/>
          <w:color w:val="000000" w:themeColor="text1"/>
          <w:szCs w:val="24"/>
          <w14:textFill>
            <w14:solidFill>
              <w14:schemeClr w14:val="tx1"/>
            </w14:solidFill>
          </w14:textFill>
        </w:rPr>
        <w:fldChar w:fldCharType="end"/>
      </w:r>
      <w:r>
        <w:rPr>
          <w:rFonts w:cs="Times New Roman"/>
          <w:color w:val="000000" w:themeColor="text1"/>
          <w:szCs w:val="24"/>
          <w14:textFill>
            <w14:solidFill>
              <w14:schemeClr w14:val="tx1"/>
            </w14:solidFill>
          </w14:textFill>
        </w:rPr>
        <w:t>未返至地面尤为重要。套管头还用来密封套管间的环形空间，防止压力互窜。套管头还是防喷器、油管头的过渡连接。陆地上使用的套管头上还有两个侧口，可以进行补挤水泥、监控井况、注平衡液等作业。</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套管试压是检查固井质量的重要组成部分。安装好套管头和接好防喷器及防喷管线后，要做套管头密封的耐压力检查，和与防喷器联接的密封试压。探套管内水泥塞后要做套管柱的压力检验，钻穿套管鞋5～10m后（表层套管）要做地层压裂试验。固井后要用声波检测固井质量。固井质量的全部指标合格后，才能进入到下一个作业程序。</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6）压裂测试作业</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井完钻后进行完井测试，按照本项目钻井设计，钻井中途不测试，仅在钻至目的层时测试放喷求产。完井作业包括洗井、射孔、酸化压裂、测试放喷等过程。其中酸化压裂和测试放喷是最主要工序，也是主要产生污染物排放的工艺环节。</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①</w:t>
      </w:r>
      <w:r>
        <w:rPr>
          <w:rFonts w:cs="Times New Roman"/>
          <w:color w:val="000000" w:themeColor="text1"/>
          <w:szCs w:val="24"/>
          <w14:textFill>
            <w14:solidFill>
              <w14:schemeClr w14:val="tx1"/>
            </w14:solidFill>
          </w14:textFill>
        </w:rPr>
        <w:t>洗井作业</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当钻至目的层后，首先是进行洗井作业，采用碱水进行洗井作业，洗井作业首先在井筒内下入洗井管柱，洗井液由井筒注入清洗井壁，清洗后通过位于井底的返液口经洗井管柱返回地面。该环节的主要污染物为返回地面的洗井废水。</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②</w:t>
      </w:r>
      <w:r>
        <w:rPr>
          <w:rFonts w:cs="Times New Roman"/>
          <w:color w:val="000000" w:themeColor="text1"/>
          <w:szCs w:val="24"/>
          <w14:textFill>
            <w14:solidFill>
              <w14:schemeClr w14:val="tx1"/>
            </w14:solidFill>
          </w14:textFill>
        </w:rPr>
        <w:t>射孔作业</w:t>
      </w:r>
    </w:p>
    <w:p>
      <w:pPr>
        <w:ind w:firstLine="480"/>
        <w:jc w:val="left"/>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洗净作业完成后，将进行射孔作业，射孔完井是指下入油层套管封固产层后再用射孔弹将套管、水泥环、部分产层射穿，形成油气流通通道。射穿产层后油气井的生产能力受产层压力、产层性质和射孔参数及质量影响。采用油管传输射孔工艺，</w:t>
      </w:r>
      <w:r>
        <w:rPr>
          <w:rFonts w:hint="eastAsia" w:cs="Times New Roman"/>
          <w:color w:val="000000" w:themeColor="text1"/>
          <w:szCs w:val="24"/>
          <w14:textFill>
            <w14:solidFill>
              <w14:schemeClr w14:val="tx1"/>
            </w14:solidFill>
          </w14:textFill>
        </w:rPr>
        <w:t>环空</w:t>
      </w:r>
      <w:r>
        <w:rPr>
          <w:rFonts w:cs="Times New Roman"/>
          <w:color w:val="000000" w:themeColor="text1"/>
          <w:szCs w:val="24"/>
          <w14:textFill>
            <w14:solidFill>
              <w14:schemeClr w14:val="tx1"/>
            </w14:solidFill>
          </w14:textFill>
        </w:rPr>
        <w:t>加压起爆，分段延时起爆，一次性射开飞仙关组储层。采用Φ89mm防硫枪+深穿透射孔弹，相位角60°</w:t>
      </w:r>
      <w:r>
        <w:rPr>
          <w:rFonts w:hint="eastAsia" w:cs="Times New Roman"/>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螺旋布孔。</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③</w:t>
      </w:r>
      <w:r>
        <w:rPr>
          <w:rFonts w:cs="Times New Roman"/>
          <w:color w:val="000000" w:themeColor="text1"/>
          <w:szCs w:val="24"/>
          <w14:textFill>
            <w14:solidFill>
              <w14:schemeClr w14:val="tx1"/>
            </w14:solidFill>
          </w14:textFill>
        </w:rPr>
        <w:t>完井管柱</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采用分</w:t>
      </w:r>
      <w:r>
        <w:rPr>
          <w:rFonts w:hint="eastAsia" w:cs="Times New Roman"/>
          <w:color w:val="000000" w:themeColor="text1"/>
          <w:szCs w:val="24"/>
          <w14:textFill>
            <w14:solidFill>
              <w14:schemeClr w14:val="tx1"/>
            </w14:solidFill>
          </w14:textFill>
        </w:rPr>
        <w:t>两</w:t>
      </w:r>
      <w:r>
        <w:rPr>
          <w:rFonts w:cs="Times New Roman"/>
          <w:color w:val="000000" w:themeColor="text1"/>
          <w:szCs w:val="24"/>
          <w14:textFill>
            <w14:solidFill>
              <w14:schemeClr w14:val="tx1"/>
            </w14:solidFill>
          </w14:textFill>
        </w:rPr>
        <w:t>段</w:t>
      </w:r>
      <w:r>
        <w:rPr>
          <w:rFonts w:hint="eastAsia" w:cs="Times New Roman"/>
          <w:color w:val="000000" w:themeColor="text1"/>
          <w:szCs w:val="24"/>
          <w14:textFill>
            <w14:solidFill>
              <w14:schemeClr w14:val="tx1"/>
            </w14:solidFill>
          </w14:textFill>
        </w:rPr>
        <w:t>四</w:t>
      </w:r>
      <w:r>
        <w:rPr>
          <w:rFonts w:cs="Times New Roman"/>
          <w:color w:val="000000" w:themeColor="text1"/>
          <w:szCs w:val="24"/>
          <w14:textFill>
            <w14:solidFill>
              <w14:schemeClr w14:val="tx1"/>
            </w14:solidFill>
          </w14:textFill>
        </w:rPr>
        <w:t>级</w:t>
      </w:r>
      <w:r>
        <w:rPr>
          <w:rFonts w:hint="eastAsia" w:cs="Times New Roman"/>
          <w:color w:val="000000" w:themeColor="text1"/>
          <w:szCs w:val="24"/>
          <w14:textFill>
            <w14:solidFill>
              <w14:schemeClr w14:val="tx1"/>
            </w14:solidFill>
          </w14:textFill>
        </w:rPr>
        <w:t>，分级</w:t>
      </w:r>
      <w:r>
        <w:rPr>
          <w:rFonts w:cs="Times New Roman"/>
          <w:color w:val="000000" w:themeColor="text1"/>
          <w:szCs w:val="24"/>
          <w14:textFill>
            <w14:solidFill>
              <w14:schemeClr w14:val="tx1"/>
            </w14:solidFill>
          </w14:textFill>
        </w:rPr>
        <w:t>酸化-生产一体化完井管柱，一趟下入；下部夹缝带分一段三级，上部普光2块飞仙关组分一段，后期择机投球打开滑套、实现上返合采；分段封隔器及以上采用4c类镍基合金油管及完井工具</w:t>
      </w:r>
      <w:r>
        <w:rPr>
          <w:rFonts w:hint="eastAsia" w:cs="Times New Roman"/>
          <w:color w:val="000000" w:themeColor="text1"/>
          <w:szCs w:val="24"/>
          <w14:textFill>
            <w14:solidFill>
              <w14:schemeClr w14:val="tx1"/>
            </w14:solidFill>
          </w14:textFill>
        </w:rPr>
        <w:t>，分段封隔器以下采用110SS油管及完井工具。</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④</w:t>
      </w:r>
      <w:r>
        <w:rPr>
          <w:rFonts w:cs="Times New Roman"/>
          <w:color w:val="000000" w:themeColor="text1"/>
          <w:szCs w:val="24"/>
          <w14:textFill>
            <w14:solidFill>
              <w14:schemeClr w14:val="tx1"/>
            </w14:solidFill>
          </w14:textFill>
        </w:rPr>
        <w:t>酸化压裂作业</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压裂是指在井筒中形成高压迫使地层形成裂缝的施工过程。本项目采用酸化压裂，使用压裂车从地面泵入酸化高压工作液，酸液在高压下进入储层，与储层中的裂缝壁面岩石反应，形成具有一定几何尺寸和导流能力的人工裂缝，以达到增产的目的。</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采用分级酸化生产一体化管柱，通过滑套进行定点酸化。压裂作业在白天进行，压裂液泵入时间约2~3小时，参与作业的压裂车4台（2用2备），压裂液的主要原料是清水、稀盐酸及一些外加剂如硼砂等。受压力作用，压裂过程会产生压裂返排液，返排周期为3天～5天。</w:t>
      </w:r>
    </w:p>
    <w:p>
      <w:pPr>
        <w:ind w:firstLine="480"/>
        <w:rPr>
          <w:rFonts w:cs="Times New Roman"/>
          <w:color w:val="000000" w:themeColor="text1"/>
          <w14:textFill>
            <w14:solidFill>
              <w14:schemeClr w14:val="tx1"/>
            </w14:solidFill>
          </w14:textFill>
        </w:rPr>
      </w:pPr>
      <w:r>
        <w:rPr>
          <w:rFonts w:cs="Times New Roman"/>
          <w:color w:val="000000" w:themeColor="text1"/>
          <w:szCs w:val="24"/>
          <w14:textFill>
            <w14:solidFill>
              <w14:schemeClr w14:val="tx1"/>
            </w14:solidFill>
          </w14:textFill>
        </w:rPr>
        <w:t>该环节产生的污染物主要为压裂作业设备产生的噪声及返排出的压裂液。压裂作业过程及压裂液使用流程见</w:t>
      </w:r>
      <w:r>
        <w:rPr>
          <w:rFonts w:cs="Times New Roman"/>
          <w:color w:val="000000" w:themeColor="text1"/>
          <w:szCs w:val="24"/>
          <w14:textFill>
            <w14:solidFill>
              <w14:schemeClr w14:val="tx1"/>
            </w14:solidFill>
          </w14:textFill>
        </w:rPr>
        <w:fldChar w:fldCharType="begin"/>
      </w:r>
      <w:r>
        <w:rPr>
          <w:rFonts w:cs="Times New Roman"/>
          <w:color w:val="000000" w:themeColor="text1"/>
          <w:szCs w:val="24"/>
          <w14:textFill>
            <w14:solidFill>
              <w14:schemeClr w14:val="tx1"/>
            </w14:solidFill>
          </w14:textFill>
        </w:rPr>
        <w:instrText xml:space="preserve"> REF _Ref142597368 \h  \* MERGEFORMAT </w:instrText>
      </w:r>
      <w:r>
        <w:rPr>
          <w:rFonts w:cs="Times New Roman"/>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图3.3</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11</w:t>
      </w:r>
      <w:r>
        <w:rPr>
          <w:rFonts w:cs="Times New Roman"/>
          <w:color w:val="000000" w:themeColor="text1"/>
          <w:szCs w:val="24"/>
          <w14:textFill>
            <w14:solidFill>
              <w14:schemeClr w14:val="tx1"/>
            </w14:solidFill>
          </w14:textFill>
        </w:rPr>
        <w:fldChar w:fldCharType="end"/>
      </w:r>
      <w:r>
        <w:rPr>
          <w:rFonts w:cs="Times New Roman"/>
          <w:color w:val="000000" w:themeColor="text1"/>
          <w14:textFill>
            <w14:solidFill>
              <w14:schemeClr w14:val="tx1"/>
            </w14:solidFill>
          </w14:textFill>
        </w:rPr>
        <w:t>。</w:t>
      </w:r>
    </w:p>
    <w:p>
      <w:pPr>
        <w:pStyle w:val="92"/>
        <w:rPr>
          <w:color w:val="000000" w:themeColor="text1"/>
          <w14:textFill>
            <w14:solidFill>
              <w14:schemeClr w14:val="tx1"/>
            </w14:solidFill>
          </w14:textFill>
        </w:rPr>
      </w:pPr>
      <w:r>
        <w:rPr>
          <w:color w:val="000000" w:themeColor="text1"/>
          <w:lang w:eastAsia="zh-CN"/>
          <w14:textFill>
            <w14:solidFill>
              <w14:schemeClr w14:val="tx1"/>
            </w14:solidFill>
          </w14:textFill>
        </w:rPr>
        <w:drawing>
          <wp:inline distT="0" distB="0" distL="0" distR="0">
            <wp:extent cx="5045710" cy="1852295"/>
            <wp:effectExtent l="0" t="0" r="2540" b="0"/>
            <wp:docPr id="1623" name="图片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图片 16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055575" cy="1856060"/>
                    </a:xfrm>
                    <a:prstGeom prst="rect">
                      <a:avLst/>
                    </a:prstGeom>
                    <a:noFill/>
                    <a:ln>
                      <a:noFill/>
                    </a:ln>
                  </pic:spPr>
                </pic:pic>
              </a:graphicData>
            </a:graphic>
          </wp:inline>
        </w:drawing>
      </w:r>
    </w:p>
    <w:p>
      <w:pPr>
        <w:pStyle w:val="161"/>
        <w:rPr>
          <w:color w:val="000000" w:themeColor="text1"/>
          <w14:textFill>
            <w14:solidFill>
              <w14:schemeClr w14:val="tx1"/>
            </w14:solidFill>
          </w14:textFill>
        </w:rPr>
      </w:pPr>
      <w:bookmarkStart w:id="140" w:name="_Ref142597368"/>
      <w:r>
        <w:rPr>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图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w:t>
      </w:r>
      <w:r>
        <w:rPr>
          <w:color w:val="000000" w:themeColor="text1"/>
          <w14:textFill>
            <w14:solidFill>
              <w14:schemeClr w14:val="tx1"/>
            </w14:solidFill>
          </w14:textFill>
        </w:rPr>
        <w:fldChar w:fldCharType="end"/>
      </w:r>
      <w:bookmarkEnd w:id="140"/>
      <w:r>
        <w:rPr>
          <w:color w:val="000000" w:themeColor="text1"/>
          <w14:textFill>
            <w14:solidFill>
              <w14:schemeClr w14:val="tx1"/>
            </w14:solidFill>
          </w14:textFill>
        </w:rPr>
        <w:t xml:space="preserve"> 压裂作业示意图</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rFonts w:cs="Times New Roman"/>
          <w:color w:val="000000" w:themeColor="text1"/>
          <w14:textFill>
            <w14:solidFill>
              <w14:schemeClr w14:val="tx1"/>
            </w14:solidFill>
          </w14:textFill>
        </w:rPr>
        <w:t>测试放喷</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天然气测试放喷前需换装井口接测试管线，井内天然气经该管线，通过专用产量测试仪器测定天然气产量及气质。为了测试安全和减轻对环境的污染，点火烧掉测试放喷的天然气，测试放喷燃烧筒一般为高度1m的地面火炬，燃烧池内放喷，燃烧池设有耐火砖挡墙减轻热辐射影响。出于安全操作和有利于燃烧废气污染物大气扩散考虑，测试放喷一般在白天进行。</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7）完井搬迁及恢复</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测试结果若表明气井有工业试采的价值，则在井口装上采气装置试采气，其余设备将拆除搬迁，对基础进行拆除，场地进行平整，并对井场废弃物进行无害化治理。若不产天然气或所产气量无工业试采价值且确定无后续开发计划后，则将井口用水泥封固后搬迁。在搬迁前钻后污染物应得到妥善处理，做到工完、料净、场地清，放弃的井场应尽可能地恢复其原来的土地利用状况或者按土地承包人的意愿转换土地用途。此过程对环境基本无影响。</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建设单位依法办理环保手续并按照钻井井场环保标准进行验收，验收合格方可交井，并对后续可能出现的环保问题负责。</w:t>
      </w:r>
    </w:p>
    <w:p>
      <w:pPr>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（2）钻完井工程产污环节分析</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1）钻井工程</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钻井期间主要的环境影响因素是备用柴油机运行产生的废气，钻井、起下钻和固井作业等产生的钻井废水，机械设备运转时产生的噪声，以及钻井固废、废弃泥浆、废油等固体废物。</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2）完井测试</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压裂作业主要污染为压裂过程中会产生噪声、施工人员生活垃圾和生活污水，测试放喷阶段的污染物主要是压裂返排液、天然气点火产生的废气、气流噪声以及热辐射影响。</w:t>
      </w:r>
    </w:p>
    <w:p>
      <w:pPr>
        <w:pStyle w:val="5"/>
      </w:pPr>
      <w:r>
        <w:rPr>
          <w:rFonts w:hint="eastAsia"/>
        </w:rPr>
        <w:t>3.3.1.3</w:t>
      </w:r>
      <w:r>
        <w:t>试采站建设</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钻井</w:t>
      </w:r>
      <w:r>
        <w:rPr>
          <w:rFonts w:cs="Times New Roman"/>
          <w:color w:val="000000" w:themeColor="text1"/>
          <w:szCs w:val="24"/>
          <w14:textFill>
            <w14:solidFill>
              <w14:schemeClr w14:val="tx1"/>
            </w14:solidFill>
          </w14:textFill>
        </w:rPr>
        <w:t>完毕后，通过测试并获得天然气产量后，</w:t>
      </w:r>
      <w:r>
        <w:rPr>
          <w:rFonts w:cs="Times New Roman"/>
          <w:color w:val="000000" w:themeColor="text1"/>
          <w14:textFill>
            <w14:solidFill>
              <w14:schemeClr w14:val="tx1"/>
            </w14:solidFill>
          </w14:textFill>
        </w:rPr>
        <w:t>本次扩建普光3011采气站，采出气经单井计量后输送P3011采气站加热炉进行加热后至下游P301集气站，依托P301集气站节流计量后外输至天然气净化厂。本工程将配套建设新建普光3011-6井的</w:t>
      </w:r>
      <w:r>
        <w:rPr>
          <w:rFonts w:cs="Times New Roman"/>
          <w:color w:val="000000" w:themeColor="text1"/>
          <w:kern w:val="0"/>
          <w14:textFill>
            <w14:solidFill>
              <w14:schemeClr w14:val="tx1"/>
            </w14:solidFill>
          </w14:textFill>
        </w:rPr>
        <w:t>自控、电力、结构、消防等设施；</w:t>
      </w:r>
      <w:r>
        <w:rPr>
          <w:rFonts w:cs="Times New Roman"/>
          <w:color w:val="000000" w:themeColor="text1"/>
          <w14:textFill>
            <w14:solidFill>
              <w14:schemeClr w14:val="tx1"/>
            </w14:solidFill>
          </w14:textFill>
        </w:rPr>
        <w:t>本工程将在P3011采气站内新建一条100m采气管线，起点为普光3011-6井，终点为P3011采气站加热炉；集输管道设计压力与已建普光主体工程保持一致。井口笼套式节流阀至二级节流阀之间的管道设计压力为40MPa；二级节流阀至加热炉三级节流阀之间的管道设计压力为20MPa；三级节流阀之后的酸气管道系统设计压力为11MPa；仪表风、吹扫燃料气管道设计压力为1.6MPa；气举压缩机进口端设计压力4MPa，出口端设计压力40MPa。</w:t>
      </w:r>
    </w:p>
    <w:p>
      <w:pPr>
        <w:ind w:firstLine="482"/>
        <w:rPr>
          <w:rFonts w:cs="Times New Roman"/>
          <w:bCs/>
          <w:color w:val="000000" w:themeColor="text1"/>
          <w:szCs w:val="24"/>
          <w14:textFill>
            <w14:solidFill>
              <w14:schemeClr w14:val="tx1"/>
            </w14:solidFill>
          </w14:textFill>
        </w:rPr>
      </w:pPr>
      <w:r>
        <w:rPr>
          <w:rFonts w:cs="Times New Roman"/>
          <w:b/>
          <w:bCs/>
          <w:color w:val="000000" w:themeColor="text1"/>
          <w14:textFill>
            <w14:solidFill>
              <w14:schemeClr w14:val="tx1"/>
            </w14:solidFill>
          </w14:textFill>
        </w:rPr>
        <w:t>（1）站场工程工艺流程简述</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采气站的工程在原井场占地上建设，工艺设备简单，主要在井场内进行采气树、计量设备、球阀、自控设备等的安装及集气管道的敷设。</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（2）站场工程产污环节分析</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站场建设过程产生扬尘、机械设备噪声、施工队生活污水、混凝土搅拌废水、生活垃圾及建筑垃圾等。这些污染贯穿整个施工过程，但站场部分施工量小，施工时间较短，污染物产生量少。</w:t>
      </w:r>
    </w:p>
    <w:p>
      <w:pPr>
        <w:pStyle w:val="4"/>
        <w:ind w:firstLine="241"/>
        <w:rPr>
          <w:b w:val="0"/>
        </w:rPr>
      </w:pPr>
      <w:bookmarkStart w:id="141" w:name="3.3.2营运期污染源"/>
      <w:bookmarkEnd w:id="141"/>
      <w:bookmarkStart w:id="142" w:name="_Toc120173109"/>
      <w:r>
        <w:rPr>
          <w:rFonts w:hint="eastAsia"/>
        </w:rPr>
        <w:t>3.3.2</w:t>
      </w:r>
      <w:r>
        <w:t>试采期工程分析</w:t>
      </w:r>
      <w:bookmarkEnd w:id="142"/>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如钻井完毕并通过测试获得天然气，则进行地面建设工程，本项目利用已建P3011采气站北侧区域进行扩建普光3011-6井试采站试采。若无工业产能且无后续开发计划，则井口采用水泥浆封井，井口焊上钢板和阀门，井站其它装置、房屋搬迁，井口设立标志。</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（2）采气试采工艺流程</w:t>
      </w:r>
    </w:p>
    <w:p>
      <w:pPr>
        <w:pStyle w:val="249"/>
        <w:ind w:firstLine="0" w:firstLineChars="0"/>
        <w:jc w:val="center"/>
        <w:rPr>
          <w:color w:val="000000" w:themeColor="text1"/>
          <w14:textFill>
            <w14:solidFill>
              <w14:schemeClr w14:val="tx1"/>
            </w14:solidFill>
          </w14:textFill>
        </w:rPr>
      </w:pPr>
      <w:r>
        <w:object>
          <v:shape id="_x0000_i1027" o:spt="75" type="#_x0000_t75" style="height:255.35pt;width:399.35pt;" o:ole="t" filled="f" o:preferrelative="t" stroked="f" coordsize="21600,21600">
            <v:path/>
            <v:fill on="f" focussize="0,0"/>
            <v:stroke on="f" joinstyle="miter"/>
            <v:imagedata r:id="rId62" o:title=""/>
            <o:lock v:ext="edit" aspectratio="t"/>
            <w10:wrap type="none"/>
            <w10:anchorlock/>
          </v:shape>
          <o:OLEObject Type="Embed" ProgID="Visio.Drawing.11" ShapeID="_x0000_i1027" DrawAspect="Content" ObjectID="_1468075727" r:id="rId61">
            <o:LockedField>false</o:LockedField>
          </o:OLEObject>
        </w:object>
      </w:r>
    </w:p>
    <w:p>
      <w:pPr>
        <w:pStyle w:val="161"/>
        <w:rPr>
          <w:color w:val="000000" w:themeColor="text1"/>
          <w14:textFill>
            <w14:solidFill>
              <w14:schemeClr w14:val="tx1"/>
            </w14:solidFill>
          </w14:textFill>
        </w:rPr>
      </w:pPr>
      <w:r>
        <w:rPr>
          <w:color w:val="000000" w:themeColor="text1"/>
          <w14:textFill>
            <w14:solidFill>
              <w14:schemeClr w14:val="tx1"/>
            </w14:solidFill>
          </w14:textFill>
        </w:rPr>
        <w:t>图3.3-14  试采期工艺流程及产污节点图</w:t>
      </w:r>
    </w:p>
    <w:p>
      <w:pPr>
        <w:ind w:firstLine="482"/>
        <w:rPr>
          <w:rFonts w:cs="Times New Roman"/>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工艺流程描述：</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普光3011-6井建成后采气经采气树一级节流后，通过新建采气管线输送至P3011采气站，依托采气站内已建的加热炉进行加热，加热后与P3011-1井、P3011-5井出气一同输入P301集气站，依托集气站内计量分离后外输进入天然气净化厂。</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（2）采气试采产污环节</w:t>
      </w:r>
    </w:p>
    <w:p>
      <w:pPr>
        <w:pStyle w:val="249"/>
        <w:ind w:firstLine="480"/>
        <w:rPr>
          <w:color w:val="000000" w:themeColor="text1"/>
          <w14:textFill>
            <w14:solidFill>
              <w14:schemeClr w14:val="tx1"/>
            </w14:solidFill>
          </w14:textFill>
        </w:rPr>
      </w:pPr>
      <w:r>
        <w:rPr>
          <w:bCs/>
          <w:color w:val="000000" w:themeColor="text1"/>
          <w:szCs w:val="24"/>
          <w14:textFill>
            <w14:solidFill>
              <w14:schemeClr w14:val="tx1"/>
            </w14:solidFill>
          </w14:textFill>
        </w:rPr>
        <w:t>本项目试采站内设施简单，主要依托下游P3011采气站和P301集气站进行采气生产。正常生产时依托P3011采气站已建水套加热炉，水套加热炉燃料为净化厂净化后的天然气，然后后经8m好排气筒排放。在设备检修和系统超压等非正常工况时，通过P301集气站内放空系统进行火炬燃烧处置。</w:t>
      </w:r>
      <w:r>
        <w:rPr>
          <w:color w:val="000000" w:themeColor="text1"/>
          <w14:textFill>
            <w14:solidFill>
              <w14:schemeClr w14:val="tx1"/>
            </w14:solidFill>
          </w14:textFill>
        </w:rPr>
        <w:t>试采期来气直接气液混输P3011采气站内新建的临时分酸分离器进行脱水分离，分离后经新建酸液缓冲罐收集暂存，P301集气站内分离器出气田水依托P301集气站排至站内火炬分液罐暂存，然后一并通过密闭罐车拉运至赵家坝污水处理站达到《气田水回注方法》（SY/T 6596-2016）中注入水基本要求后管输至普光11井回注站回注处理，不外排</w:t>
      </w:r>
      <w:r>
        <w:rPr>
          <w:bCs/>
          <w:color w:val="000000" w:themeColor="text1"/>
          <w:szCs w:val="24"/>
          <w14:textFill>
            <w14:solidFill>
              <w14:schemeClr w14:val="tx1"/>
            </w14:solidFill>
          </w14:textFill>
        </w:rPr>
        <w:t>；</w:t>
      </w:r>
      <w:r>
        <w:rPr>
          <w:color w:val="000000" w:themeColor="text1"/>
          <w14:textFill>
            <w14:solidFill>
              <w14:schemeClr w14:val="tx1"/>
            </w14:solidFill>
          </w14:textFill>
        </w:rPr>
        <w:t>试采期拟建工程内容依托P301集气站既有劳动定员进行日常管理，无生活废水新增；</w:t>
      </w:r>
      <w:bookmarkStart w:id="143" w:name="OLE_LINK168"/>
      <w:bookmarkStart w:id="144" w:name="OLE_LINK167"/>
      <w:r>
        <w:rPr>
          <w:bCs/>
          <w:color w:val="000000" w:themeColor="text1"/>
          <w:szCs w:val="21"/>
          <w14:textFill>
            <w14:solidFill>
              <w14:schemeClr w14:val="tx1"/>
            </w14:solidFill>
          </w14:textFill>
        </w:rPr>
        <w:t>试采期拟建工程内容</w:t>
      </w:r>
      <w:r>
        <w:rPr>
          <w:color w:val="000000" w:themeColor="text1"/>
          <w14:textFill>
            <w14:solidFill>
              <w14:schemeClr w14:val="tx1"/>
            </w14:solidFill>
          </w14:textFill>
        </w:rPr>
        <w:t>只新增井口采气装置输送管线，在正常运行过程中不会产生固体废物。</w:t>
      </w:r>
      <w:r>
        <w:t>本项目拟建工程内容不新增清管收发球装置，试采期无清管废渣产生。</w:t>
      </w:r>
      <w:r>
        <w:rPr>
          <w:color w:val="000000" w:themeColor="text1"/>
          <w14:textFill>
            <w14:solidFill>
              <w14:schemeClr w14:val="tx1"/>
            </w14:solidFill>
          </w14:textFill>
        </w:rPr>
        <w:t>日常管理依托P301集气站进行，无新增定员，无生活垃圾新增。</w:t>
      </w:r>
      <w:bookmarkEnd w:id="143"/>
      <w:bookmarkEnd w:id="144"/>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因此，扩建采气站试采生产时主要污染物为站场内设备（节流阀等）运行产生连续噪声。</w:t>
      </w:r>
    </w:p>
    <w:p>
      <w:pPr>
        <w:pStyle w:val="3"/>
      </w:pPr>
      <w:bookmarkStart w:id="145" w:name="_bookmark21"/>
      <w:bookmarkEnd w:id="145"/>
      <w:bookmarkStart w:id="146" w:name="3.4污染源源强核算"/>
      <w:bookmarkEnd w:id="146"/>
      <w:bookmarkStart w:id="147" w:name="_Toc164667020"/>
      <w:r>
        <w:rPr>
          <w:rFonts w:hint="eastAsia"/>
        </w:rPr>
        <w:t>3.4</w:t>
      </w:r>
      <w:r>
        <w:t>污染源源强核算</w:t>
      </w:r>
      <w:bookmarkEnd w:id="147"/>
    </w:p>
    <w:p>
      <w:pPr>
        <w:pStyle w:val="4"/>
        <w:ind w:firstLine="241"/>
        <w:rPr>
          <w:b w:val="0"/>
        </w:rPr>
      </w:pPr>
      <w:bookmarkStart w:id="148" w:name="3.4.1施工期污染源强分析"/>
      <w:bookmarkEnd w:id="148"/>
      <w:bookmarkStart w:id="149" w:name="_Toc120173112"/>
      <w:r>
        <w:rPr>
          <w:rFonts w:hint="eastAsia"/>
        </w:rPr>
        <w:t>3.4.1</w:t>
      </w:r>
      <w:r>
        <w:t>施工期污染源强分析</w:t>
      </w:r>
      <w:bookmarkEnd w:id="149"/>
    </w:p>
    <w:p>
      <w:pPr>
        <w:pStyle w:val="5"/>
      </w:pPr>
      <w:r>
        <w:rPr>
          <w:rFonts w:hint="eastAsia"/>
        </w:rPr>
        <w:t>3.4.</w:t>
      </w:r>
      <w:r>
        <w:t>1.1钻前工程</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本项目钻前工程量较小，钻前工程污染源产生及治理情况如下。</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（1）废气</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钻前施工人员多为当地民工，不设集中生活营区，无集中生活废气排放。钻前工程大气污染物主要为施工机械尾气和施工粉尘，但属短期影响（钻前施工工期约90天）。施工机械尾气为燃油发电机、车辆排放尾气，主要污染物为NOx和CO，施工机械使用合格燃油、加强设备保养、运输车辆控制车速等。粉尘主要源于水泥搅拌、材料运输及使用过程中的粉尘散落以及修筑钻井场地和井场外道路的挖填方转运工程中的二次扬尘，施工现场设置围栏或部分围栏、遮盖、洒水抑尘等，减少起尘量。</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（2）废水</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钻前工程的废水主要施工废水</w:t>
      </w:r>
      <w:r>
        <w:rPr>
          <w:rFonts w:cs="Times New Roman"/>
          <w:bCs/>
          <w:color w:val="000000" w:themeColor="text1"/>
          <w:szCs w:val="24"/>
          <w14:textFill>
            <w14:solidFill>
              <w14:schemeClr w14:val="tx1"/>
            </w14:solidFill>
          </w14:textFill>
        </w:rPr>
        <w:t>（主要污染物为SS）</w:t>
      </w:r>
      <w:r>
        <w:rPr>
          <w:rFonts w:cs="Times New Roman"/>
          <w:color w:val="000000" w:themeColor="text1"/>
          <w:szCs w:val="24"/>
          <w14:textFill>
            <w14:solidFill>
              <w14:schemeClr w14:val="tx1"/>
            </w14:solidFill>
          </w14:textFill>
        </w:rPr>
        <w:t>以及施工人员的生活污水（主要污染物为</w:t>
      </w:r>
      <w:r>
        <w:rPr>
          <w:rFonts w:cs="Times New Roman"/>
          <w:bCs/>
          <w:color w:val="000000" w:themeColor="text1"/>
          <w:szCs w:val="24"/>
          <w14:textFill>
            <w14:solidFill>
              <w14:schemeClr w14:val="tx1"/>
            </w14:solidFill>
          </w14:textFill>
        </w:rPr>
        <w:t>COD、SS和NH</w:t>
      </w:r>
      <w:r>
        <w:rPr>
          <w:rFonts w:cs="Times New Roman"/>
          <w:bCs/>
          <w:color w:val="000000" w:themeColor="text1"/>
          <w:szCs w:val="24"/>
          <w:vertAlign w:val="subscript"/>
          <w14:textFill>
            <w14:solidFill>
              <w14:schemeClr w14:val="tx1"/>
            </w14:solidFill>
          </w14:textFill>
        </w:rPr>
        <w:t>3</w:t>
      </w:r>
      <w:r>
        <w:rPr>
          <w:rFonts w:cs="Times New Roman"/>
          <w:bCs/>
          <w:color w:val="000000" w:themeColor="text1"/>
          <w:szCs w:val="24"/>
          <w14:textFill>
            <w14:solidFill>
              <w14:schemeClr w14:val="tx1"/>
            </w14:solidFill>
          </w14:textFill>
        </w:rPr>
        <w:t>-N等</w:t>
      </w:r>
      <w:r>
        <w:rPr>
          <w:rFonts w:cs="Times New Roman"/>
          <w:color w:val="000000" w:themeColor="text1"/>
          <w:szCs w:val="24"/>
          <w14:textFill>
            <w14:solidFill>
              <w14:schemeClr w14:val="tx1"/>
            </w14:solidFill>
          </w14:textFill>
        </w:rPr>
        <w:t>）。钻前工程高峰时日上工人数约20人，主要为附近民工，上述人员租住在附近农户，施工期间</w:t>
      </w:r>
      <w:r>
        <w:rPr>
          <w:rFonts w:cs="Times New Roman"/>
          <w:bCs/>
          <w:color w:val="000000" w:themeColor="text1"/>
          <w14:textFill>
            <w14:solidFill>
              <w14:schemeClr w14:val="tx1"/>
            </w14:solidFill>
          </w14:textFill>
        </w:rPr>
        <w:t>生活污水依托站场已建的厕所收集后由密闭罐车定期拉运至周边生活污水处理厂处理</w:t>
      </w:r>
      <w:r>
        <w:rPr>
          <w:rFonts w:cs="Times New Roman"/>
          <w:color w:val="000000" w:themeColor="text1"/>
          <w:szCs w:val="24"/>
          <w14:textFill>
            <w14:solidFill>
              <w14:schemeClr w14:val="tx1"/>
            </w14:solidFill>
          </w14:textFill>
        </w:rPr>
        <w:t>；钻前施工主要为土建施工，还会产生车辆清洗、砂石料拌合及混凝土养护、施工机具保洁废水等，及道路施工遇雨水产生的地表径流，产生地点分散，产生量较小，污染因子以石油类和SS为主。本项目在施工现场设置沉淀池，施工废水经隔油沉淀处理后回用于洒水降尘和混凝土养护用水，不外排。</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（3）噪声</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钻前工程施工期的噪声主要是推土机、挖掘机、载重汽车等运行中产生的，噪声级见</w:t>
      </w:r>
      <w:r>
        <w:rPr>
          <w:rFonts w:cs="Times New Roman"/>
          <w:color w:val="000000" w:themeColor="text1"/>
          <w:szCs w:val="24"/>
          <w14:textFill>
            <w14:solidFill>
              <w14:schemeClr w14:val="tx1"/>
            </w14:solidFill>
          </w14:textFill>
        </w:rPr>
        <w:fldChar w:fldCharType="begin"/>
      </w:r>
      <w:r>
        <w:rPr>
          <w:rFonts w:cs="Times New Roman"/>
          <w:color w:val="000000" w:themeColor="text1"/>
          <w:szCs w:val="24"/>
          <w14:textFill>
            <w14:solidFill>
              <w14:schemeClr w14:val="tx1"/>
            </w14:solidFill>
          </w14:textFill>
        </w:rPr>
        <w:instrText xml:space="preserve"> REF _Ref142593469 \h  \* MERGEFORMAT </w:instrText>
      </w:r>
      <w:r>
        <w:rPr>
          <w:rFonts w:cs="Times New Roman"/>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表3.4-1</w:t>
      </w:r>
      <w:r>
        <w:rPr>
          <w:rFonts w:cs="Times New Roman"/>
          <w:color w:val="000000" w:themeColor="text1"/>
          <w:szCs w:val="24"/>
          <w14:textFill>
            <w14:solidFill>
              <w14:schemeClr w14:val="tx1"/>
            </w14:solidFill>
          </w14:textFill>
        </w:rPr>
        <w:fldChar w:fldCharType="end"/>
      </w:r>
      <w:r>
        <w:rPr>
          <w:rFonts w:cs="Times New Roman"/>
          <w:color w:val="000000" w:themeColor="text1"/>
          <w:szCs w:val="24"/>
          <w14:textFill>
            <w14:solidFill>
              <w14:schemeClr w14:val="tx1"/>
            </w14:solidFill>
          </w14:textFill>
        </w:rPr>
        <w:t>。虽为短期施工，但应采取措施减少其对附近居民的影响。由于钻前施工工程量小，且为野外作业，钻前工程夜间不施工作业。</w:t>
      </w:r>
    </w:p>
    <w:p>
      <w:pPr>
        <w:pStyle w:val="95"/>
      </w:pPr>
      <w:bookmarkStart w:id="150" w:name="_Ref142593469"/>
      <w:r>
        <w:t>表</w:t>
      </w:r>
      <w:r>
        <w:fldChar w:fldCharType="begin"/>
      </w:r>
      <w:r>
        <w:instrText xml:space="preserve"> STYLEREF 2 \s </w:instrText>
      </w:r>
      <w:r>
        <w:fldChar w:fldCharType="separate"/>
      </w:r>
      <w:r>
        <w:t>3.4</w:t>
      </w:r>
      <w:r>
        <w:fldChar w:fldCharType="end"/>
      </w:r>
      <w:r>
        <w:t>-</w:t>
      </w:r>
      <w:r>
        <w:fldChar w:fldCharType="begin"/>
      </w:r>
      <w:r>
        <w:instrText xml:space="preserve"> SEQ 表 \* ARABIC \s 2 </w:instrText>
      </w:r>
      <w:r>
        <w:fldChar w:fldCharType="separate"/>
      </w:r>
      <w:r>
        <w:t>1</w:t>
      </w:r>
      <w:r>
        <w:fldChar w:fldCharType="end"/>
      </w:r>
      <w:bookmarkEnd w:id="150"/>
      <w:r>
        <w:t xml:space="preserve"> 主要施工机具噪声源强表</w:t>
      </w:r>
    </w:p>
    <w:tbl>
      <w:tblPr>
        <w:tblStyle w:val="52"/>
        <w:tblW w:w="8222" w:type="dxa"/>
        <w:jc w:val="center"/>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Layout w:type="autofit"/>
        <w:tblCellMar>
          <w:top w:w="0" w:type="dxa"/>
          <w:left w:w="108" w:type="dxa"/>
          <w:bottom w:w="0" w:type="dxa"/>
          <w:right w:w="108" w:type="dxa"/>
        </w:tblCellMar>
      </w:tblPr>
      <w:tblGrid>
        <w:gridCol w:w="704"/>
        <w:gridCol w:w="1418"/>
        <w:gridCol w:w="1701"/>
        <w:gridCol w:w="1842"/>
        <w:gridCol w:w="1282"/>
        <w:gridCol w:w="1275"/>
      </w:tblGrid>
      <w:tr>
        <w:tblPrEx>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CellMar>
            <w:top w:w="0" w:type="dxa"/>
            <w:left w:w="108" w:type="dxa"/>
            <w:bottom w:w="0" w:type="dxa"/>
            <w:right w:w="108" w:type="dxa"/>
          </w:tblCellMar>
        </w:tblPrEx>
        <w:trPr>
          <w:jc w:val="center"/>
        </w:trPr>
        <w:tc>
          <w:tcPr>
            <w:tcW w:w="704" w:type="dxa"/>
            <w:vAlign w:val="center"/>
          </w:tcPr>
          <w:p>
            <w:pPr>
              <w:pStyle w:val="294"/>
            </w:pPr>
            <w:r>
              <w:t>序号</w:t>
            </w:r>
          </w:p>
        </w:tc>
        <w:tc>
          <w:tcPr>
            <w:tcW w:w="1418" w:type="dxa"/>
            <w:vAlign w:val="center"/>
          </w:tcPr>
          <w:p>
            <w:pPr>
              <w:pStyle w:val="294"/>
            </w:pPr>
            <w:r>
              <w:t>设备名称</w:t>
            </w:r>
          </w:p>
        </w:tc>
        <w:tc>
          <w:tcPr>
            <w:tcW w:w="1701" w:type="dxa"/>
            <w:vAlign w:val="center"/>
          </w:tcPr>
          <w:p>
            <w:pPr>
              <w:pStyle w:val="294"/>
            </w:pPr>
            <w:r>
              <w:t>测点距施工机具距离（m）</w:t>
            </w:r>
          </w:p>
        </w:tc>
        <w:tc>
          <w:tcPr>
            <w:tcW w:w="1842" w:type="dxa"/>
            <w:vAlign w:val="center"/>
          </w:tcPr>
          <w:p>
            <w:pPr>
              <w:pStyle w:val="294"/>
            </w:pPr>
            <w:r>
              <w:t>最大声级</w:t>
            </w:r>
          </w:p>
          <w:p>
            <w:pPr>
              <w:pStyle w:val="294"/>
            </w:pPr>
            <w:r>
              <w:t>（dB（A））</w:t>
            </w:r>
          </w:p>
        </w:tc>
        <w:tc>
          <w:tcPr>
            <w:tcW w:w="1282" w:type="dxa"/>
            <w:vAlign w:val="center"/>
          </w:tcPr>
          <w:p>
            <w:pPr>
              <w:pStyle w:val="294"/>
            </w:pPr>
            <w:r>
              <w:t>运行方式</w:t>
            </w:r>
          </w:p>
        </w:tc>
        <w:tc>
          <w:tcPr>
            <w:tcW w:w="0" w:type="auto"/>
            <w:vAlign w:val="center"/>
          </w:tcPr>
          <w:p>
            <w:pPr>
              <w:pStyle w:val="294"/>
            </w:pPr>
            <w:r>
              <w:t>运行时间（h）</w:t>
            </w:r>
          </w:p>
        </w:tc>
      </w:tr>
      <w:tr>
        <w:tblPrEx>
          <w:tblCellMar>
            <w:top w:w="0" w:type="dxa"/>
            <w:left w:w="108" w:type="dxa"/>
            <w:bottom w:w="0" w:type="dxa"/>
            <w:right w:w="108" w:type="dxa"/>
          </w:tblCellMar>
        </w:tblPrEx>
        <w:trPr>
          <w:jc w:val="center"/>
        </w:trPr>
        <w:tc>
          <w:tcPr>
            <w:tcW w:w="704" w:type="dxa"/>
            <w:vAlign w:val="center"/>
          </w:tcPr>
          <w:p>
            <w:pPr>
              <w:pStyle w:val="294"/>
            </w:pPr>
            <w:r>
              <w:t>1</w:t>
            </w:r>
          </w:p>
        </w:tc>
        <w:tc>
          <w:tcPr>
            <w:tcW w:w="1418" w:type="dxa"/>
            <w:vAlign w:val="center"/>
          </w:tcPr>
          <w:p>
            <w:pPr>
              <w:pStyle w:val="294"/>
            </w:pPr>
            <w:r>
              <w:t>推土机</w:t>
            </w:r>
          </w:p>
        </w:tc>
        <w:tc>
          <w:tcPr>
            <w:tcW w:w="1701" w:type="dxa"/>
            <w:vAlign w:val="center"/>
          </w:tcPr>
          <w:p>
            <w:pPr>
              <w:pStyle w:val="294"/>
            </w:pPr>
            <w:r>
              <w:t>5</w:t>
            </w:r>
          </w:p>
        </w:tc>
        <w:tc>
          <w:tcPr>
            <w:tcW w:w="1842" w:type="dxa"/>
            <w:vAlign w:val="center"/>
          </w:tcPr>
          <w:p>
            <w:pPr>
              <w:pStyle w:val="294"/>
            </w:pPr>
            <w:r>
              <w:t>85</w:t>
            </w:r>
          </w:p>
        </w:tc>
        <w:tc>
          <w:tcPr>
            <w:tcW w:w="1282" w:type="dxa"/>
            <w:vAlign w:val="center"/>
          </w:tcPr>
          <w:p>
            <w:pPr>
              <w:pStyle w:val="294"/>
            </w:pPr>
            <w:r>
              <w:t>移动设备</w:t>
            </w:r>
          </w:p>
        </w:tc>
        <w:tc>
          <w:tcPr>
            <w:tcW w:w="0" w:type="auto"/>
            <w:vAlign w:val="center"/>
          </w:tcPr>
          <w:p>
            <w:pPr>
              <w:pStyle w:val="294"/>
            </w:pPr>
            <w:r>
              <w:t>间断，&lt;4</w:t>
            </w:r>
          </w:p>
        </w:tc>
      </w:tr>
      <w:tr>
        <w:tblPrEx>
          <w:tblCellMar>
            <w:top w:w="0" w:type="dxa"/>
            <w:left w:w="108" w:type="dxa"/>
            <w:bottom w:w="0" w:type="dxa"/>
            <w:right w:w="108" w:type="dxa"/>
          </w:tblCellMar>
        </w:tblPrEx>
        <w:trPr>
          <w:jc w:val="center"/>
        </w:trPr>
        <w:tc>
          <w:tcPr>
            <w:tcW w:w="704" w:type="dxa"/>
            <w:vAlign w:val="center"/>
          </w:tcPr>
          <w:p>
            <w:pPr>
              <w:pStyle w:val="294"/>
            </w:pPr>
            <w:r>
              <w:t>2</w:t>
            </w:r>
          </w:p>
        </w:tc>
        <w:tc>
          <w:tcPr>
            <w:tcW w:w="1418" w:type="dxa"/>
            <w:vAlign w:val="center"/>
          </w:tcPr>
          <w:p>
            <w:pPr>
              <w:pStyle w:val="294"/>
            </w:pPr>
            <w:r>
              <w:t>挖掘机</w:t>
            </w:r>
          </w:p>
        </w:tc>
        <w:tc>
          <w:tcPr>
            <w:tcW w:w="1701" w:type="dxa"/>
            <w:vAlign w:val="center"/>
          </w:tcPr>
          <w:p>
            <w:pPr>
              <w:pStyle w:val="294"/>
            </w:pPr>
            <w:r>
              <w:t>5</w:t>
            </w:r>
          </w:p>
        </w:tc>
        <w:tc>
          <w:tcPr>
            <w:tcW w:w="1842" w:type="dxa"/>
            <w:vAlign w:val="center"/>
          </w:tcPr>
          <w:p>
            <w:pPr>
              <w:pStyle w:val="294"/>
            </w:pPr>
            <w:r>
              <w:t>84</w:t>
            </w:r>
          </w:p>
        </w:tc>
        <w:tc>
          <w:tcPr>
            <w:tcW w:w="1282" w:type="dxa"/>
            <w:vAlign w:val="center"/>
          </w:tcPr>
          <w:p>
            <w:pPr>
              <w:pStyle w:val="294"/>
            </w:pPr>
            <w:r>
              <w:t>移动设备</w:t>
            </w:r>
          </w:p>
        </w:tc>
        <w:tc>
          <w:tcPr>
            <w:tcW w:w="0" w:type="auto"/>
            <w:vAlign w:val="center"/>
          </w:tcPr>
          <w:p>
            <w:pPr>
              <w:pStyle w:val="294"/>
            </w:pPr>
            <w:r>
              <w:t>间断，&lt;2</w:t>
            </w:r>
          </w:p>
        </w:tc>
      </w:tr>
      <w:tr>
        <w:tblPrEx>
          <w:tblCellMar>
            <w:top w:w="0" w:type="dxa"/>
            <w:left w:w="108" w:type="dxa"/>
            <w:bottom w:w="0" w:type="dxa"/>
            <w:right w:w="108" w:type="dxa"/>
          </w:tblCellMar>
        </w:tblPrEx>
        <w:trPr>
          <w:jc w:val="center"/>
        </w:trPr>
        <w:tc>
          <w:tcPr>
            <w:tcW w:w="704" w:type="dxa"/>
            <w:vAlign w:val="center"/>
          </w:tcPr>
          <w:p>
            <w:pPr>
              <w:pStyle w:val="294"/>
            </w:pPr>
            <w:r>
              <w:t>3</w:t>
            </w:r>
          </w:p>
        </w:tc>
        <w:tc>
          <w:tcPr>
            <w:tcW w:w="1418" w:type="dxa"/>
            <w:vAlign w:val="center"/>
          </w:tcPr>
          <w:p>
            <w:pPr>
              <w:pStyle w:val="294"/>
            </w:pPr>
            <w:r>
              <w:t>载重汽车</w:t>
            </w:r>
          </w:p>
        </w:tc>
        <w:tc>
          <w:tcPr>
            <w:tcW w:w="1701" w:type="dxa"/>
            <w:vAlign w:val="center"/>
          </w:tcPr>
          <w:p>
            <w:pPr>
              <w:pStyle w:val="294"/>
            </w:pPr>
            <w:r>
              <w:t>5</w:t>
            </w:r>
          </w:p>
        </w:tc>
        <w:tc>
          <w:tcPr>
            <w:tcW w:w="1842" w:type="dxa"/>
            <w:vAlign w:val="center"/>
          </w:tcPr>
          <w:p>
            <w:pPr>
              <w:pStyle w:val="294"/>
            </w:pPr>
            <w:r>
              <w:t>82</w:t>
            </w:r>
          </w:p>
        </w:tc>
        <w:tc>
          <w:tcPr>
            <w:tcW w:w="1282" w:type="dxa"/>
            <w:vAlign w:val="center"/>
          </w:tcPr>
          <w:p>
            <w:pPr>
              <w:pStyle w:val="294"/>
            </w:pPr>
            <w:r>
              <w:t>移动设备</w:t>
            </w:r>
          </w:p>
        </w:tc>
        <w:tc>
          <w:tcPr>
            <w:tcW w:w="0" w:type="auto"/>
            <w:vAlign w:val="center"/>
          </w:tcPr>
          <w:p>
            <w:pPr>
              <w:pStyle w:val="294"/>
            </w:pPr>
            <w:r>
              <w:t>间断，&lt;2</w:t>
            </w:r>
          </w:p>
        </w:tc>
      </w:tr>
      <w:tr>
        <w:tblPrEx>
          <w:tblCellMar>
            <w:top w:w="0" w:type="dxa"/>
            <w:left w:w="108" w:type="dxa"/>
            <w:bottom w:w="0" w:type="dxa"/>
            <w:right w:w="108" w:type="dxa"/>
          </w:tblCellMar>
        </w:tblPrEx>
        <w:trPr>
          <w:jc w:val="center"/>
        </w:trPr>
        <w:tc>
          <w:tcPr>
            <w:tcW w:w="704" w:type="dxa"/>
            <w:vAlign w:val="center"/>
          </w:tcPr>
          <w:p>
            <w:pPr>
              <w:pStyle w:val="294"/>
            </w:pPr>
            <w:r>
              <w:t>4</w:t>
            </w:r>
          </w:p>
        </w:tc>
        <w:tc>
          <w:tcPr>
            <w:tcW w:w="1418" w:type="dxa"/>
            <w:vAlign w:val="center"/>
          </w:tcPr>
          <w:p>
            <w:pPr>
              <w:pStyle w:val="294"/>
            </w:pPr>
            <w:r>
              <w:t>钻孔机</w:t>
            </w:r>
          </w:p>
        </w:tc>
        <w:tc>
          <w:tcPr>
            <w:tcW w:w="1701" w:type="dxa"/>
            <w:vAlign w:val="center"/>
          </w:tcPr>
          <w:p>
            <w:pPr>
              <w:pStyle w:val="294"/>
            </w:pPr>
            <w:r>
              <w:t>1</w:t>
            </w:r>
          </w:p>
        </w:tc>
        <w:tc>
          <w:tcPr>
            <w:tcW w:w="1842" w:type="dxa"/>
            <w:vAlign w:val="center"/>
          </w:tcPr>
          <w:p>
            <w:pPr>
              <w:pStyle w:val="294"/>
            </w:pPr>
            <w:r>
              <w:t>100</w:t>
            </w:r>
          </w:p>
        </w:tc>
        <w:tc>
          <w:tcPr>
            <w:tcW w:w="1282" w:type="dxa"/>
            <w:vAlign w:val="center"/>
          </w:tcPr>
          <w:p>
            <w:pPr>
              <w:pStyle w:val="294"/>
            </w:pPr>
            <w:r>
              <w:t>移动设备</w:t>
            </w:r>
          </w:p>
        </w:tc>
        <w:tc>
          <w:tcPr>
            <w:tcW w:w="0" w:type="auto"/>
            <w:vAlign w:val="center"/>
          </w:tcPr>
          <w:p>
            <w:pPr>
              <w:pStyle w:val="294"/>
            </w:pPr>
            <w:r>
              <w:t>间断，&lt;4</w:t>
            </w:r>
          </w:p>
        </w:tc>
      </w:tr>
      <w:tr>
        <w:tblPrEx>
          <w:tblCellMar>
            <w:top w:w="0" w:type="dxa"/>
            <w:left w:w="108" w:type="dxa"/>
            <w:bottom w:w="0" w:type="dxa"/>
            <w:right w:w="108" w:type="dxa"/>
          </w:tblCellMar>
        </w:tblPrEx>
        <w:trPr>
          <w:jc w:val="center"/>
        </w:trPr>
        <w:tc>
          <w:tcPr>
            <w:tcW w:w="704" w:type="dxa"/>
            <w:vAlign w:val="center"/>
          </w:tcPr>
          <w:p>
            <w:pPr>
              <w:pStyle w:val="294"/>
            </w:pPr>
            <w:r>
              <w:t>5</w:t>
            </w:r>
          </w:p>
        </w:tc>
        <w:tc>
          <w:tcPr>
            <w:tcW w:w="1418" w:type="dxa"/>
            <w:vAlign w:val="center"/>
          </w:tcPr>
          <w:p>
            <w:pPr>
              <w:pStyle w:val="294"/>
            </w:pPr>
            <w:r>
              <w:t>空压机</w:t>
            </w:r>
          </w:p>
        </w:tc>
        <w:tc>
          <w:tcPr>
            <w:tcW w:w="1701" w:type="dxa"/>
            <w:vAlign w:val="center"/>
          </w:tcPr>
          <w:p>
            <w:pPr>
              <w:pStyle w:val="294"/>
            </w:pPr>
            <w:r>
              <w:t>1</w:t>
            </w:r>
          </w:p>
        </w:tc>
        <w:tc>
          <w:tcPr>
            <w:tcW w:w="1842" w:type="dxa"/>
            <w:vAlign w:val="center"/>
          </w:tcPr>
          <w:p>
            <w:pPr>
              <w:pStyle w:val="294"/>
            </w:pPr>
            <w:r>
              <w:t>101</w:t>
            </w:r>
          </w:p>
        </w:tc>
        <w:tc>
          <w:tcPr>
            <w:tcW w:w="1282" w:type="dxa"/>
            <w:vAlign w:val="center"/>
          </w:tcPr>
          <w:p>
            <w:pPr>
              <w:pStyle w:val="294"/>
            </w:pPr>
            <w:r>
              <w:t>移动设备</w:t>
            </w:r>
          </w:p>
        </w:tc>
        <w:tc>
          <w:tcPr>
            <w:tcW w:w="0" w:type="auto"/>
            <w:vAlign w:val="center"/>
          </w:tcPr>
          <w:p>
            <w:pPr>
              <w:pStyle w:val="294"/>
            </w:pPr>
            <w:r>
              <w:t>间断，&lt;4</w:t>
            </w:r>
          </w:p>
        </w:tc>
      </w:tr>
      <w:tr>
        <w:tblPrEx>
          <w:tblCellMar>
            <w:top w:w="0" w:type="dxa"/>
            <w:left w:w="108" w:type="dxa"/>
            <w:bottom w:w="0" w:type="dxa"/>
            <w:right w:w="108" w:type="dxa"/>
          </w:tblCellMar>
        </w:tblPrEx>
        <w:trPr>
          <w:jc w:val="center"/>
        </w:trPr>
        <w:tc>
          <w:tcPr>
            <w:tcW w:w="704" w:type="dxa"/>
            <w:vAlign w:val="center"/>
          </w:tcPr>
          <w:p>
            <w:pPr>
              <w:pStyle w:val="294"/>
            </w:pPr>
            <w:r>
              <w:t>6</w:t>
            </w:r>
          </w:p>
        </w:tc>
        <w:tc>
          <w:tcPr>
            <w:tcW w:w="1418" w:type="dxa"/>
            <w:vAlign w:val="center"/>
          </w:tcPr>
          <w:p>
            <w:pPr>
              <w:pStyle w:val="294"/>
            </w:pPr>
            <w:r>
              <w:t>柴油发电机</w:t>
            </w:r>
          </w:p>
        </w:tc>
        <w:tc>
          <w:tcPr>
            <w:tcW w:w="1701" w:type="dxa"/>
            <w:vAlign w:val="center"/>
          </w:tcPr>
          <w:p>
            <w:pPr>
              <w:pStyle w:val="294"/>
            </w:pPr>
            <w:r>
              <w:t>1</w:t>
            </w:r>
          </w:p>
        </w:tc>
        <w:tc>
          <w:tcPr>
            <w:tcW w:w="1842" w:type="dxa"/>
            <w:vAlign w:val="center"/>
          </w:tcPr>
          <w:p>
            <w:pPr>
              <w:pStyle w:val="294"/>
            </w:pPr>
            <w:r>
              <w:t>98</w:t>
            </w:r>
          </w:p>
        </w:tc>
        <w:tc>
          <w:tcPr>
            <w:tcW w:w="1282" w:type="dxa"/>
            <w:vAlign w:val="center"/>
          </w:tcPr>
          <w:p>
            <w:pPr>
              <w:pStyle w:val="294"/>
            </w:pPr>
            <w:r>
              <w:t>移动设备</w:t>
            </w:r>
          </w:p>
        </w:tc>
        <w:tc>
          <w:tcPr>
            <w:tcW w:w="0" w:type="auto"/>
            <w:vAlign w:val="center"/>
          </w:tcPr>
          <w:p>
            <w:pPr>
              <w:pStyle w:val="294"/>
            </w:pPr>
            <w:r>
              <w:t>间断，&lt;2</w:t>
            </w:r>
          </w:p>
        </w:tc>
      </w:tr>
      <w:tr>
        <w:tblPrEx>
          <w:tblCellMar>
            <w:top w:w="0" w:type="dxa"/>
            <w:left w:w="108" w:type="dxa"/>
            <w:bottom w:w="0" w:type="dxa"/>
            <w:right w:w="108" w:type="dxa"/>
          </w:tblCellMar>
        </w:tblPrEx>
        <w:trPr>
          <w:jc w:val="center"/>
        </w:trPr>
        <w:tc>
          <w:tcPr>
            <w:tcW w:w="704" w:type="dxa"/>
            <w:vAlign w:val="center"/>
          </w:tcPr>
          <w:p>
            <w:pPr>
              <w:pStyle w:val="294"/>
            </w:pPr>
            <w:r>
              <w:t>7</w:t>
            </w:r>
          </w:p>
        </w:tc>
        <w:tc>
          <w:tcPr>
            <w:tcW w:w="1418" w:type="dxa"/>
            <w:vAlign w:val="center"/>
          </w:tcPr>
          <w:p>
            <w:pPr>
              <w:pStyle w:val="294"/>
            </w:pPr>
            <w:r>
              <w:t>振动棒</w:t>
            </w:r>
          </w:p>
        </w:tc>
        <w:tc>
          <w:tcPr>
            <w:tcW w:w="1701" w:type="dxa"/>
            <w:vAlign w:val="center"/>
          </w:tcPr>
          <w:p>
            <w:pPr>
              <w:pStyle w:val="294"/>
            </w:pPr>
            <w:r>
              <w:t>1</w:t>
            </w:r>
          </w:p>
        </w:tc>
        <w:tc>
          <w:tcPr>
            <w:tcW w:w="1842" w:type="dxa"/>
            <w:vAlign w:val="center"/>
          </w:tcPr>
          <w:p>
            <w:pPr>
              <w:pStyle w:val="294"/>
            </w:pPr>
            <w:r>
              <w:t>100</w:t>
            </w:r>
          </w:p>
        </w:tc>
        <w:tc>
          <w:tcPr>
            <w:tcW w:w="1282" w:type="dxa"/>
            <w:vAlign w:val="center"/>
          </w:tcPr>
          <w:p>
            <w:pPr>
              <w:pStyle w:val="294"/>
            </w:pPr>
            <w:r>
              <w:t>移动设备</w:t>
            </w:r>
          </w:p>
        </w:tc>
        <w:tc>
          <w:tcPr>
            <w:tcW w:w="0" w:type="auto"/>
            <w:vAlign w:val="center"/>
          </w:tcPr>
          <w:p>
            <w:pPr>
              <w:pStyle w:val="294"/>
            </w:pPr>
            <w:r>
              <w:t>间断，&lt;4</w:t>
            </w:r>
          </w:p>
        </w:tc>
      </w:tr>
    </w:tbl>
    <w:p>
      <w:pPr>
        <w:spacing w:before="120" w:beforeLines="50"/>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（4）固废</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本项目场地平整填方量相比挖方量较大，需外购土石方用于场地平整，无弃方产生。采气站扩建区域及进场道路均清表0.3m厚，共2600m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w:t>
      </w:r>
      <w:r>
        <w:rPr>
          <w:rFonts w:cs="Times New Roman"/>
          <w:bCs/>
          <w:color w:val="000000" w:themeColor="text1"/>
          <w:szCs w:val="24"/>
          <w14:textFill>
            <w14:solidFill>
              <w14:schemeClr w14:val="tx1"/>
            </w14:solidFill>
          </w14:textFill>
        </w:rPr>
        <w:t>表土堆放于井场建设的表土堆放区，后期全部用于施工开挖剥离面绿化耕植。</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施工过程中会产生少量建筑垃圾，如包装袋，废弃建筑材料等，其量小，由施工队伍统一收集清运至政府指定地方。施工人员多为当地民工，租住在附近农户，无集中生活垃圾产生，其产生的生活垃圾利用附近农户现有的设施进行收集处置。</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（5）生态环境影响</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拟建项目钻前工程对生态环境的主要影响因素包括场地基础开挖、土石方回填、构筑物建设等活动对土地的扰动作用。通常说来，生态影响效果主要包括改变土地利用性质、造成水土流失等。</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1）土地利用性质改变</w:t>
      </w:r>
    </w:p>
    <w:p>
      <w:pPr>
        <w:ind w:firstLine="480"/>
        <w:rPr>
          <w:rFonts w:cs="Times New Roman"/>
          <w:color w:val="000000" w:themeColor="text1"/>
          <w:szCs w:val="24"/>
          <w14:textFill>
            <w14:solidFill>
              <w14:schemeClr w14:val="tx1"/>
            </w14:solidFill>
          </w14:textFill>
        </w:rPr>
      </w:pPr>
      <w:bookmarkStart w:id="151" w:name="_Hlk89347872"/>
      <w:r>
        <w:rPr>
          <w:rFonts w:cs="Times New Roman"/>
          <w:color w:val="000000" w:themeColor="text1"/>
          <w:szCs w:val="24"/>
          <w14:textFill>
            <w14:solidFill>
              <w14:schemeClr w14:val="tx1"/>
            </w14:solidFill>
          </w14:textFill>
        </w:rPr>
        <w:t>本项目井场为新建，钻前工程施工期涉及井场工程、表土堆放区、边坡防护及施工期道路等临时占地。</w:t>
      </w:r>
      <w:bookmarkEnd w:id="151"/>
      <w:r>
        <w:rPr>
          <w:rFonts w:cs="Times New Roman"/>
          <w:color w:val="000000" w:themeColor="text1"/>
          <w:szCs w:val="24"/>
          <w14:textFill>
            <w14:solidFill>
              <w14:schemeClr w14:val="tx1"/>
            </w14:solidFill>
          </w14:textFill>
        </w:rPr>
        <w:t>工程项目建设对生态环境的影响主要表现为项目占地使土地功能发生改变，即一般耕地（</w:t>
      </w:r>
      <w:r>
        <w:rPr>
          <w:rFonts w:cs="Times New Roman"/>
          <w:color w:val="000000" w:themeColor="text1"/>
          <w14:textFill>
            <w14:solidFill>
              <w14:schemeClr w14:val="tx1"/>
            </w14:solidFill>
          </w14:textFill>
        </w:rPr>
        <w:t>灌草丛</w:t>
      </w:r>
      <w:r>
        <w:rPr>
          <w:rFonts w:cs="Times New Roman"/>
          <w:color w:val="000000" w:themeColor="text1"/>
          <w:szCs w:val="24"/>
          <w14:textFill>
            <w14:solidFill>
              <w14:schemeClr w14:val="tx1"/>
            </w14:solidFill>
          </w14:textFill>
        </w:rPr>
        <w:t>）变为工业用地，将导致粮食减产（植被生物量降低）等。本项目新增临时占地用地类型为耕地、</w:t>
      </w:r>
      <w:r>
        <w:rPr>
          <w:rFonts w:cs="Times New Roman"/>
          <w:bCs/>
          <w:color w:val="000000" w:themeColor="text1"/>
          <w:szCs w:val="24"/>
          <w14:textFill>
            <w14:solidFill>
              <w14:schemeClr w14:val="tx1"/>
            </w14:solidFill>
          </w14:textFill>
        </w:rPr>
        <w:t>灌草丛</w:t>
      </w:r>
      <w:r>
        <w:rPr>
          <w:rFonts w:cs="Times New Roman"/>
          <w:color w:val="000000" w:themeColor="text1"/>
          <w:szCs w:val="24"/>
          <w14:textFill>
            <w14:solidFill>
              <w14:schemeClr w14:val="tx1"/>
            </w14:solidFill>
          </w14:textFill>
        </w:rPr>
        <w:t>等，短期内改变土地利用性质，工程结束后即对临时占用的土地进行恢复，对当地土地资源的影响较小。对于工程的占地，建设方应按国家相关法律法规办理临时用地手续。</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2）水土流失</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在进场道路、井场平整、设备基础开挖过程，导致地表原有植被破坏，将造成地面裸露，形成水土流失。</w:t>
      </w:r>
    </w:p>
    <w:p>
      <w:pPr>
        <w:ind w:firstLine="480"/>
        <w:outlineLvl w:val="3"/>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3.4.1.2钻井工程</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（1）废气</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1）备用柴油机/发电机废气</w:t>
      </w:r>
    </w:p>
    <w:p>
      <w:pPr>
        <w:ind w:firstLine="480"/>
        <w:rPr>
          <w:rFonts w:cs="Times New Roman"/>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项目周边供电网已铺设，可将网电接入井场，满足本项目钻井及试采期需求，因此本项目优先使用网电作为动力和生产生活用电，正常情况下无燃烧废气产生。</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在停电或者电网供应不能满足使用</w:t>
      </w:r>
      <w:r>
        <w:rPr>
          <w:rFonts w:hint="eastAsia" w:cs="Times New Roman"/>
          <w:color w:val="000000" w:themeColor="text1"/>
          <w14:textFill>
            <w14:solidFill>
              <w14:schemeClr w14:val="tx1"/>
            </w14:solidFill>
          </w14:textFill>
        </w:rPr>
        <w:t>，使用备用柴油发电机为钻井供电时，柴油机运行会产生柴油燃烧废气，其主要污染物NO</w:t>
      </w:r>
      <w:r>
        <w:rPr>
          <w:rFonts w:hint="eastAsia" w:cs="Times New Roman"/>
          <w:color w:val="000000" w:themeColor="text1"/>
          <w:vertAlign w:val="subscript"/>
          <w14:textFill>
            <w14:solidFill>
              <w14:schemeClr w14:val="tx1"/>
            </w14:solidFill>
          </w14:textFill>
        </w:rPr>
        <w:t>x</w:t>
      </w:r>
      <w:r>
        <w:rPr>
          <w:rFonts w:hint="eastAsia" w:cs="Times New Roman"/>
          <w:color w:val="000000" w:themeColor="text1"/>
          <w14:textFill>
            <w14:solidFill>
              <w14:schemeClr w14:val="tx1"/>
            </w14:solidFill>
          </w14:textFill>
        </w:rPr>
        <w:t>、SO</w:t>
      </w:r>
      <w:r>
        <w:rPr>
          <w:rFonts w:hint="eastAsia" w:cs="Times New Roman"/>
          <w:color w:val="000000" w:themeColor="text1"/>
          <w:vertAlign w:val="subscript"/>
          <w14:textFill>
            <w14:solidFill>
              <w14:schemeClr w14:val="tx1"/>
            </w14:solidFill>
          </w14:textFill>
        </w:rPr>
        <w:t>2</w:t>
      </w:r>
      <w:r>
        <w:rPr>
          <w:rFonts w:hint="eastAsia" w:cs="Times New Roman"/>
          <w:color w:val="000000" w:themeColor="text1"/>
          <w14:textFill>
            <w14:solidFill>
              <w14:schemeClr w14:val="tx1"/>
            </w14:solidFill>
          </w14:textFill>
        </w:rPr>
        <w:t>和颗粒物，根据同类型作业情况，其浓度分别为25、77和100 mg/m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，废气采用柴油机设备自带的6m 高排气筒排放。柴油发电机仅在停电时备用，运行时间很短，其燃料燃烧产生及排放的污染物量很少。柴油发电机采用符合国家标准的柴油，其污染物排放满足《非道路移动机械用柴油机排气污染物排放限值及测量方法（中国第三、四阶段）》（GB20891-2014）及修改单表2规定的限值。</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2）事故放喷废气</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事故放喷是由于地层高压异常导致的，在石油天然气行业是低概率事件。事故放喷主产物是含硫天然气燃烧后产生的CO</w:t>
      </w:r>
      <w:r>
        <w:rPr>
          <w:rFonts w:cs="Times New Roman"/>
          <w:color w:val="000000" w:themeColor="text1"/>
          <w:vertAlign w:val="subscript"/>
          <w14:textFill>
            <w14:solidFill>
              <w14:schemeClr w14:val="tx1"/>
            </w14:solidFill>
          </w14:textFill>
        </w:rPr>
        <w:t>2</w:t>
      </w:r>
      <w:r>
        <w:rPr>
          <w:rFonts w:cs="Times New Roman"/>
          <w:color w:val="000000" w:themeColor="text1"/>
          <w14:textFill>
            <w14:solidFill>
              <w14:schemeClr w14:val="tx1"/>
            </w14:solidFill>
          </w14:textFill>
        </w:rPr>
        <w:t>和SO</w:t>
      </w:r>
      <w:r>
        <w:rPr>
          <w:rFonts w:cs="Times New Roman"/>
          <w:color w:val="000000" w:themeColor="text1"/>
          <w:vertAlign w:val="subscript"/>
          <w14:textFill>
            <w14:solidFill>
              <w14:schemeClr w14:val="tx1"/>
            </w14:solidFill>
          </w14:textFill>
        </w:rPr>
        <w:t>2</w:t>
      </w:r>
      <w:r>
        <w:rPr>
          <w:rFonts w:cs="Times New Roman"/>
          <w:color w:val="000000" w:themeColor="text1"/>
          <w14:textFill>
            <w14:solidFill>
              <w14:schemeClr w14:val="tx1"/>
            </w14:solidFill>
          </w14:textFill>
        </w:rPr>
        <w:t>。事故放喷时间持续较短，且通过专用的放喷管线将天然气引至放喷池进行点火放喷，属临时排放，且建设单位在发生事故放喷时制定了紧急预案，对周边居民实施临时疏散，因此事故放喷对周边人群健康基本无影响，对环境影响也较小。</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放喷前建设单位应对距离井口500m范围内的居民临时撤离，并建立警戒点进行24小时警戒，严禁居民靠近，以减轻放喷废气对这些居民的影响。同时由于测试放喷时间一般为3小时，属短期排放，不会形成长期环境影响，短期影响也可控制在周边居民健康安全限值以下，污染物排放随测试放喷的结束而停止，不会长期存在，不会影响区域环境空气功能区划。</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3）气体钻粉尘</w:t>
      </w:r>
    </w:p>
    <w:p>
      <w:pPr>
        <w:ind w:firstLine="480"/>
        <w:rPr>
          <w:rFonts w:cs="Times New Roman"/>
          <w:color w:val="000000" w:themeColor="text1"/>
          <w14:textFill>
            <w14:solidFill>
              <w14:schemeClr w14:val="tx1"/>
            </w14:solidFill>
          </w14:textFill>
        </w:rPr>
      </w:pPr>
      <w:r>
        <w:rPr>
          <w:rFonts w:cs="Times New Roman"/>
          <w:color w:val="000000" w:themeColor="text1"/>
          <w:szCs w:val="24"/>
          <w14:textFill>
            <w14:solidFill>
              <w14:schemeClr w14:val="tx1"/>
            </w14:solidFill>
          </w14:textFill>
        </w:rPr>
        <w:t>钻井过程中，使用气体钻时会返出一定量的粉尘，从而导致周围空气粉尘量增加。本项目在气体钻的排屑管处喷淋降尘，同时产生的污水及泥砂进入污水罐。由于产生的粉尘量小，因此对周围环境影响较小。</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4）压裂作业废气</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压裂作业废气主要为压裂车施工机械尾气，主要污染物为NO</w:t>
      </w:r>
      <w:r>
        <w:rPr>
          <w:rFonts w:cs="Times New Roman"/>
          <w:color w:val="000000" w:themeColor="text1"/>
          <w:szCs w:val="24"/>
          <w:vertAlign w:val="subscript"/>
          <w14:textFill>
            <w14:solidFill>
              <w14:schemeClr w14:val="tx1"/>
            </w14:solidFill>
          </w14:textFill>
        </w:rPr>
        <w:t>X</w:t>
      </w:r>
      <w:r>
        <w:rPr>
          <w:rFonts w:cs="Times New Roman"/>
          <w:color w:val="000000" w:themeColor="text1"/>
          <w:szCs w:val="24"/>
          <w14:textFill>
            <w14:solidFill>
              <w14:schemeClr w14:val="tx1"/>
            </w14:solidFill>
          </w14:textFill>
        </w:rPr>
        <w:t>、烟尘及少量CO，采用合格燃油、加强设备保养减少尾气排放量。</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5）无组织挥发性废气</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为天然气钻井及试采工程，因此，除燃油机械使用过程中产生的少量无组织挥发性有机物排放外，钻井施工过程中无无组织排放源。因此，本项目无组织挥发性有机物排放量小，通过自然扩散可有效降低其影响，对周边环境影响甚微。</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6）完井测试放喷废气</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测试放喷天然气经专用放喷管线引至放喷坑后点火燃烧，测试放喷时间一般昼间放喷，每次约3h，废气排放属短期排放。测试放喷的含硫天然气经点火燃烧，其主要污染物为CO</w:t>
      </w:r>
      <w:r>
        <w:rPr>
          <w:rFonts w:cs="Times New Roman"/>
          <w:color w:val="000000" w:themeColor="text1"/>
          <w:szCs w:val="24"/>
          <w:vertAlign w:val="subscript"/>
          <w14:textFill>
            <w14:solidFill>
              <w14:schemeClr w14:val="tx1"/>
            </w14:solidFill>
          </w14:textFill>
        </w:rPr>
        <w:t>2</w:t>
      </w:r>
      <w:r>
        <w:rPr>
          <w:rFonts w:cs="Times New Roman"/>
          <w:color w:val="000000" w:themeColor="text1"/>
          <w:szCs w:val="24"/>
          <w14:textFill>
            <w14:solidFill>
              <w14:schemeClr w14:val="tx1"/>
            </w14:solidFill>
          </w14:textFill>
        </w:rPr>
        <w:t>和SO</w:t>
      </w:r>
      <w:r>
        <w:rPr>
          <w:rFonts w:cs="Times New Roman"/>
          <w:color w:val="000000" w:themeColor="text1"/>
          <w:szCs w:val="24"/>
          <w:vertAlign w:val="subscript"/>
          <w14:textFill>
            <w14:solidFill>
              <w14:schemeClr w14:val="tx1"/>
            </w14:solidFill>
          </w14:textFill>
        </w:rPr>
        <w:t>2</w:t>
      </w:r>
      <w:r>
        <w:rPr>
          <w:rFonts w:cs="Times New Roman"/>
          <w:color w:val="000000" w:themeColor="text1"/>
          <w:szCs w:val="24"/>
          <w14:textFill>
            <w14:solidFill>
              <w14:schemeClr w14:val="tx1"/>
            </w14:solidFill>
          </w14:textFill>
        </w:rPr>
        <w:t>。</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拟建项目测试放喷废气为飞仙关组，根据建设单位提供的项目气藏地质及气藏工程资料：“</w:t>
      </w:r>
      <w:r>
        <w:rPr>
          <w:rFonts w:cs="Times New Roman"/>
          <w:bCs/>
          <w:color w:val="000000" w:themeColor="text1"/>
          <w:szCs w:val="24"/>
          <w14:textFill>
            <w14:solidFill>
              <w14:schemeClr w14:val="tx1"/>
            </w14:solidFill>
          </w14:textFill>
        </w:rPr>
        <w:t>该井为斜直井，钻遇的夹缝带内三个断块，投产时三个断块的储层全部投产。气井产能与储层物性、厚度以及水平段钻遇储层长度有关，根据测井解释成果，基于稳定渗流理论，采用斜直井产能预测模型，评价普光3011-6井酸化后无阻流量为123×10</w:t>
      </w:r>
      <w:r>
        <w:rPr>
          <w:rFonts w:cs="Times New Roman"/>
          <w:bCs/>
          <w:color w:val="000000" w:themeColor="text1"/>
          <w:szCs w:val="24"/>
          <w:vertAlign w:val="superscript"/>
          <w14:textFill>
            <w14:solidFill>
              <w14:schemeClr w14:val="tx1"/>
            </w14:solidFill>
          </w14:textFill>
        </w:rPr>
        <w:t>4</w:t>
      </w:r>
      <w:r>
        <w:rPr>
          <w:rFonts w:cs="Times New Roman"/>
          <w:bCs/>
          <w:color w:val="000000" w:themeColor="text1"/>
          <w:szCs w:val="24"/>
          <w14:textFill>
            <w14:solidFill>
              <w14:schemeClr w14:val="tx1"/>
            </w14:solidFill>
          </w14:textFill>
        </w:rPr>
        <w:t>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/d。考虑水的影响普光3011-6井配产为15×10</w:t>
      </w:r>
      <w:r>
        <w:rPr>
          <w:rFonts w:cs="Times New Roman"/>
          <w:bCs/>
          <w:color w:val="000000" w:themeColor="text1"/>
          <w:szCs w:val="24"/>
          <w:vertAlign w:val="superscript"/>
          <w14:textFill>
            <w14:solidFill>
              <w14:schemeClr w14:val="tx1"/>
            </w14:solidFill>
          </w14:textFill>
        </w:rPr>
        <w:t>4</w:t>
      </w:r>
      <w:r>
        <w:rPr>
          <w:rFonts w:cs="Times New Roman"/>
          <w:bCs/>
          <w:color w:val="000000" w:themeColor="text1"/>
          <w:szCs w:val="24"/>
          <w14:textFill>
            <w14:solidFill>
              <w14:schemeClr w14:val="tx1"/>
            </w14:solidFill>
          </w14:textFill>
        </w:rPr>
        <w:t>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/d。</w:t>
      </w:r>
      <w:r>
        <w:rPr>
          <w:rFonts w:cs="Times New Roman"/>
          <w:color w:val="000000" w:themeColor="text1"/>
          <w:szCs w:val="24"/>
          <w14:textFill>
            <w14:solidFill>
              <w14:schemeClr w14:val="tx1"/>
            </w14:solidFill>
          </w14:textFill>
        </w:rPr>
        <w:t>”在放喷池内，经排气筒为高度为1m的对空短火焰燃烧器点火燃烧后排放，本项目在放喷前，建设单位会对距离井口500m范围内的居民临时撤离，并建立警戒点进行24小时警戒，严禁居民靠近，以减轻放喷废气对这些居民的影响。同时由于测试放喷时间一般约为3小时，属短期排放，不会形成长期环境影响，短期影响也可控制在周边居民健康安全限值以下，污染物排放随测试放喷的结束而停止，不会长期存在，不会影响区域环境空气功能区划。</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本项目测试放喷在昼间进行，且时间较短，含硫天然气燃烧后主要污染物为CO</w:t>
      </w:r>
      <w:r>
        <w:rPr>
          <w:rFonts w:cs="Times New Roman"/>
          <w:color w:val="000000" w:themeColor="text1"/>
          <w:szCs w:val="24"/>
          <w:vertAlign w:val="subscript"/>
          <w14:textFill>
            <w14:solidFill>
              <w14:schemeClr w14:val="tx1"/>
            </w14:solidFill>
          </w14:textFill>
        </w:rPr>
        <w:t>2</w:t>
      </w:r>
      <w:r>
        <w:rPr>
          <w:rFonts w:cs="Times New Roman"/>
          <w:color w:val="000000" w:themeColor="text1"/>
          <w:szCs w:val="24"/>
          <w14:textFill>
            <w14:solidFill>
              <w14:schemeClr w14:val="tx1"/>
            </w14:solidFill>
          </w14:textFill>
        </w:rPr>
        <w:t>和SO</w:t>
      </w:r>
      <w:r>
        <w:rPr>
          <w:rFonts w:cs="Times New Roman"/>
          <w:color w:val="000000" w:themeColor="text1"/>
          <w:szCs w:val="24"/>
          <w:vertAlign w:val="subscript"/>
          <w14:textFill>
            <w14:solidFill>
              <w14:schemeClr w14:val="tx1"/>
            </w14:solidFill>
          </w14:textFill>
        </w:rPr>
        <w:t>2</w:t>
      </w:r>
      <w:r>
        <w:rPr>
          <w:rFonts w:cs="Times New Roman"/>
          <w:color w:val="000000" w:themeColor="text1"/>
          <w:szCs w:val="24"/>
          <w14:textFill>
            <w14:solidFill>
              <w14:schemeClr w14:val="tx1"/>
            </w14:solidFill>
          </w14:textFill>
        </w:rPr>
        <w:t>，污染物产生量较小，并将随测试放喷的结束而消除，对周边大气环境影响较小。</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（2）废水</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从项目产生的废水情况分析，包括钻井废水、洗井废水、压裂返排液、初期雨水和生活污水。</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1）钻井废水</w:t>
      </w:r>
    </w:p>
    <w:p>
      <w:pPr>
        <w:ind w:firstLine="480"/>
        <w:rPr>
          <w:rFonts w:cs="Times New Roman"/>
          <w:bCs/>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在钻井阶段采用气体钻井和常规钻井相结合的工艺。在使用气体钻的过程中会产生一定量的粉尘，本项目通过喷淋的方式降低空气中的粉尘，喷淋所产生的废水进入污水罐处理后回用，不可回用的部分同钻井废水一同进行处理</w:t>
      </w:r>
      <w:r>
        <w:rPr>
          <w:rFonts w:cs="Times New Roman"/>
          <w:bCs/>
          <w:color w:val="000000" w:themeColor="text1"/>
          <w:szCs w:val="24"/>
          <w14:textFill>
            <w14:solidFill>
              <w14:schemeClr w14:val="tx1"/>
            </w14:solidFill>
          </w14:textFill>
        </w:rPr>
        <w:t>。钻井作业的配浆过程中会根据泥浆的不同要求加入不等量的水，这些水随钻井液进入井底协助钻井作业，在钻井液返回地面后，大部分水随泥浆进入泥浆净化系统，小部分水随钻屑进入污水罐，经固液分离后，回收上清液用于泥浆配置，剩余废水定期由罐车拉运至赵家坝污水处理站达标后管输至普光11井回注站回注，不外排。</w:t>
      </w:r>
    </w:p>
    <w:p>
      <w:pPr>
        <w:ind w:firstLine="480"/>
        <w:rPr>
          <w:rFonts w:cs="Times New Roman"/>
          <w:bCs/>
          <w:color w:val="000000" w:themeColor="text1"/>
          <w:szCs w:val="24"/>
          <w14:textFill>
            <w14:solidFill>
              <w14:schemeClr w14:val="tx1"/>
            </w14:solidFill>
          </w14:textFill>
        </w:rPr>
      </w:pPr>
      <w:bookmarkStart w:id="152" w:name="_Hlk79335272"/>
      <w:r>
        <w:rPr>
          <w:rFonts w:cs="Times New Roman"/>
          <w:bCs/>
          <w:color w:val="000000" w:themeColor="text1"/>
          <w:szCs w:val="24"/>
          <w14:textFill>
            <w14:solidFill>
              <w14:schemeClr w14:val="tx1"/>
            </w14:solidFill>
          </w14:textFill>
        </w:rPr>
        <w:t>根据普光气田钻井工程的类比分析</w:t>
      </w:r>
      <w:r>
        <w:rPr>
          <w:rFonts w:cs="Times New Roman"/>
          <w:color w:val="000000" w:themeColor="text1"/>
          <w14:textFill>
            <w14:solidFill>
              <w14:schemeClr w14:val="tx1"/>
            </w14:solidFill>
          </w14:textFill>
        </w:rPr>
        <w:t>，采用相同的水基泥浆钻井工艺、钻井液循环系统和泥浆随钻不落地处理工艺的普陆5勘探评价井工程建设项目（实际井深3310m）竣工环境保护验收调查表可知其施工期钻井废水实际产生量约为611m</w:t>
      </w:r>
      <w:r>
        <w:rPr>
          <w:rFonts w:cs="Times New Roman"/>
          <w:color w:val="000000" w:themeColor="text1"/>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，每米进尺产生钻井废水量约0.185m</w:t>
      </w:r>
      <w:r>
        <w:rPr>
          <w:rFonts w:cs="Times New Roman"/>
          <w:bCs/>
          <w:color w:val="000000" w:themeColor="text1"/>
          <w:szCs w:val="24"/>
          <w:vertAlign w:val="superscript"/>
          <w14:textFill>
            <w14:solidFill>
              <w14:schemeClr w14:val="tx1"/>
            </w14:solidFill>
          </w14:textFill>
        </w:rPr>
        <w:t>3</w:t>
      </w:r>
      <w:bookmarkStart w:id="153" w:name="_Hlk152597451"/>
      <w:r>
        <w:rPr>
          <w:rFonts w:cs="Times New Roman"/>
          <w:bCs/>
          <w:color w:val="000000" w:themeColor="text1"/>
          <w:szCs w:val="24"/>
          <w14:textFill>
            <w14:solidFill>
              <w14:schemeClr w14:val="tx1"/>
            </w14:solidFill>
          </w14:textFill>
        </w:rPr>
        <w:t>，同时结合周边其他已钻井废水产生数据，平均每米进尺产生钻井废水量可达0.2m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w:t>
      </w:r>
      <w:bookmarkEnd w:id="153"/>
      <w:r>
        <w:rPr>
          <w:rFonts w:cs="Times New Roman"/>
          <w:bCs/>
          <w:color w:val="000000" w:themeColor="text1"/>
          <w:szCs w:val="24"/>
          <w14:textFill>
            <w14:solidFill>
              <w14:schemeClr w14:val="tx1"/>
            </w14:solidFill>
          </w14:textFill>
        </w:rPr>
        <w:t>本项目水基钻井可能最大进尺5707.65m，</w:t>
      </w:r>
      <w:bookmarkStart w:id="154" w:name="_Hlk152597459"/>
      <w:r>
        <w:rPr>
          <w:rFonts w:cs="Times New Roman"/>
          <w:bCs/>
          <w:color w:val="000000" w:themeColor="text1"/>
          <w:szCs w:val="24"/>
          <w14:textFill>
            <w14:solidFill>
              <w14:schemeClr w14:val="tx1"/>
            </w14:solidFill>
          </w14:textFill>
        </w:rPr>
        <w:t>本次评价保守按照不利考虑（全部使用水基泥浆钻井），</w:t>
      </w:r>
      <w:bookmarkEnd w:id="154"/>
      <w:r>
        <w:rPr>
          <w:rFonts w:cs="Times New Roman"/>
          <w:bCs/>
          <w:color w:val="000000" w:themeColor="text1"/>
          <w:szCs w:val="24"/>
          <w14:textFill>
            <w14:solidFill>
              <w14:schemeClr w14:val="tx1"/>
            </w14:solidFill>
          </w14:textFill>
        </w:rPr>
        <w:t>每米进尺产生钻井废水量按0.2m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核算，产生的钻井废水为1141.53m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w:t>
      </w:r>
    </w:p>
    <w:bookmarkEnd w:id="152"/>
    <w:p>
      <w:pPr>
        <w:ind w:firstLine="480"/>
        <w:rPr>
          <w:rFonts w:cs="Times New Roman"/>
          <w:b/>
          <w:color w:val="000000" w:themeColor="text1"/>
          <w14:textFill>
            <w14:solidFill>
              <w14:schemeClr w14:val="tx1"/>
            </w14:solidFill>
          </w14:textFill>
        </w:rPr>
      </w:pPr>
      <w:r>
        <w:rPr>
          <w:rFonts w:cs="Times New Roman"/>
          <w:bCs/>
          <w:color w:val="000000" w:themeColor="text1"/>
          <w:szCs w:val="24"/>
          <w14:textFill>
            <w14:solidFill>
              <w14:schemeClr w14:val="tx1"/>
            </w14:solidFill>
          </w14:textFill>
        </w:rPr>
        <w:t>污水罐内废水为钻井废水及雨水的混合废水，其主要污染物浓度根据普光气田钻井工程污水罐废水类比，钻井废水水质污染物浓度见</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REF _Ref142593486 \h  \* MERGEFORMAT </w:instrText>
      </w:r>
      <w:r>
        <w:rPr>
          <w:rFonts w:cs="Times New Roman"/>
          <w:bCs/>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表3.4-3</w:t>
      </w:r>
      <w:r>
        <w:rPr>
          <w:rFonts w:cs="Times New Roman"/>
          <w:bCs/>
          <w:color w:val="000000" w:themeColor="text1"/>
          <w:szCs w:val="24"/>
          <w14:textFill>
            <w14:solidFill>
              <w14:schemeClr w14:val="tx1"/>
            </w14:solidFill>
          </w14:textFill>
        </w:rPr>
        <w:fldChar w:fldCharType="end"/>
      </w:r>
      <w:r>
        <w:rPr>
          <w:rFonts w:cs="Times New Roman"/>
          <w:bCs/>
          <w:color w:val="000000" w:themeColor="text1"/>
          <w:szCs w:val="24"/>
          <w14:textFill>
            <w14:solidFill>
              <w14:schemeClr w14:val="tx1"/>
            </w14:solidFill>
          </w14:textFill>
        </w:rPr>
        <w:t>。</w:t>
      </w:r>
    </w:p>
    <w:p>
      <w:pPr>
        <w:pStyle w:val="95"/>
      </w:pPr>
      <w:bookmarkStart w:id="155" w:name="_Ref142593486"/>
      <w:r>
        <w:t>表</w:t>
      </w:r>
      <w:r>
        <w:fldChar w:fldCharType="begin"/>
      </w:r>
      <w:r>
        <w:instrText xml:space="preserve"> STYLEREF 2 \s </w:instrText>
      </w:r>
      <w:r>
        <w:fldChar w:fldCharType="separate"/>
      </w:r>
      <w:r>
        <w:t>3.4</w:t>
      </w:r>
      <w:r>
        <w:fldChar w:fldCharType="end"/>
      </w:r>
      <w:r>
        <w:t>-</w:t>
      </w:r>
      <w:r>
        <w:fldChar w:fldCharType="begin"/>
      </w:r>
      <w:r>
        <w:instrText xml:space="preserve"> SEQ 表 \* ARABIC \s 2 </w:instrText>
      </w:r>
      <w:r>
        <w:fldChar w:fldCharType="separate"/>
      </w:r>
      <w:r>
        <w:t>3</w:t>
      </w:r>
      <w:r>
        <w:fldChar w:fldCharType="end"/>
      </w:r>
      <w:bookmarkEnd w:id="155"/>
      <w:r>
        <w:t xml:space="preserve"> 钻井废水综合水质污染物浓度表（单位：mg/L，pH值无量纲）</w:t>
      </w:r>
    </w:p>
    <w:tbl>
      <w:tblPr>
        <w:tblStyle w:val="52"/>
        <w:tblW w:w="83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306"/>
        <w:gridCol w:w="1851"/>
        <w:gridCol w:w="1843"/>
        <w:gridCol w:w="234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06" w:type="dxa"/>
            <w:vAlign w:val="center"/>
          </w:tcPr>
          <w:p>
            <w:pPr>
              <w:pStyle w:val="294"/>
            </w:pPr>
            <w:r>
              <w:t>污染物名称</w:t>
            </w:r>
          </w:p>
        </w:tc>
        <w:tc>
          <w:tcPr>
            <w:tcW w:w="1851" w:type="dxa"/>
            <w:vAlign w:val="center"/>
          </w:tcPr>
          <w:p>
            <w:pPr>
              <w:pStyle w:val="294"/>
            </w:pPr>
            <w:r>
              <w:t>pH</w:t>
            </w:r>
          </w:p>
        </w:tc>
        <w:tc>
          <w:tcPr>
            <w:tcW w:w="1843" w:type="dxa"/>
            <w:vAlign w:val="center"/>
          </w:tcPr>
          <w:p>
            <w:pPr>
              <w:pStyle w:val="294"/>
            </w:pPr>
            <w:r>
              <w:t>SS</w:t>
            </w:r>
          </w:p>
        </w:tc>
        <w:tc>
          <w:tcPr>
            <w:tcW w:w="2344" w:type="dxa"/>
            <w:vAlign w:val="center"/>
          </w:tcPr>
          <w:p>
            <w:pPr>
              <w:pStyle w:val="294"/>
            </w:pPr>
            <w:r>
              <w:t>石油类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06" w:type="dxa"/>
            <w:vAlign w:val="center"/>
          </w:tcPr>
          <w:p>
            <w:pPr>
              <w:pStyle w:val="294"/>
            </w:pPr>
            <w:r>
              <w:t>浓度</w:t>
            </w:r>
          </w:p>
        </w:tc>
        <w:tc>
          <w:tcPr>
            <w:tcW w:w="1851" w:type="dxa"/>
            <w:vAlign w:val="center"/>
          </w:tcPr>
          <w:p>
            <w:pPr>
              <w:pStyle w:val="294"/>
            </w:pPr>
            <w:r>
              <w:t>8.3～12.5</w:t>
            </w:r>
          </w:p>
        </w:tc>
        <w:tc>
          <w:tcPr>
            <w:tcW w:w="1843" w:type="dxa"/>
            <w:vAlign w:val="center"/>
          </w:tcPr>
          <w:p>
            <w:pPr>
              <w:pStyle w:val="294"/>
            </w:pPr>
            <w:r>
              <w:t>≤7500</w:t>
            </w:r>
          </w:p>
        </w:tc>
        <w:tc>
          <w:tcPr>
            <w:tcW w:w="2344" w:type="dxa"/>
            <w:vAlign w:val="center"/>
          </w:tcPr>
          <w:p>
            <w:pPr>
              <w:pStyle w:val="294"/>
            </w:pPr>
            <w:r>
              <w:t>≤200</w:t>
            </w:r>
          </w:p>
        </w:tc>
      </w:tr>
    </w:tbl>
    <w:p>
      <w:pPr>
        <w:spacing w:before="120" w:beforeLines="50"/>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2）</w:t>
      </w:r>
      <w:bookmarkStart w:id="156" w:name="_Hlk106463456"/>
      <w:r>
        <w:rPr>
          <w:rFonts w:cs="Times New Roman"/>
          <w:b/>
          <w:bCs/>
          <w:color w:val="000000" w:themeColor="text1"/>
          <w:szCs w:val="24"/>
          <w14:textFill>
            <w14:solidFill>
              <w14:schemeClr w14:val="tx1"/>
            </w14:solidFill>
          </w14:textFill>
        </w:rPr>
        <w:t>压裂返排液及洗井废水</w:t>
      </w:r>
      <w:bookmarkEnd w:id="156"/>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测试放喷与完井工程产生的作业废水主要是压裂酸化、洗井等施工时产生的废水。</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本项目压裂酸化过程酸液（前置酸、清洁酸）用量约320m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，根据该区域已完钻钻井工程可知，该区域钻井工程酸液返排率约30%，则本项目返排液量为96m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作业废水主要组成为水、盐酸及醋酸与岩层反应后生成的盐类、及表面活性剂等。返排液排至经防腐防渗处理的放喷池或污水罐中暂存（放喷池预先储备部分碱性水用于中和返排液中的酸液），返排周期为3天～5天。本项目洗井采用碱水，项目洗井废水产生约100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压裂返排液及洗井废水临时暂存于放喷池或者污水罐，优先回用于钻井工段及周边平台钻井工段，不能回用的用罐车拉运至赵家坝污水处理站处理达标后经普光11井回注站回注。根据普光气田钻井工程类比调查，作业废水污染物浓度情况见</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REF _Ref142593491 \h  \* MERGEFORMAT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表3.4-4</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w:t>
      </w:r>
    </w:p>
    <w:p>
      <w:pPr>
        <w:pStyle w:val="95"/>
      </w:pPr>
      <w:bookmarkStart w:id="157" w:name="_Ref142593491"/>
      <w:r>
        <w:t>表</w:t>
      </w:r>
      <w:r>
        <w:fldChar w:fldCharType="begin"/>
      </w:r>
      <w:r>
        <w:instrText xml:space="preserve"> STYLEREF 2 \s </w:instrText>
      </w:r>
      <w:r>
        <w:fldChar w:fldCharType="separate"/>
      </w:r>
      <w:r>
        <w:t>3.4</w:t>
      </w:r>
      <w:r>
        <w:fldChar w:fldCharType="end"/>
      </w:r>
      <w:r>
        <w:t>-</w:t>
      </w:r>
      <w:r>
        <w:fldChar w:fldCharType="begin"/>
      </w:r>
      <w:r>
        <w:instrText xml:space="preserve"> SEQ 表 \* ARABIC \s 2 </w:instrText>
      </w:r>
      <w:r>
        <w:fldChar w:fldCharType="separate"/>
      </w:r>
      <w:r>
        <w:t>4</w:t>
      </w:r>
      <w:r>
        <w:fldChar w:fldCharType="end"/>
      </w:r>
      <w:bookmarkEnd w:id="157"/>
      <w:r>
        <w:t xml:space="preserve"> 压裂返排液及洗井废水污染物浓度表（单位：mg/L）</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79"/>
        <w:gridCol w:w="1654"/>
        <w:gridCol w:w="1111"/>
        <w:gridCol w:w="1111"/>
        <w:gridCol w:w="1111"/>
        <w:gridCol w:w="975"/>
        <w:gridCol w:w="118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344" w:type="dxa"/>
            <w:vAlign w:val="center"/>
          </w:tcPr>
          <w:p>
            <w:pPr>
              <w:pStyle w:val="294"/>
            </w:pPr>
            <w:r>
              <w:t>污染物名称</w:t>
            </w:r>
          </w:p>
        </w:tc>
        <w:tc>
          <w:tcPr>
            <w:tcW w:w="1610" w:type="dxa"/>
            <w:vAlign w:val="center"/>
          </w:tcPr>
          <w:p>
            <w:pPr>
              <w:pStyle w:val="294"/>
            </w:pPr>
            <w:r>
              <w:t>pH</w:t>
            </w:r>
          </w:p>
        </w:tc>
        <w:tc>
          <w:tcPr>
            <w:tcW w:w="1081" w:type="dxa"/>
            <w:vAlign w:val="center"/>
          </w:tcPr>
          <w:p>
            <w:pPr>
              <w:pStyle w:val="294"/>
            </w:pPr>
            <w:r>
              <w:t>COD</w:t>
            </w:r>
          </w:p>
        </w:tc>
        <w:tc>
          <w:tcPr>
            <w:tcW w:w="1081" w:type="dxa"/>
            <w:vAlign w:val="center"/>
          </w:tcPr>
          <w:p>
            <w:pPr>
              <w:pStyle w:val="294"/>
            </w:pPr>
            <w:r>
              <w:t>SS</w:t>
            </w:r>
          </w:p>
        </w:tc>
        <w:tc>
          <w:tcPr>
            <w:tcW w:w="1081" w:type="dxa"/>
            <w:vAlign w:val="center"/>
          </w:tcPr>
          <w:p>
            <w:pPr>
              <w:pStyle w:val="294"/>
            </w:pPr>
            <w:r>
              <w:t>石油类</w:t>
            </w:r>
          </w:p>
        </w:tc>
        <w:tc>
          <w:tcPr>
            <w:tcW w:w="949" w:type="dxa"/>
            <w:vAlign w:val="center"/>
          </w:tcPr>
          <w:p>
            <w:pPr>
              <w:pStyle w:val="294"/>
            </w:pPr>
            <w:r>
              <w:t>挥发酚</w:t>
            </w:r>
          </w:p>
        </w:tc>
        <w:tc>
          <w:tcPr>
            <w:tcW w:w="1154" w:type="dxa"/>
            <w:vAlign w:val="center"/>
          </w:tcPr>
          <w:p>
            <w:pPr>
              <w:pStyle w:val="294"/>
            </w:pPr>
            <w:r>
              <w:t>氯离子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344" w:type="dxa"/>
            <w:vAlign w:val="center"/>
          </w:tcPr>
          <w:p>
            <w:pPr>
              <w:pStyle w:val="294"/>
            </w:pPr>
            <w:r>
              <w:t>浓度</w:t>
            </w:r>
          </w:p>
        </w:tc>
        <w:tc>
          <w:tcPr>
            <w:tcW w:w="1610" w:type="dxa"/>
            <w:vAlign w:val="center"/>
          </w:tcPr>
          <w:p>
            <w:pPr>
              <w:pStyle w:val="294"/>
            </w:pPr>
            <w:r>
              <w:t>4～6</w:t>
            </w:r>
          </w:p>
        </w:tc>
        <w:tc>
          <w:tcPr>
            <w:tcW w:w="1081" w:type="dxa"/>
            <w:vAlign w:val="center"/>
          </w:tcPr>
          <w:p>
            <w:pPr>
              <w:pStyle w:val="294"/>
            </w:pPr>
            <w:r>
              <w:t>≤5000</w:t>
            </w:r>
          </w:p>
        </w:tc>
        <w:tc>
          <w:tcPr>
            <w:tcW w:w="1081" w:type="dxa"/>
            <w:vAlign w:val="center"/>
          </w:tcPr>
          <w:p>
            <w:pPr>
              <w:pStyle w:val="294"/>
            </w:pPr>
            <w:r>
              <w:t>≤7500</w:t>
            </w:r>
          </w:p>
        </w:tc>
        <w:tc>
          <w:tcPr>
            <w:tcW w:w="1081" w:type="dxa"/>
            <w:vAlign w:val="center"/>
          </w:tcPr>
          <w:p>
            <w:pPr>
              <w:pStyle w:val="294"/>
            </w:pPr>
            <w:r>
              <w:t>≤200</w:t>
            </w:r>
          </w:p>
        </w:tc>
        <w:tc>
          <w:tcPr>
            <w:tcW w:w="949" w:type="dxa"/>
            <w:vAlign w:val="center"/>
          </w:tcPr>
          <w:p>
            <w:pPr>
              <w:pStyle w:val="294"/>
            </w:pPr>
            <w:r>
              <w:t>≤7.0</w:t>
            </w:r>
          </w:p>
        </w:tc>
        <w:tc>
          <w:tcPr>
            <w:tcW w:w="1154" w:type="dxa"/>
            <w:vAlign w:val="center"/>
          </w:tcPr>
          <w:p>
            <w:pPr>
              <w:pStyle w:val="294"/>
            </w:pPr>
            <w:r>
              <w:t>≤4000</w:t>
            </w:r>
          </w:p>
        </w:tc>
      </w:tr>
    </w:tbl>
    <w:p>
      <w:pPr>
        <w:spacing w:before="120" w:beforeLines="50"/>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3）生活污水</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钻井期间，一个钻井队的员工一般为45人，每人每天用水量为80L，排污系数为0.8，则钻井期间井场的生活用水量为3600L/d，污水产生量为2880L/d。生活污水依托站场已建的厕所收集后由密闭罐车定期拉运至周边生活污水处理厂处理，环境影响较小。本项目生活污水水质情况见表3.4-5。</w:t>
      </w:r>
    </w:p>
    <w:p>
      <w:pPr>
        <w:pStyle w:val="95"/>
      </w:pPr>
      <w:bookmarkStart w:id="158" w:name="_Ref142593497"/>
      <w:r>
        <w:t>表</w:t>
      </w:r>
      <w:r>
        <w:fldChar w:fldCharType="begin"/>
      </w:r>
      <w:r>
        <w:instrText xml:space="preserve"> STYLEREF 2 \s </w:instrText>
      </w:r>
      <w:r>
        <w:fldChar w:fldCharType="separate"/>
      </w:r>
      <w:r>
        <w:t>3.4</w:t>
      </w:r>
      <w:r>
        <w:fldChar w:fldCharType="end"/>
      </w:r>
      <w:r>
        <w:t>-</w:t>
      </w:r>
      <w:r>
        <w:fldChar w:fldCharType="begin"/>
      </w:r>
      <w:r>
        <w:instrText xml:space="preserve"> SEQ 表 \* ARABIC \s 2 </w:instrText>
      </w:r>
      <w:r>
        <w:fldChar w:fldCharType="separate"/>
      </w:r>
      <w:r>
        <w:t>5</w:t>
      </w:r>
      <w:r>
        <w:fldChar w:fldCharType="end"/>
      </w:r>
      <w:bookmarkEnd w:id="158"/>
      <w:r>
        <w:t xml:space="preserve"> 项目生活污水水质</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68"/>
        <w:gridCol w:w="841"/>
        <w:gridCol w:w="1501"/>
        <w:gridCol w:w="1370"/>
        <w:gridCol w:w="1371"/>
        <w:gridCol w:w="137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68" w:type="dxa"/>
            <w:vAlign w:val="center"/>
          </w:tcPr>
          <w:p>
            <w:pPr>
              <w:pStyle w:val="294"/>
            </w:pPr>
            <w:r>
              <w:t>主要污染物名称</w:t>
            </w:r>
          </w:p>
        </w:tc>
        <w:tc>
          <w:tcPr>
            <w:tcW w:w="841" w:type="dxa"/>
            <w:vAlign w:val="center"/>
          </w:tcPr>
          <w:p>
            <w:pPr>
              <w:pStyle w:val="294"/>
            </w:pPr>
            <w:r>
              <w:t>pH</w:t>
            </w:r>
          </w:p>
        </w:tc>
        <w:tc>
          <w:tcPr>
            <w:tcW w:w="1501" w:type="dxa"/>
            <w:vAlign w:val="center"/>
          </w:tcPr>
          <w:p>
            <w:pPr>
              <w:pStyle w:val="294"/>
            </w:pPr>
            <w:r>
              <w:t>悬浮物（mg/L）</w:t>
            </w:r>
          </w:p>
        </w:tc>
        <w:tc>
          <w:tcPr>
            <w:tcW w:w="1370" w:type="dxa"/>
            <w:vAlign w:val="center"/>
          </w:tcPr>
          <w:p>
            <w:pPr>
              <w:pStyle w:val="294"/>
            </w:pPr>
            <w:r>
              <w:t>COD（mg/L）</w:t>
            </w:r>
          </w:p>
        </w:tc>
        <w:tc>
          <w:tcPr>
            <w:tcW w:w="1371" w:type="dxa"/>
            <w:vAlign w:val="center"/>
          </w:tcPr>
          <w:p>
            <w:pPr>
              <w:pStyle w:val="294"/>
            </w:pPr>
            <w:r>
              <w:t>BOD</w:t>
            </w:r>
            <w:r>
              <w:rPr>
                <w:vertAlign w:val="subscript"/>
              </w:rPr>
              <w:t>5</w:t>
            </w:r>
            <w:r>
              <w:t>（mg/L）</w:t>
            </w:r>
          </w:p>
        </w:tc>
        <w:tc>
          <w:tcPr>
            <w:tcW w:w="1371" w:type="dxa"/>
            <w:vAlign w:val="center"/>
          </w:tcPr>
          <w:p>
            <w:pPr>
              <w:pStyle w:val="294"/>
            </w:pPr>
            <w:r>
              <w:t>氨氮（mg/L）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68" w:type="dxa"/>
            <w:vAlign w:val="center"/>
          </w:tcPr>
          <w:p>
            <w:pPr>
              <w:pStyle w:val="294"/>
            </w:pPr>
            <w:r>
              <w:t>水质情况</w:t>
            </w:r>
          </w:p>
        </w:tc>
        <w:tc>
          <w:tcPr>
            <w:tcW w:w="841" w:type="dxa"/>
            <w:vAlign w:val="center"/>
          </w:tcPr>
          <w:p>
            <w:pPr>
              <w:pStyle w:val="294"/>
            </w:pPr>
            <w:r>
              <w:t>7.0-9.0</w:t>
            </w:r>
          </w:p>
        </w:tc>
        <w:tc>
          <w:tcPr>
            <w:tcW w:w="1501" w:type="dxa"/>
            <w:vAlign w:val="center"/>
          </w:tcPr>
          <w:p>
            <w:pPr>
              <w:pStyle w:val="294"/>
            </w:pPr>
            <w:r>
              <w:t>250-300</w:t>
            </w:r>
          </w:p>
        </w:tc>
        <w:tc>
          <w:tcPr>
            <w:tcW w:w="1370" w:type="dxa"/>
            <w:vAlign w:val="center"/>
          </w:tcPr>
          <w:p>
            <w:pPr>
              <w:pStyle w:val="294"/>
            </w:pPr>
            <w:r>
              <w:t>350-400</w:t>
            </w:r>
          </w:p>
        </w:tc>
        <w:tc>
          <w:tcPr>
            <w:tcW w:w="1371" w:type="dxa"/>
            <w:vAlign w:val="center"/>
          </w:tcPr>
          <w:p>
            <w:pPr>
              <w:pStyle w:val="294"/>
            </w:pPr>
            <w:r>
              <w:t>200-250</w:t>
            </w:r>
          </w:p>
        </w:tc>
        <w:tc>
          <w:tcPr>
            <w:tcW w:w="1371" w:type="dxa"/>
            <w:vAlign w:val="center"/>
          </w:tcPr>
          <w:p>
            <w:pPr>
              <w:pStyle w:val="294"/>
            </w:pPr>
            <w:r>
              <w:t>30-40</w:t>
            </w:r>
          </w:p>
        </w:tc>
      </w:tr>
    </w:tbl>
    <w:p>
      <w:pPr>
        <w:spacing w:before="120" w:beforeLines="50"/>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4）初期雨水</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其中钻井期间污水罐收集的初期雨水，与钻井废水一同由罐车拉运至赵家坝污水处理站达标后管输至普光11井回注站回注，不外排。</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井场内四周设排水边沟，井场雨水随四周排水边沟汇至排放口，排放口设监控池，初期雨水收集进入污水罐处理。污水罐收集的初期雨水同钻井废水一同由罐车拉运至赵家坝污水处理站达标后管输至普光11井回注站回注，不外排。</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初期雨水量按照如下公示计算：</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V=q×ψ×F×t×60÷1000</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式中：V-初期雨水最大量，m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w:t>
      </w:r>
    </w:p>
    <w:p>
      <w:pPr>
        <w:ind w:firstLine="1274" w:firstLineChars="531"/>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t-降雨历时，min；</w:t>
      </w:r>
    </w:p>
    <w:p>
      <w:pPr>
        <w:ind w:firstLine="1274" w:firstLineChars="531"/>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ψ-径流系数，取0.85；</w:t>
      </w:r>
    </w:p>
    <w:p>
      <w:pPr>
        <w:ind w:left="1559" w:leftChars="531" w:hanging="285" w:hangingChars="119"/>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F-汇水面积，hm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，本次计算整个施工井场内部占地面积，按6000m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计，即0.6hm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w:t>
      </w:r>
    </w:p>
    <w:p>
      <w:pPr>
        <w:ind w:firstLine="1274" w:firstLineChars="531"/>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q-设计暴雨强度，L/（s·hm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w:t>
      </w:r>
    </w:p>
    <w:p>
      <w:pPr>
        <w:ind w:firstLine="1274" w:firstLineChars="531"/>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设计暴雨强度公式如下：</w:t>
      </w:r>
    </w:p>
    <w:p>
      <w:pPr>
        <w:ind w:firstLine="480"/>
        <w:rPr>
          <w:rFonts w:cs="Times New Roman"/>
          <w:color w:val="000000" w:themeColor="text1"/>
          <w14:textFill>
            <w14:solidFill>
              <w14:schemeClr w14:val="tx1"/>
            </w14:solidFill>
          </w14:textFill>
        </w:rPr>
      </w:pPr>
      <m:oMathPara>
        <m:oMath>
          <m:r>
            <m:rPr/>
            <w:rPr>
              <w:rFonts w:ascii="Cambria Math" w:hAnsi="Cambria Math" w:cs="Times New Roman"/>
              <w:color w:val="000000" w:themeColor="text1"/>
              <w14:textFill>
                <w14:solidFill>
                  <w14:schemeClr w14:val="tx1"/>
                </w14:solidFill>
              </w14:textFill>
            </w:rPr>
            <m:t>q=</m:t>
          </m:r>
          <m:f>
            <m:fPr>
              <m:ctrlPr>
                <w:rPr>
                  <w:rFonts w:ascii="Cambria Math" w:hAnsi="Cambria Math" w:cs="Times New Roman"/>
                  <w:iCs/>
                  <w:color w:val="000000" w:themeColor="text1"/>
                  <w14:textFill>
                    <w14:solidFill>
                      <w14:schemeClr w14:val="tx1"/>
                    </w14:solidFill>
                  </w14:textFill>
                </w:rPr>
              </m:ctrlPr>
            </m:fPr>
            <m:num>
              <m:r>
                <m:rPr>
                  <m:sty m:val="p"/>
                </m:rPr>
                <w:rPr>
                  <w:rFonts w:ascii="Cambria Math" w:hAnsi="Cambria Math" w:cs="Times New Roman"/>
                  <w:color w:val="000000" w:themeColor="text1"/>
                  <w14:textFill>
                    <w14:solidFill>
                      <w14:schemeClr w14:val="tx1"/>
                    </w14:solidFill>
                  </w14:textFill>
                </w:rPr>
                <m:t>928.799（1+0.818LgP）</m:t>
              </m:r>
              <m:ctrlPr>
                <w:rPr>
                  <w:rFonts w:ascii="Cambria Math" w:hAnsi="Cambria Math" w:cs="Times New Roman"/>
                  <w:iCs/>
                  <w:color w:val="000000" w:themeColor="text1"/>
                  <w14:textFill>
                    <w14:solidFill>
                      <w14:schemeClr w14:val="tx1"/>
                    </w14:solidFill>
                  </w14:textFill>
                </w:rPr>
              </m:ctrlPr>
            </m:num>
            <m:den>
              <m:r>
                <m:rPr>
                  <m:sty m:val="p"/>
                </m:rPr>
                <w:rPr>
                  <w:rFonts w:ascii="Cambria Math" w:hAnsi="Cambria Math" w:cs="Times New Roman"/>
                  <w:color w:val="000000" w:themeColor="text1"/>
                  <w14:textFill>
                    <w14:solidFill>
                      <w14:schemeClr w14:val="tx1"/>
                    </w14:solidFill>
                  </w14:textFill>
                </w:rPr>
                <m:t>（t+5.788</m:t>
              </m:r>
              <m:sSup>
                <m:sSupPr>
                  <m:ctrlPr>
                    <w:rPr>
                      <w:rFonts w:ascii="Cambria Math" w:hAnsi="Cambria Math" w:cs="Times New Roman"/>
                      <w:iCs/>
                      <w:color w:val="000000" w:themeColor="text1"/>
                      <w14:textFill>
                        <w14:solidFill>
                          <w14:schemeClr w14:val="tx1"/>
                        </w14:solidFill>
                      </w14:textFill>
                    </w:rPr>
                  </m:ctrlPr>
                </m:sSupPr>
                <m:e>
                  <m:r>
                    <m:rPr>
                      <m:sty m:val="p"/>
                    </m:rPr>
                    <w:rPr>
                      <w:rFonts w:ascii="Cambria Math" w:hAnsi="Cambria Math" w:cs="Times New Roman"/>
                      <w:color w:val="000000" w:themeColor="text1"/>
                      <w14:textFill>
                        <w14:solidFill>
                          <w14:schemeClr w14:val="tx1"/>
                        </w14:solidFill>
                      </w14:textFill>
                    </w:rPr>
                    <m:t>）</m:t>
                  </m:r>
                  <m:ctrlPr>
                    <w:rPr>
                      <w:rFonts w:ascii="Cambria Math" w:hAnsi="Cambria Math" w:cs="Times New Roman"/>
                      <w:iCs/>
                      <w:color w:val="000000" w:themeColor="text1"/>
                      <w14:textFill>
                        <w14:solidFill>
                          <w14:schemeClr w14:val="tx1"/>
                        </w14:solidFill>
                      </w14:textFill>
                    </w:rPr>
                  </m:ctrlPr>
                </m:e>
                <m:sup>
                  <m:r>
                    <m:rPr>
                      <m:sty m:val="p"/>
                    </m:rPr>
                    <w:rPr>
                      <w:rFonts w:ascii="Cambria Math" w:hAnsi="Cambria Math" w:cs="Times New Roman"/>
                      <w:color w:val="000000" w:themeColor="text1"/>
                      <w14:textFill>
                        <w14:solidFill>
                          <w14:schemeClr w14:val="tx1"/>
                        </w14:solidFill>
                      </w14:textFill>
                    </w:rPr>
                    <m:t>0.565</m:t>
                  </m:r>
                  <m:ctrlPr>
                    <w:rPr>
                      <w:rFonts w:ascii="Cambria Math" w:hAnsi="Cambria Math" w:cs="Times New Roman"/>
                      <w:iCs/>
                      <w:color w:val="000000" w:themeColor="text1"/>
                      <w14:textFill>
                        <w14:solidFill>
                          <w14:schemeClr w14:val="tx1"/>
                        </w14:solidFill>
                      </w14:textFill>
                    </w:rPr>
                  </m:ctrlPr>
                </m:sup>
              </m:sSup>
              <m:ctrlPr>
                <w:rPr>
                  <w:rFonts w:ascii="Cambria Math" w:hAnsi="Cambria Math" w:cs="Times New Roman"/>
                  <w:iCs/>
                  <w:color w:val="000000" w:themeColor="text1"/>
                  <w14:textFill>
                    <w14:solidFill>
                      <w14:schemeClr w14:val="tx1"/>
                    </w14:solidFill>
                  </w14:textFill>
                </w:rPr>
              </m:ctrlPr>
            </m:den>
          </m:f>
        </m:oMath>
      </m:oMathPara>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式中：</w:t>
      </w:r>
    </w:p>
    <w:p>
      <w:pPr>
        <w:ind w:firstLine="1132" w:firstLineChars="47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q-设计暴雨强度，L/（s·hm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w:t>
      </w:r>
    </w:p>
    <w:p>
      <w:pPr>
        <w:ind w:firstLine="1132" w:firstLineChars="47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p-设计暴雨重现期（年）：本次取值为2年；</w:t>
      </w:r>
    </w:p>
    <w:p>
      <w:pPr>
        <w:ind w:firstLine="1132" w:firstLineChars="47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t-降雨历时（min）：取15min。</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经计算，本项目15min初期雨水产生量约为195.5m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/次。</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井场实行雨污分流，井场外四周设排水边沟，井外雨水不得进入井场，井场内四周设内排水边，井场雨水随内排水沟汇至排放口，排放口设监控池，初期雨水收集后同钻井废水一同拉运至赵家坝污水处理站达标后管输至普光11井回注站回注，不外排，后期雨水水质清洁后可直接外排。</w:t>
      </w:r>
    </w:p>
    <w:p>
      <w:pPr>
        <w:spacing w:before="120" w:beforeLines="50"/>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（3）噪声</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本项目井场噪声分布区域主要分为动力及钻台区、泥浆泵区和泥浆不落地区、压裂作业区等，其主要噪声设备有：</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cs="Times New Roman"/>
          <w:color w:val="000000" w:themeColor="text1"/>
          <w14:textFill>
            <w14:solidFill>
              <w14:schemeClr w14:val="tx1"/>
            </w14:solidFill>
          </w14:textFill>
        </w:rPr>
        <w:t>机械噪声组：包括柴油机组、发电机组、钻机、泥浆泵以及其他种机械转动所产生的噪声；</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rFonts w:cs="Times New Roman"/>
          <w:color w:val="000000" w:themeColor="text1"/>
          <w14:textFill>
            <w14:solidFill>
              <w14:schemeClr w14:val="tx1"/>
            </w14:solidFill>
          </w14:textFill>
        </w:rPr>
        <w:t>作业噪声：包括固井作业、下套管、起下钻具、钻机气路控制系统操作时快速放气阀放气、跳钻时吊环与水龙头的撞击等所产生的噪声；</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rFonts w:cs="Times New Roman"/>
          <w:color w:val="000000" w:themeColor="text1"/>
          <w14:textFill>
            <w14:solidFill>
              <w14:schemeClr w14:val="tx1"/>
            </w14:solidFill>
          </w14:textFill>
        </w:rPr>
        <w:t>事故放喷噪声：事故放喷时产生的高压气流噪声。</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本项目优先使用网电，备用柴油发电机仅在供电不正常时使用，使用时间短，为偶尔间断使用，但其噪声源强</w:t>
      </w:r>
      <w:r>
        <w:rPr>
          <w:rFonts w:hint="eastAsia" w:cs="Times New Roman"/>
          <w:color w:val="000000" w:themeColor="text1"/>
          <w14:textFill>
            <w14:solidFill>
              <w14:schemeClr w14:val="tx1"/>
            </w14:solidFill>
          </w14:textFill>
        </w:rPr>
        <w:t>较</w:t>
      </w:r>
      <w:r>
        <w:rPr>
          <w:rFonts w:cs="Times New Roman"/>
          <w:color w:val="000000" w:themeColor="text1"/>
          <w14:textFill>
            <w14:solidFill>
              <w14:schemeClr w14:val="tx1"/>
            </w14:solidFill>
          </w14:textFill>
        </w:rPr>
        <w:t>大。因此对声环境影响大的主要为钻井过程中使用备用的柴油动力机、柴油发电机间断运行噪声，以及24小时钻井时钻机等设备的运行产生较大的连续性噪声，本项目钻井采用ZJ70型钻机，根据类比调查，钻井工程主要噪声源设备噪声值见</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REF _Ref142593506 \h  \* MERGEFORMAT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表3.4-6</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w:t>
      </w:r>
    </w:p>
    <w:p>
      <w:pPr>
        <w:pStyle w:val="95"/>
      </w:pPr>
      <w:bookmarkStart w:id="159" w:name="_Ref142593506"/>
      <w:r>
        <w:t>表</w:t>
      </w:r>
      <w:r>
        <w:fldChar w:fldCharType="begin"/>
      </w:r>
      <w:r>
        <w:instrText xml:space="preserve"> STYLEREF 2 \s </w:instrText>
      </w:r>
      <w:r>
        <w:fldChar w:fldCharType="separate"/>
      </w:r>
      <w:r>
        <w:t>3.4</w:t>
      </w:r>
      <w:r>
        <w:fldChar w:fldCharType="end"/>
      </w:r>
      <w:r>
        <w:t>-</w:t>
      </w:r>
      <w:r>
        <w:fldChar w:fldCharType="begin"/>
      </w:r>
      <w:r>
        <w:instrText xml:space="preserve"> SEQ 表 \* ARABIC \s 2 </w:instrText>
      </w:r>
      <w:r>
        <w:fldChar w:fldCharType="separate"/>
      </w:r>
      <w:r>
        <w:t>6</w:t>
      </w:r>
      <w:r>
        <w:fldChar w:fldCharType="end"/>
      </w:r>
      <w:bookmarkEnd w:id="159"/>
      <w:r>
        <w:t xml:space="preserve"> 项目钻井工程主要噪声源设备噪声值表</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433"/>
        <w:gridCol w:w="1166"/>
        <w:gridCol w:w="1126"/>
        <w:gridCol w:w="1125"/>
        <w:gridCol w:w="1287"/>
        <w:gridCol w:w="971"/>
        <w:gridCol w:w="1126"/>
        <w:gridCol w:w="113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59"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阶</w:t>
            </w:r>
            <w:r>
              <w:rPr>
                <w:rFonts w:cs="Times New Roman"/>
                <w:color w:val="000000" w:themeColor="text1"/>
                <w:kern w:val="0"/>
                <w:sz w:val="21"/>
                <w:szCs w:val="21"/>
                <w14:textFill>
                  <w14:solidFill>
                    <w14:schemeClr w14:val="tx1"/>
                  </w14:solidFill>
                </w14:textFill>
              </w:rPr>
              <w:t>时段</w:t>
            </w:r>
          </w:p>
        </w:tc>
        <w:tc>
          <w:tcPr>
            <w:tcW w:w="697"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噪声设备</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数量</w:t>
            </w:r>
          </w:p>
        </w:tc>
        <w:tc>
          <w:tcPr>
            <w:tcW w:w="672" w:type="pct"/>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单台源强dB（A）（1m处）</w:t>
            </w:r>
          </w:p>
        </w:tc>
        <w:tc>
          <w:tcPr>
            <w:tcW w:w="769"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采取的降噪措施</w:t>
            </w:r>
          </w:p>
        </w:tc>
        <w:tc>
          <w:tcPr>
            <w:tcW w:w="580"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噪声特征</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排放时间</w:t>
            </w:r>
          </w:p>
        </w:tc>
        <w:tc>
          <w:tcPr>
            <w:tcW w:w="676"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声源种类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59" w:type="pct"/>
            <w:vMerge w:val="restar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网电工况</w:t>
            </w:r>
          </w:p>
        </w:tc>
        <w:tc>
          <w:tcPr>
            <w:tcW w:w="697"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钻井设备</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1套</w:t>
            </w:r>
          </w:p>
        </w:tc>
        <w:tc>
          <w:tcPr>
            <w:tcW w:w="672"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95～100</w:t>
            </w:r>
          </w:p>
        </w:tc>
        <w:tc>
          <w:tcPr>
            <w:tcW w:w="769" w:type="pct"/>
            <w:vMerge w:val="restart"/>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置于钻井井场内，基础安装减振垫层</w:t>
            </w:r>
          </w:p>
        </w:tc>
        <w:tc>
          <w:tcPr>
            <w:tcW w:w="580"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机械</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昼夜连续</w:t>
            </w:r>
          </w:p>
        </w:tc>
        <w:tc>
          <w:tcPr>
            <w:tcW w:w="676"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固定声源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59" w:type="pct"/>
            <w:vMerge w:val="continue"/>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p>
        </w:tc>
        <w:tc>
          <w:tcPr>
            <w:tcW w:w="697"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泥浆泵</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2台</w:t>
            </w:r>
          </w:p>
        </w:tc>
        <w:tc>
          <w:tcPr>
            <w:tcW w:w="672"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85～90</w:t>
            </w:r>
          </w:p>
        </w:tc>
        <w:tc>
          <w:tcPr>
            <w:tcW w:w="769" w:type="pct"/>
            <w:vMerge w:val="continue"/>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p>
        </w:tc>
        <w:tc>
          <w:tcPr>
            <w:tcW w:w="580"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机械</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昼夜连续</w:t>
            </w:r>
          </w:p>
        </w:tc>
        <w:tc>
          <w:tcPr>
            <w:tcW w:w="676"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固定声源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59" w:type="pct"/>
            <w:vMerge w:val="continue"/>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p>
        </w:tc>
        <w:tc>
          <w:tcPr>
            <w:tcW w:w="697"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振动筛</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2台</w:t>
            </w:r>
          </w:p>
        </w:tc>
        <w:tc>
          <w:tcPr>
            <w:tcW w:w="672"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75～85</w:t>
            </w:r>
          </w:p>
        </w:tc>
        <w:tc>
          <w:tcPr>
            <w:tcW w:w="769" w:type="pct"/>
            <w:vMerge w:val="continue"/>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p>
        </w:tc>
        <w:tc>
          <w:tcPr>
            <w:tcW w:w="580"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机械</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昼夜连续</w:t>
            </w:r>
          </w:p>
        </w:tc>
        <w:tc>
          <w:tcPr>
            <w:tcW w:w="676"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固定声源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59" w:type="pct"/>
            <w:vMerge w:val="continue"/>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p>
        </w:tc>
        <w:tc>
          <w:tcPr>
            <w:tcW w:w="697" w:type="pct"/>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增压机</w:t>
            </w:r>
          </w:p>
        </w:tc>
        <w:tc>
          <w:tcPr>
            <w:tcW w:w="673" w:type="pct"/>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2台</w:t>
            </w:r>
          </w:p>
        </w:tc>
        <w:tc>
          <w:tcPr>
            <w:tcW w:w="672" w:type="pct"/>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85</w:t>
            </w:r>
            <w:r>
              <w:rPr>
                <w:rFonts w:cs="Times New Roman"/>
                <w:color w:val="000000" w:themeColor="text1"/>
                <w:kern w:val="0"/>
                <w:sz w:val="21"/>
                <w:szCs w:val="21"/>
                <w14:textFill>
                  <w14:solidFill>
                    <w14:schemeClr w14:val="tx1"/>
                  </w14:solidFill>
                </w14:textFill>
              </w:rPr>
              <w:t>~95</w:t>
            </w:r>
          </w:p>
        </w:tc>
        <w:tc>
          <w:tcPr>
            <w:tcW w:w="769" w:type="pct"/>
            <w:vMerge w:val="continue"/>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p>
        </w:tc>
        <w:tc>
          <w:tcPr>
            <w:tcW w:w="580"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机械</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昼夜连续</w:t>
            </w:r>
          </w:p>
        </w:tc>
        <w:tc>
          <w:tcPr>
            <w:tcW w:w="676"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固定声源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59" w:type="pct"/>
            <w:vMerge w:val="continue"/>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p>
        </w:tc>
        <w:tc>
          <w:tcPr>
            <w:tcW w:w="697"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泥浆不落地装置</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1套</w:t>
            </w:r>
          </w:p>
        </w:tc>
        <w:tc>
          <w:tcPr>
            <w:tcW w:w="672" w:type="pct"/>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80</w:t>
            </w:r>
            <w:r>
              <w:rPr>
                <w:rFonts w:cs="Times New Roman"/>
                <w:color w:val="000000" w:themeColor="text1"/>
                <w:kern w:val="0"/>
                <w:sz w:val="21"/>
                <w:szCs w:val="21"/>
                <w14:textFill>
                  <w14:solidFill>
                    <w14:schemeClr w14:val="tx1"/>
                  </w14:solidFill>
                </w14:textFill>
              </w:rPr>
              <w:t>~85</w:t>
            </w:r>
          </w:p>
        </w:tc>
        <w:tc>
          <w:tcPr>
            <w:tcW w:w="769" w:type="pct"/>
            <w:vMerge w:val="continue"/>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p>
        </w:tc>
        <w:tc>
          <w:tcPr>
            <w:tcW w:w="580"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机械</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昼夜间断</w:t>
            </w:r>
          </w:p>
        </w:tc>
        <w:tc>
          <w:tcPr>
            <w:tcW w:w="676"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固定声源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59" w:type="pct"/>
            <w:vMerge w:val="continue"/>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p>
        </w:tc>
        <w:tc>
          <w:tcPr>
            <w:tcW w:w="697"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压裂设备</w:t>
            </w:r>
          </w:p>
        </w:tc>
        <w:tc>
          <w:tcPr>
            <w:tcW w:w="673" w:type="pct"/>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3台</w:t>
            </w:r>
          </w:p>
        </w:tc>
        <w:tc>
          <w:tcPr>
            <w:tcW w:w="672" w:type="pct"/>
            <w:vAlign w:val="center"/>
          </w:tcPr>
          <w:p>
            <w:pPr>
              <w:widowControl/>
              <w:spacing w:line="240" w:lineRule="auto"/>
              <w:ind w:firstLine="0" w:firstLineChars="0"/>
              <w:jc w:val="center"/>
              <w:rPr>
                <w:rFonts w:cs="Times New Roman"/>
                <w:kern w:val="0"/>
                <w:sz w:val="21"/>
                <w:szCs w:val="21"/>
                <w:lang w:eastAsia="en-US"/>
              </w:rPr>
            </w:pPr>
            <w:r>
              <w:rPr>
                <w:rFonts w:cs="Times New Roman"/>
                <w:kern w:val="0"/>
                <w:sz w:val="21"/>
                <w:szCs w:val="21"/>
                <w:lang w:eastAsia="en-US"/>
              </w:rPr>
              <w:t>95～100</w:t>
            </w:r>
          </w:p>
        </w:tc>
        <w:tc>
          <w:tcPr>
            <w:tcW w:w="769" w:type="pct"/>
            <w:vMerge w:val="continue"/>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p>
        </w:tc>
        <w:tc>
          <w:tcPr>
            <w:tcW w:w="580"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机械</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昼夜间断</w:t>
            </w:r>
          </w:p>
        </w:tc>
        <w:tc>
          <w:tcPr>
            <w:tcW w:w="676"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固定声源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59" w:type="pct"/>
            <w:vMerge w:val="restar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柴油机</w:t>
            </w:r>
            <w:r>
              <w:rPr>
                <w:rFonts w:cs="Times New Roman"/>
                <w:color w:val="000000" w:themeColor="text1"/>
                <w:kern w:val="0"/>
                <w:sz w:val="21"/>
                <w:szCs w:val="21"/>
                <w:lang w:eastAsia="en-US"/>
                <w14:textFill>
                  <w14:solidFill>
                    <w14:schemeClr w14:val="tx1"/>
                  </w14:solidFill>
                </w14:textFill>
              </w:rPr>
              <w:t>工况</w:t>
            </w:r>
          </w:p>
        </w:tc>
        <w:tc>
          <w:tcPr>
            <w:tcW w:w="697"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放喷高压气流</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w:t>
            </w:r>
          </w:p>
        </w:tc>
        <w:tc>
          <w:tcPr>
            <w:tcW w:w="672"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110</w:t>
            </w:r>
          </w:p>
        </w:tc>
        <w:tc>
          <w:tcPr>
            <w:tcW w:w="769"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w:t>
            </w:r>
          </w:p>
        </w:tc>
        <w:tc>
          <w:tcPr>
            <w:tcW w:w="580"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空气动力</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测试3h</w:t>
            </w:r>
          </w:p>
        </w:tc>
        <w:tc>
          <w:tcPr>
            <w:tcW w:w="676"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固定声源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59" w:type="pct"/>
            <w:vMerge w:val="continue"/>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p>
        </w:tc>
        <w:tc>
          <w:tcPr>
            <w:tcW w:w="697"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柴油动力机</w:t>
            </w:r>
          </w:p>
        </w:tc>
        <w:tc>
          <w:tcPr>
            <w:tcW w:w="673" w:type="pct"/>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2台</w:t>
            </w:r>
            <w:r>
              <w:rPr>
                <w:rFonts w:hint="eastAsia" w:cs="Times New Roman"/>
                <w:color w:val="000000" w:themeColor="text1"/>
                <w:kern w:val="0"/>
                <w:sz w:val="21"/>
                <w:szCs w:val="21"/>
                <w14:textFill>
                  <w14:solidFill>
                    <w14:schemeClr w14:val="tx1"/>
                  </w14:solidFill>
                </w14:textFill>
              </w:rPr>
              <w:t>（2用1备）</w:t>
            </w:r>
          </w:p>
        </w:tc>
        <w:tc>
          <w:tcPr>
            <w:tcW w:w="672"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95～110</w:t>
            </w:r>
          </w:p>
        </w:tc>
        <w:tc>
          <w:tcPr>
            <w:tcW w:w="769" w:type="pct"/>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排气筒上自带高质量消声器的柴油机</w:t>
            </w:r>
          </w:p>
        </w:tc>
        <w:tc>
          <w:tcPr>
            <w:tcW w:w="580"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机械</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间断</w:t>
            </w:r>
          </w:p>
        </w:tc>
        <w:tc>
          <w:tcPr>
            <w:tcW w:w="676"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固定声源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59" w:type="pct"/>
            <w:vMerge w:val="continue"/>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p>
        </w:tc>
        <w:tc>
          <w:tcPr>
            <w:tcW w:w="697"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柴油发电机</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1台</w:t>
            </w:r>
            <w:r>
              <w:rPr>
                <w:rFonts w:hint="eastAsia" w:cs="Times New Roman"/>
                <w:color w:val="000000" w:themeColor="text1"/>
                <w:kern w:val="0"/>
                <w:sz w:val="21"/>
                <w:szCs w:val="21"/>
                <w14:textFill>
                  <w14:solidFill>
                    <w14:schemeClr w14:val="tx1"/>
                  </w14:solidFill>
                </w14:textFill>
              </w:rPr>
              <w:t>（</w:t>
            </w:r>
            <w:r>
              <w:rPr>
                <w:rFonts w:cs="Times New Roman"/>
                <w:color w:val="000000" w:themeColor="text1"/>
                <w:kern w:val="0"/>
                <w:sz w:val="21"/>
                <w:szCs w:val="21"/>
                <w14:textFill>
                  <w14:solidFill>
                    <w14:schemeClr w14:val="tx1"/>
                  </w14:solidFill>
                </w14:textFill>
              </w:rPr>
              <w:t>1</w:t>
            </w:r>
            <w:r>
              <w:rPr>
                <w:rFonts w:hint="eastAsia" w:cs="Times New Roman"/>
                <w:color w:val="000000" w:themeColor="text1"/>
                <w:kern w:val="0"/>
                <w:sz w:val="21"/>
                <w:szCs w:val="21"/>
                <w14:textFill>
                  <w14:solidFill>
                    <w14:schemeClr w14:val="tx1"/>
                  </w14:solidFill>
                </w14:textFill>
              </w:rPr>
              <w:t>用1备）</w:t>
            </w:r>
          </w:p>
        </w:tc>
        <w:tc>
          <w:tcPr>
            <w:tcW w:w="672"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95～105</w:t>
            </w:r>
          </w:p>
        </w:tc>
        <w:tc>
          <w:tcPr>
            <w:tcW w:w="769" w:type="pct"/>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活动板房隔声，安装减振垫层和阻尼涂料</w:t>
            </w:r>
          </w:p>
        </w:tc>
        <w:tc>
          <w:tcPr>
            <w:tcW w:w="580"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机械</w:t>
            </w:r>
          </w:p>
        </w:tc>
        <w:tc>
          <w:tcPr>
            <w:tcW w:w="673"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间断</w:t>
            </w:r>
          </w:p>
        </w:tc>
        <w:tc>
          <w:tcPr>
            <w:tcW w:w="676"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固定声源</w:t>
            </w:r>
          </w:p>
        </w:tc>
      </w:tr>
    </w:tbl>
    <w:p>
      <w:pPr>
        <w:spacing w:before="120" w:beforeLines="50"/>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（4）固废</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1）空气钻岩屑</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若项目一、二开采用空气钻，则会产生空气钻岩屑，根据周边P3021-8井岩屑产生量类比分析，本项目空气钻岩屑产生量约100m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，气体钻过程产生的岩屑于临时堆放于暂存区，空气钻结束后用于井场低洼区域回填，不外运处置。</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2）水基钻井固废</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若项目一、二开全部采用水基泥浆钻井，则项目产生的水基钻井固废计算如下：</w:t>
      </w:r>
    </w:p>
    <w:p>
      <w:pPr>
        <w:ind w:firstLine="482"/>
        <w:rPr>
          <w:rFonts w:cs="Times New Roman"/>
          <w:b/>
          <w:bCs/>
          <w:color w:val="000000" w:themeColor="text1"/>
          <w14:textFill>
            <w14:solidFill>
              <w14:schemeClr w14:val="tx1"/>
            </w14:solidFill>
          </w14:textFill>
        </w:rPr>
      </w:pPr>
      <w:r>
        <w:rPr>
          <w:rFonts w:hint="eastAsia" w:ascii="宋体" w:hAnsi="宋体" w:cs="宋体"/>
          <w:b/>
          <w:bCs/>
          <w:color w:val="000000" w:themeColor="text1"/>
          <w14:textFill>
            <w14:solidFill>
              <w14:schemeClr w14:val="tx1"/>
            </w14:solidFill>
          </w14:textFill>
        </w:rPr>
        <w:t>①</w:t>
      </w:r>
      <w:r>
        <w:rPr>
          <w:rFonts w:cs="Times New Roman"/>
          <w:b/>
          <w:bCs/>
          <w:color w:val="000000" w:themeColor="text1"/>
          <w14:textFill>
            <w14:solidFill>
              <w14:schemeClr w14:val="tx1"/>
            </w14:solidFill>
          </w14:textFill>
        </w:rPr>
        <w:t>水基钻井泥浆：</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钻井过程中产生的废钻井泥浆主要来源于：</w:t>
      </w:r>
      <w:r>
        <w:rPr>
          <w:rFonts w:hint="eastAsia" w:ascii="宋体" w:hAnsi="宋体" w:cs="宋体"/>
          <w:color w:val="000000" w:themeColor="text1"/>
          <w14:textFill>
            <w14:solidFill>
              <w14:schemeClr w14:val="tx1"/>
            </w14:solidFill>
          </w14:textFill>
        </w:rPr>
        <w:t>①</w:t>
      </w:r>
      <w:r>
        <w:rPr>
          <w:rFonts w:cs="Times New Roman"/>
          <w:color w:val="000000" w:themeColor="text1"/>
          <w14:textFill>
            <w14:solidFill>
              <w14:schemeClr w14:val="tx1"/>
            </w14:solidFill>
          </w14:textFill>
        </w:rPr>
        <w:t>被更换的不适于钻井工程和地质要求的钻井泥浆；</w:t>
      </w:r>
      <w:r>
        <w:rPr>
          <w:rFonts w:hint="eastAsia" w:ascii="宋体" w:hAnsi="宋体" w:cs="宋体"/>
          <w:color w:val="000000" w:themeColor="text1"/>
          <w14:textFill>
            <w14:solidFill>
              <w14:schemeClr w14:val="tx1"/>
            </w14:solidFill>
          </w14:textFill>
        </w:rPr>
        <w:t>②</w:t>
      </w:r>
      <w:r>
        <w:rPr>
          <w:rFonts w:cs="Times New Roman"/>
          <w:color w:val="000000" w:themeColor="text1"/>
          <w14:textFill>
            <w14:solidFill>
              <w14:schemeClr w14:val="tx1"/>
            </w14:solidFill>
          </w14:textFill>
        </w:rPr>
        <w:t>在钻井过程中，因部分性能不合格而被排放的钻井泥浆；</w:t>
      </w:r>
      <w:r>
        <w:rPr>
          <w:rFonts w:hint="eastAsia" w:ascii="宋体" w:hAnsi="宋体" w:cs="宋体"/>
          <w:color w:val="000000" w:themeColor="text1"/>
          <w14:textFill>
            <w14:solidFill>
              <w14:schemeClr w14:val="tx1"/>
            </w14:solidFill>
          </w14:textFill>
        </w:rPr>
        <w:t>③</w:t>
      </w:r>
      <w:r>
        <w:rPr>
          <w:rFonts w:cs="Times New Roman"/>
          <w:color w:val="000000" w:themeColor="text1"/>
          <w14:textFill>
            <w14:solidFill>
              <w14:schemeClr w14:val="tx1"/>
            </w14:solidFill>
          </w14:textFill>
        </w:rPr>
        <w:t>完井时和洗井时井筒内被清水替出的钻井泥浆；</w:t>
      </w:r>
      <w:r>
        <w:rPr>
          <w:rFonts w:hint="eastAsia" w:ascii="宋体" w:hAnsi="宋体" w:cs="宋体"/>
          <w:color w:val="000000" w:themeColor="text1"/>
          <w14:textFill>
            <w14:solidFill>
              <w14:schemeClr w14:val="tx1"/>
            </w14:solidFill>
          </w14:textFill>
        </w:rPr>
        <w:t>④</w:t>
      </w:r>
      <w:r>
        <w:rPr>
          <w:rFonts w:cs="Times New Roman"/>
          <w:color w:val="000000" w:themeColor="text1"/>
          <w14:textFill>
            <w14:solidFill>
              <w14:schemeClr w14:val="tx1"/>
            </w14:solidFill>
          </w14:textFill>
        </w:rPr>
        <w:t>钻井泥浆循环系统跑、冒、滴、漏而排出的钻井泥浆。主要成分为水、粘土、聚合物、碳酸钠、氢氧化钠、氯化钾、石灰石和重晶石。</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根据本项目钻井设计，项目钻井阶段钻井液总用量约为1978m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，根据普光气田统计数据钻井液</w:t>
      </w:r>
      <w:r>
        <w:rPr>
          <w:rFonts w:cs="Times New Roman"/>
          <w:bCs/>
          <w:color w:val="000000" w:themeColor="text1"/>
          <w14:textFill>
            <w14:solidFill>
              <w14:schemeClr w14:val="tx1"/>
            </w14:solidFill>
          </w14:textFill>
        </w:rPr>
        <w:t>循环利用率在90%以上，故本项目约产生最大废弃水基钻井泥浆197.8m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由于其pH较高（通常超过9），含有少量有机物添加剂，基泥浆。根据普光3井及普光7井钻井泥浆固化物浸出液检测结果，样品污染浓度均不超过《危险废鉴别标准浸出毒性鉴别》（GB5085.3-2007）中表1标准，同事经与《国家危险废物名录》（2021版）对比，废水基泥浆不在上述名录中规定的危险废物之列。因此，确定废弃水基钻井泥浆为第</w:t>
      </w:r>
      <w:r>
        <w:rPr>
          <w:rFonts w:hint="eastAsia" w:ascii="宋体" w:hAnsi="宋体" w:cs="宋体"/>
          <w:color w:val="000000" w:themeColor="text1"/>
          <w14:textFill>
            <w14:solidFill>
              <w14:schemeClr w14:val="tx1"/>
            </w14:solidFill>
          </w14:textFill>
        </w:rPr>
        <w:t>Ⅱ</w:t>
      </w:r>
      <w:r>
        <w:rPr>
          <w:rFonts w:cs="Times New Roman"/>
          <w:color w:val="000000" w:themeColor="text1"/>
          <w14:textFill>
            <w14:solidFill>
              <w14:schemeClr w14:val="tx1"/>
            </w14:solidFill>
          </w14:textFill>
        </w:rPr>
        <w:t>类一般工业固体废物。</w:t>
      </w:r>
    </w:p>
    <w:p>
      <w:pPr>
        <w:ind w:firstLine="482"/>
        <w:rPr>
          <w:rFonts w:cs="Times New Roman"/>
          <w:b/>
          <w:bCs/>
          <w:color w:val="000000" w:themeColor="text1"/>
          <w14:textFill>
            <w14:solidFill>
              <w14:schemeClr w14:val="tx1"/>
            </w14:solidFill>
          </w14:textFill>
        </w:rPr>
      </w:pPr>
      <w:r>
        <w:rPr>
          <w:rFonts w:hint="eastAsia" w:ascii="宋体" w:hAnsi="宋体" w:cs="宋体"/>
          <w:b/>
          <w:bCs/>
          <w:color w:val="000000" w:themeColor="text1"/>
          <w14:textFill>
            <w14:solidFill>
              <w14:schemeClr w14:val="tx1"/>
            </w14:solidFill>
          </w14:textFill>
        </w:rPr>
        <w:t>②</w:t>
      </w:r>
      <w:r>
        <w:rPr>
          <w:rFonts w:cs="Times New Roman"/>
          <w:b/>
          <w:bCs/>
          <w:color w:val="000000" w:themeColor="text1"/>
          <w14:textFill>
            <w14:solidFill>
              <w14:schemeClr w14:val="tx1"/>
            </w14:solidFill>
          </w14:textFill>
        </w:rPr>
        <w:t>水基钻井岩屑：</w:t>
      </w:r>
    </w:p>
    <w:p>
      <w:pPr>
        <w:widowControl/>
        <w:adjustRightInd/>
        <w:snapToGrid/>
        <w:ind w:firstLine="480"/>
        <w:jc w:val="left"/>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钻井岩屑是在钻井过程中钻头切屑地层岩石而产生的碎屑，并通过钻井泥浆和洗井液带出至地面。主要成分为岩石、土壤及钻井液。其产生量与井眼长度、平均井径有关。根据本项目钻井阶段各开次进尺、钻头尺寸，并取一定的容积扩大倍数（气体、清水和水基钻井取3.5倍），本项目钻井岩屑产生量见</w:t>
      </w:r>
      <w:r>
        <w:rPr>
          <w:rFonts w:cs="Times New Roman"/>
          <w:bCs/>
          <w:color w:val="000000" w:themeColor="text1"/>
          <w14:textFill>
            <w14:solidFill>
              <w14:schemeClr w14:val="tx1"/>
            </w14:solidFill>
          </w14:textFill>
        </w:rPr>
        <w:fldChar w:fldCharType="begin"/>
      </w:r>
      <w:r>
        <w:rPr>
          <w:rFonts w:cs="Times New Roman"/>
          <w:bCs/>
          <w:color w:val="000000" w:themeColor="text1"/>
          <w14:textFill>
            <w14:solidFill>
              <w14:schemeClr w14:val="tx1"/>
            </w14:solidFill>
          </w14:textFill>
        </w:rPr>
        <w:instrText xml:space="preserve"> REF _Ref142593515 \h  \* MERGEFORMAT </w:instrText>
      </w:r>
      <w:r>
        <w:rPr>
          <w:rFonts w:cs="Times New Roman"/>
          <w:bCs/>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表3.4</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7</w:t>
      </w:r>
      <w:r>
        <w:rPr>
          <w:rFonts w:cs="Times New Roman"/>
          <w:bCs/>
          <w:color w:val="000000" w:themeColor="text1"/>
          <w14:textFill>
            <w14:solidFill>
              <w14:schemeClr w14:val="tx1"/>
            </w14:solidFill>
          </w14:textFill>
        </w:rPr>
        <w:fldChar w:fldCharType="end"/>
      </w:r>
      <w:r>
        <w:rPr>
          <w:rFonts w:cs="Times New Roman"/>
          <w:color w:val="000000" w:themeColor="text1"/>
          <w:kern w:val="0"/>
          <w14:textFill>
            <w14:solidFill>
              <w14:schemeClr w14:val="tx1"/>
            </w14:solidFill>
          </w14:textFill>
        </w:rPr>
        <w:t>。</w:t>
      </w:r>
    </w:p>
    <w:p>
      <w:pPr>
        <w:widowControl/>
        <w:adjustRightInd/>
        <w:snapToGrid/>
        <w:ind w:firstLine="480"/>
        <w:jc w:val="left"/>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计算公示如下：</w:t>
      </w:r>
    </w:p>
    <w:p>
      <w:pPr>
        <w:widowControl/>
        <w:adjustRightInd/>
        <w:snapToGrid/>
        <w:ind w:firstLine="420" w:firstLineChars="0"/>
        <w:jc w:val="center"/>
        <w:rPr>
          <w:rFonts w:cs="Times New Roman"/>
          <w:color w:val="000000" w:themeColor="text1"/>
          <w:kern w:val="0"/>
          <w:szCs w:val="24"/>
          <w14:textFill>
            <w14:solidFill>
              <w14:schemeClr w14:val="tx1"/>
            </w14:solidFill>
          </w14:textFill>
        </w:rPr>
      </w:pPr>
      <w:r>
        <w:rPr>
          <w:rFonts w:cs="Times New Roman"/>
          <w:color w:val="000000" w:themeColor="text1"/>
          <w:kern w:val="0"/>
          <w:szCs w:val="24"/>
          <w14:textFill>
            <w14:solidFill>
              <w14:schemeClr w14:val="tx1"/>
            </w14:solidFill>
          </w14:textFill>
        </w:rPr>
        <w:t>V</w:t>
      </w:r>
      <w:r>
        <w:rPr>
          <w:rFonts w:cs="Times New Roman"/>
          <w:color w:val="000000" w:themeColor="text1"/>
          <w:kern w:val="0"/>
          <w:szCs w:val="24"/>
          <w:vertAlign w:val="subscript"/>
          <w14:textFill>
            <w14:solidFill>
              <w14:schemeClr w14:val="tx1"/>
            </w14:solidFill>
          </w14:textFill>
        </w:rPr>
        <w:t>气体、清水和水基=</w:t>
      </w:r>
      <w:r>
        <w:rPr>
          <w:rFonts w:cs="Times New Roman"/>
          <w:color w:val="000000" w:themeColor="text1"/>
          <w:kern w:val="0"/>
          <w:szCs w:val="24"/>
          <w:lang w:eastAsia="en-US"/>
          <w14:textFill>
            <w14:solidFill>
              <w14:schemeClr w14:val="tx1"/>
            </w14:solidFill>
          </w14:textFill>
        </w:rPr>
        <w:t>π</w:t>
      </w:r>
      <w:r>
        <w:rPr>
          <w:rFonts w:cs="Times New Roman"/>
          <w:color w:val="000000" w:themeColor="text1"/>
          <w:kern w:val="0"/>
          <w:szCs w:val="24"/>
          <w14:textFill>
            <w14:solidFill>
              <w14:schemeClr w14:val="tx1"/>
            </w14:solidFill>
          </w14:textFill>
        </w:rPr>
        <w:t>×r</w:t>
      </w:r>
      <w:r>
        <w:rPr>
          <w:rFonts w:cs="Times New Roman"/>
          <w:color w:val="000000" w:themeColor="text1"/>
          <w:kern w:val="0"/>
          <w:szCs w:val="24"/>
          <w:vertAlign w:val="superscript"/>
          <w14:textFill>
            <w14:solidFill>
              <w14:schemeClr w14:val="tx1"/>
            </w14:solidFill>
          </w14:textFill>
        </w:rPr>
        <w:t>2</w:t>
      </w:r>
      <w:r>
        <w:rPr>
          <w:rFonts w:cs="Times New Roman"/>
          <w:color w:val="000000" w:themeColor="text1"/>
          <w:kern w:val="0"/>
          <w:szCs w:val="24"/>
          <w14:textFill>
            <w14:solidFill>
              <w14:schemeClr w14:val="tx1"/>
            </w14:solidFill>
          </w14:textFill>
        </w:rPr>
        <w:t>×d×2.5</w:t>
      </w:r>
    </w:p>
    <w:p>
      <w:pPr>
        <w:widowControl/>
        <w:adjustRightInd/>
        <w:snapToGrid/>
        <w:ind w:firstLine="420" w:firstLineChars="0"/>
        <w:jc w:val="center"/>
        <w:rPr>
          <w:rFonts w:cs="Times New Roman"/>
          <w:color w:val="000000" w:themeColor="text1"/>
          <w:kern w:val="0"/>
          <w:szCs w:val="24"/>
          <w14:textFill>
            <w14:solidFill>
              <w14:schemeClr w14:val="tx1"/>
            </w14:solidFill>
          </w14:textFill>
        </w:rPr>
      </w:pPr>
      <w:r>
        <w:rPr>
          <w:rFonts w:cs="Times New Roman"/>
          <w:color w:val="000000" w:themeColor="text1"/>
          <w:kern w:val="0"/>
          <w:szCs w:val="24"/>
          <w14:textFill>
            <w14:solidFill>
              <w14:schemeClr w14:val="tx1"/>
            </w14:solidFill>
          </w14:textFill>
        </w:rPr>
        <w:t>V</w:t>
      </w:r>
      <w:r>
        <w:rPr>
          <w:rFonts w:cs="Times New Roman"/>
          <w:color w:val="000000" w:themeColor="text1"/>
          <w:kern w:val="0"/>
          <w:szCs w:val="24"/>
          <w:vertAlign w:val="subscript"/>
          <w14:textFill>
            <w14:solidFill>
              <w14:schemeClr w14:val="tx1"/>
            </w14:solidFill>
          </w14:textFill>
        </w:rPr>
        <w:t>油基</w:t>
      </w:r>
      <w:r>
        <w:rPr>
          <w:rFonts w:cs="Times New Roman"/>
          <w:color w:val="000000" w:themeColor="text1"/>
          <w:kern w:val="0"/>
          <w:szCs w:val="24"/>
          <w14:textFill>
            <w14:solidFill>
              <w14:schemeClr w14:val="tx1"/>
            </w14:solidFill>
          </w14:textFill>
        </w:rPr>
        <w:t>=</w:t>
      </w:r>
      <w:r>
        <w:rPr>
          <w:rFonts w:cs="Times New Roman"/>
          <w:color w:val="000000" w:themeColor="text1"/>
          <w:kern w:val="0"/>
          <w:szCs w:val="24"/>
          <w:lang w:eastAsia="en-US"/>
          <w14:textFill>
            <w14:solidFill>
              <w14:schemeClr w14:val="tx1"/>
            </w14:solidFill>
          </w14:textFill>
        </w:rPr>
        <w:t>π</w:t>
      </w:r>
      <w:r>
        <w:rPr>
          <w:rFonts w:cs="Times New Roman"/>
          <w:color w:val="000000" w:themeColor="text1"/>
          <w:kern w:val="0"/>
          <w:szCs w:val="24"/>
          <w14:textFill>
            <w14:solidFill>
              <w14:schemeClr w14:val="tx1"/>
            </w14:solidFill>
          </w14:textFill>
        </w:rPr>
        <w:t>×r</w:t>
      </w:r>
      <w:r>
        <w:rPr>
          <w:rFonts w:cs="Times New Roman"/>
          <w:color w:val="000000" w:themeColor="text1"/>
          <w:kern w:val="0"/>
          <w:szCs w:val="24"/>
          <w:vertAlign w:val="superscript"/>
          <w14:textFill>
            <w14:solidFill>
              <w14:schemeClr w14:val="tx1"/>
            </w14:solidFill>
          </w14:textFill>
        </w:rPr>
        <w:t>2</w:t>
      </w:r>
      <w:r>
        <w:rPr>
          <w:rFonts w:cs="Times New Roman"/>
          <w:color w:val="000000" w:themeColor="text1"/>
          <w:kern w:val="0"/>
          <w:szCs w:val="24"/>
          <w14:textFill>
            <w14:solidFill>
              <w14:schemeClr w14:val="tx1"/>
            </w14:solidFill>
          </w14:textFill>
        </w:rPr>
        <w:t>×d×3</w:t>
      </w:r>
    </w:p>
    <w:p>
      <w:pPr>
        <w:pStyle w:val="95"/>
      </w:pPr>
      <w:bookmarkStart w:id="160" w:name="_Ref142593515"/>
      <w:r>
        <w:t>表</w:t>
      </w:r>
      <w:r>
        <w:fldChar w:fldCharType="begin"/>
      </w:r>
      <w:r>
        <w:instrText xml:space="preserve"> STYLEREF 2 \s </w:instrText>
      </w:r>
      <w:r>
        <w:fldChar w:fldCharType="separate"/>
      </w:r>
      <w:r>
        <w:t>3.4</w:t>
      </w:r>
      <w:r>
        <w:fldChar w:fldCharType="end"/>
      </w:r>
      <w:r>
        <w:noBreakHyphen/>
      </w:r>
      <w:r>
        <w:fldChar w:fldCharType="begin"/>
      </w:r>
      <w:r>
        <w:instrText xml:space="preserve"> SEQ 表 \* ARABIC \s 2 </w:instrText>
      </w:r>
      <w:r>
        <w:fldChar w:fldCharType="separate"/>
      </w:r>
      <w:r>
        <w:t>7</w:t>
      </w:r>
      <w:r>
        <w:fldChar w:fldCharType="end"/>
      </w:r>
      <w:bookmarkEnd w:id="160"/>
      <w:r>
        <w:t xml:space="preserve"> 水基钻井期间岩屑产生量估算表</w:t>
      </w:r>
    </w:p>
    <w:tbl>
      <w:tblPr>
        <w:tblStyle w:val="52"/>
        <w:tblW w:w="5000" w:type="pct"/>
        <w:tblInd w:w="0" w:type="dxa"/>
        <w:tblLayout w:type="autofit"/>
        <w:tblCellMar>
          <w:top w:w="0" w:type="dxa"/>
          <w:left w:w="108" w:type="dxa"/>
          <w:bottom w:w="0" w:type="dxa"/>
          <w:right w:w="108" w:type="dxa"/>
        </w:tblCellMar>
      </w:tblPr>
      <w:tblGrid>
        <w:gridCol w:w="975"/>
        <w:gridCol w:w="984"/>
        <w:gridCol w:w="982"/>
        <w:gridCol w:w="984"/>
        <w:gridCol w:w="981"/>
        <w:gridCol w:w="1044"/>
        <w:gridCol w:w="1339"/>
        <w:gridCol w:w="1237"/>
      </w:tblGrid>
      <w:tr>
        <w:tblPrEx>
          <w:tblCellMar>
            <w:top w:w="0" w:type="dxa"/>
            <w:left w:w="108" w:type="dxa"/>
            <w:bottom w:w="0" w:type="dxa"/>
            <w:right w:w="108" w:type="dxa"/>
          </w:tblCellMar>
        </w:tblPrEx>
        <w:trPr>
          <w:trHeight w:val="580" w:hRule="atLeast"/>
        </w:trPr>
        <w:tc>
          <w:tcPr>
            <w:tcW w:w="572" w:type="pct"/>
            <w:tcBorders>
              <w:top w:val="single" w:color="auto" w:sz="8" w:space="0"/>
              <w:left w:val="single" w:color="auto" w:sz="8" w:space="0"/>
              <w:bottom w:val="single" w:color="auto" w:sz="4" w:space="0"/>
              <w:right w:val="single" w:color="auto" w:sz="4" w:space="0"/>
              <w:tl2br w:val="single" w:color="auto" w:sz="4" w:space="0"/>
            </w:tcBorders>
            <w:shd w:val="clear" w:color="auto" w:fill="auto"/>
            <w:vAlign w:val="center"/>
          </w:tcPr>
          <w:p>
            <w:pPr>
              <w:pStyle w:val="294"/>
            </w:pPr>
            <w:r>
              <w:t>参数</w:t>
            </w:r>
          </w:p>
          <w:p>
            <w:pPr>
              <w:pStyle w:val="294"/>
            </w:pPr>
            <w:r>
              <w:t>井号</w:t>
            </w:r>
          </w:p>
        </w:tc>
        <w:tc>
          <w:tcPr>
            <w:tcW w:w="577"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94"/>
            </w:pPr>
            <w:r>
              <w:t>开次</w:t>
            </w:r>
          </w:p>
        </w:tc>
        <w:tc>
          <w:tcPr>
            <w:tcW w:w="576"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94"/>
            </w:pPr>
            <w:r>
              <w:t>钻头直径mm</w:t>
            </w:r>
          </w:p>
        </w:tc>
        <w:tc>
          <w:tcPr>
            <w:tcW w:w="577"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94"/>
            </w:pPr>
            <w:r>
              <w:t>钻井进尺m</w:t>
            </w:r>
          </w:p>
        </w:tc>
        <w:tc>
          <w:tcPr>
            <w:tcW w:w="575"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94"/>
            </w:pPr>
            <w:r>
              <w:t>容积膨大倍数</w:t>
            </w:r>
          </w:p>
        </w:tc>
        <w:tc>
          <w:tcPr>
            <w:tcW w:w="612"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94"/>
            </w:pPr>
            <w:r>
              <w:t>岩屑体积m</w:t>
            </w:r>
            <w:r>
              <w:rPr>
                <w:vertAlign w:val="superscript"/>
              </w:rPr>
              <w:t>3</w:t>
            </w:r>
          </w:p>
        </w:tc>
        <w:tc>
          <w:tcPr>
            <w:tcW w:w="785" w:type="pct"/>
            <w:tcBorders>
              <w:top w:val="single" w:color="auto" w:sz="8" w:space="0"/>
              <w:left w:val="single" w:color="auto" w:sz="4" w:space="0"/>
              <w:bottom w:val="single" w:color="auto" w:sz="4" w:space="0"/>
              <w:right w:val="single" w:color="auto" w:sz="4" w:space="0"/>
            </w:tcBorders>
            <w:shd w:val="clear" w:color="auto" w:fill="auto"/>
            <w:noWrap/>
            <w:vAlign w:val="center"/>
          </w:tcPr>
          <w:p>
            <w:pPr>
              <w:pStyle w:val="294"/>
            </w:pPr>
            <w:r>
              <w:t>固废类型</w:t>
            </w:r>
          </w:p>
        </w:tc>
        <w:tc>
          <w:tcPr>
            <w:tcW w:w="725" w:type="pct"/>
            <w:tcBorders>
              <w:top w:val="single" w:color="auto" w:sz="8" w:space="0"/>
              <w:left w:val="single" w:color="auto" w:sz="4" w:space="0"/>
              <w:bottom w:val="single" w:color="auto" w:sz="4" w:space="0"/>
              <w:right w:val="single" w:color="auto" w:sz="8" w:space="0"/>
            </w:tcBorders>
            <w:shd w:val="clear" w:color="auto" w:fill="auto"/>
            <w:noWrap/>
            <w:vAlign w:val="center"/>
          </w:tcPr>
          <w:p>
            <w:pPr>
              <w:pStyle w:val="294"/>
            </w:pPr>
            <w:r>
              <w:t>合计m</w:t>
            </w:r>
            <w:r>
              <w:rPr>
                <w:vertAlign w:val="superscript"/>
              </w:rPr>
              <w:t>3</w:t>
            </w:r>
          </w:p>
        </w:tc>
      </w:tr>
      <w:tr>
        <w:tblPrEx>
          <w:tblCellMar>
            <w:top w:w="0" w:type="dxa"/>
            <w:left w:w="108" w:type="dxa"/>
            <w:bottom w:w="0" w:type="dxa"/>
            <w:right w:w="108" w:type="dxa"/>
          </w:tblCellMar>
        </w:tblPrEx>
        <w:trPr>
          <w:trHeight w:val="285" w:hRule="atLeast"/>
        </w:trPr>
        <w:tc>
          <w:tcPr>
            <w:tcW w:w="572" w:type="pct"/>
            <w:vMerge w:val="restart"/>
            <w:tcBorders>
              <w:top w:val="single" w:color="auto" w:sz="4" w:space="0"/>
              <w:left w:val="single" w:color="auto" w:sz="8" w:space="0"/>
              <w:bottom w:val="single" w:color="auto" w:sz="4" w:space="0"/>
              <w:right w:val="single" w:color="auto" w:sz="4" w:space="0"/>
            </w:tcBorders>
            <w:shd w:val="clear" w:color="auto" w:fill="auto"/>
            <w:vAlign w:val="center"/>
          </w:tcPr>
          <w:p>
            <w:pPr>
              <w:pStyle w:val="294"/>
            </w:pPr>
            <w:r>
              <w:t>普光3011-6井</w:t>
            </w:r>
          </w:p>
        </w:tc>
        <w:tc>
          <w:tcPr>
            <w:tcW w:w="577" w:type="pct"/>
            <w:tcBorders>
              <w:top w:val="single" w:color="auto" w:sz="4" w:space="0"/>
              <w:left w:val="nil"/>
              <w:bottom w:val="single" w:color="auto" w:sz="4" w:space="0"/>
              <w:right w:val="single" w:color="auto" w:sz="4" w:space="0"/>
            </w:tcBorders>
            <w:shd w:val="clear" w:color="auto" w:fill="auto"/>
            <w:vAlign w:val="center"/>
          </w:tcPr>
          <w:p>
            <w:pPr>
              <w:pStyle w:val="294"/>
            </w:pPr>
            <w:r>
              <w:t>导管</w:t>
            </w:r>
          </w:p>
        </w:tc>
        <w:tc>
          <w:tcPr>
            <w:tcW w:w="576" w:type="pct"/>
            <w:tcBorders>
              <w:top w:val="single" w:color="auto" w:sz="4" w:space="0"/>
              <w:left w:val="nil"/>
              <w:bottom w:val="single" w:color="auto" w:sz="4" w:space="0"/>
              <w:right w:val="single" w:color="auto" w:sz="4" w:space="0"/>
            </w:tcBorders>
            <w:shd w:val="clear" w:color="auto" w:fill="auto"/>
            <w:vAlign w:val="center"/>
          </w:tcPr>
          <w:p>
            <w:pPr>
              <w:pStyle w:val="294"/>
            </w:pPr>
            <w:r>
              <w:t>660.4</w:t>
            </w:r>
          </w:p>
        </w:tc>
        <w:tc>
          <w:tcPr>
            <w:tcW w:w="577" w:type="pct"/>
            <w:tcBorders>
              <w:top w:val="single" w:color="auto" w:sz="4" w:space="0"/>
              <w:left w:val="nil"/>
              <w:bottom w:val="single" w:color="auto" w:sz="4" w:space="0"/>
              <w:right w:val="single" w:color="auto" w:sz="4" w:space="0"/>
            </w:tcBorders>
            <w:shd w:val="clear" w:color="auto" w:fill="auto"/>
            <w:vAlign w:val="center"/>
          </w:tcPr>
          <w:p>
            <w:pPr>
              <w:pStyle w:val="294"/>
            </w:pPr>
            <w:r>
              <w:t>251</w:t>
            </w:r>
          </w:p>
        </w:tc>
        <w:tc>
          <w:tcPr>
            <w:tcW w:w="575" w:type="pct"/>
            <w:tcBorders>
              <w:top w:val="single" w:color="auto" w:sz="4" w:space="0"/>
              <w:left w:val="nil"/>
              <w:bottom w:val="single" w:color="auto" w:sz="4" w:space="0"/>
              <w:right w:val="single" w:color="auto" w:sz="4" w:space="0"/>
            </w:tcBorders>
            <w:shd w:val="clear" w:color="auto" w:fill="auto"/>
            <w:vAlign w:val="center"/>
          </w:tcPr>
          <w:p>
            <w:pPr>
              <w:pStyle w:val="294"/>
            </w:pPr>
            <w:r>
              <w:t>3.5</w:t>
            </w:r>
          </w:p>
        </w:tc>
        <w:tc>
          <w:tcPr>
            <w:tcW w:w="612" w:type="pct"/>
            <w:tcBorders>
              <w:top w:val="single" w:color="auto" w:sz="4" w:space="0"/>
              <w:left w:val="nil"/>
              <w:bottom w:val="single" w:color="auto" w:sz="4" w:space="0"/>
              <w:right w:val="single" w:color="auto" w:sz="4" w:space="0"/>
            </w:tcBorders>
            <w:shd w:val="clear" w:color="auto" w:fill="auto"/>
            <w:vAlign w:val="center"/>
          </w:tcPr>
          <w:p>
            <w:pPr>
              <w:pStyle w:val="294"/>
            </w:pPr>
            <w:r>
              <w:t>301</w:t>
            </w:r>
          </w:p>
        </w:tc>
        <w:tc>
          <w:tcPr>
            <w:tcW w:w="785" w:type="pct"/>
            <w:tcBorders>
              <w:top w:val="single" w:color="auto" w:sz="4" w:space="0"/>
              <w:left w:val="nil"/>
              <w:bottom w:val="single" w:color="auto" w:sz="4" w:space="0"/>
              <w:right w:val="single" w:color="auto" w:sz="4" w:space="0"/>
            </w:tcBorders>
            <w:shd w:val="clear" w:color="auto" w:fill="auto"/>
            <w:noWrap/>
            <w:vAlign w:val="center"/>
          </w:tcPr>
          <w:p>
            <w:pPr>
              <w:pStyle w:val="294"/>
            </w:pPr>
            <w:r>
              <w:t>清水岩屑</w:t>
            </w:r>
          </w:p>
        </w:tc>
        <w:tc>
          <w:tcPr>
            <w:tcW w:w="725" w:type="pct"/>
            <w:vMerge w:val="restart"/>
            <w:tcBorders>
              <w:top w:val="single" w:color="auto" w:sz="4" w:space="0"/>
              <w:left w:val="single" w:color="auto" w:sz="4" w:space="0"/>
              <w:bottom w:val="single" w:color="auto" w:sz="4" w:space="0"/>
              <w:right w:val="single" w:color="auto" w:sz="8" w:space="0"/>
            </w:tcBorders>
            <w:shd w:val="clear" w:color="auto" w:fill="auto"/>
            <w:noWrap/>
            <w:vAlign w:val="center"/>
          </w:tcPr>
          <w:p>
            <w:pPr>
              <w:pStyle w:val="294"/>
            </w:pPr>
            <w:r>
              <w:t>2005</w:t>
            </w:r>
          </w:p>
        </w:tc>
      </w:tr>
      <w:tr>
        <w:tblPrEx>
          <w:tblCellMar>
            <w:top w:w="0" w:type="dxa"/>
            <w:left w:w="108" w:type="dxa"/>
            <w:bottom w:w="0" w:type="dxa"/>
            <w:right w:w="108" w:type="dxa"/>
          </w:tblCellMar>
        </w:tblPrEx>
        <w:trPr>
          <w:trHeight w:val="285" w:hRule="atLeast"/>
        </w:trPr>
        <w:tc>
          <w:tcPr>
            <w:tcW w:w="572" w:type="pct"/>
            <w:vMerge w:val="continue"/>
            <w:tcBorders>
              <w:top w:val="single" w:color="auto" w:sz="4" w:space="0"/>
              <w:left w:val="single" w:color="auto" w:sz="8" w:space="0"/>
              <w:bottom w:val="single" w:color="auto" w:sz="4" w:space="0"/>
              <w:right w:val="single" w:color="auto" w:sz="4" w:space="0"/>
            </w:tcBorders>
            <w:vAlign w:val="center"/>
          </w:tcPr>
          <w:p>
            <w:pPr>
              <w:pStyle w:val="294"/>
            </w:pPr>
          </w:p>
        </w:tc>
        <w:tc>
          <w:tcPr>
            <w:tcW w:w="577" w:type="pct"/>
            <w:tcBorders>
              <w:top w:val="single" w:color="auto" w:sz="4" w:space="0"/>
              <w:left w:val="nil"/>
              <w:bottom w:val="single" w:color="auto" w:sz="4" w:space="0"/>
              <w:right w:val="single" w:color="auto" w:sz="4" w:space="0"/>
            </w:tcBorders>
            <w:shd w:val="clear" w:color="auto" w:fill="auto"/>
            <w:vAlign w:val="center"/>
          </w:tcPr>
          <w:p>
            <w:pPr>
              <w:pStyle w:val="294"/>
            </w:pPr>
            <w:r>
              <w:t>一开</w:t>
            </w:r>
          </w:p>
        </w:tc>
        <w:tc>
          <w:tcPr>
            <w:tcW w:w="576" w:type="pct"/>
            <w:tcBorders>
              <w:top w:val="single" w:color="auto" w:sz="4" w:space="0"/>
              <w:left w:val="nil"/>
              <w:bottom w:val="single" w:color="auto" w:sz="4" w:space="0"/>
              <w:right w:val="single" w:color="auto" w:sz="4" w:space="0"/>
            </w:tcBorders>
            <w:shd w:val="clear" w:color="auto" w:fill="auto"/>
            <w:vAlign w:val="center"/>
          </w:tcPr>
          <w:p>
            <w:pPr>
              <w:pStyle w:val="294"/>
            </w:pPr>
            <w:r>
              <w:t>406.4</w:t>
            </w:r>
          </w:p>
        </w:tc>
        <w:tc>
          <w:tcPr>
            <w:tcW w:w="577" w:type="pct"/>
            <w:tcBorders>
              <w:top w:val="single" w:color="auto" w:sz="4" w:space="0"/>
              <w:left w:val="nil"/>
              <w:bottom w:val="single" w:color="auto" w:sz="4" w:space="0"/>
              <w:right w:val="single" w:color="auto" w:sz="4" w:space="0"/>
            </w:tcBorders>
            <w:shd w:val="clear" w:color="auto" w:fill="auto"/>
            <w:vAlign w:val="center"/>
          </w:tcPr>
          <w:p>
            <w:pPr>
              <w:pStyle w:val="294"/>
            </w:pPr>
            <w:r>
              <w:t>2012</w:t>
            </w:r>
          </w:p>
        </w:tc>
        <w:tc>
          <w:tcPr>
            <w:tcW w:w="575" w:type="pct"/>
            <w:tcBorders>
              <w:top w:val="single" w:color="auto" w:sz="4" w:space="0"/>
              <w:left w:val="nil"/>
              <w:bottom w:val="single" w:color="auto" w:sz="4" w:space="0"/>
              <w:right w:val="single" w:color="auto" w:sz="4" w:space="0"/>
            </w:tcBorders>
            <w:shd w:val="clear" w:color="auto" w:fill="auto"/>
            <w:vAlign w:val="center"/>
          </w:tcPr>
          <w:p>
            <w:pPr>
              <w:pStyle w:val="294"/>
            </w:pPr>
            <w:r>
              <w:t>3.5</w:t>
            </w:r>
          </w:p>
        </w:tc>
        <w:tc>
          <w:tcPr>
            <w:tcW w:w="612" w:type="pct"/>
            <w:tcBorders>
              <w:top w:val="single" w:color="auto" w:sz="4" w:space="0"/>
              <w:left w:val="nil"/>
              <w:bottom w:val="single" w:color="auto" w:sz="4" w:space="0"/>
              <w:right w:val="single" w:color="auto" w:sz="4" w:space="0"/>
            </w:tcBorders>
            <w:shd w:val="clear" w:color="auto" w:fill="auto"/>
            <w:vAlign w:val="center"/>
          </w:tcPr>
          <w:p>
            <w:pPr>
              <w:pStyle w:val="294"/>
            </w:pPr>
            <w:r>
              <w:t>913</w:t>
            </w:r>
          </w:p>
        </w:tc>
        <w:tc>
          <w:tcPr>
            <w:tcW w:w="785" w:type="pct"/>
            <w:tcBorders>
              <w:top w:val="single" w:color="auto" w:sz="4" w:space="0"/>
              <w:left w:val="nil"/>
              <w:bottom w:val="single" w:color="auto" w:sz="4" w:space="0"/>
              <w:right w:val="single" w:color="auto" w:sz="4" w:space="0"/>
            </w:tcBorders>
            <w:shd w:val="clear" w:color="auto" w:fill="auto"/>
            <w:noWrap/>
            <w:vAlign w:val="center"/>
          </w:tcPr>
          <w:p>
            <w:pPr>
              <w:pStyle w:val="294"/>
            </w:pPr>
            <w:r>
              <w:t>水基岩屑</w:t>
            </w:r>
          </w:p>
        </w:tc>
        <w:tc>
          <w:tcPr>
            <w:tcW w:w="725" w:type="pct"/>
            <w:vMerge w:val="continue"/>
            <w:tcBorders>
              <w:top w:val="single" w:color="auto" w:sz="4" w:space="0"/>
              <w:left w:val="single" w:color="auto" w:sz="4" w:space="0"/>
              <w:bottom w:val="single" w:color="auto" w:sz="4" w:space="0"/>
              <w:right w:val="single" w:color="auto" w:sz="8" w:space="0"/>
            </w:tcBorders>
            <w:vAlign w:val="center"/>
          </w:tcPr>
          <w:p>
            <w:pPr>
              <w:pStyle w:val="294"/>
            </w:pPr>
          </w:p>
        </w:tc>
      </w:tr>
      <w:tr>
        <w:tblPrEx>
          <w:tblCellMar>
            <w:top w:w="0" w:type="dxa"/>
            <w:left w:w="108" w:type="dxa"/>
            <w:bottom w:w="0" w:type="dxa"/>
            <w:right w:w="108" w:type="dxa"/>
          </w:tblCellMar>
        </w:tblPrEx>
        <w:trPr>
          <w:trHeight w:val="285" w:hRule="atLeast"/>
        </w:trPr>
        <w:tc>
          <w:tcPr>
            <w:tcW w:w="572" w:type="pct"/>
            <w:vMerge w:val="continue"/>
            <w:tcBorders>
              <w:top w:val="single" w:color="auto" w:sz="4" w:space="0"/>
              <w:left w:val="single" w:color="auto" w:sz="8" w:space="0"/>
              <w:bottom w:val="single" w:color="auto" w:sz="4" w:space="0"/>
              <w:right w:val="single" w:color="auto" w:sz="4" w:space="0"/>
            </w:tcBorders>
            <w:vAlign w:val="center"/>
          </w:tcPr>
          <w:p>
            <w:pPr>
              <w:pStyle w:val="294"/>
            </w:pPr>
          </w:p>
        </w:tc>
        <w:tc>
          <w:tcPr>
            <w:tcW w:w="577" w:type="pct"/>
            <w:tcBorders>
              <w:top w:val="single" w:color="auto" w:sz="4" w:space="0"/>
              <w:left w:val="nil"/>
              <w:bottom w:val="single" w:color="auto" w:sz="4" w:space="0"/>
              <w:right w:val="single" w:color="auto" w:sz="4" w:space="0"/>
            </w:tcBorders>
            <w:shd w:val="clear" w:color="auto" w:fill="auto"/>
            <w:vAlign w:val="center"/>
          </w:tcPr>
          <w:p>
            <w:pPr>
              <w:pStyle w:val="294"/>
            </w:pPr>
            <w:r>
              <w:t>二开</w:t>
            </w:r>
          </w:p>
        </w:tc>
        <w:tc>
          <w:tcPr>
            <w:tcW w:w="576" w:type="pct"/>
            <w:tcBorders>
              <w:top w:val="single" w:color="auto" w:sz="4" w:space="0"/>
              <w:left w:val="nil"/>
              <w:bottom w:val="single" w:color="auto" w:sz="4" w:space="0"/>
              <w:right w:val="single" w:color="auto" w:sz="4" w:space="0"/>
            </w:tcBorders>
            <w:shd w:val="clear" w:color="auto" w:fill="auto"/>
            <w:vAlign w:val="center"/>
          </w:tcPr>
          <w:p>
            <w:pPr>
              <w:pStyle w:val="294"/>
            </w:pPr>
            <w:r>
              <w:t>311.2</w:t>
            </w:r>
          </w:p>
        </w:tc>
        <w:tc>
          <w:tcPr>
            <w:tcW w:w="577" w:type="pct"/>
            <w:tcBorders>
              <w:top w:val="single" w:color="auto" w:sz="4" w:space="0"/>
              <w:left w:val="nil"/>
              <w:bottom w:val="single" w:color="auto" w:sz="4" w:space="0"/>
              <w:right w:val="single" w:color="auto" w:sz="4" w:space="0"/>
            </w:tcBorders>
            <w:shd w:val="clear" w:color="auto" w:fill="auto"/>
            <w:vAlign w:val="center"/>
          </w:tcPr>
          <w:p>
            <w:pPr>
              <w:pStyle w:val="294"/>
            </w:pPr>
            <w:r>
              <w:t>2537</w:t>
            </w:r>
          </w:p>
        </w:tc>
        <w:tc>
          <w:tcPr>
            <w:tcW w:w="575" w:type="pct"/>
            <w:tcBorders>
              <w:top w:val="single" w:color="auto" w:sz="4" w:space="0"/>
              <w:left w:val="nil"/>
              <w:bottom w:val="single" w:color="auto" w:sz="4" w:space="0"/>
              <w:right w:val="single" w:color="auto" w:sz="4" w:space="0"/>
            </w:tcBorders>
            <w:shd w:val="clear" w:color="auto" w:fill="auto"/>
            <w:vAlign w:val="center"/>
          </w:tcPr>
          <w:p>
            <w:pPr>
              <w:pStyle w:val="294"/>
            </w:pPr>
            <w:r>
              <w:t>3.5</w:t>
            </w:r>
          </w:p>
        </w:tc>
        <w:tc>
          <w:tcPr>
            <w:tcW w:w="612" w:type="pct"/>
            <w:tcBorders>
              <w:top w:val="single" w:color="auto" w:sz="4" w:space="0"/>
              <w:left w:val="nil"/>
              <w:bottom w:val="single" w:color="auto" w:sz="4" w:space="0"/>
              <w:right w:val="single" w:color="auto" w:sz="4" w:space="0"/>
            </w:tcBorders>
            <w:shd w:val="clear" w:color="auto" w:fill="auto"/>
            <w:vAlign w:val="center"/>
          </w:tcPr>
          <w:p>
            <w:pPr>
              <w:pStyle w:val="294"/>
            </w:pPr>
            <w:r>
              <w:t>675</w:t>
            </w:r>
          </w:p>
        </w:tc>
        <w:tc>
          <w:tcPr>
            <w:tcW w:w="785" w:type="pct"/>
            <w:tcBorders>
              <w:top w:val="single" w:color="auto" w:sz="4" w:space="0"/>
              <w:left w:val="nil"/>
              <w:bottom w:val="single" w:color="auto" w:sz="4" w:space="0"/>
              <w:right w:val="single" w:color="auto" w:sz="4" w:space="0"/>
            </w:tcBorders>
            <w:shd w:val="clear" w:color="auto" w:fill="auto"/>
            <w:noWrap/>
            <w:vAlign w:val="center"/>
          </w:tcPr>
          <w:p>
            <w:pPr>
              <w:pStyle w:val="294"/>
            </w:pPr>
            <w:r>
              <w:t>水基岩屑</w:t>
            </w:r>
          </w:p>
        </w:tc>
        <w:tc>
          <w:tcPr>
            <w:tcW w:w="725" w:type="pct"/>
            <w:vMerge w:val="continue"/>
            <w:tcBorders>
              <w:top w:val="single" w:color="auto" w:sz="4" w:space="0"/>
              <w:left w:val="single" w:color="auto" w:sz="4" w:space="0"/>
              <w:bottom w:val="single" w:color="auto" w:sz="4" w:space="0"/>
              <w:right w:val="single" w:color="auto" w:sz="8" w:space="0"/>
            </w:tcBorders>
            <w:vAlign w:val="center"/>
          </w:tcPr>
          <w:p>
            <w:pPr>
              <w:pStyle w:val="294"/>
            </w:pPr>
          </w:p>
        </w:tc>
      </w:tr>
      <w:tr>
        <w:tblPrEx>
          <w:tblCellMar>
            <w:top w:w="0" w:type="dxa"/>
            <w:left w:w="108" w:type="dxa"/>
            <w:bottom w:w="0" w:type="dxa"/>
            <w:right w:w="108" w:type="dxa"/>
          </w:tblCellMar>
        </w:tblPrEx>
        <w:trPr>
          <w:trHeight w:val="285" w:hRule="atLeast"/>
        </w:trPr>
        <w:tc>
          <w:tcPr>
            <w:tcW w:w="572" w:type="pct"/>
            <w:vMerge w:val="continue"/>
            <w:tcBorders>
              <w:top w:val="single" w:color="auto" w:sz="4" w:space="0"/>
              <w:left w:val="single" w:color="auto" w:sz="8" w:space="0"/>
              <w:bottom w:val="single" w:color="auto" w:sz="4" w:space="0"/>
              <w:right w:val="single" w:color="auto" w:sz="4" w:space="0"/>
            </w:tcBorders>
            <w:vAlign w:val="center"/>
          </w:tcPr>
          <w:p>
            <w:pPr>
              <w:pStyle w:val="294"/>
            </w:pPr>
          </w:p>
        </w:tc>
        <w:tc>
          <w:tcPr>
            <w:tcW w:w="577" w:type="pct"/>
            <w:tcBorders>
              <w:top w:val="single" w:color="auto" w:sz="4" w:space="0"/>
              <w:left w:val="nil"/>
              <w:bottom w:val="single" w:color="auto" w:sz="4" w:space="0"/>
              <w:right w:val="single" w:color="auto" w:sz="4" w:space="0"/>
            </w:tcBorders>
            <w:shd w:val="clear" w:color="auto" w:fill="auto"/>
            <w:vAlign w:val="center"/>
          </w:tcPr>
          <w:p>
            <w:pPr>
              <w:pStyle w:val="294"/>
            </w:pPr>
            <w:r>
              <w:t>三开（水基）</w:t>
            </w:r>
          </w:p>
        </w:tc>
        <w:tc>
          <w:tcPr>
            <w:tcW w:w="576" w:type="pct"/>
            <w:tcBorders>
              <w:top w:val="single" w:color="auto" w:sz="4" w:space="0"/>
              <w:left w:val="nil"/>
              <w:bottom w:val="single" w:color="auto" w:sz="4" w:space="0"/>
              <w:right w:val="single" w:color="auto" w:sz="4" w:space="0"/>
            </w:tcBorders>
            <w:shd w:val="clear" w:color="auto" w:fill="auto"/>
            <w:vAlign w:val="center"/>
          </w:tcPr>
          <w:p>
            <w:pPr>
              <w:pStyle w:val="294"/>
            </w:pPr>
            <w:r>
              <w:t>215.9</w:t>
            </w:r>
          </w:p>
        </w:tc>
        <w:tc>
          <w:tcPr>
            <w:tcW w:w="577" w:type="pct"/>
            <w:tcBorders>
              <w:top w:val="single" w:color="auto" w:sz="4" w:space="0"/>
              <w:left w:val="nil"/>
              <w:bottom w:val="single" w:color="auto" w:sz="4" w:space="0"/>
              <w:right w:val="single" w:color="auto" w:sz="4" w:space="0"/>
            </w:tcBorders>
            <w:shd w:val="clear" w:color="auto" w:fill="auto"/>
            <w:vAlign w:val="center"/>
          </w:tcPr>
          <w:p>
            <w:pPr>
              <w:pStyle w:val="294"/>
            </w:pPr>
            <w:r>
              <w:t>907.65</w:t>
            </w:r>
          </w:p>
        </w:tc>
        <w:tc>
          <w:tcPr>
            <w:tcW w:w="575" w:type="pct"/>
            <w:tcBorders>
              <w:top w:val="single" w:color="auto" w:sz="4" w:space="0"/>
              <w:left w:val="nil"/>
              <w:bottom w:val="single" w:color="auto" w:sz="4" w:space="0"/>
              <w:right w:val="single" w:color="auto" w:sz="4" w:space="0"/>
            </w:tcBorders>
            <w:shd w:val="clear" w:color="auto" w:fill="auto"/>
            <w:vAlign w:val="center"/>
          </w:tcPr>
          <w:p>
            <w:pPr>
              <w:pStyle w:val="294"/>
            </w:pPr>
            <w:r>
              <w:t>3.5</w:t>
            </w:r>
          </w:p>
        </w:tc>
        <w:tc>
          <w:tcPr>
            <w:tcW w:w="612" w:type="pct"/>
            <w:tcBorders>
              <w:top w:val="single" w:color="auto" w:sz="4" w:space="0"/>
              <w:left w:val="nil"/>
              <w:bottom w:val="single" w:color="auto" w:sz="4" w:space="0"/>
              <w:right w:val="single" w:color="auto" w:sz="4" w:space="0"/>
            </w:tcBorders>
            <w:shd w:val="clear" w:color="auto" w:fill="auto"/>
            <w:vAlign w:val="center"/>
          </w:tcPr>
          <w:p>
            <w:pPr>
              <w:pStyle w:val="294"/>
            </w:pPr>
            <w:r>
              <w:t>116</w:t>
            </w:r>
          </w:p>
        </w:tc>
        <w:tc>
          <w:tcPr>
            <w:tcW w:w="785" w:type="pct"/>
            <w:tcBorders>
              <w:top w:val="single" w:color="auto" w:sz="4" w:space="0"/>
              <w:left w:val="nil"/>
              <w:bottom w:val="single" w:color="auto" w:sz="4" w:space="0"/>
              <w:right w:val="single" w:color="auto" w:sz="4" w:space="0"/>
            </w:tcBorders>
            <w:shd w:val="clear" w:color="auto" w:fill="auto"/>
            <w:noWrap/>
            <w:vAlign w:val="center"/>
          </w:tcPr>
          <w:p>
            <w:pPr>
              <w:pStyle w:val="294"/>
            </w:pPr>
            <w:r>
              <w:t>水基岩屑</w:t>
            </w:r>
          </w:p>
        </w:tc>
        <w:tc>
          <w:tcPr>
            <w:tcW w:w="725" w:type="pct"/>
            <w:vMerge w:val="continue"/>
            <w:tcBorders>
              <w:top w:val="single" w:color="auto" w:sz="4" w:space="0"/>
              <w:left w:val="single" w:color="auto" w:sz="4" w:space="0"/>
              <w:bottom w:val="single" w:color="auto" w:sz="4" w:space="0"/>
              <w:right w:val="single" w:color="auto" w:sz="8" w:space="0"/>
            </w:tcBorders>
            <w:vAlign w:val="center"/>
          </w:tcPr>
          <w:p>
            <w:pPr>
              <w:pStyle w:val="294"/>
            </w:pPr>
          </w:p>
        </w:tc>
      </w:tr>
      <w:tr>
        <w:tblPrEx>
          <w:tblCellMar>
            <w:top w:w="0" w:type="dxa"/>
            <w:left w:w="108" w:type="dxa"/>
            <w:bottom w:w="0" w:type="dxa"/>
            <w:right w:w="108" w:type="dxa"/>
          </w:tblCellMar>
        </w:tblPrEx>
        <w:trPr>
          <w:trHeight w:val="510" w:hRule="atLeast"/>
        </w:trPr>
        <w:tc>
          <w:tcPr>
            <w:tcW w:w="572" w:type="pct"/>
            <w:vMerge w:val="continue"/>
            <w:tcBorders>
              <w:top w:val="single" w:color="auto" w:sz="4" w:space="0"/>
              <w:left w:val="single" w:color="auto" w:sz="8" w:space="0"/>
              <w:bottom w:val="single" w:color="auto" w:sz="8" w:space="0"/>
              <w:right w:val="single" w:color="auto" w:sz="4" w:space="0"/>
            </w:tcBorders>
            <w:vAlign w:val="center"/>
          </w:tcPr>
          <w:p>
            <w:pPr>
              <w:pStyle w:val="294"/>
            </w:pPr>
          </w:p>
        </w:tc>
        <w:tc>
          <w:tcPr>
            <w:tcW w:w="577" w:type="pct"/>
            <w:tcBorders>
              <w:top w:val="single" w:color="auto" w:sz="4" w:space="0"/>
              <w:left w:val="nil"/>
              <w:bottom w:val="single" w:color="auto" w:sz="8" w:space="0"/>
              <w:right w:val="single" w:color="auto" w:sz="4" w:space="0"/>
            </w:tcBorders>
            <w:shd w:val="clear" w:color="auto" w:fill="auto"/>
            <w:vAlign w:val="center"/>
          </w:tcPr>
          <w:p>
            <w:pPr>
              <w:pStyle w:val="294"/>
            </w:pPr>
            <w:r>
              <w:t>三开（备用油基）</w:t>
            </w:r>
          </w:p>
        </w:tc>
        <w:tc>
          <w:tcPr>
            <w:tcW w:w="576" w:type="pct"/>
            <w:tcBorders>
              <w:top w:val="single" w:color="auto" w:sz="4" w:space="0"/>
              <w:left w:val="nil"/>
              <w:bottom w:val="single" w:color="auto" w:sz="8" w:space="0"/>
              <w:right w:val="single" w:color="auto" w:sz="4" w:space="0"/>
            </w:tcBorders>
            <w:shd w:val="clear" w:color="auto" w:fill="auto"/>
            <w:vAlign w:val="center"/>
          </w:tcPr>
          <w:p>
            <w:pPr>
              <w:pStyle w:val="294"/>
            </w:pPr>
            <w:r>
              <w:t>215.9</w:t>
            </w:r>
          </w:p>
        </w:tc>
        <w:tc>
          <w:tcPr>
            <w:tcW w:w="577" w:type="pct"/>
            <w:tcBorders>
              <w:top w:val="single" w:color="auto" w:sz="4" w:space="0"/>
              <w:left w:val="nil"/>
              <w:bottom w:val="single" w:color="auto" w:sz="8" w:space="0"/>
              <w:right w:val="single" w:color="auto" w:sz="4" w:space="0"/>
            </w:tcBorders>
            <w:shd w:val="clear" w:color="auto" w:fill="auto"/>
            <w:vAlign w:val="center"/>
          </w:tcPr>
          <w:p>
            <w:pPr>
              <w:pStyle w:val="294"/>
            </w:pPr>
            <w:r>
              <w:t>907.65</w:t>
            </w:r>
          </w:p>
        </w:tc>
        <w:tc>
          <w:tcPr>
            <w:tcW w:w="575" w:type="pct"/>
            <w:tcBorders>
              <w:top w:val="single" w:color="auto" w:sz="4" w:space="0"/>
              <w:left w:val="nil"/>
              <w:bottom w:val="single" w:color="auto" w:sz="8" w:space="0"/>
              <w:right w:val="single" w:color="auto" w:sz="4" w:space="0"/>
            </w:tcBorders>
            <w:shd w:val="clear" w:color="auto" w:fill="auto"/>
            <w:vAlign w:val="center"/>
          </w:tcPr>
          <w:p>
            <w:pPr>
              <w:pStyle w:val="294"/>
            </w:pPr>
            <w:r>
              <w:t>4.0</w:t>
            </w:r>
          </w:p>
        </w:tc>
        <w:tc>
          <w:tcPr>
            <w:tcW w:w="612" w:type="pct"/>
            <w:tcBorders>
              <w:top w:val="single" w:color="auto" w:sz="4" w:space="0"/>
              <w:left w:val="nil"/>
              <w:bottom w:val="single" w:color="auto" w:sz="8" w:space="0"/>
              <w:right w:val="single" w:color="auto" w:sz="4" w:space="0"/>
            </w:tcBorders>
            <w:shd w:val="clear" w:color="auto" w:fill="auto"/>
            <w:vAlign w:val="center"/>
          </w:tcPr>
          <w:p>
            <w:pPr>
              <w:pStyle w:val="294"/>
            </w:pPr>
            <w:r>
              <w:t>133</w:t>
            </w:r>
          </w:p>
        </w:tc>
        <w:tc>
          <w:tcPr>
            <w:tcW w:w="785" w:type="pct"/>
            <w:tcBorders>
              <w:top w:val="single" w:color="auto" w:sz="4" w:space="0"/>
              <w:left w:val="nil"/>
              <w:bottom w:val="single" w:color="auto" w:sz="8" w:space="0"/>
              <w:right w:val="single" w:color="auto" w:sz="4" w:space="0"/>
            </w:tcBorders>
            <w:shd w:val="clear" w:color="auto" w:fill="auto"/>
            <w:noWrap/>
            <w:vAlign w:val="center"/>
          </w:tcPr>
          <w:p>
            <w:pPr>
              <w:pStyle w:val="294"/>
            </w:pPr>
            <w:r>
              <w:t>油基岩屑</w:t>
            </w:r>
          </w:p>
        </w:tc>
        <w:tc>
          <w:tcPr>
            <w:tcW w:w="725" w:type="pct"/>
            <w:tcBorders>
              <w:top w:val="single" w:color="auto" w:sz="4" w:space="0"/>
              <w:left w:val="single" w:color="auto" w:sz="4" w:space="0"/>
              <w:bottom w:val="single" w:color="auto" w:sz="8" w:space="0"/>
              <w:right w:val="single" w:color="auto" w:sz="8" w:space="0"/>
            </w:tcBorders>
            <w:vAlign w:val="center"/>
          </w:tcPr>
          <w:p>
            <w:pPr>
              <w:pStyle w:val="294"/>
            </w:pPr>
            <w:r>
              <w:t>133</w:t>
            </w:r>
          </w:p>
        </w:tc>
      </w:tr>
    </w:tbl>
    <w:p>
      <w:pPr>
        <w:widowControl/>
        <w:snapToGrid/>
        <w:spacing w:before="120" w:beforeLines="50"/>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本项目钻井井清水、水基岩屑产生总量约为2005m</w:t>
      </w:r>
      <w:r>
        <w:rPr>
          <w:rFonts w:cs="Times New Roman"/>
          <w:color w:val="000000" w:themeColor="text1"/>
          <w:kern w:val="0"/>
          <w:vertAlign w:val="superscript"/>
          <w14:textFill>
            <w14:solidFill>
              <w14:schemeClr w14:val="tx1"/>
            </w14:solidFill>
          </w14:textFill>
        </w:rPr>
        <w:t>3</w:t>
      </w:r>
      <w:r>
        <w:rPr>
          <w:rFonts w:cs="Times New Roman"/>
          <w:color w:val="000000" w:themeColor="text1"/>
          <w:kern w:val="0"/>
          <w14:textFill>
            <w14:solidFill>
              <w14:schemeClr w14:val="tx1"/>
            </w14:solidFill>
          </w14:textFill>
        </w:rPr>
        <w:t>。如遇特殊地层，三开段可能使用油基钻井液，则上述的三开段水基岩屑将变更为油基岩屑，根据上述计算公式可知，油基岩屑的产生量约为133m</w:t>
      </w:r>
      <w:r>
        <w:rPr>
          <w:rFonts w:cs="Times New Roman"/>
          <w:color w:val="000000" w:themeColor="text1"/>
          <w:kern w:val="0"/>
          <w:vertAlign w:val="superscript"/>
          <w14:textFill>
            <w14:solidFill>
              <w14:schemeClr w14:val="tx1"/>
            </w14:solidFill>
          </w14:textFill>
        </w:rPr>
        <w:t>3</w:t>
      </w:r>
      <w:r>
        <w:rPr>
          <w:rFonts w:cs="Times New Roman"/>
          <w:color w:val="000000" w:themeColor="text1"/>
          <w:kern w:val="0"/>
          <w14:textFill>
            <w14:solidFill>
              <w14:schemeClr w14:val="tx1"/>
            </w14:solidFill>
          </w14:textFill>
        </w:rPr>
        <w:t>，</w:t>
      </w:r>
      <w:r>
        <w:rPr>
          <w:rFonts w:cs="Times New Roman"/>
          <w:bCs/>
          <w:color w:val="000000" w:themeColor="text1"/>
          <w:kern w:val="0"/>
          <w14:textFill>
            <w14:solidFill>
              <w14:schemeClr w14:val="tx1"/>
            </w14:solidFill>
          </w14:textFill>
        </w:rPr>
        <w:t>最大废弃油基钻井泥浆197.8m</w:t>
      </w:r>
      <w:r>
        <w:rPr>
          <w:rFonts w:cs="Times New Roman"/>
          <w:color w:val="000000" w:themeColor="text1"/>
          <w:kern w:val="0"/>
          <w:vertAlign w:val="superscript"/>
          <w14:textFill>
            <w14:solidFill>
              <w14:schemeClr w14:val="tx1"/>
            </w14:solidFill>
          </w14:textFill>
        </w:rPr>
        <w:t>3</w:t>
      </w:r>
      <w:r>
        <w:rPr>
          <w:rFonts w:cs="Times New Roman"/>
          <w:color w:val="000000" w:themeColor="text1"/>
          <w:kern w:val="0"/>
          <w14:textFill>
            <w14:solidFill>
              <w14:schemeClr w14:val="tx1"/>
            </w14:solidFill>
          </w14:textFill>
        </w:rPr>
        <w:t>，则废油基泥浆与油基岩屑产生量约为330.8m</w:t>
      </w:r>
      <w:r>
        <w:rPr>
          <w:rFonts w:cs="Times New Roman"/>
          <w:color w:val="000000" w:themeColor="text1"/>
          <w:kern w:val="0"/>
          <w:vertAlign w:val="superscript"/>
          <w14:textFill>
            <w14:solidFill>
              <w14:schemeClr w14:val="tx1"/>
            </w14:solidFill>
          </w14:textFill>
        </w:rPr>
        <w:t>3</w:t>
      </w:r>
      <w:r>
        <w:rPr>
          <w:rFonts w:cs="Times New Roman"/>
          <w:color w:val="000000" w:themeColor="text1"/>
          <w:kern w:val="0"/>
          <w14:textFill>
            <w14:solidFill>
              <w14:schemeClr w14:val="tx1"/>
            </w14:solidFill>
          </w14:textFill>
        </w:rPr>
        <w:t>。</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根据统计资料经泥浆不落地装置处理后水基钻井固废容重约1.8t/m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，故岩屑和废弃泥浆产生量约3609t，其性质为第</w:t>
      </w:r>
      <w:r>
        <w:rPr>
          <w:rFonts w:hint="eastAsia" w:ascii="宋体" w:hAnsi="宋体" w:cs="宋体"/>
          <w:color w:val="000000" w:themeColor="text1"/>
          <w14:textFill>
            <w14:solidFill>
              <w14:schemeClr w14:val="tx1"/>
            </w14:solidFill>
          </w14:textFill>
        </w:rPr>
        <w:t>Ⅱ</w:t>
      </w:r>
      <w:r>
        <w:rPr>
          <w:rFonts w:cs="Times New Roman"/>
          <w:color w:val="000000" w:themeColor="text1"/>
          <w14:textFill>
            <w14:solidFill>
              <w14:schemeClr w14:val="tx1"/>
            </w14:solidFill>
          </w14:textFill>
        </w:rPr>
        <w:t>类一般工业固体废物。</w:t>
      </w:r>
    </w:p>
    <w:p>
      <w:pPr>
        <w:pStyle w:val="27"/>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szCs w:val="24"/>
          <w14:textFill>
            <w14:solidFill>
              <w14:schemeClr w14:val="tx1"/>
            </w14:solidFill>
          </w14:textFill>
        </w:rPr>
        <w:t>废弃泥浆和岩屑在钻井现场经泥浆不落地工艺经脱稳-板框压滤进行固液分离后产生的固态</w:t>
      </w:r>
      <w:r>
        <w:rPr>
          <w:rFonts w:ascii="Times New Roman" w:hAnsi="Times New Roman"/>
          <w:bCs/>
          <w:color w:val="000000" w:themeColor="text1"/>
          <w:szCs w:val="24"/>
          <w14:textFill>
            <w14:solidFill>
              <w14:schemeClr w14:val="tx1"/>
            </w14:solidFill>
          </w14:textFill>
        </w:rPr>
        <w:t>钻井固废</w:t>
      </w:r>
      <w:r>
        <w:rPr>
          <w:rFonts w:ascii="Times New Roman" w:hAnsi="Times New Roman"/>
          <w:color w:val="000000" w:themeColor="text1"/>
          <w:szCs w:val="24"/>
          <w14:textFill>
            <w14:solidFill>
              <w14:schemeClr w14:val="tx1"/>
            </w14:solidFill>
          </w14:textFill>
        </w:rPr>
        <w:t>，主要成分为废钻井泥浆、岩屑、无机盐、普通有机聚合物，本项目钻井泥浆为水基钻井泥浆，不添加重金属等，不具有危险特性，依据《一般工业固体废物贮存和填埋污染控制标准》（GB18599-2020）的相关规定，本项目水基岩屑和泥浆属于第</w:t>
      </w:r>
      <w:r>
        <w:rPr>
          <w:rFonts w:hint="eastAsia" w:hAnsi="宋体" w:cs="宋体"/>
          <w:color w:val="000000" w:themeColor="text1"/>
          <w:szCs w:val="24"/>
          <w14:textFill>
            <w14:solidFill>
              <w14:schemeClr w14:val="tx1"/>
            </w14:solidFill>
          </w14:textFill>
        </w:rPr>
        <w:t>Ⅱ</w:t>
      </w:r>
      <w:r>
        <w:rPr>
          <w:rFonts w:ascii="Times New Roman" w:hAnsi="Times New Roman"/>
          <w:color w:val="000000" w:themeColor="text1"/>
          <w:szCs w:val="24"/>
          <w14:textFill>
            <w14:solidFill>
              <w14:schemeClr w14:val="tx1"/>
            </w14:solidFill>
          </w14:textFill>
        </w:rPr>
        <w:t>类一般工业固体废物，废弃泥浆完井后及时转运至达州地区环保手续齐全、环保设施稳定运行固废烧结厂进行烧结后综合利用。同时对固废临时堆放区进行防渗，设置雨棚及排水沟。通过以上措施，</w:t>
      </w:r>
      <w:r>
        <w:rPr>
          <w:rFonts w:ascii="Times New Roman" w:hAnsi="Times New Roman"/>
          <w:color w:val="000000" w:themeColor="text1"/>
          <w14:textFill>
            <w14:solidFill>
              <w14:schemeClr w14:val="tx1"/>
            </w14:solidFill>
          </w14:textFill>
        </w:rPr>
        <w:t>水基钻井固废</w:t>
      </w:r>
      <w:r>
        <w:rPr>
          <w:rFonts w:ascii="Times New Roman" w:hAnsi="Times New Roman"/>
          <w:color w:val="000000" w:themeColor="text1"/>
          <w:szCs w:val="24"/>
          <w14:textFill>
            <w14:solidFill>
              <w14:schemeClr w14:val="tx1"/>
            </w14:solidFill>
          </w14:textFill>
        </w:rPr>
        <w:t>全部综合利用，完钻后现场无遗留。</w:t>
      </w:r>
    </w:p>
    <w:p>
      <w:pPr>
        <w:widowControl/>
        <w:adjustRightInd/>
        <w:snapToGrid/>
        <w:ind w:firstLine="480"/>
        <w:jc w:val="left"/>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如遇特殊地层，油基钻井废泥浆、岩屑暂存于新建的60m</w:t>
      </w:r>
      <w:r>
        <w:rPr>
          <w:rFonts w:cs="Times New Roman"/>
          <w:color w:val="000000" w:themeColor="text1"/>
          <w:kern w:val="0"/>
          <w:vertAlign w:val="superscript"/>
          <w14:textFill>
            <w14:solidFill>
              <w14:schemeClr w14:val="tx1"/>
            </w14:solidFill>
          </w14:textFill>
        </w:rPr>
        <w:t>2</w:t>
      </w:r>
      <w:r>
        <w:rPr>
          <w:rFonts w:cs="Times New Roman"/>
          <w:color w:val="000000" w:themeColor="text1"/>
          <w:kern w:val="0"/>
          <w14:textFill>
            <w14:solidFill>
              <w14:schemeClr w14:val="tx1"/>
            </w14:solidFill>
          </w14:textFill>
        </w:rPr>
        <w:t>危险废物暂存场所（采取必要的防风、防晒、防雨、防漏、防渗、防腐以及其他环境污染防治措施，不得露天堆放危险废物），泥浆和油基钻井岩屑及时后交由有资质的单位处置。</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3）废油及含油固废</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钻井过程废油主要来源为：a、机械（泥浆泵、转盘、链条等）润滑废油；b、液压控制管线刺漏，如液压大钳、封井器及液压表传压管线刺漏；c、清洗、保养产生的废油，如更换柴油机零部件和潜洗钻具、套管时产生的废油。钻井产生的废油用废油桶收集，根据类比和现场调查，单井废油产生总量约0.7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（根据普陆4井钻井工程建设项目竣工环境保护验收调查表可知其施工期废油实际产生量约为0.74m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，根据普陆5勘探评价井工程建设项目竣工环境保护验收调查表可知其施工期废油实际产生量约为0.57m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，综合考虑本项目废油产生总量按0.7m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确定），故本项目产生废油量约为0.7m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。站内设置废油桶集中收集，废油桶置于暂存于泥浆不落地装置区临时堆放区内，并做好</w:t>
      </w:r>
      <w:bookmarkStart w:id="161" w:name="_Hlk92724012"/>
      <w:r>
        <w:rPr>
          <w:rFonts w:cs="Times New Roman"/>
          <w:color w:val="000000" w:themeColor="text1"/>
          <w:kern w:val="0"/>
          <w14:textFill>
            <w14:solidFill>
              <w14:schemeClr w14:val="tx1"/>
            </w14:solidFill>
          </w14:textFill>
        </w:rPr>
        <w:t>防风、防晒、防雨、防漏、防渗、防腐以及其他环境污染防治措施</w:t>
      </w:r>
      <w:bookmarkEnd w:id="161"/>
      <w:r>
        <w:rPr>
          <w:rFonts w:cs="Times New Roman"/>
          <w:color w:val="000000" w:themeColor="text1"/>
          <w14:textFill>
            <w14:solidFill>
              <w14:schemeClr w14:val="tx1"/>
            </w14:solidFill>
          </w14:textFill>
        </w:rPr>
        <w:t>，暂存期间做好废油管理记录，通过擦拭站场设备、原料添加、放喷点火等方式回收综合利用，根据类比调查井站产生废油能在井站内全部综合利用。若因为个别特殊情况存在不能综合利用的废油，则和不能继续使用的废油桶以及擦拭站场设备产生的其他含油固废交由有资质的单位处理。</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4）废包装材料</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本项目产生的废包装材料约为2.0t，集中收集后施工队自己回用部分，剩余的送当地废品回收站处理。</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5）生活垃圾</w:t>
      </w:r>
    </w:p>
    <w:p>
      <w:pPr>
        <w:ind w:firstLine="480"/>
        <w:rPr>
          <w:rFonts w:cs="Times New Roman"/>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生活垃圾来源于钻井施工作业人员的生活，一个井队按45人计，每人每天产生的生活垃圾按0.5kg/d计算，则生活垃圾的产生量约为22.5kg/d。</w:t>
      </w:r>
      <w:r>
        <w:rPr>
          <w:rFonts w:cs="Times New Roman"/>
          <w:color w:val="000000" w:themeColor="text1"/>
          <w:szCs w:val="24"/>
          <w14:textFill>
            <w14:solidFill>
              <w14:schemeClr w14:val="tx1"/>
            </w14:solidFill>
          </w14:textFill>
        </w:rPr>
        <w:t>井场设置垃圾坑收集，定期按井场所在地环卫部门相关要求实施统一妥善处置。</w:t>
      </w:r>
    </w:p>
    <w:p>
      <w:pPr>
        <w:ind w:firstLine="480"/>
        <w:rPr>
          <w:rFonts w:cs="Times New Roman"/>
          <w:color w:val="000000" w:themeColor="text1"/>
          <w14:textFill>
            <w14:solidFill>
              <w14:schemeClr w14:val="tx1"/>
            </w14:solidFill>
          </w14:textFill>
        </w:rPr>
      </w:pPr>
      <w:r>
        <w:rPr>
          <w:rFonts w:cs="Times New Roman"/>
          <w:color w:val="000000" w:themeColor="text1"/>
          <w:szCs w:val="24"/>
          <w14:textFill>
            <w14:solidFill>
              <w14:schemeClr w14:val="tx1"/>
            </w14:solidFill>
          </w14:textFill>
        </w:rPr>
        <w:t>此外，完井搬迁时可能产生少量建筑垃圾，主要如包装袋，废弃建筑材料等，其量小，由施工队伍统一收集清运至政府指定地方。</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本项目钻井工程危险废物产生量见</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REF _Ref142593522 \h  \* MERGEFORMAT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表3.4</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8</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w:t>
      </w:r>
    </w:p>
    <w:p>
      <w:pPr>
        <w:pStyle w:val="95"/>
      </w:pPr>
      <w:bookmarkStart w:id="162" w:name="_Ref142593522"/>
      <w:r>
        <w:t>表</w:t>
      </w:r>
      <w:r>
        <w:fldChar w:fldCharType="begin"/>
      </w:r>
      <w:r>
        <w:instrText xml:space="preserve"> STYLEREF 2 \s </w:instrText>
      </w:r>
      <w:r>
        <w:fldChar w:fldCharType="separate"/>
      </w:r>
      <w:r>
        <w:t>3.4</w:t>
      </w:r>
      <w:r>
        <w:fldChar w:fldCharType="end"/>
      </w:r>
      <w:r>
        <w:noBreakHyphen/>
      </w:r>
      <w:r>
        <w:fldChar w:fldCharType="begin"/>
      </w:r>
      <w:r>
        <w:instrText xml:space="preserve"> SEQ 表 \* ARABIC \s 2 </w:instrText>
      </w:r>
      <w:r>
        <w:fldChar w:fldCharType="separate"/>
      </w:r>
      <w:r>
        <w:t>8</w:t>
      </w:r>
      <w:r>
        <w:fldChar w:fldCharType="end"/>
      </w:r>
      <w:bookmarkEnd w:id="162"/>
      <w:r>
        <w:t xml:space="preserve"> 钻井工程危险废物汇总表</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562"/>
        <w:gridCol w:w="567"/>
        <w:gridCol w:w="709"/>
        <w:gridCol w:w="567"/>
        <w:gridCol w:w="992"/>
        <w:gridCol w:w="567"/>
        <w:gridCol w:w="709"/>
        <w:gridCol w:w="709"/>
        <w:gridCol w:w="709"/>
        <w:gridCol w:w="708"/>
        <w:gridCol w:w="142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tblHeader/>
          <w:jc w:val="center"/>
        </w:trPr>
        <w:tc>
          <w:tcPr>
            <w:tcW w:w="562" w:type="dxa"/>
            <w:vAlign w:val="center"/>
          </w:tcPr>
          <w:p>
            <w:pPr>
              <w:pStyle w:val="294"/>
            </w:pPr>
            <w:r>
              <w:t>名称</w:t>
            </w:r>
          </w:p>
        </w:tc>
        <w:tc>
          <w:tcPr>
            <w:tcW w:w="567" w:type="dxa"/>
            <w:vAlign w:val="center"/>
          </w:tcPr>
          <w:p>
            <w:pPr>
              <w:pStyle w:val="294"/>
            </w:pPr>
            <w:r>
              <w:t>类别</w:t>
            </w:r>
          </w:p>
        </w:tc>
        <w:tc>
          <w:tcPr>
            <w:tcW w:w="709" w:type="dxa"/>
            <w:vAlign w:val="center"/>
          </w:tcPr>
          <w:p>
            <w:pPr>
              <w:pStyle w:val="294"/>
            </w:pPr>
            <w:r>
              <w:t>代码</w:t>
            </w:r>
          </w:p>
        </w:tc>
        <w:tc>
          <w:tcPr>
            <w:tcW w:w="567" w:type="dxa"/>
            <w:vAlign w:val="center"/>
          </w:tcPr>
          <w:p>
            <w:pPr>
              <w:pStyle w:val="294"/>
            </w:pPr>
            <w:r>
              <w:t>产生量</w:t>
            </w:r>
          </w:p>
        </w:tc>
        <w:tc>
          <w:tcPr>
            <w:tcW w:w="992" w:type="dxa"/>
            <w:vAlign w:val="center"/>
          </w:tcPr>
          <w:p>
            <w:pPr>
              <w:pStyle w:val="294"/>
            </w:pPr>
            <w:r>
              <w:t>产生工序及装置</w:t>
            </w:r>
          </w:p>
        </w:tc>
        <w:tc>
          <w:tcPr>
            <w:tcW w:w="567" w:type="dxa"/>
            <w:vAlign w:val="center"/>
          </w:tcPr>
          <w:p>
            <w:pPr>
              <w:pStyle w:val="294"/>
            </w:pPr>
            <w:r>
              <w:t>形态</w:t>
            </w:r>
          </w:p>
        </w:tc>
        <w:tc>
          <w:tcPr>
            <w:tcW w:w="709" w:type="dxa"/>
            <w:vAlign w:val="center"/>
          </w:tcPr>
          <w:p>
            <w:pPr>
              <w:pStyle w:val="294"/>
            </w:pPr>
            <w:r>
              <w:t>主要成分</w:t>
            </w:r>
          </w:p>
        </w:tc>
        <w:tc>
          <w:tcPr>
            <w:tcW w:w="709" w:type="dxa"/>
            <w:vAlign w:val="center"/>
          </w:tcPr>
          <w:p>
            <w:pPr>
              <w:pStyle w:val="294"/>
            </w:pPr>
            <w:r>
              <w:t>有害成分</w:t>
            </w:r>
          </w:p>
        </w:tc>
        <w:tc>
          <w:tcPr>
            <w:tcW w:w="709" w:type="dxa"/>
            <w:vAlign w:val="center"/>
          </w:tcPr>
          <w:p>
            <w:pPr>
              <w:pStyle w:val="294"/>
            </w:pPr>
            <w:r>
              <w:t>产废周期</w:t>
            </w:r>
          </w:p>
        </w:tc>
        <w:tc>
          <w:tcPr>
            <w:tcW w:w="708" w:type="dxa"/>
            <w:vAlign w:val="center"/>
          </w:tcPr>
          <w:p>
            <w:pPr>
              <w:pStyle w:val="294"/>
            </w:pPr>
            <w:r>
              <w:t>危险特性</w:t>
            </w:r>
          </w:p>
        </w:tc>
        <w:tc>
          <w:tcPr>
            <w:tcW w:w="1423" w:type="dxa"/>
            <w:vAlign w:val="center"/>
          </w:tcPr>
          <w:p>
            <w:pPr>
              <w:pStyle w:val="294"/>
            </w:pPr>
            <w:r>
              <w:t>污染防治措施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562" w:type="dxa"/>
            <w:tcMar>
              <w:left w:w="0" w:type="dxa"/>
              <w:right w:w="0" w:type="dxa"/>
            </w:tcMar>
            <w:vAlign w:val="center"/>
          </w:tcPr>
          <w:p>
            <w:pPr>
              <w:pStyle w:val="294"/>
            </w:pPr>
            <w:r>
              <w:t>废油及其他含油固废</w:t>
            </w:r>
          </w:p>
        </w:tc>
        <w:tc>
          <w:tcPr>
            <w:tcW w:w="567" w:type="dxa"/>
            <w:vAlign w:val="center"/>
          </w:tcPr>
          <w:p>
            <w:pPr>
              <w:pStyle w:val="294"/>
            </w:pPr>
            <w:r>
              <w:t>HW08</w:t>
            </w:r>
          </w:p>
        </w:tc>
        <w:tc>
          <w:tcPr>
            <w:tcW w:w="709" w:type="dxa"/>
            <w:vAlign w:val="center"/>
          </w:tcPr>
          <w:p>
            <w:pPr>
              <w:pStyle w:val="294"/>
            </w:pPr>
            <w:r>
              <w:t>900-249-08</w:t>
            </w:r>
          </w:p>
        </w:tc>
        <w:tc>
          <w:tcPr>
            <w:tcW w:w="567" w:type="dxa"/>
            <w:vAlign w:val="center"/>
          </w:tcPr>
          <w:p>
            <w:pPr>
              <w:pStyle w:val="294"/>
            </w:pPr>
            <w:r>
              <w:t>0.7m</w:t>
            </w:r>
            <w:r>
              <w:rPr>
                <w:vertAlign w:val="superscript"/>
              </w:rPr>
              <w:t>3</w:t>
            </w:r>
          </w:p>
        </w:tc>
        <w:tc>
          <w:tcPr>
            <w:tcW w:w="992" w:type="dxa"/>
            <w:vAlign w:val="center"/>
          </w:tcPr>
          <w:p>
            <w:pPr>
              <w:pStyle w:val="294"/>
            </w:pPr>
            <w:r>
              <w:t>钻井机具</w:t>
            </w:r>
          </w:p>
        </w:tc>
        <w:tc>
          <w:tcPr>
            <w:tcW w:w="567" w:type="dxa"/>
            <w:vAlign w:val="center"/>
          </w:tcPr>
          <w:p>
            <w:pPr>
              <w:pStyle w:val="294"/>
            </w:pPr>
            <w:r>
              <w:t>半固态</w:t>
            </w:r>
          </w:p>
        </w:tc>
        <w:tc>
          <w:tcPr>
            <w:tcW w:w="709" w:type="dxa"/>
            <w:vAlign w:val="center"/>
          </w:tcPr>
          <w:p>
            <w:pPr>
              <w:pStyle w:val="294"/>
            </w:pPr>
            <w:r>
              <w:t>废润滑油</w:t>
            </w:r>
          </w:p>
        </w:tc>
        <w:tc>
          <w:tcPr>
            <w:tcW w:w="709" w:type="dxa"/>
            <w:vAlign w:val="center"/>
          </w:tcPr>
          <w:p>
            <w:pPr>
              <w:pStyle w:val="294"/>
            </w:pPr>
            <w:r>
              <w:t>润滑油</w:t>
            </w:r>
          </w:p>
        </w:tc>
        <w:tc>
          <w:tcPr>
            <w:tcW w:w="709" w:type="dxa"/>
            <w:vAlign w:val="center"/>
          </w:tcPr>
          <w:p>
            <w:pPr>
              <w:pStyle w:val="294"/>
            </w:pPr>
            <w:r>
              <w:t>钻井期间</w:t>
            </w:r>
          </w:p>
        </w:tc>
        <w:tc>
          <w:tcPr>
            <w:tcW w:w="708" w:type="dxa"/>
            <w:vAlign w:val="center"/>
          </w:tcPr>
          <w:p>
            <w:pPr>
              <w:pStyle w:val="294"/>
            </w:pPr>
            <w:r>
              <w:t>T/I</w:t>
            </w:r>
          </w:p>
        </w:tc>
        <w:tc>
          <w:tcPr>
            <w:tcW w:w="1423" w:type="dxa"/>
            <w:vAlign w:val="center"/>
          </w:tcPr>
          <w:p>
            <w:pPr>
              <w:pStyle w:val="294"/>
            </w:pPr>
            <w:r>
              <w:t>废油桶收集，暂存于泥浆不落地装置区临时堆放区内，钻井队综合利用，剩余的交由资质单位处置</w:t>
            </w:r>
          </w:p>
        </w:tc>
      </w:tr>
    </w:tbl>
    <w:p>
      <w:pPr>
        <w:spacing w:before="120" w:beforeLines="5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平台危险废物贮存场所（设施）基本情况见</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REF _Ref142593527 \h  \* MERGEFORMAT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表3.4</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9</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w:t>
      </w:r>
    </w:p>
    <w:p>
      <w:pPr>
        <w:pStyle w:val="95"/>
      </w:pPr>
      <w:bookmarkStart w:id="163" w:name="_Ref142593527"/>
      <w:r>
        <w:t>表</w:t>
      </w:r>
      <w:r>
        <w:fldChar w:fldCharType="begin"/>
      </w:r>
      <w:r>
        <w:instrText xml:space="preserve"> STYLEREF 2 \s </w:instrText>
      </w:r>
      <w:r>
        <w:fldChar w:fldCharType="separate"/>
      </w:r>
      <w:r>
        <w:t>3.4</w:t>
      </w:r>
      <w:r>
        <w:fldChar w:fldCharType="end"/>
      </w:r>
      <w:r>
        <w:noBreakHyphen/>
      </w:r>
      <w:r>
        <w:fldChar w:fldCharType="begin"/>
      </w:r>
      <w:r>
        <w:instrText xml:space="preserve"> SEQ 表 \* ARABIC \s 2 </w:instrText>
      </w:r>
      <w:r>
        <w:fldChar w:fldCharType="separate"/>
      </w:r>
      <w:r>
        <w:t>9</w:t>
      </w:r>
      <w:r>
        <w:fldChar w:fldCharType="end"/>
      </w:r>
      <w:bookmarkEnd w:id="163"/>
      <w:r>
        <w:t xml:space="preserve"> 平台危险废物贮存场所（设施）基本情况一览表</w:t>
      </w:r>
    </w:p>
    <w:tbl>
      <w:tblPr>
        <w:tblStyle w:val="52"/>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00"/>
        <w:gridCol w:w="1076"/>
        <w:gridCol w:w="755"/>
        <w:gridCol w:w="1163"/>
        <w:gridCol w:w="839"/>
        <w:gridCol w:w="980"/>
        <w:gridCol w:w="839"/>
        <w:gridCol w:w="841"/>
        <w:gridCol w:w="699"/>
        <w:gridCol w:w="73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352" w:type="pct"/>
            <w:vAlign w:val="center"/>
          </w:tcPr>
          <w:p>
            <w:pPr>
              <w:pStyle w:val="294"/>
            </w:pPr>
            <w:r>
              <w:t>序号</w:t>
            </w:r>
          </w:p>
        </w:tc>
        <w:tc>
          <w:tcPr>
            <w:tcW w:w="631" w:type="pct"/>
            <w:vAlign w:val="center"/>
          </w:tcPr>
          <w:p>
            <w:pPr>
              <w:pStyle w:val="294"/>
            </w:pPr>
            <w:r>
              <w:t>贮存场所（设施）名称</w:t>
            </w:r>
          </w:p>
        </w:tc>
        <w:tc>
          <w:tcPr>
            <w:tcW w:w="443" w:type="pct"/>
            <w:vAlign w:val="center"/>
          </w:tcPr>
          <w:p>
            <w:pPr>
              <w:pStyle w:val="294"/>
            </w:pPr>
            <w:r>
              <w:t>危险废物名称</w:t>
            </w:r>
          </w:p>
        </w:tc>
        <w:tc>
          <w:tcPr>
            <w:tcW w:w="682" w:type="pct"/>
            <w:vAlign w:val="center"/>
          </w:tcPr>
          <w:p>
            <w:pPr>
              <w:pStyle w:val="294"/>
            </w:pPr>
            <w:r>
              <w:t>危险废物类别</w:t>
            </w:r>
          </w:p>
        </w:tc>
        <w:tc>
          <w:tcPr>
            <w:tcW w:w="492" w:type="pct"/>
            <w:vAlign w:val="center"/>
          </w:tcPr>
          <w:p>
            <w:pPr>
              <w:pStyle w:val="294"/>
            </w:pPr>
            <w:r>
              <w:t>危险废物代码</w:t>
            </w:r>
          </w:p>
        </w:tc>
        <w:tc>
          <w:tcPr>
            <w:tcW w:w="575" w:type="pct"/>
            <w:vAlign w:val="center"/>
          </w:tcPr>
          <w:p>
            <w:pPr>
              <w:pStyle w:val="294"/>
            </w:pPr>
            <w:r>
              <w:t>位置</w:t>
            </w:r>
          </w:p>
        </w:tc>
        <w:tc>
          <w:tcPr>
            <w:tcW w:w="492" w:type="pct"/>
            <w:vAlign w:val="center"/>
          </w:tcPr>
          <w:p>
            <w:pPr>
              <w:pStyle w:val="294"/>
            </w:pPr>
            <w:r>
              <w:t>占地</w:t>
            </w:r>
          </w:p>
          <w:p>
            <w:pPr>
              <w:pStyle w:val="294"/>
            </w:pPr>
            <w:r>
              <w:t>面积</w:t>
            </w:r>
          </w:p>
        </w:tc>
        <w:tc>
          <w:tcPr>
            <w:tcW w:w="493" w:type="pct"/>
            <w:vAlign w:val="center"/>
          </w:tcPr>
          <w:p>
            <w:pPr>
              <w:pStyle w:val="294"/>
            </w:pPr>
            <w:r>
              <w:t>贮存</w:t>
            </w:r>
          </w:p>
          <w:p>
            <w:pPr>
              <w:pStyle w:val="294"/>
            </w:pPr>
            <w:r>
              <w:t>方式</w:t>
            </w:r>
          </w:p>
        </w:tc>
        <w:tc>
          <w:tcPr>
            <w:tcW w:w="410" w:type="pct"/>
            <w:vAlign w:val="center"/>
          </w:tcPr>
          <w:p>
            <w:pPr>
              <w:pStyle w:val="294"/>
            </w:pPr>
            <w:r>
              <w:t>贮存</w:t>
            </w:r>
          </w:p>
          <w:p>
            <w:pPr>
              <w:pStyle w:val="294"/>
            </w:pPr>
            <w:r>
              <w:t>能力</w:t>
            </w:r>
          </w:p>
        </w:tc>
        <w:tc>
          <w:tcPr>
            <w:tcW w:w="430" w:type="pct"/>
            <w:vAlign w:val="center"/>
          </w:tcPr>
          <w:p>
            <w:pPr>
              <w:pStyle w:val="294"/>
            </w:pPr>
            <w:r>
              <w:t>贮存</w:t>
            </w:r>
          </w:p>
          <w:p>
            <w:pPr>
              <w:pStyle w:val="294"/>
            </w:pPr>
            <w:r>
              <w:t>周期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52" w:type="pct"/>
            <w:vAlign w:val="center"/>
          </w:tcPr>
          <w:p>
            <w:pPr>
              <w:pStyle w:val="294"/>
            </w:pPr>
            <w:r>
              <w:t>1</w:t>
            </w:r>
          </w:p>
        </w:tc>
        <w:tc>
          <w:tcPr>
            <w:tcW w:w="631" w:type="pct"/>
            <w:vAlign w:val="center"/>
          </w:tcPr>
          <w:p>
            <w:pPr>
              <w:pStyle w:val="294"/>
            </w:pPr>
            <w:r>
              <w:t>油桶</w:t>
            </w:r>
          </w:p>
          <w:p>
            <w:pPr>
              <w:pStyle w:val="294"/>
            </w:pPr>
            <w:r>
              <w:t>（2个）</w:t>
            </w:r>
          </w:p>
        </w:tc>
        <w:tc>
          <w:tcPr>
            <w:tcW w:w="443" w:type="pct"/>
            <w:vAlign w:val="center"/>
          </w:tcPr>
          <w:p>
            <w:pPr>
              <w:pStyle w:val="294"/>
            </w:pPr>
            <w:r>
              <w:t>废油</w:t>
            </w:r>
          </w:p>
        </w:tc>
        <w:tc>
          <w:tcPr>
            <w:tcW w:w="682" w:type="pct"/>
            <w:vAlign w:val="center"/>
          </w:tcPr>
          <w:p>
            <w:pPr>
              <w:pStyle w:val="294"/>
            </w:pPr>
            <w:r>
              <w:t>废矿物油与含矿物油废物</w:t>
            </w:r>
          </w:p>
        </w:tc>
        <w:tc>
          <w:tcPr>
            <w:tcW w:w="492" w:type="pct"/>
            <w:vAlign w:val="center"/>
          </w:tcPr>
          <w:p>
            <w:pPr>
              <w:pStyle w:val="294"/>
            </w:pPr>
            <w:r>
              <w:t>HW08</w:t>
            </w:r>
          </w:p>
        </w:tc>
        <w:tc>
          <w:tcPr>
            <w:tcW w:w="575" w:type="pct"/>
            <w:vAlign w:val="center"/>
          </w:tcPr>
          <w:p>
            <w:pPr>
              <w:pStyle w:val="294"/>
            </w:pPr>
            <w:r>
              <w:t>泥浆不落地装置区临时堆放区内</w:t>
            </w:r>
          </w:p>
        </w:tc>
        <w:tc>
          <w:tcPr>
            <w:tcW w:w="492" w:type="pct"/>
            <w:vAlign w:val="center"/>
          </w:tcPr>
          <w:p>
            <w:pPr>
              <w:pStyle w:val="294"/>
            </w:pPr>
            <w:r>
              <w:t>约2m</w:t>
            </w:r>
            <w:r>
              <w:rPr>
                <w:vertAlign w:val="superscript"/>
              </w:rPr>
              <w:t>2</w:t>
            </w:r>
          </w:p>
        </w:tc>
        <w:tc>
          <w:tcPr>
            <w:tcW w:w="493" w:type="pct"/>
            <w:vAlign w:val="center"/>
          </w:tcPr>
          <w:p>
            <w:pPr>
              <w:pStyle w:val="294"/>
            </w:pPr>
            <w:r>
              <w:t>集中</w:t>
            </w:r>
          </w:p>
          <w:p>
            <w:pPr>
              <w:pStyle w:val="294"/>
            </w:pPr>
            <w:r>
              <w:t>贮存</w:t>
            </w:r>
          </w:p>
        </w:tc>
        <w:tc>
          <w:tcPr>
            <w:tcW w:w="410" w:type="pct"/>
            <w:vAlign w:val="center"/>
          </w:tcPr>
          <w:p>
            <w:pPr>
              <w:pStyle w:val="294"/>
            </w:pPr>
            <w:r>
              <w:t>约1m</w:t>
            </w:r>
            <w:r>
              <w:rPr>
                <w:vertAlign w:val="superscript"/>
              </w:rPr>
              <w:t>3</w:t>
            </w:r>
          </w:p>
        </w:tc>
        <w:tc>
          <w:tcPr>
            <w:tcW w:w="430" w:type="pct"/>
            <w:vAlign w:val="center"/>
          </w:tcPr>
          <w:p>
            <w:pPr>
              <w:pStyle w:val="294"/>
            </w:pPr>
            <w:r>
              <w:t>60d</w:t>
            </w:r>
          </w:p>
        </w:tc>
      </w:tr>
    </w:tbl>
    <w:p>
      <w:pPr>
        <w:spacing w:before="120" w:beforeLines="5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本项目固体废物产生量见</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REF _Ref142593532 \h  \* MERGEFORMAT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表3.4</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10</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w:t>
      </w:r>
    </w:p>
    <w:p>
      <w:pPr>
        <w:pStyle w:val="95"/>
      </w:pPr>
      <w:bookmarkStart w:id="164" w:name="_Ref142593532"/>
      <w:r>
        <w:t>表</w:t>
      </w:r>
      <w:r>
        <w:fldChar w:fldCharType="begin"/>
      </w:r>
      <w:r>
        <w:instrText xml:space="preserve"> STYLEREF 2 \s </w:instrText>
      </w:r>
      <w:r>
        <w:fldChar w:fldCharType="separate"/>
      </w:r>
      <w:r>
        <w:t>3.4</w:t>
      </w:r>
      <w:r>
        <w:fldChar w:fldCharType="end"/>
      </w:r>
      <w:r>
        <w:noBreakHyphen/>
      </w:r>
      <w:r>
        <w:fldChar w:fldCharType="begin"/>
      </w:r>
      <w:r>
        <w:instrText xml:space="preserve"> SEQ 表 \* ARABIC \s 2 </w:instrText>
      </w:r>
      <w:r>
        <w:fldChar w:fldCharType="separate"/>
      </w:r>
      <w:r>
        <w:t>10</w:t>
      </w:r>
      <w:r>
        <w:fldChar w:fldCharType="end"/>
      </w:r>
      <w:bookmarkEnd w:id="164"/>
      <w:r>
        <w:t xml:space="preserve"> 钻井工程固体废物产生及处置情况一览表</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418"/>
        <w:gridCol w:w="835"/>
        <w:gridCol w:w="1270"/>
        <w:gridCol w:w="848"/>
        <w:gridCol w:w="893"/>
        <w:gridCol w:w="1368"/>
        <w:gridCol w:w="848"/>
        <w:gridCol w:w="85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851" w:type="pct"/>
            <w:vAlign w:val="center"/>
          </w:tcPr>
          <w:p>
            <w:pPr>
              <w:pStyle w:val="294"/>
            </w:pPr>
            <w:r>
              <w:t>固废种类</w:t>
            </w:r>
          </w:p>
        </w:tc>
        <w:tc>
          <w:tcPr>
            <w:tcW w:w="501" w:type="pct"/>
            <w:vAlign w:val="center"/>
          </w:tcPr>
          <w:p>
            <w:pPr>
              <w:pStyle w:val="294"/>
            </w:pPr>
            <w:r>
              <w:t>空气钻岩屑（m</w:t>
            </w:r>
            <w:r>
              <w:rPr>
                <w:vertAlign w:val="superscript"/>
              </w:rPr>
              <w:t>3</w:t>
            </w:r>
            <w:r>
              <w:t>）</w:t>
            </w:r>
          </w:p>
        </w:tc>
        <w:tc>
          <w:tcPr>
            <w:tcW w:w="762" w:type="pct"/>
            <w:vAlign w:val="center"/>
          </w:tcPr>
          <w:p>
            <w:pPr>
              <w:pStyle w:val="294"/>
            </w:pPr>
            <w:r>
              <w:t>水基钻井固废（t）</w:t>
            </w:r>
          </w:p>
        </w:tc>
        <w:tc>
          <w:tcPr>
            <w:tcW w:w="509" w:type="pct"/>
            <w:vAlign w:val="center"/>
          </w:tcPr>
          <w:p>
            <w:pPr>
              <w:pStyle w:val="294"/>
            </w:pPr>
            <w:r>
              <w:t>生活垃圾</w:t>
            </w:r>
          </w:p>
        </w:tc>
        <w:tc>
          <w:tcPr>
            <w:tcW w:w="536" w:type="pct"/>
            <w:vAlign w:val="center"/>
          </w:tcPr>
          <w:p>
            <w:pPr>
              <w:pStyle w:val="294"/>
            </w:pPr>
            <w:r>
              <w:t>废包装材料（t）</w:t>
            </w:r>
          </w:p>
        </w:tc>
        <w:tc>
          <w:tcPr>
            <w:tcW w:w="821" w:type="pct"/>
            <w:vAlign w:val="center"/>
          </w:tcPr>
          <w:p>
            <w:pPr>
              <w:pStyle w:val="294"/>
            </w:pPr>
            <w:r>
              <w:t>废油（m</w:t>
            </w:r>
            <w:r>
              <w:rPr>
                <w:vertAlign w:val="superscript"/>
              </w:rPr>
              <w:t>3</w:t>
            </w:r>
            <w:r>
              <w:t>）</w:t>
            </w:r>
          </w:p>
        </w:tc>
        <w:tc>
          <w:tcPr>
            <w:tcW w:w="509" w:type="pct"/>
            <w:vAlign w:val="center"/>
          </w:tcPr>
          <w:p>
            <w:pPr>
              <w:pStyle w:val="294"/>
            </w:pPr>
            <w:r>
              <w:t>建筑垃圾</w:t>
            </w:r>
          </w:p>
        </w:tc>
        <w:tc>
          <w:tcPr>
            <w:tcW w:w="510" w:type="pct"/>
            <w:vAlign w:val="center"/>
          </w:tcPr>
          <w:p>
            <w:pPr>
              <w:pStyle w:val="294"/>
            </w:pPr>
            <w:r>
              <w:t>不能继续使用废油桶、其他含油固废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851" w:type="pct"/>
            <w:tcMar>
              <w:left w:w="0" w:type="dxa"/>
              <w:right w:w="0" w:type="dxa"/>
            </w:tcMar>
            <w:vAlign w:val="center"/>
          </w:tcPr>
          <w:p>
            <w:pPr>
              <w:pStyle w:val="294"/>
            </w:pPr>
            <w:r>
              <w:t>产生量</w:t>
            </w:r>
          </w:p>
        </w:tc>
        <w:tc>
          <w:tcPr>
            <w:tcW w:w="501" w:type="pct"/>
            <w:vAlign w:val="center"/>
          </w:tcPr>
          <w:p>
            <w:pPr>
              <w:pStyle w:val="294"/>
            </w:pPr>
            <w:r>
              <w:t>100</w:t>
            </w:r>
          </w:p>
        </w:tc>
        <w:tc>
          <w:tcPr>
            <w:tcW w:w="762" w:type="pct"/>
            <w:shd w:val="clear" w:color="auto" w:fill="auto"/>
            <w:vAlign w:val="center"/>
          </w:tcPr>
          <w:p>
            <w:pPr>
              <w:pStyle w:val="294"/>
            </w:pPr>
            <w:r>
              <w:t>2577.6</w:t>
            </w:r>
          </w:p>
        </w:tc>
        <w:tc>
          <w:tcPr>
            <w:tcW w:w="509" w:type="pct"/>
            <w:vAlign w:val="center"/>
          </w:tcPr>
          <w:p>
            <w:pPr>
              <w:pStyle w:val="294"/>
            </w:pPr>
            <w:r>
              <w:t>22.5kg/d</w:t>
            </w:r>
          </w:p>
        </w:tc>
        <w:tc>
          <w:tcPr>
            <w:tcW w:w="536" w:type="pct"/>
            <w:vAlign w:val="center"/>
          </w:tcPr>
          <w:p>
            <w:pPr>
              <w:pStyle w:val="294"/>
            </w:pPr>
            <w:r>
              <w:t>2.0</w:t>
            </w:r>
          </w:p>
        </w:tc>
        <w:tc>
          <w:tcPr>
            <w:tcW w:w="821" w:type="pct"/>
            <w:vAlign w:val="center"/>
          </w:tcPr>
          <w:p>
            <w:pPr>
              <w:pStyle w:val="294"/>
            </w:pPr>
            <w:r>
              <w:t>0.7</w:t>
            </w:r>
          </w:p>
        </w:tc>
        <w:tc>
          <w:tcPr>
            <w:tcW w:w="509" w:type="pct"/>
            <w:vAlign w:val="center"/>
          </w:tcPr>
          <w:p>
            <w:pPr>
              <w:pStyle w:val="294"/>
            </w:pPr>
            <w:r>
              <w:t>少量</w:t>
            </w:r>
          </w:p>
        </w:tc>
        <w:tc>
          <w:tcPr>
            <w:tcW w:w="510" w:type="pct"/>
            <w:vAlign w:val="center"/>
          </w:tcPr>
          <w:p>
            <w:pPr>
              <w:pStyle w:val="294"/>
            </w:pPr>
            <w:r>
              <w:t>少量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851" w:type="pct"/>
            <w:tcMar>
              <w:left w:w="0" w:type="dxa"/>
              <w:right w:w="0" w:type="dxa"/>
            </w:tcMar>
            <w:vAlign w:val="center"/>
          </w:tcPr>
          <w:p>
            <w:pPr>
              <w:pStyle w:val="294"/>
            </w:pPr>
            <w:r>
              <w:t>处置措施及去向</w:t>
            </w:r>
          </w:p>
        </w:tc>
        <w:tc>
          <w:tcPr>
            <w:tcW w:w="501" w:type="pct"/>
            <w:vAlign w:val="center"/>
          </w:tcPr>
          <w:p>
            <w:pPr>
              <w:pStyle w:val="294"/>
            </w:pPr>
            <w:r>
              <w:t>用于井场低洼处回填</w:t>
            </w:r>
          </w:p>
        </w:tc>
        <w:tc>
          <w:tcPr>
            <w:tcW w:w="762" w:type="pct"/>
            <w:vAlign w:val="center"/>
          </w:tcPr>
          <w:p>
            <w:pPr>
              <w:pStyle w:val="294"/>
            </w:pPr>
            <w:r>
              <w:t>经泥浆不落地工艺进行固液分离后暂存于固废临时堆放区，定期用密闭罐车及时转运至达州地区环保手续齐全、环保设施稳定运行固废烧结厂进行烧结后综合利用</w:t>
            </w:r>
          </w:p>
        </w:tc>
        <w:tc>
          <w:tcPr>
            <w:tcW w:w="509" w:type="pct"/>
            <w:vAlign w:val="center"/>
          </w:tcPr>
          <w:p>
            <w:pPr>
              <w:pStyle w:val="294"/>
            </w:pPr>
            <w:r>
              <w:t>集中收集，交由当地环卫部门处置</w:t>
            </w:r>
          </w:p>
        </w:tc>
        <w:tc>
          <w:tcPr>
            <w:tcW w:w="536" w:type="pct"/>
            <w:vAlign w:val="center"/>
          </w:tcPr>
          <w:p>
            <w:pPr>
              <w:pStyle w:val="294"/>
            </w:pPr>
            <w:r>
              <w:t>集中收集后部分回用，剩余的送当地废品回收站处理</w:t>
            </w:r>
          </w:p>
        </w:tc>
        <w:tc>
          <w:tcPr>
            <w:tcW w:w="821" w:type="pct"/>
            <w:vAlign w:val="center"/>
          </w:tcPr>
          <w:p>
            <w:pPr>
              <w:pStyle w:val="294"/>
            </w:pPr>
            <w:r>
              <w:t>设置废油桶集中收集暂存于泥浆不落地装置区临时堆放区内，钻井队综合利用或交由有资质的单位处理</w:t>
            </w:r>
          </w:p>
        </w:tc>
        <w:tc>
          <w:tcPr>
            <w:tcW w:w="509" w:type="pct"/>
            <w:vAlign w:val="center"/>
          </w:tcPr>
          <w:p>
            <w:pPr>
              <w:pStyle w:val="294"/>
            </w:pPr>
            <w:r>
              <w:t>施工队伍统一收集清运至政府指定地方</w:t>
            </w:r>
          </w:p>
        </w:tc>
        <w:tc>
          <w:tcPr>
            <w:tcW w:w="510" w:type="pct"/>
            <w:vAlign w:val="center"/>
          </w:tcPr>
          <w:p>
            <w:pPr>
              <w:pStyle w:val="294"/>
            </w:pPr>
            <w:r>
              <w:t>交由有资质的单位处理</w:t>
            </w:r>
          </w:p>
        </w:tc>
      </w:tr>
    </w:tbl>
    <w:p>
      <w:pPr>
        <w:spacing w:before="120" w:beforeLines="50"/>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（5）地下水污染</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1）地下水污染源类型分析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钻井工程对地下水环境可能造成影响的污染源主要是场地内暂存的钻井废水、泥浆、岩屑等的渗滤液以及井下钻井过程滤失的钻井泥浆和压裂过程井筒破裂漏失的压裂液。</w:t>
      </w:r>
    </w:p>
    <w:p>
      <w:pPr>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2）污染途径分析</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钻井工程对地下水产生污染的途径主要有两种，即渗透污染和穿透污染。</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a、渗透污染：钻井泥浆循环系统、泥浆不落地处理系统、油罐、放喷池、原辅材料堆存淋溶雨水等产生、暂存、离析或罐体、池体破裂渗露出的废水、废油通过包气带渗透到潜水含水层而污染地下水，是本项目的主要污染形式。</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b、穿透污染：一般发生在钻井过程中的井漏和压裂过程中井筒破裂事故中，在水头压力差的作用下，将有少量钻井泥浆或压裂液滤失，并在含水层中扩散迁移，污染地下水，污染程度与所选用的钻井泥浆体系与压裂方案密切相关。</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3）地下水污染源源强分析</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a：污染物渗滤液：此类废水产生于钻井废水和岩屑等固废在井场内操作区域内暂存中，所含废液经渗露、离析后，向周围岩层渗入、扩散。本项目对井场分区分级防渗处理，正常工况下渗透外泄量极小。</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b：钻井滤失泥浆：此类影响产生于钻井期间的过平衡钻井阶段，钻井泥浆在压力差的作用下，渗透入井壁岩石的裂隙或孔隙中。钻井泥浆监控系统一般在地层滤失量＜3m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/h时即可发现泥浆漏失，以便及时采取堵漏措施。本项目在每段完钻后及时采用套管水泥固井，从措施上减少井筒内泥浆滤失可能。</w:t>
      </w:r>
    </w:p>
    <w:p>
      <w:pPr>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（6）环境风险</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存在一定的环境风险，主要表现为钻井井喷失控或泄漏的天然气导致的火灾爆炸环境风险事故，以及泄漏天然气导致的环境风险事故；此外还表现为井场罐区及放喷池池体渗漏污染地表土壤和浅层地下水；井筒内套管破损导致钻井过程中钻井泥浆漏失，进入地下水环境，污染地下水环境；油罐区存储的柴油泄漏环境风险；污染物外运处理中的运输风险等。</w:t>
      </w:r>
    </w:p>
    <w:p>
      <w:pPr>
        <w:ind w:firstLine="480"/>
        <w:outlineLvl w:val="3"/>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3.4.1.3试采站工程</w:t>
      </w:r>
    </w:p>
    <w:p>
      <w:pPr>
        <w:ind w:firstLine="480"/>
        <w:rPr>
          <w:rFonts w:cs="Times New Roman"/>
          <w:color w:val="000000" w:themeColor="text1"/>
          <w:kern w:val="0"/>
          <w14:textFill>
            <w14:solidFill>
              <w14:schemeClr w14:val="tx1"/>
            </w14:solidFill>
          </w14:textFill>
        </w:rPr>
      </w:pPr>
      <w:r>
        <w:rPr>
          <w:rFonts w:cs="Times New Roman"/>
          <w:color w:val="000000" w:themeColor="text1"/>
          <w14:textFill>
            <w14:solidFill>
              <w14:schemeClr w14:val="tx1"/>
            </w14:solidFill>
          </w14:textFill>
        </w:rPr>
        <w:t>普光3011-6井建成后采气经采气树一级节流后，通过新建采气管线输送至P3011采气站，依托采气站内已建的加热炉进行加热，加热后与P3011-1井、P3011-5井出气一同输入P301集气站，依托集气站内计量分离后外输进入天然气净化厂。分离器出气田水依托P301集气站排至站内火炬分液罐，定期由密闭罐车统一拉运</w:t>
      </w:r>
      <w:r>
        <w:rPr>
          <w:rFonts w:cs="Times New Roman"/>
          <w:bCs/>
          <w:color w:val="000000" w:themeColor="text1"/>
          <w14:textFill>
            <w14:solidFill>
              <w14:schemeClr w14:val="tx1"/>
            </w14:solidFill>
          </w14:textFill>
        </w:rPr>
        <w:t>。站场施工工作均在完井后的井场内建设，施工期较短，其污染物产生量较少，对环境的影响较小。</w:t>
      </w:r>
    </w:p>
    <w:p>
      <w:pPr>
        <w:pStyle w:val="21"/>
        <w:spacing w:before="0"/>
        <w:ind w:left="0" w:firstLine="482"/>
        <w:jc w:val="both"/>
        <w:rPr>
          <w:rFonts w:ascii="Times New Roman" w:hAnsi="Times New Roman"/>
          <w:b/>
          <w:bCs/>
          <w:color w:val="000000" w:themeColor="text1"/>
          <w:lang w:eastAsia="zh-CN"/>
          <w14:textFill>
            <w14:solidFill>
              <w14:schemeClr w14:val="tx1"/>
            </w14:solidFill>
          </w14:textFill>
        </w:rPr>
      </w:pPr>
      <w:r>
        <w:rPr>
          <w:rFonts w:ascii="Times New Roman" w:hAnsi="Times New Roman"/>
          <w:b/>
          <w:bCs/>
          <w:color w:val="000000" w:themeColor="text1"/>
          <w:lang w:eastAsia="zh-CN"/>
          <w14:textFill>
            <w14:solidFill>
              <w14:schemeClr w14:val="tx1"/>
            </w14:solidFill>
          </w14:textFill>
        </w:rPr>
        <w:t>（1）生态环境</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由于站场施工工作全部在钻井井场内完成，占地均位于原井场占地范围内，生态影响主要为部分设备基础建设造成施工区域土地裸露，在雨季极易产生径流，加重土壤侵蚀程度，造成水土流失。本项目在设备安装完毕后及时进行场站内道路硬化和绿化，减少场站施工区水土流失。</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本项目管道施工在已经硬化后的P3011采气站内进行布置安装，几乎对生态环境无影响。</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（2）废气</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施工期废气主要为施工机具作业时产生的尾气，基础开挖、场地平整及物料装卸等施工过程产生的粉尘，车辆运输产生的二次扬尘等，产生量较少，通过自然扩散后对环境影响较小。</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（3）废水</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废水主要施工废水</w:t>
      </w:r>
      <w:r>
        <w:rPr>
          <w:rFonts w:cs="Times New Roman"/>
          <w:bCs/>
          <w:color w:val="000000" w:themeColor="text1"/>
          <w:szCs w:val="24"/>
          <w14:textFill>
            <w14:solidFill>
              <w14:schemeClr w14:val="tx1"/>
            </w14:solidFill>
          </w14:textFill>
        </w:rPr>
        <w:t>（主要污染物为SS）</w:t>
      </w:r>
      <w:r>
        <w:rPr>
          <w:rFonts w:cs="Times New Roman"/>
          <w:color w:val="000000" w:themeColor="text1"/>
          <w:szCs w:val="24"/>
          <w14:textFill>
            <w14:solidFill>
              <w14:schemeClr w14:val="tx1"/>
            </w14:solidFill>
          </w14:textFill>
        </w:rPr>
        <w:t>以及施工人员的生活污水（主要污染物为</w:t>
      </w:r>
      <w:r>
        <w:rPr>
          <w:rFonts w:cs="Times New Roman"/>
          <w:bCs/>
          <w:color w:val="000000" w:themeColor="text1"/>
          <w:szCs w:val="24"/>
          <w14:textFill>
            <w14:solidFill>
              <w14:schemeClr w14:val="tx1"/>
            </w14:solidFill>
          </w14:textFill>
        </w:rPr>
        <w:t>COD、SS和NH</w:t>
      </w:r>
      <w:r>
        <w:rPr>
          <w:rFonts w:cs="Times New Roman"/>
          <w:bCs/>
          <w:color w:val="000000" w:themeColor="text1"/>
          <w:szCs w:val="24"/>
          <w:vertAlign w:val="subscript"/>
          <w14:textFill>
            <w14:solidFill>
              <w14:schemeClr w14:val="tx1"/>
            </w14:solidFill>
          </w14:textFill>
        </w:rPr>
        <w:t>3</w:t>
      </w:r>
      <w:r>
        <w:rPr>
          <w:rFonts w:cs="Times New Roman"/>
          <w:bCs/>
          <w:color w:val="000000" w:themeColor="text1"/>
          <w:szCs w:val="24"/>
          <w14:textFill>
            <w14:solidFill>
              <w14:schemeClr w14:val="tx1"/>
            </w14:solidFill>
          </w14:textFill>
        </w:rPr>
        <w:t>-N等</w:t>
      </w:r>
      <w:r>
        <w:rPr>
          <w:rFonts w:cs="Times New Roman"/>
          <w:color w:val="000000" w:themeColor="text1"/>
          <w:szCs w:val="24"/>
          <w14:textFill>
            <w14:solidFill>
              <w14:schemeClr w14:val="tx1"/>
            </w14:solidFill>
          </w14:textFill>
        </w:rPr>
        <w:t>）。</w:t>
      </w:r>
      <w:r>
        <w:rPr>
          <w:rFonts w:cs="Times New Roman"/>
          <w:bCs/>
          <w:color w:val="000000" w:themeColor="text1"/>
          <w14:textFill>
            <w14:solidFill>
              <w14:schemeClr w14:val="tx1"/>
            </w14:solidFill>
          </w14:textFill>
        </w:rPr>
        <w:t>生活污水依托站场已建的厕所收集后由密闭罐车定期拉运至周边生活污水处理厂处理</w:t>
      </w:r>
      <w:r>
        <w:rPr>
          <w:rFonts w:cs="Times New Roman"/>
          <w:color w:val="000000" w:themeColor="text1"/>
          <w:szCs w:val="24"/>
          <w14:textFill>
            <w14:solidFill>
              <w14:schemeClr w14:val="tx1"/>
            </w14:solidFill>
          </w14:textFill>
        </w:rPr>
        <w:t>；少量生产废水在施工现场设置沉淀池，施工废水经隔油沉淀处理后回用于洒水降尘，不外排。</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（4）噪声</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站场建设的噪声主要是推土机、电焊机、载重汽车等运行中产生的，工程量小、时间短，噪声源强小，夜间不施工，对环境影响小。采气站内管道建设工程量小、时间短，噪声源强小，夜间不施工，对环境影响小。</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（5）固废</w:t>
      </w:r>
    </w:p>
    <w:p>
      <w:pPr>
        <w:ind w:firstLine="480"/>
        <w:rPr>
          <w:rFonts w:cs="Times New Roman"/>
          <w:color w:val="000000" w:themeColor="text1"/>
          <w14:textFill>
            <w14:solidFill>
              <w14:schemeClr w14:val="tx1"/>
            </w14:solidFill>
          </w14:textFill>
        </w:rPr>
      </w:pPr>
      <w:r>
        <w:rPr>
          <w:rFonts w:cs="Times New Roman"/>
          <w:color w:val="000000" w:themeColor="text1"/>
          <w:szCs w:val="24"/>
          <w14:textFill>
            <w14:solidFill>
              <w14:schemeClr w14:val="tx1"/>
            </w14:solidFill>
          </w14:textFill>
        </w:rPr>
        <w:t>站场建设产生少量建筑垃圾，如包装袋，废弃建筑材料等，其量小，由施工队伍统一收集清运至政府指定地方。施工人员多为当地民工，租住在附近农户，无集中生活垃圾产生，其产生的生活垃圾利用附近农户现有的设施进行收集处置，无集中生活垃圾产生。项目站场内管道安装产生的固废主要为管道焊接、防腐作业中产生的废材料。</w:t>
      </w:r>
    </w:p>
    <w:p>
      <w:pPr>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4、施工期</w:t>
      </w:r>
      <w:r>
        <w:rPr>
          <w:rFonts w:cs="Times New Roman"/>
          <w:b/>
          <w:bCs/>
          <w:color w:val="000000" w:themeColor="text1"/>
          <w:szCs w:val="24"/>
          <w14:textFill>
            <w14:solidFill>
              <w14:schemeClr w14:val="tx1"/>
            </w14:solidFill>
          </w14:textFill>
        </w:rPr>
        <w:t>“</w:t>
      </w:r>
      <w:r>
        <w:rPr>
          <w:rFonts w:eastAsia="黑体" w:cs="Times New Roman"/>
          <w:color w:val="000000" w:themeColor="text1"/>
          <w:szCs w:val="24"/>
          <w14:textFill>
            <w14:solidFill>
              <w14:schemeClr w14:val="tx1"/>
            </w14:solidFill>
          </w14:textFill>
        </w:rPr>
        <w:t>三废</w:t>
      </w:r>
      <w:r>
        <w:rPr>
          <w:rFonts w:cs="Times New Roman"/>
          <w:b/>
          <w:bCs/>
          <w:color w:val="000000" w:themeColor="text1"/>
          <w:szCs w:val="24"/>
          <w14:textFill>
            <w14:solidFill>
              <w14:schemeClr w14:val="tx1"/>
            </w14:solidFill>
          </w14:textFill>
        </w:rPr>
        <w:t>”</w:t>
      </w:r>
      <w:r>
        <w:rPr>
          <w:rFonts w:eastAsia="黑体" w:cs="Times New Roman"/>
          <w:color w:val="000000" w:themeColor="text1"/>
          <w:szCs w:val="24"/>
          <w14:textFill>
            <w14:solidFill>
              <w14:schemeClr w14:val="tx1"/>
            </w14:solidFill>
          </w14:textFill>
        </w:rPr>
        <w:t>汇总表</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综上所示，本项目施工期污染物产生量及排放状况与生态影响见</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REF _Ref142593545 \h  \* MERGEFORMAT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表3.4</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11</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w:t>
      </w:r>
    </w:p>
    <w:p>
      <w:pPr>
        <w:pStyle w:val="95"/>
      </w:pPr>
      <w:bookmarkStart w:id="165" w:name="_Ref142593545"/>
      <w:r>
        <w:t>表</w:t>
      </w:r>
      <w:r>
        <w:fldChar w:fldCharType="begin"/>
      </w:r>
      <w:r>
        <w:instrText xml:space="preserve"> STYLEREF 2 \s </w:instrText>
      </w:r>
      <w:r>
        <w:fldChar w:fldCharType="separate"/>
      </w:r>
      <w:r>
        <w:t>3.4</w:t>
      </w:r>
      <w:r>
        <w:fldChar w:fldCharType="end"/>
      </w:r>
      <w:r>
        <w:noBreakHyphen/>
      </w:r>
      <w:r>
        <w:fldChar w:fldCharType="begin"/>
      </w:r>
      <w:r>
        <w:instrText xml:space="preserve"> SEQ 表 \* ARABIC \s 2 </w:instrText>
      </w:r>
      <w:r>
        <w:fldChar w:fldCharType="separate"/>
      </w:r>
      <w:r>
        <w:t>11</w:t>
      </w:r>
      <w:r>
        <w:fldChar w:fldCharType="end"/>
      </w:r>
      <w:bookmarkEnd w:id="165"/>
      <w:r>
        <w:t xml:space="preserve"> 本项目施工期正常工况下“三废”及生态影响汇总表</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703"/>
        <w:gridCol w:w="1557"/>
        <w:gridCol w:w="1437"/>
        <w:gridCol w:w="1108"/>
        <w:gridCol w:w="863"/>
        <w:gridCol w:w="255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2260" w:type="dxa"/>
            <w:gridSpan w:val="2"/>
            <w:vAlign w:val="center"/>
          </w:tcPr>
          <w:p>
            <w:pPr>
              <w:pStyle w:val="294"/>
            </w:pPr>
            <w:r>
              <w:t>污染源</w:t>
            </w:r>
          </w:p>
        </w:tc>
        <w:tc>
          <w:tcPr>
            <w:tcW w:w="1437" w:type="dxa"/>
            <w:vAlign w:val="center"/>
          </w:tcPr>
          <w:p>
            <w:pPr>
              <w:pStyle w:val="294"/>
            </w:pPr>
            <w:r>
              <w:t>主要污染物</w:t>
            </w:r>
          </w:p>
        </w:tc>
        <w:tc>
          <w:tcPr>
            <w:tcW w:w="1108" w:type="dxa"/>
            <w:vAlign w:val="center"/>
          </w:tcPr>
          <w:p>
            <w:pPr>
              <w:pStyle w:val="294"/>
            </w:pPr>
            <w:r>
              <w:t>产生量</w:t>
            </w:r>
          </w:p>
        </w:tc>
        <w:tc>
          <w:tcPr>
            <w:tcW w:w="863" w:type="dxa"/>
            <w:vAlign w:val="center"/>
          </w:tcPr>
          <w:p>
            <w:pPr>
              <w:pStyle w:val="294"/>
            </w:pPr>
            <w:r>
              <w:t>排放量</w:t>
            </w:r>
          </w:p>
        </w:tc>
        <w:tc>
          <w:tcPr>
            <w:tcW w:w="2554" w:type="dxa"/>
            <w:vAlign w:val="center"/>
          </w:tcPr>
          <w:p>
            <w:pPr>
              <w:pStyle w:val="294"/>
            </w:pPr>
            <w:r>
              <w:t>防治措施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restart"/>
            <w:tcMar>
              <w:left w:w="0" w:type="dxa"/>
              <w:right w:w="0" w:type="dxa"/>
            </w:tcMar>
            <w:vAlign w:val="center"/>
          </w:tcPr>
          <w:p>
            <w:pPr>
              <w:pStyle w:val="294"/>
            </w:pPr>
            <w:r>
              <w:t>废气</w:t>
            </w:r>
          </w:p>
        </w:tc>
        <w:tc>
          <w:tcPr>
            <w:tcW w:w="1557" w:type="dxa"/>
            <w:vAlign w:val="center"/>
          </w:tcPr>
          <w:p>
            <w:pPr>
              <w:pStyle w:val="294"/>
            </w:pPr>
            <w:r>
              <w:t>施工扬尘</w:t>
            </w:r>
          </w:p>
        </w:tc>
        <w:tc>
          <w:tcPr>
            <w:tcW w:w="1437" w:type="dxa"/>
            <w:vAlign w:val="center"/>
          </w:tcPr>
          <w:p>
            <w:pPr>
              <w:pStyle w:val="294"/>
            </w:pPr>
            <w:r>
              <w:t>TSP</w:t>
            </w:r>
          </w:p>
        </w:tc>
        <w:tc>
          <w:tcPr>
            <w:tcW w:w="1108" w:type="dxa"/>
            <w:vAlign w:val="center"/>
          </w:tcPr>
          <w:p>
            <w:pPr>
              <w:pStyle w:val="294"/>
            </w:pPr>
            <w:r>
              <w:t>少量</w:t>
            </w:r>
          </w:p>
        </w:tc>
        <w:tc>
          <w:tcPr>
            <w:tcW w:w="863" w:type="dxa"/>
            <w:vAlign w:val="center"/>
          </w:tcPr>
          <w:p>
            <w:pPr>
              <w:pStyle w:val="294"/>
            </w:pPr>
            <w:r>
              <w:t>少量</w:t>
            </w:r>
          </w:p>
        </w:tc>
        <w:tc>
          <w:tcPr>
            <w:tcW w:w="2554" w:type="dxa"/>
            <w:vAlign w:val="center"/>
          </w:tcPr>
          <w:p>
            <w:pPr>
              <w:pStyle w:val="294"/>
            </w:pPr>
            <w:r>
              <w:t>短期排放，定期洒水抑尘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施工机械和运输车辆尾气、压裂作业废气</w:t>
            </w:r>
          </w:p>
        </w:tc>
        <w:tc>
          <w:tcPr>
            <w:tcW w:w="1437" w:type="dxa"/>
            <w:vAlign w:val="center"/>
          </w:tcPr>
          <w:p>
            <w:pPr>
              <w:pStyle w:val="294"/>
            </w:pPr>
            <w:r>
              <w:t>CO、NOx等</w:t>
            </w:r>
          </w:p>
        </w:tc>
        <w:tc>
          <w:tcPr>
            <w:tcW w:w="1108" w:type="dxa"/>
            <w:vAlign w:val="center"/>
          </w:tcPr>
          <w:p>
            <w:pPr>
              <w:pStyle w:val="294"/>
            </w:pPr>
            <w:r>
              <w:t>少量</w:t>
            </w:r>
          </w:p>
        </w:tc>
        <w:tc>
          <w:tcPr>
            <w:tcW w:w="863" w:type="dxa"/>
            <w:vAlign w:val="center"/>
          </w:tcPr>
          <w:p>
            <w:pPr>
              <w:pStyle w:val="294"/>
            </w:pPr>
            <w:r>
              <w:t>少量</w:t>
            </w:r>
          </w:p>
        </w:tc>
        <w:tc>
          <w:tcPr>
            <w:tcW w:w="2554" w:type="dxa"/>
            <w:vAlign w:val="center"/>
          </w:tcPr>
          <w:p>
            <w:pPr>
              <w:pStyle w:val="294"/>
            </w:pPr>
            <w:r>
              <w:t>选用尾气排放达标机械车辆，加强保养维护</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Merge w:val="restart"/>
            <w:vAlign w:val="center"/>
          </w:tcPr>
          <w:p>
            <w:pPr>
              <w:pStyle w:val="294"/>
            </w:pPr>
            <w:r>
              <w:t>备用柴油发电机尾气</w:t>
            </w:r>
          </w:p>
        </w:tc>
        <w:tc>
          <w:tcPr>
            <w:tcW w:w="1437" w:type="dxa"/>
            <w:vAlign w:val="center"/>
          </w:tcPr>
          <w:p>
            <w:pPr>
              <w:pStyle w:val="294"/>
            </w:pPr>
            <w:r>
              <w:t>NOx</w:t>
            </w:r>
          </w:p>
        </w:tc>
        <w:tc>
          <w:tcPr>
            <w:tcW w:w="1971" w:type="dxa"/>
            <w:gridSpan w:val="2"/>
            <w:vAlign w:val="center"/>
          </w:tcPr>
          <w:p>
            <w:pPr>
              <w:pStyle w:val="294"/>
            </w:pPr>
            <w:r>
              <w:t>1.72kg/h</w:t>
            </w:r>
          </w:p>
        </w:tc>
        <w:tc>
          <w:tcPr>
            <w:tcW w:w="2554" w:type="dxa"/>
            <w:vMerge w:val="restart"/>
            <w:vAlign w:val="center"/>
          </w:tcPr>
          <w:p>
            <w:pPr>
              <w:pStyle w:val="294"/>
            </w:pPr>
            <w:r>
              <w:t>自带消烟除尘装置处理后6m高排气筒排放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Merge w:val="continue"/>
            <w:vAlign w:val="center"/>
          </w:tcPr>
          <w:p>
            <w:pPr>
              <w:pStyle w:val="294"/>
            </w:pPr>
          </w:p>
        </w:tc>
        <w:tc>
          <w:tcPr>
            <w:tcW w:w="1437" w:type="dxa"/>
            <w:vAlign w:val="center"/>
          </w:tcPr>
          <w:p>
            <w:pPr>
              <w:pStyle w:val="294"/>
            </w:pPr>
            <w:r>
              <w:t>SO</w:t>
            </w:r>
            <w:r>
              <w:rPr>
                <w:vertAlign w:val="subscript"/>
              </w:rPr>
              <w:t>2</w:t>
            </w:r>
          </w:p>
        </w:tc>
        <w:tc>
          <w:tcPr>
            <w:tcW w:w="1971" w:type="dxa"/>
            <w:gridSpan w:val="2"/>
            <w:vAlign w:val="center"/>
          </w:tcPr>
          <w:p>
            <w:pPr>
              <w:pStyle w:val="294"/>
            </w:pPr>
            <w:r>
              <w:t>0.011kg/h</w:t>
            </w:r>
          </w:p>
        </w:tc>
        <w:tc>
          <w:tcPr>
            <w:tcW w:w="2554"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Merge w:val="continue"/>
            <w:vAlign w:val="center"/>
          </w:tcPr>
          <w:p>
            <w:pPr>
              <w:pStyle w:val="294"/>
            </w:pPr>
          </w:p>
        </w:tc>
        <w:tc>
          <w:tcPr>
            <w:tcW w:w="1437" w:type="dxa"/>
            <w:vAlign w:val="center"/>
          </w:tcPr>
          <w:p>
            <w:pPr>
              <w:pStyle w:val="294"/>
            </w:pPr>
            <w:r>
              <w:t>颗粒物</w:t>
            </w:r>
          </w:p>
        </w:tc>
        <w:tc>
          <w:tcPr>
            <w:tcW w:w="1971" w:type="dxa"/>
            <w:gridSpan w:val="2"/>
            <w:vAlign w:val="center"/>
          </w:tcPr>
          <w:p>
            <w:pPr>
              <w:pStyle w:val="294"/>
            </w:pPr>
            <w:r>
              <w:t>0.48kg/h</w:t>
            </w:r>
          </w:p>
        </w:tc>
        <w:tc>
          <w:tcPr>
            <w:tcW w:w="2554"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气体钻</w:t>
            </w:r>
          </w:p>
        </w:tc>
        <w:tc>
          <w:tcPr>
            <w:tcW w:w="1437" w:type="dxa"/>
            <w:vAlign w:val="center"/>
          </w:tcPr>
          <w:p>
            <w:pPr>
              <w:pStyle w:val="294"/>
            </w:pPr>
            <w:r>
              <w:t>粉尘</w:t>
            </w:r>
          </w:p>
        </w:tc>
        <w:tc>
          <w:tcPr>
            <w:tcW w:w="1108" w:type="dxa"/>
            <w:vAlign w:val="center"/>
          </w:tcPr>
          <w:p>
            <w:pPr>
              <w:pStyle w:val="294"/>
            </w:pPr>
            <w:r>
              <w:t>少量</w:t>
            </w:r>
          </w:p>
        </w:tc>
        <w:tc>
          <w:tcPr>
            <w:tcW w:w="863" w:type="dxa"/>
            <w:vAlign w:val="center"/>
          </w:tcPr>
          <w:p>
            <w:pPr>
              <w:pStyle w:val="294"/>
            </w:pPr>
            <w:r>
              <w:t>少量</w:t>
            </w:r>
          </w:p>
        </w:tc>
        <w:tc>
          <w:tcPr>
            <w:tcW w:w="2554" w:type="dxa"/>
            <w:vAlign w:val="center"/>
          </w:tcPr>
          <w:p>
            <w:pPr>
              <w:pStyle w:val="294"/>
            </w:pPr>
            <w:r>
              <w:t>短期排放，定期洒水抑尘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无组织挥发性废气</w:t>
            </w:r>
          </w:p>
        </w:tc>
        <w:tc>
          <w:tcPr>
            <w:tcW w:w="1437" w:type="dxa"/>
            <w:vAlign w:val="center"/>
          </w:tcPr>
          <w:p>
            <w:pPr>
              <w:pStyle w:val="294"/>
            </w:pPr>
            <w:r>
              <w:t>无组织挥发性有机物</w:t>
            </w:r>
          </w:p>
        </w:tc>
        <w:tc>
          <w:tcPr>
            <w:tcW w:w="4525" w:type="dxa"/>
            <w:gridSpan w:val="3"/>
            <w:vAlign w:val="center"/>
          </w:tcPr>
          <w:p>
            <w:pPr>
              <w:pStyle w:val="294"/>
            </w:pPr>
            <w:r>
              <w:t>少量，短期排放，自然扩散</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事故放喷废气</w:t>
            </w:r>
          </w:p>
        </w:tc>
        <w:tc>
          <w:tcPr>
            <w:tcW w:w="1437" w:type="dxa"/>
            <w:vAlign w:val="center"/>
          </w:tcPr>
          <w:p>
            <w:pPr>
              <w:pStyle w:val="294"/>
            </w:pPr>
            <w:r>
              <w:t>NOx、CO</w:t>
            </w:r>
            <w:r>
              <w:rPr>
                <w:vertAlign w:val="subscript"/>
              </w:rPr>
              <w:t>2</w:t>
            </w:r>
            <w:r>
              <w:t>、颗粒物、SO</w:t>
            </w:r>
            <w:r>
              <w:rPr>
                <w:vertAlign w:val="subscript"/>
              </w:rPr>
              <w:t>2</w:t>
            </w:r>
          </w:p>
        </w:tc>
        <w:tc>
          <w:tcPr>
            <w:tcW w:w="4525" w:type="dxa"/>
            <w:gridSpan w:val="3"/>
            <w:vAlign w:val="center"/>
          </w:tcPr>
          <w:p>
            <w:pPr>
              <w:pStyle w:val="294"/>
            </w:pPr>
            <w:r>
              <w:t>少量，短期排放，点火燃烧处理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测试放喷废气</w:t>
            </w:r>
          </w:p>
        </w:tc>
        <w:tc>
          <w:tcPr>
            <w:tcW w:w="1437" w:type="dxa"/>
            <w:vAlign w:val="center"/>
          </w:tcPr>
          <w:p>
            <w:pPr>
              <w:pStyle w:val="294"/>
            </w:pPr>
            <w:r>
              <w:t>NOx、CO</w:t>
            </w:r>
            <w:r>
              <w:rPr>
                <w:vertAlign w:val="subscript"/>
              </w:rPr>
              <w:t>2</w:t>
            </w:r>
            <w:r>
              <w:t>、颗粒物、SO</w:t>
            </w:r>
            <w:r>
              <w:rPr>
                <w:vertAlign w:val="subscript"/>
              </w:rPr>
              <w:t>2</w:t>
            </w:r>
          </w:p>
        </w:tc>
        <w:tc>
          <w:tcPr>
            <w:tcW w:w="4525" w:type="dxa"/>
            <w:gridSpan w:val="3"/>
            <w:vAlign w:val="center"/>
          </w:tcPr>
          <w:p>
            <w:pPr>
              <w:pStyle w:val="294"/>
            </w:pPr>
            <w:r>
              <w:t>少量，短期排放，点火燃烧处理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trHeight w:val="424" w:hRule="atLeast"/>
          <w:jc w:val="center"/>
        </w:trPr>
        <w:tc>
          <w:tcPr>
            <w:tcW w:w="703" w:type="dxa"/>
            <w:vMerge w:val="restart"/>
            <w:tcMar>
              <w:left w:w="0" w:type="dxa"/>
              <w:right w:w="0" w:type="dxa"/>
            </w:tcMar>
            <w:vAlign w:val="center"/>
          </w:tcPr>
          <w:p>
            <w:pPr>
              <w:pStyle w:val="294"/>
            </w:pPr>
            <w:r>
              <w:t>废水</w:t>
            </w:r>
          </w:p>
        </w:tc>
        <w:tc>
          <w:tcPr>
            <w:tcW w:w="1557" w:type="dxa"/>
            <w:vAlign w:val="center"/>
          </w:tcPr>
          <w:p>
            <w:pPr>
              <w:pStyle w:val="294"/>
            </w:pPr>
            <w:r>
              <w:t>钻井废水</w:t>
            </w:r>
          </w:p>
        </w:tc>
        <w:tc>
          <w:tcPr>
            <w:tcW w:w="1437" w:type="dxa"/>
            <w:vMerge w:val="restart"/>
            <w:vAlign w:val="center"/>
          </w:tcPr>
          <w:p>
            <w:pPr>
              <w:pStyle w:val="294"/>
            </w:pPr>
            <w:r>
              <w:t>石油类、悬浮物、COD及氯化物等</w:t>
            </w:r>
          </w:p>
        </w:tc>
        <w:tc>
          <w:tcPr>
            <w:tcW w:w="1108" w:type="dxa"/>
            <w:vAlign w:val="center"/>
          </w:tcPr>
          <w:p>
            <w:pPr>
              <w:pStyle w:val="294"/>
            </w:pPr>
            <w:r>
              <w:t>1141.53m</w:t>
            </w:r>
            <w:r>
              <w:rPr>
                <w:vertAlign w:val="superscript"/>
              </w:rPr>
              <w:t>3</w:t>
            </w:r>
          </w:p>
        </w:tc>
        <w:tc>
          <w:tcPr>
            <w:tcW w:w="863" w:type="dxa"/>
            <w:vAlign w:val="center"/>
          </w:tcPr>
          <w:p>
            <w:pPr>
              <w:pStyle w:val="294"/>
            </w:pPr>
            <w:r>
              <w:t>/</w:t>
            </w:r>
          </w:p>
        </w:tc>
        <w:tc>
          <w:tcPr>
            <w:tcW w:w="2554" w:type="dxa"/>
            <w:vMerge w:val="restart"/>
            <w:vAlign w:val="center"/>
          </w:tcPr>
          <w:p>
            <w:pPr>
              <w:pStyle w:val="294"/>
            </w:pPr>
            <w:r>
              <w:t>由罐车拉运至赵家坝污水处理站达标后管输至普光11井回注站回注，不外排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洗井废水</w:t>
            </w:r>
          </w:p>
        </w:tc>
        <w:tc>
          <w:tcPr>
            <w:tcW w:w="1437" w:type="dxa"/>
            <w:vMerge w:val="continue"/>
            <w:vAlign w:val="center"/>
          </w:tcPr>
          <w:p>
            <w:pPr>
              <w:pStyle w:val="294"/>
            </w:pPr>
          </w:p>
        </w:tc>
        <w:tc>
          <w:tcPr>
            <w:tcW w:w="1108" w:type="dxa"/>
            <w:vAlign w:val="center"/>
          </w:tcPr>
          <w:p>
            <w:pPr>
              <w:pStyle w:val="294"/>
            </w:pPr>
            <w:r>
              <w:t>100m</w:t>
            </w:r>
            <w:r>
              <w:rPr>
                <w:vertAlign w:val="superscript"/>
              </w:rPr>
              <w:t>3</w:t>
            </w:r>
          </w:p>
        </w:tc>
        <w:tc>
          <w:tcPr>
            <w:tcW w:w="863" w:type="dxa"/>
            <w:vAlign w:val="center"/>
          </w:tcPr>
          <w:p>
            <w:pPr>
              <w:pStyle w:val="294"/>
            </w:pPr>
            <w:r>
              <w:t>/</w:t>
            </w:r>
          </w:p>
        </w:tc>
        <w:tc>
          <w:tcPr>
            <w:tcW w:w="2554"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压裂返排液</w:t>
            </w:r>
          </w:p>
        </w:tc>
        <w:tc>
          <w:tcPr>
            <w:tcW w:w="1437" w:type="dxa"/>
            <w:vAlign w:val="center"/>
          </w:tcPr>
          <w:p>
            <w:pPr>
              <w:pStyle w:val="294"/>
            </w:pPr>
            <w:r>
              <w:t>石油类、悬浮物、COD等</w:t>
            </w:r>
          </w:p>
        </w:tc>
        <w:tc>
          <w:tcPr>
            <w:tcW w:w="1108" w:type="dxa"/>
            <w:vAlign w:val="center"/>
          </w:tcPr>
          <w:p>
            <w:pPr>
              <w:pStyle w:val="294"/>
            </w:pPr>
            <w:r>
              <w:t>96m</w:t>
            </w:r>
            <w:r>
              <w:rPr>
                <w:vertAlign w:val="superscript"/>
              </w:rPr>
              <w:t>3</w:t>
            </w:r>
          </w:p>
        </w:tc>
        <w:tc>
          <w:tcPr>
            <w:tcW w:w="863" w:type="dxa"/>
            <w:vAlign w:val="center"/>
          </w:tcPr>
          <w:p>
            <w:pPr>
              <w:pStyle w:val="294"/>
            </w:pPr>
            <w:r>
              <w:t>/</w:t>
            </w:r>
          </w:p>
        </w:tc>
        <w:tc>
          <w:tcPr>
            <w:tcW w:w="2554"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初期雨水</w:t>
            </w:r>
          </w:p>
        </w:tc>
        <w:tc>
          <w:tcPr>
            <w:tcW w:w="1437" w:type="dxa"/>
            <w:vAlign w:val="center"/>
          </w:tcPr>
          <w:p>
            <w:pPr>
              <w:pStyle w:val="294"/>
            </w:pPr>
            <w:r>
              <w:t>石油类、悬浮物、COD等</w:t>
            </w:r>
          </w:p>
        </w:tc>
        <w:tc>
          <w:tcPr>
            <w:tcW w:w="1108" w:type="dxa"/>
            <w:vAlign w:val="center"/>
          </w:tcPr>
          <w:p>
            <w:pPr>
              <w:pStyle w:val="294"/>
            </w:pPr>
            <w:r>
              <w:t>195.5m</w:t>
            </w:r>
            <w:r>
              <w:rPr>
                <w:vertAlign w:val="superscript"/>
              </w:rPr>
              <w:t>3</w:t>
            </w:r>
            <w:r>
              <w:t>/次</w:t>
            </w:r>
          </w:p>
        </w:tc>
        <w:tc>
          <w:tcPr>
            <w:tcW w:w="863" w:type="dxa"/>
            <w:vAlign w:val="center"/>
          </w:tcPr>
          <w:p>
            <w:pPr>
              <w:pStyle w:val="294"/>
            </w:pPr>
            <w:r>
              <w:t>/</w:t>
            </w:r>
          </w:p>
        </w:tc>
        <w:tc>
          <w:tcPr>
            <w:tcW w:w="2554"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钻井生活污水</w:t>
            </w:r>
          </w:p>
        </w:tc>
        <w:tc>
          <w:tcPr>
            <w:tcW w:w="1437" w:type="dxa"/>
            <w:vMerge w:val="restart"/>
            <w:vAlign w:val="center"/>
          </w:tcPr>
          <w:p>
            <w:pPr>
              <w:pStyle w:val="294"/>
            </w:pPr>
            <w:r>
              <w:t>COD</w:t>
            </w:r>
            <w:r>
              <w:rPr>
                <w:vertAlign w:val="subscript"/>
              </w:rPr>
              <w:t>Cr</w:t>
            </w:r>
            <w:r>
              <w:t>、BOD</w:t>
            </w:r>
            <w:r>
              <w:rPr>
                <w:vertAlign w:val="subscript"/>
              </w:rPr>
              <w:t>5</w:t>
            </w:r>
            <w:r>
              <w:t>、SS等</w:t>
            </w:r>
          </w:p>
        </w:tc>
        <w:tc>
          <w:tcPr>
            <w:tcW w:w="1108" w:type="dxa"/>
            <w:vAlign w:val="center"/>
          </w:tcPr>
          <w:p>
            <w:pPr>
              <w:pStyle w:val="294"/>
            </w:pPr>
            <w:r>
              <w:t>2.88m</w:t>
            </w:r>
            <w:r>
              <w:rPr>
                <w:vertAlign w:val="superscript"/>
              </w:rPr>
              <w:t>3</w:t>
            </w:r>
            <w:r>
              <w:t>/d</w:t>
            </w:r>
          </w:p>
        </w:tc>
        <w:tc>
          <w:tcPr>
            <w:tcW w:w="863" w:type="dxa"/>
            <w:vAlign w:val="center"/>
          </w:tcPr>
          <w:p>
            <w:pPr>
              <w:pStyle w:val="294"/>
            </w:pPr>
            <w:r>
              <w:t>/</w:t>
            </w:r>
          </w:p>
        </w:tc>
        <w:tc>
          <w:tcPr>
            <w:tcW w:w="2554" w:type="dxa"/>
            <w:vAlign w:val="center"/>
          </w:tcPr>
          <w:p>
            <w:pPr>
              <w:pStyle w:val="294"/>
            </w:pPr>
            <w:r>
              <w:t>生活污水依托站场已建的厕所收集后由密闭罐车定期拉运至周边生活污水处理厂处理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钻前生活污水</w:t>
            </w:r>
          </w:p>
        </w:tc>
        <w:tc>
          <w:tcPr>
            <w:tcW w:w="1437" w:type="dxa"/>
            <w:vMerge w:val="continue"/>
            <w:vAlign w:val="center"/>
          </w:tcPr>
          <w:p>
            <w:pPr>
              <w:pStyle w:val="294"/>
            </w:pPr>
          </w:p>
        </w:tc>
        <w:tc>
          <w:tcPr>
            <w:tcW w:w="1108" w:type="dxa"/>
            <w:vAlign w:val="center"/>
          </w:tcPr>
          <w:p>
            <w:pPr>
              <w:pStyle w:val="294"/>
            </w:pPr>
            <w:r>
              <w:t>少量</w:t>
            </w:r>
          </w:p>
        </w:tc>
        <w:tc>
          <w:tcPr>
            <w:tcW w:w="863" w:type="dxa"/>
            <w:vAlign w:val="center"/>
          </w:tcPr>
          <w:p>
            <w:pPr>
              <w:pStyle w:val="294"/>
            </w:pPr>
            <w:r>
              <w:t>少量</w:t>
            </w:r>
          </w:p>
        </w:tc>
        <w:tc>
          <w:tcPr>
            <w:tcW w:w="2554" w:type="dxa"/>
            <w:vAlign w:val="center"/>
          </w:tcPr>
          <w:p>
            <w:pPr>
              <w:pStyle w:val="294"/>
            </w:pPr>
            <w:r>
              <w:t>利用农户已有的设施进行收集处置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钻前施工废水</w:t>
            </w:r>
          </w:p>
        </w:tc>
        <w:tc>
          <w:tcPr>
            <w:tcW w:w="1437" w:type="dxa"/>
            <w:vAlign w:val="center"/>
          </w:tcPr>
          <w:p>
            <w:pPr>
              <w:pStyle w:val="294"/>
            </w:pPr>
            <w:r>
              <w:t>SS和石油类</w:t>
            </w:r>
          </w:p>
        </w:tc>
        <w:tc>
          <w:tcPr>
            <w:tcW w:w="1108" w:type="dxa"/>
            <w:vAlign w:val="center"/>
          </w:tcPr>
          <w:p>
            <w:pPr>
              <w:pStyle w:val="294"/>
            </w:pPr>
            <w:r>
              <w:t>少量</w:t>
            </w:r>
          </w:p>
        </w:tc>
        <w:tc>
          <w:tcPr>
            <w:tcW w:w="863" w:type="dxa"/>
            <w:vAlign w:val="center"/>
          </w:tcPr>
          <w:p>
            <w:pPr>
              <w:pStyle w:val="294"/>
            </w:pPr>
            <w:r>
              <w:t>/</w:t>
            </w:r>
          </w:p>
        </w:tc>
        <w:tc>
          <w:tcPr>
            <w:tcW w:w="2554" w:type="dxa"/>
            <w:vAlign w:val="center"/>
          </w:tcPr>
          <w:p>
            <w:pPr>
              <w:pStyle w:val="294"/>
            </w:pPr>
            <w:r>
              <w:t>经隔油池沉淀处理后回用于洒水降尘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restart"/>
            <w:tcMar>
              <w:left w:w="0" w:type="dxa"/>
              <w:right w:w="0" w:type="dxa"/>
            </w:tcMar>
            <w:vAlign w:val="center"/>
          </w:tcPr>
          <w:p>
            <w:pPr>
              <w:pStyle w:val="294"/>
            </w:pPr>
            <w:r>
              <w:t>噪声</w:t>
            </w:r>
          </w:p>
        </w:tc>
        <w:tc>
          <w:tcPr>
            <w:tcW w:w="1557" w:type="dxa"/>
            <w:vAlign w:val="center"/>
          </w:tcPr>
          <w:p>
            <w:pPr>
              <w:pStyle w:val="294"/>
            </w:pPr>
            <w:r>
              <w:t>钻井设备噪声</w:t>
            </w:r>
          </w:p>
        </w:tc>
        <w:tc>
          <w:tcPr>
            <w:tcW w:w="3408" w:type="dxa"/>
            <w:gridSpan w:val="3"/>
            <w:vAlign w:val="center"/>
          </w:tcPr>
          <w:p>
            <w:pPr>
              <w:pStyle w:val="294"/>
            </w:pPr>
            <w:r>
              <w:t>75~103dB（A）</w:t>
            </w:r>
          </w:p>
        </w:tc>
        <w:tc>
          <w:tcPr>
            <w:tcW w:w="2554" w:type="dxa"/>
            <w:vAlign w:val="center"/>
          </w:tcPr>
          <w:p>
            <w:pPr>
              <w:pStyle w:val="294"/>
            </w:pPr>
            <w:r>
              <w:t>选用低噪声设备、加强维护保养，置于钻井井场内，基础安装减振垫层，柴油发电机设置于室内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事故放喷噪声</w:t>
            </w:r>
          </w:p>
        </w:tc>
        <w:tc>
          <w:tcPr>
            <w:tcW w:w="3408" w:type="dxa"/>
            <w:gridSpan w:val="3"/>
            <w:vAlign w:val="center"/>
          </w:tcPr>
          <w:p>
            <w:pPr>
              <w:pStyle w:val="294"/>
            </w:pPr>
            <w:r>
              <w:t>110dB（A）</w:t>
            </w:r>
          </w:p>
        </w:tc>
        <w:tc>
          <w:tcPr>
            <w:tcW w:w="2554" w:type="dxa"/>
            <w:vAlign w:val="center"/>
          </w:tcPr>
          <w:p>
            <w:pPr>
              <w:pStyle w:val="294"/>
            </w:pPr>
            <w:r>
              <w:t>仅事故情况下产生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钻前、试采站、集输管道施工噪声</w:t>
            </w:r>
          </w:p>
        </w:tc>
        <w:tc>
          <w:tcPr>
            <w:tcW w:w="3408" w:type="dxa"/>
            <w:gridSpan w:val="3"/>
            <w:vAlign w:val="center"/>
          </w:tcPr>
          <w:p>
            <w:pPr>
              <w:pStyle w:val="294"/>
            </w:pPr>
            <w:r>
              <w:t>82~101dB（A）</w:t>
            </w:r>
          </w:p>
        </w:tc>
        <w:tc>
          <w:tcPr>
            <w:tcW w:w="2554" w:type="dxa"/>
            <w:vAlign w:val="center"/>
          </w:tcPr>
          <w:p>
            <w:pPr>
              <w:pStyle w:val="294"/>
            </w:pPr>
            <w:r>
              <w:t>选用低噪声设备、加强维护保养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restart"/>
            <w:tcMar>
              <w:left w:w="0" w:type="dxa"/>
              <w:right w:w="0" w:type="dxa"/>
            </w:tcMar>
            <w:vAlign w:val="center"/>
          </w:tcPr>
          <w:p>
            <w:pPr>
              <w:pStyle w:val="294"/>
            </w:pPr>
            <w:r>
              <w:t>固废</w:t>
            </w:r>
          </w:p>
        </w:tc>
        <w:tc>
          <w:tcPr>
            <w:tcW w:w="1557" w:type="dxa"/>
            <w:vAlign w:val="center"/>
          </w:tcPr>
          <w:p>
            <w:pPr>
              <w:pStyle w:val="294"/>
            </w:pPr>
            <w:r>
              <w:t>空气钻岩屑</w:t>
            </w:r>
          </w:p>
        </w:tc>
        <w:tc>
          <w:tcPr>
            <w:tcW w:w="1437" w:type="dxa"/>
            <w:vAlign w:val="center"/>
          </w:tcPr>
          <w:p>
            <w:pPr>
              <w:pStyle w:val="294"/>
            </w:pPr>
            <w:r>
              <w:t>岩屑</w:t>
            </w:r>
          </w:p>
        </w:tc>
        <w:tc>
          <w:tcPr>
            <w:tcW w:w="1108" w:type="dxa"/>
            <w:vAlign w:val="center"/>
          </w:tcPr>
          <w:p>
            <w:pPr>
              <w:pStyle w:val="294"/>
            </w:pPr>
            <w:r>
              <w:t>100m</w:t>
            </w:r>
            <w:r>
              <w:rPr>
                <w:vertAlign w:val="superscript"/>
              </w:rPr>
              <w:t>3</w:t>
            </w:r>
          </w:p>
        </w:tc>
        <w:tc>
          <w:tcPr>
            <w:tcW w:w="863" w:type="dxa"/>
            <w:vAlign w:val="center"/>
          </w:tcPr>
          <w:p>
            <w:pPr>
              <w:pStyle w:val="294"/>
            </w:pPr>
            <w:r>
              <w:t>0</w:t>
            </w:r>
          </w:p>
        </w:tc>
        <w:tc>
          <w:tcPr>
            <w:tcW w:w="2554" w:type="dxa"/>
            <w:vAlign w:val="center"/>
          </w:tcPr>
          <w:p>
            <w:pPr>
              <w:pStyle w:val="294"/>
            </w:pPr>
            <w:r>
              <w:t>井场低洼区域回填</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水基钻井固废</w:t>
            </w:r>
          </w:p>
        </w:tc>
        <w:tc>
          <w:tcPr>
            <w:tcW w:w="1437" w:type="dxa"/>
            <w:vAlign w:val="center"/>
          </w:tcPr>
          <w:p>
            <w:pPr>
              <w:pStyle w:val="294"/>
            </w:pPr>
            <w:r>
              <w:t>废水基泥浆、岩屑</w:t>
            </w:r>
          </w:p>
        </w:tc>
        <w:tc>
          <w:tcPr>
            <w:tcW w:w="1108" w:type="dxa"/>
            <w:vAlign w:val="center"/>
          </w:tcPr>
          <w:p>
            <w:pPr>
              <w:pStyle w:val="294"/>
            </w:pPr>
            <w:r>
              <w:t>3609t</w:t>
            </w:r>
          </w:p>
        </w:tc>
        <w:tc>
          <w:tcPr>
            <w:tcW w:w="863" w:type="dxa"/>
            <w:vAlign w:val="center"/>
          </w:tcPr>
          <w:p>
            <w:pPr>
              <w:pStyle w:val="294"/>
            </w:pPr>
            <w:r>
              <w:t>0</w:t>
            </w:r>
          </w:p>
        </w:tc>
        <w:tc>
          <w:tcPr>
            <w:tcW w:w="2554" w:type="dxa"/>
            <w:vAlign w:val="center"/>
          </w:tcPr>
          <w:p>
            <w:pPr>
              <w:pStyle w:val="294"/>
            </w:pPr>
            <w:r>
              <w:t>经泥浆不落地工艺进行固液分离后暂存于固废临时堆放区，定期用密闭罐车及时转运至达州地区环保手续齐全、环保设施稳定运行固废烧结厂进行烧结后综合利用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油基钻井固废</w:t>
            </w:r>
          </w:p>
        </w:tc>
        <w:tc>
          <w:tcPr>
            <w:tcW w:w="1437" w:type="dxa"/>
            <w:vAlign w:val="center"/>
          </w:tcPr>
          <w:p>
            <w:pPr>
              <w:pStyle w:val="294"/>
            </w:pPr>
            <w:r>
              <w:t>废油基泥浆、油基岩屑</w:t>
            </w:r>
          </w:p>
        </w:tc>
        <w:tc>
          <w:tcPr>
            <w:tcW w:w="1108" w:type="dxa"/>
            <w:vAlign w:val="center"/>
          </w:tcPr>
          <w:p>
            <w:pPr>
              <w:pStyle w:val="294"/>
            </w:pPr>
            <w:r>
              <w:t>330.8m</w:t>
            </w:r>
            <w:r>
              <w:rPr>
                <w:vertAlign w:val="superscript"/>
              </w:rPr>
              <w:t>3</w:t>
            </w:r>
          </w:p>
        </w:tc>
        <w:tc>
          <w:tcPr>
            <w:tcW w:w="863" w:type="dxa"/>
            <w:vAlign w:val="center"/>
          </w:tcPr>
          <w:p>
            <w:pPr>
              <w:pStyle w:val="294"/>
            </w:pPr>
            <w:r>
              <w:t>0</w:t>
            </w:r>
          </w:p>
        </w:tc>
        <w:tc>
          <w:tcPr>
            <w:tcW w:w="2554" w:type="dxa"/>
            <w:vAlign w:val="center"/>
          </w:tcPr>
          <w:p>
            <w:pPr>
              <w:pStyle w:val="294"/>
            </w:pPr>
            <w:r>
              <w:t>如遇特殊地层，油基钻井废泥浆、岩屑暂存于新建的60m</w:t>
            </w:r>
            <w:r>
              <w:rPr>
                <w:vertAlign w:val="superscript"/>
              </w:rPr>
              <w:t>2</w:t>
            </w:r>
            <w:r>
              <w:t>危险废物暂存场所（采取必要的防风、防晒、防雨、防漏、防渗、防腐以及其他环境污染防治措施，不得露天堆放危险废物），泥浆和油基钻井岩屑及时后交由有资质的单位处置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废油</w:t>
            </w:r>
          </w:p>
        </w:tc>
        <w:tc>
          <w:tcPr>
            <w:tcW w:w="1437" w:type="dxa"/>
            <w:vAlign w:val="center"/>
          </w:tcPr>
          <w:p>
            <w:pPr>
              <w:pStyle w:val="294"/>
            </w:pPr>
            <w:r>
              <w:t>润滑油等</w:t>
            </w:r>
          </w:p>
        </w:tc>
        <w:tc>
          <w:tcPr>
            <w:tcW w:w="1108" w:type="dxa"/>
            <w:vAlign w:val="center"/>
          </w:tcPr>
          <w:p>
            <w:pPr>
              <w:pStyle w:val="294"/>
            </w:pPr>
            <w:r>
              <w:t>0.7m</w:t>
            </w:r>
            <w:r>
              <w:rPr>
                <w:vertAlign w:val="superscript"/>
              </w:rPr>
              <w:t>3</w:t>
            </w:r>
          </w:p>
        </w:tc>
        <w:tc>
          <w:tcPr>
            <w:tcW w:w="863" w:type="dxa"/>
            <w:vAlign w:val="center"/>
          </w:tcPr>
          <w:p>
            <w:pPr>
              <w:pStyle w:val="294"/>
            </w:pPr>
            <w:r>
              <w:t>0</w:t>
            </w:r>
          </w:p>
        </w:tc>
        <w:tc>
          <w:tcPr>
            <w:tcW w:w="2554" w:type="dxa"/>
            <w:vAlign w:val="center"/>
          </w:tcPr>
          <w:p>
            <w:pPr>
              <w:pStyle w:val="294"/>
            </w:pPr>
            <w:r>
              <w:t>设置废油桶集中收集暂存于泥浆不落地装置区临时堆放区内，钻井队综合利用或交由有资质的单位处理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废包装材料</w:t>
            </w:r>
          </w:p>
        </w:tc>
        <w:tc>
          <w:tcPr>
            <w:tcW w:w="1437" w:type="dxa"/>
            <w:vAlign w:val="center"/>
          </w:tcPr>
          <w:p>
            <w:pPr>
              <w:pStyle w:val="294"/>
            </w:pPr>
            <w:r>
              <w:t>包装袋等</w:t>
            </w:r>
          </w:p>
        </w:tc>
        <w:tc>
          <w:tcPr>
            <w:tcW w:w="1108" w:type="dxa"/>
            <w:vAlign w:val="center"/>
          </w:tcPr>
          <w:p>
            <w:pPr>
              <w:pStyle w:val="294"/>
            </w:pPr>
            <w:r>
              <w:t>2.0t</w:t>
            </w:r>
          </w:p>
        </w:tc>
        <w:tc>
          <w:tcPr>
            <w:tcW w:w="863" w:type="dxa"/>
            <w:vAlign w:val="center"/>
          </w:tcPr>
          <w:p>
            <w:pPr>
              <w:pStyle w:val="294"/>
            </w:pPr>
            <w:r>
              <w:t>0</w:t>
            </w:r>
          </w:p>
        </w:tc>
        <w:tc>
          <w:tcPr>
            <w:tcW w:w="2554" w:type="dxa"/>
            <w:vAlign w:val="center"/>
          </w:tcPr>
          <w:p>
            <w:pPr>
              <w:pStyle w:val="294"/>
            </w:pPr>
            <w:r>
              <w:t>集中收集后部分回用，剩余的送当地废品回收站处理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生活垃圾</w:t>
            </w:r>
          </w:p>
        </w:tc>
        <w:tc>
          <w:tcPr>
            <w:tcW w:w="1437" w:type="dxa"/>
            <w:vAlign w:val="center"/>
          </w:tcPr>
          <w:p>
            <w:pPr>
              <w:pStyle w:val="294"/>
            </w:pPr>
            <w:r>
              <w:t>生活垃圾</w:t>
            </w:r>
          </w:p>
        </w:tc>
        <w:tc>
          <w:tcPr>
            <w:tcW w:w="1108" w:type="dxa"/>
            <w:vAlign w:val="center"/>
          </w:tcPr>
          <w:p>
            <w:pPr>
              <w:pStyle w:val="294"/>
            </w:pPr>
            <w:r>
              <w:t>22.5kg/d</w:t>
            </w:r>
          </w:p>
        </w:tc>
        <w:tc>
          <w:tcPr>
            <w:tcW w:w="863" w:type="dxa"/>
            <w:vAlign w:val="center"/>
          </w:tcPr>
          <w:p>
            <w:pPr>
              <w:pStyle w:val="294"/>
            </w:pPr>
            <w:r>
              <w:t>0</w:t>
            </w:r>
          </w:p>
        </w:tc>
        <w:tc>
          <w:tcPr>
            <w:tcW w:w="2554" w:type="dxa"/>
            <w:vAlign w:val="center"/>
          </w:tcPr>
          <w:p>
            <w:pPr>
              <w:pStyle w:val="294"/>
            </w:pPr>
            <w:r>
              <w:t>集中收集，交由当地环卫部门处置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钻前、完井搬迁与试采站、集输管道等建设建筑垃圾</w:t>
            </w:r>
          </w:p>
        </w:tc>
        <w:tc>
          <w:tcPr>
            <w:tcW w:w="1437" w:type="dxa"/>
            <w:vAlign w:val="center"/>
          </w:tcPr>
          <w:p>
            <w:pPr>
              <w:pStyle w:val="294"/>
            </w:pPr>
            <w:r>
              <w:t>包装袋，废弃建筑施工材料</w:t>
            </w:r>
          </w:p>
        </w:tc>
        <w:tc>
          <w:tcPr>
            <w:tcW w:w="1108" w:type="dxa"/>
            <w:vAlign w:val="center"/>
          </w:tcPr>
          <w:p>
            <w:pPr>
              <w:pStyle w:val="294"/>
            </w:pPr>
            <w:r>
              <w:t>少量</w:t>
            </w:r>
          </w:p>
        </w:tc>
        <w:tc>
          <w:tcPr>
            <w:tcW w:w="863" w:type="dxa"/>
            <w:vAlign w:val="center"/>
          </w:tcPr>
          <w:p>
            <w:pPr>
              <w:pStyle w:val="294"/>
            </w:pPr>
            <w:r>
              <w:t>/</w:t>
            </w:r>
          </w:p>
        </w:tc>
        <w:tc>
          <w:tcPr>
            <w:tcW w:w="2554" w:type="dxa"/>
            <w:vAlign w:val="center"/>
          </w:tcPr>
          <w:p>
            <w:pPr>
              <w:pStyle w:val="294"/>
            </w:pPr>
            <w:r>
              <w:t>施工队伍统一收集清运至政府指定地方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tcMar>
              <w:left w:w="0" w:type="dxa"/>
              <w:right w:w="0" w:type="dxa"/>
            </w:tcMar>
            <w:vAlign w:val="center"/>
          </w:tcPr>
          <w:p>
            <w:pPr>
              <w:pStyle w:val="294"/>
            </w:pPr>
            <w:r>
              <w:t>生态</w:t>
            </w:r>
          </w:p>
        </w:tc>
        <w:tc>
          <w:tcPr>
            <w:tcW w:w="1557" w:type="dxa"/>
            <w:vAlign w:val="center"/>
          </w:tcPr>
          <w:p>
            <w:pPr>
              <w:pStyle w:val="294"/>
            </w:pPr>
            <w:r>
              <w:t>试采站及集输管道占地</w:t>
            </w:r>
          </w:p>
        </w:tc>
        <w:tc>
          <w:tcPr>
            <w:tcW w:w="3408" w:type="dxa"/>
            <w:gridSpan w:val="3"/>
            <w:vAlign w:val="center"/>
          </w:tcPr>
          <w:p>
            <w:pPr>
              <w:pStyle w:val="294"/>
            </w:pPr>
            <w:r>
              <w:t>井场为新建，试采站在现有采气站北侧进行扩建，井口到加热炉间管道在站场内新建，新增占地为施工期井场、临时道路等临时占地，引起地表、植被破坏，水土流失</w:t>
            </w:r>
          </w:p>
        </w:tc>
        <w:tc>
          <w:tcPr>
            <w:tcW w:w="2554" w:type="dxa"/>
            <w:vAlign w:val="center"/>
          </w:tcPr>
          <w:p>
            <w:pPr>
              <w:pStyle w:val="294"/>
            </w:pPr>
            <w:r>
              <w:t>施工完后，无后续使用需求的临时占地恢复原有使用功能，进行植被恢复工作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tcMar>
              <w:left w:w="0" w:type="dxa"/>
              <w:right w:w="0" w:type="dxa"/>
            </w:tcMar>
            <w:vAlign w:val="center"/>
          </w:tcPr>
          <w:p>
            <w:pPr>
              <w:pStyle w:val="294"/>
            </w:pPr>
            <w:r>
              <w:t>环境风险</w:t>
            </w:r>
          </w:p>
        </w:tc>
        <w:tc>
          <w:tcPr>
            <w:tcW w:w="7519" w:type="dxa"/>
            <w:gridSpan w:val="5"/>
            <w:vAlign w:val="center"/>
          </w:tcPr>
          <w:p>
            <w:pPr>
              <w:pStyle w:val="294"/>
            </w:pPr>
            <w:r>
              <w:t>钻井井喷失控或泄漏的天然气导致的火灾爆炸环境风险事故，以及泄漏天然气导致的环境风险事故；污染物渗漏污染地表土壤和浅层地下水；污染物外运处理中的运输风险等</w:t>
            </w:r>
          </w:p>
        </w:tc>
      </w:tr>
    </w:tbl>
    <w:p>
      <w:pPr>
        <w:pStyle w:val="4"/>
        <w:ind w:firstLine="241"/>
        <w:rPr>
          <w:b w:val="0"/>
        </w:rPr>
      </w:pPr>
      <w:bookmarkStart w:id="166" w:name="3.4.2运营期污染源强分析"/>
      <w:bookmarkEnd w:id="166"/>
      <w:bookmarkStart w:id="167" w:name="_Toc120173113"/>
      <w:r>
        <w:rPr>
          <w:rFonts w:hint="eastAsia"/>
        </w:rPr>
        <w:t>3.4.2</w:t>
      </w:r>
      <w:r>
        <w:t>试采期污染源强分析</w:t>
      </w:r>
      <w:bookmarkEnd w:id="167"/>
    </w:p>
    <w:p>
      <w:pPr>
        <w:pStyle w:val="5"/>
      </w:pPr>
      <w:r>
        <w:t>3.4.2.1废气</w:t>
      </w:r>
    </w:p>
    <w:p>
      <w:pPr>
        <w:ind w:firstLine="480"/>
        <w:rPr>
          <w:rFonts w:cs="Times New Roman"/>
          <w:bCs/>
          <w:color w:val="000000" w:themeColor="text1"/>
          <w14:textFill>
            <w14:solidFill>
              <w14:schemeClr w14:val="tx1"/>
            </w14:solidFill>
          </w14:textFill>
        </w:rPr>
      </w:pPr>
      <w:bookmarkStart w:id="168" w:name="OLE_LINK43"/>
      <w:bookmarkStart w:id="169" w:name="OLE_LINK44"/>
      <w:r>
        <w:rPr>
          <w:rFonts w:cs="Times New Roman"/>
          <w:bCs/>
          <w:color w:val="000000" w:themeColor="text1"/>
          <w14:textFill>
            <w14:solidFill>
              <w14:schemeClr w14:val="tx1"/>
            </w14:solidFill>
          </w14:textFill>
        </w:rPr>
        <w:t>试采期普光3011-6试采站正常生产情况下，流程设备、管线、阀室等工艺设备为高压密闭作业，无天然气泄露废气产生；本项目试采期用电由P3011采气站外配电室已建35kV线路终端接入，不单独设置备用燃气发电机，也无备用发电机燃气废气产生。试采期正常情况下主要废气为依托使用P3011采气站水套加热炉废气；非正常运行状态主要有检修废气或系统超压等情况产生的事故放空燃烧废气。</w:t>
      </w:r>
    </w:p>
    <w:p>
      <w:pPr>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1、正常工况下水套加热炉燃烧废气</w:t>
      </w:r>
    </w:p>
    <w:p>
      <w:pPr>
        <w:ind w:firstLine="480"/>
        <w:rPr>
          <w:rFonts w:cs="Times New Roman"/>
          <w:bCs/>
          <w:color w:val="000000" w:themeColor="text1"/>
          <w14:textFill>
            <w14:solidFill>
              <w14:schemeClr w14:val="tx1"/>
            </w14:solidFill>
          </w14:textFill>
        </w:rPr>
      </w:pPr>
      <w:r>
        <w:rPr>
          <w:rFonts w:cs="Times New Roman"/>
          <w:color w:val="000000" w:themeColor="text1"/>
          <w:szCs w:val="24"/>
          <w14:textFill>
            <w14:solidFill>
              <w14:schemeClr w14:val="tx1"/>
            </w14:solidFill>
          </w14:textFill>
        </w:rPr>
        <w:t>本项目依托</w:t>
      </w:r>
      <w:r>
        <w:rPr>
          <w:rFonts w:cs="Times New Roman"/>
          <w:bCs/>
          <w:color w:val="000000" w:themeColor="text1"/>
          <w14:textFill>
            <w14:solidFill>
              <w14:schemeClr w14:val="tx1"/>
            </w14:solidFill>
          </w14:textFill>
        </w:rPr>
        <w:t>P3011采气站</w:t>
      </w:r>
      <w:r>
        <w:rPr>
          <w:rFonts w:cs="Times New Roman"/>
          <w:color w:val="000000" w:themeColor="text1"/>
          <w:szCs w:val="24"/>
          <w14:textFill>
            <w14:solidFill>
              <w14:schemeClr w14:val="tx1"/>
            </w14:solidFill>
          </w14:textFill>
        </w:rPr>
        <w:t>站内已建加热炉功率为1000kW，两级盘管的设计压力和温度分别为（一级：30MPa，80</w:t>
      </w:r>
      <w:r>
        <w:rPr>
          <w:rFonts w:hint="eastAsia" w:ascii="宋体" w:hAnsi="宋体" w:cs="宋体"/>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；二级：22MPa，80</w:t>
      </w:r>
      <w:r>
        <w:rPr>
          <w:rFonts w:hint="eastAsia" w:ascii="宋体" w:hAnsi="宋体" w:cs="宋体"/>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），完全可以满足本项目的使用要求完全</w:t>
      </w:r>
      <w:r>
        <w:rPr>
          <w:rFonts w:cs="Times New Roman"/>
          <w:bCs/>
          <w:color w:val="000000" w:themeColor="text1"/>
          <w14:textFill>
            <w14:solidFill>
              <w14:schemeClr w14:val="tx1"/>
            </w14:solidFill>
          </w14:textFill>
        </w:rPr>
        <w:t>。</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水套炉所使用的天然气来源于净化厂净化后天然气，主要成分为甲烷，燃烧后其废气中主要污染物为NO</w:t>
      </w:r>
      <w:r>
        <w:rPr>
          <w:rFonts w:cs="Times New Roman"/>
          <w:color w:val="000000" w:themeColor="text1"/>
          <w:szCs w:val="24"/>
          <w:vertAlign w:val="subscript"/>
          <w14:textFill>
            <w14:solidFill>
              <w14:schemeClr w14:val="tx1"/>
            </w14:solidFill>
          </w14:textFill>
        </w:rPr>
        <w:t>X</w:t>
      </w:r>
      <w:r>
        <w:rPr>
          <w:rFonts w:cs="Times New Roman"/>
          <w:color w:val="000000" w:themeColor="text1"/>
          <w:szCs w:val="24"/>
          <w14:textFill>
            <w14:solidFill>
              <w14:schemeClr w14:val="tx1"/>
            </w14:solidFill>
          </w14:textFill>
        </w:rPr>
        <w:t>、SO</w:t>
      </w:r>
      <w:r>
        <w:rPr>
          <w:rFonts w:cs="Times New Roman"/>
          <w:color w:val="000000" w:themeColor="text1"/>
          <w:szCs w:val="24"/>
          <w:vertAlign w:val="subscript"/>
          <w14:textFill>
            <w14:solidFill>
              <w14:schemeClr w14:val="tx1"/>
            </w14:solidFill>
          </w14:textFill>
        </w:rPr>
        <w:t>2</w:t>
      </w:r>
      <w:r>
        <w:rPr>
          <w:rFonts w:cs="Times New Roman"/>
          <w:color w:val="000000" w:themeColor="text1"/>
          <w:szCs w:val="24"/>
          <w14:textFill>
            <w14:solidFill>
              <w14:schemeClr w14:val="tx1"/>
            </w14:solidFill>
          </w14:textFill>
        </w:rPr>
        <w:t>。根据可研报告核算，试采站单个1000kW的水套加热炉用气量为100×10</w:t>
      </w:r>
      <w:r>
        <w:rPr>
          <w:rFonts w:cs="Times New Roman"/>
          <w:color w:val="000000" w:themeColor="text1"/>
          <w:szCs w:val="24"/>
          <w:vertAlign w:val="superscript"/>
          <w14:textFill>
            <w14:solidFill>
              <w14:schemeClr w14:val="tx1"/>
            </w14:solidFill>
          </w14:textFill>
        </w:rPr>
        <w:t>4</w:t>
      </w:r>
      <w:r>
        <w:rPr>
          <w:rFonts w:cs="Times New Roman"/>
          <w:color w:val="000000" w:themeColor="text1"/>
          <w:szCs w:val="24"/>
          <w14:textFill>
            <w14:solidFill>
              <w14:schemeClr w14:val="tx1"/>
            </w14:solidFill>
          </w14:textFill>
        </w:rPr>
        <w:t>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/a，按年运行330天计算（扣除检修和关井恢复压力期），则水套加热炉燃气量约为115.74m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/h。水套加热炉燃烧后产生的废气通过8m高排气筒排放，排放方式为连续排放。水套加热炉的相关设计参数见</w:t>
      </w:r>
      <w:r>
        <w:rPr>
          <w:rFonts w:cs="Times New Roman"/>
          <w:color w:val="000000" w:themeColor="text1"/>
          <w:szCs w:val="24"/>
          <w14:textFill>
            <w14:solidFill>
              <w14:schemeClr w14:val="tx1"/>
            </w14:solidFill>
          </w14:textFill>
        </w:rPr>
        <w:fldChar w:fldCharType="begin"/>
      </w:r>
      <w:r>
        <w:rPr>
          <w:rFonts w:cs="Times New Roman"/>
          <w:color w:val="000000" w:themeColor="text1"/>
          <w:szCs w:val="24"/>
          <w14:textFill>
            <w14:solidFill>
              <w14:schemeClr w14:val="tx1"/>
            </w14:solidFill>
          </w14:textFill>
        </w:rPr>
        <w:instrText xml:space="preserve"> REF _Ref143004491 \h  \* MERGEFORMAT </w:instrText>
      </w:r>
      <w:r>
        <w:rPr>
          <w:rFonts w:cs="Times New Roman"/>
          <w:color w:val="000000" w:themeColor="text1"/>
          <w:szCs w:val="24"/>
          <w14:textFill>
            <w14:solidFill>
              <w14:schemeClr w14:val="tx1"/>
            </w14:solidFill>
          </w14:textFill>
        </w:rPr>
        <w:fldChar w:fldCharType="separate"/>
      </w:r>
      <w:r>
        <w:rPr>
          <w:rFonts w:cs="Times New Roman"/>
          <w:color w:val="000000" w:themeColor="text1"/>
          <w:szCs w:val="24"/>
          <w14:textFill>
            <w14:solidFill>
              <w14:schemeClr w14:val="tx1"/>
            </w14:solidFill>
          </w14:textFill>
        </w:rPr>
        <w:t>表3.4</w:t>
      </w:r>
      <w:r>
        <w:rPr>
          <w:rFonts w:cs="Times New Roman"/>
          <w:color w:val="000000" w:themeColor="text1"/>
          <w:szCs w:val="24"/>
          <w14:textFill>
            <w14:solidFill>
              <w14:schemeClr w14:val="tx1"/>
            </w14:solidFill>
          </w14:textFill>
        </w:rPr>
        <w:noBreakHyphen/>
      </w:r>
      <w:r>
        <w:rPr>
          <w:rFonts w:cs="Times New Roman"/>
          <w:color w:val="000000" w:themeColor="text1"/>
          <w:szCs w:val="24"/>
          <w14:textFill>
            <w14:solidFill>
              <w14:schemeClr w14:val="tx1"/>
            </w14:solidFill>
          </w14:textFill>
        </w:rPr>
        <w:t>12</w:t>
      </w:r>
      <w:r>
        <w:rPr>
          <w:rFonts w:cs="Times New Roman"/>
          <w:color w:val="000000" w:themeColor="text1"/>
          <w:szCs w:val="24"/>
          <w14:textFill>
            <w14:solidFill>
              <w14:schemeClr w14:val="tx1"/>
            </w14:solidFill>
          </w14:textFill>
        </w:rPr>
        <w:fldChar w:fldCharType="end"/>
      </w:r>
      <w:r>
        <w:rPr>
          <w:rFonts w:cs="Times New Roman"/>
          <w:color w:val="000000" w:themeColor="text1"/>
          <w:szCs w:val="24"/>
          <w14:textFill>
            <w14:solidFill>
              <w14:schemeClr w14:val="tx1"/>
            </w14:solidFill>
          </w14:textFill>
        </w:rPr>
        <w:t>。</w:t>
      </w:r>
    </w:p>
    <w:p>
      <w:pPr>
        <w:pStyle w:val="95"/>
      </w:pPr>
      <w:bookmarkStart w:id="170" w:name="_Ref143004491"/>
      <w:r>
        <w:t>表3.4</w:t>
      </w:r>
      <w:r>
        <w:noBreakHyphen/>
      </w:r>
      <w:r>
        <w:fldChar w:fldCharType="begin"/>
      </w:r>
      <w:r>
        <w:instrText xml:space="preserve"> SEQ 表 \* ARABIC \s 2 </w:instrText>
      </w:r>
      <w:r>
        <w:fldChar w:fldCharType="separate"/>
      </w:r>
      <w:r>
        <w:t>12</w:t>
      </w:r>
      <w:r>
        <w:fldChar w:fldCharType="end"/>
      </w:r>
      <w:bookmarkEnd w:id="170"/>
      <w:r>
        <w:t xml:space="preserve">  水套加热炉相关设计参数</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74"/>
        <w:gridCol w:w="1175"/>
        <w:gridCol w:w="1175"/>
        <w:gridCol w:w="1174"/>
        <w:gridCol w:w="1175"/>
        <w:gridCol w:w="1175"/>
        <w:gridCol w:w="117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Align w:val="center"/>
          </w:tcPr>
          <w:p>
            <w:pPr>
              <w:pStyle w:val="294"/>
            </w:pPr>
            <w:r>
              <w:t>水套加热炉功率</w:t>
            </w:r>
          </w:p>
        </w:tc>
        <w:tc>
          <w:tcPr>
            <w:tcW w:w="1175" w:type="dxa"/>
            <w:vAlign w:val="center"/>
          </w:tcPr>
          <w:p>
            <w:pPr>
              <w:pStyle w:val="294"/>
            </w:pPr>
            <w:r>
              <w:t>排气筒高度(m)</w:t>
            </w:r>
          </w:p>
        </w:tc>
        <w:tc>
          <w:tcPr>
            <w:tcW w:w="1175" w:type="dxa"/>
            <w:vAlign w:val="center"/>
          </w:tcPr>
          <w:p>
            <w:pPr>
              <w:pStyle w:val="294"/>
            </w:pPr>
            <w:r>
              <w:t>排气筒内径(m)</w:t>
            </w:r>
          </w:p>
        </w:tc>
        <w:tc>
          <w:tcPr>
            <w:tcW w:w="1174" w:type="dxa"/>
            <w:vAlign w:val="center"/>
          </w:tcPr>
          <w:p>
            <w:pPr>
              <w:pStyle w:val="294"/>
            </w:pPr>
            <w:r>
              <w:t>自耗气量(m</w:t>
            </w:r>
            <w:r>
              <w:rPr>
                <w:vertAlign w:val="superscript"/>
              </w:rPr>
              <w:t>3</w:t>
            </w:r>
            <w:r>
              <w:t>/h)</w:t>
            </w:r>
          </w:p>
        </w:tc>
        <w:tc>
          <w:tcPr>
            <w:tcW w:w="1175" w:type="dxa"/>
            <w:vAlign w:val="center"/>
          </w:tcPr>
          <w:p>
            <w:pPr>
              <w:pStyle w:val="294"/>
            </w:pPr>
            <w:r>
              <w:t>排放时间(h/a)</w:t>
            </w:r>
          </w:p>
        </w:tc>
        <w:tc>
          <w:tcPr>
            <w:tcW w:w="1175" w:type="dxa"/>
            <w:vAlign w:val="center"/>
          </w:tcPr>
          <w:p>
            <w:pPr>
              <w:pStyle w:val="294"/>
            </w:pPr>
            <w:r>
              <w:t>排放工况</w:t>
            </w:r>
          </w:p>
        </w:tc>
        <w:tc>
          <w:tcPr>
            <w:tcW w:w="1174" w:type="dxa"/>
            <w:vAlign w:val="center"/>
          </w:tcPr>
          <w:p>
            <w:pPr>
              <w:pStyle w:val="294"/>
            </w:pPr>
            <w:r>
              <w:t>烟气出口温度(</w:t>
            </w:r>
            <w:r>
              <w:rPr>
                <w:rFonts w:hint="eastAsia" w:ascii="宋体" w:hAnsi="宋体" w:cs="宋体"/>
              </w:rPr>
              <w:t>℃</w:t>
            </w: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Align w:val="center"/>
          </w:tcPr>
          <w:p>
            <w:pPr>
              <w:pStyle w:val="294"/>
            </w:pPr>
            <w:r>
              <w:t>1000kW</w:t>
            </w:r>
          </w:p>
        </w:tc>
        <w:tc>
          <w:tcPr>
            <w:tcW w:w="1175" w:type="dxa"/>
            <w:vAlign w:val="center"/>
          </w:tcPr>
          <w:p>
            <w:pPr>
              <w:pStyle w:val="294"/>
            </w:pPr>
            <w:r>
              <w:t>8</w:t>
            </w:r>
          </w:p>
        </w:tc>
        <w:tc>
          <w:tcPr>
            <w:tcW w:w="1175" w:type="dxa"/>
            <w:vAlign w:val="center"/>
          </w:tcPr>
          <w:p>
            <w:pPr>
              <w:pStyle w:val="294"/>
            </w:pPr>
            <w:r>
              <w:t>0.2</w:t>
            </w:r>
          </w:p>
        </w:tc>
        <w:tc>
          <w:tcPr>
            <w:tcW w:w="1174" w:type="dxa"/>
            <w:vAlign w:val="center"/>
          </w:tcPr>
          <w:p>
            <w:pPr>
              <w:pStyle w:val="294"/>
            </w:pPr>
            <w:r>
              <w:t>115.74</w:t>
            </w:r>
          </w:p>
        </w:tc>
        <w:tc>
          <w:tcPr>
            <w:tcW w:w="1175" w:type="dxa"/>
            <w:vAlign w:val="center"/>
          </w:tcPr>
          <w:p>
            <w:pPr>
              <w:pStyle w:val="294"/>
            </w:pPr>
            <w:r>
              <w:t>7920</w:t>
            </w:r>
          </w:p>
        </w:tc>
        <w:tc>
          <w:tcPr>
            <w:tcW w:w="1175" w:type="dxa"/>
            <w:vAlign w:val="center"/>
          </w:tcPr>
          <w:p>
            <w:pPr>
              <w:pStyle w:val="294"/>
            </w:pPr>
            <w:r>
              <w:t>连续</w:t>
            </w:r>
          </w:p>
        </w:tc>
        <w:tc>
          <w:tcPr>
            <w:tcW w:w="1174" w:type="dxa"/>
            <w:vAlign w:val="center"/>
          </w:tcPr>
          <w:p>
            <w:pPr>
              <w:pStyle w:val="294"/>
            </w:pPr>
            <w:r>
              <w:t>200</w:t>
            </w:r>
          </w:p>
        </w:tc>
      </w:tr>
    </w:tbl>
    <w:p>
      <w:pPr>
        <w:spacing w:before="120" w:beforeLines="5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本次评价采用水套加热炉废气产排核算均按照</w:t>
      </w:r>
      <w:r>
        <w:rPr>
          <w:rFonts w:hint="eastAsia" w:cs="Times New Roman"/>
          <w:color w:val="000000" w:themeColor="text1"/>
          <w:szCs w:val="24"/>
          <w14:textFill>
            <w14:solidFill>
              <w14:schemeClr w14:val="tx1"/>
            </w14:solidFill>
          </w14:textFill>
        </w:rPr>
        <w:t>《排污</w:t>
      </w:r>
      <w:r>
        <w:rPr>
          <w:rFonts w:cs="Times New Roman"/>
          <w:color w:val="000000" w:themeColor="text1"/>
          <w:szCs w:val="24"/>
          <w14:textFill>
            <w14:solidFill>
              <w14:schemeClr w14:val="tx1"/>
            </w14:solidFill>
          </w14:textFill>
        </w:rPr>
        <w:t>许可证申请与核发技术规范</w:t>
      </w:r>
      <w:r>
        <w:rPr>
          <w:rFonts w:hint="eastAsia" w:cs="Times New Roman"/>
          <w:color w:val="000000" w:themeColor="text1"/>
          <w:szCs w:val="24"/>
          <w14:textFill>
            <w14:solidFill>
              <w14:schemeClr w14:val="tx1"/>
            </w14:solidFill>
          </w14:textFill>
        </w:rPr>
        <w:t xml:space="preserve"> 锅炉》（HJ953-2018）和</w:t>
      </w:r>
      <w:r>
        <w:rPr>
          <w:rFonts w:cs="Times New Roman"/>
          <w:color w:val="000000" w:themeColor="text1"/>
          <w:szCs w:val="24"/>
          <w14:textFill>
            <w14:solidFill>
              <w14:schemeClr w14:val="tx1"/>
            </w14:solidFill>
          </w14:textFill>
        </w:rPr>
        <w:t>《排放源统计调查产排污核算方法和系数手册》（环境部公告2021第24号）中“锅炉产排污量核算系数手册”中燃气工业锅炉废气产排污系数计算，热力生产型燃气锅炉的工业废气产生量为10.7753标立方米/立方米-</w:t>
      </w:r>
      <w:r>
        <w:rPr>
          <w:rFonts w:hint="eastAsia" w:cs="Times New Roman"/>
          <w:color w:val="000000" w:themeColor="text1"/>
          <w:szCs w:val="24"/>
          <w14:textFill>
            <w14:solidFill>
              <w14:schemeClr w14:val="tx1"/>
            </w14:solidFill>
          </w14:textFill>
        </w:rPr>
        <w:t>燃</w:t>
      </w:r>
      <w:r>
        <w:rPr>
          <w:rFonts w:cs="Times New Roman"/>
          <w:color w:val="000000" w:themeColor="text1"/>
          <w:szCs w:val="24"/>
          <w14:textFill>
            <w14:solidFill>
              <w14:schemeClr w14:val="tx1"/>
            </w14:solidFill>
          </w14:textFill>
        </w:rPr>
        <w:t>料，其中水套加热炉采用国内领先低氮燃烧，氮氧化物的产生系数为6.97千克/万立方米-</w:t>
      </w:r>
      <w:r>
        <w:rPr>
          <w:rFonts w:hint="eastAsia" w:cs="Times New Roman"/>
          <w:color w:val="000000" w:themeColor="text1"/>
          <w:szCs w:val="24"/>
          <w14:textFill>
            <w14:solidFill>
              <w14:schemeClr w14:val="tx1"/>
            </w14:solidFill>
          </w14:textFill>
        </w:rPr>
        <w:t>燃</w:t>
      </w:r>
      <w:r>
        <w:rPr>
          <w:rFonts w:cs="Times New Roman"/>
          <w:color w:val="000000" w:themeColor="text1"/>
          <w:szCs w:val="24"/>
          <w14:textFill>
            <w14:solidFill>
              <w14:schemeClr w14:val="tx1"/>
            </w14:solidFill>
          </w14:textFill>
        </w:rPr>
        <w:t>料，SO</w:t>
      </w:r>
      <w:r>
        <w:rPr>
          <w:rFonts w:cs="Times New Roman"/>
          <w:color w:val="000000" w:themeColor="text1"/>
          <w:szCs w:val="24"/>
          <w:vertAlign w:val="subscript"/>
          <w14:textFill>
            <w14:solidFill>
              <w14:schemeClr w14:val="tx1"/>
            </w14:solidFill>
          </w14:textFill>
        </w:rPr>
        <w:t>2</w:t>
      </w:r>
      <w:r>
        <w:rPr>
          <w:rFonts w:cs="Times New Roman"/>
          <w:color w:val="000000" w:themeColor="text1"/>
          <w:szCs w:val="24"/>
          <w14:textFill>
            <w14:solidFill>
              <w14:schemeClr w14:val="tx1"/>
            </w14:solidFill>
          </w14:textFill>
        </w:rPr>
        <w:t>的产生系数为0.02S（S=6，本项目采用井区自产返输净化天然气，根据气质组分，返输气总硫浓度最大为6mg/m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）千克/万立方米-</w:t>
      </w:r>
      <w:r>
        <w:rPr>
          <w:rFonts w:hint="eastAsia" w:cs="Times New Roman"/>
          <w:color w:val="000000" w:themeColor="text1"/>
          <w:szCs w:val="24"/>
          <w14:textFill>
            <w14:solidFill>
              <w14:schemeClr w14:val="tx1"/>
            </w14:solidFill>
          </w14:textFill>
        </w:rPr>
        <w:t>燃</w:t>
      </w:r>
      <w:r>
        <w:rPr>
          <w:rFonts w:cs="Times New Roman"/>
          <w:color w:val="000000" w:themeColor="text1"/>
          <w:szCs w:val="24"/>
          <w14:textFill>
            <w14:solidFill>
              <w14:schemeClr w14:val="tx1"/>
            </w14:solidFill>
          </w14:textFill>
        </w:rPr>
        <w:t>料</w:t>
      </w:r>
      <w:r>
        <w:rPr>
          <w:rFonts w:hint="eastAsia" w:cs="Times New Roman"/>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颗粒物</w:t>
      </w:r>
      <w:r>
        <w:rPr>
          <w:rFonts w:hint="eastAsia" w:cs="Times New Roman"/>
          <w:color w:val="000000" w:themeColor="text1"/>
          <w:szCs w:val="24"/>
          <w14:textFill>
            <w14:solidFill>
              <w14:schemeClr w14:val="tx1"/>
            </w14:solidFill>
          </w14:textFill>
        </w:rPr>
        <w:t>产生</w:t>
      </w:r>
      <w:r>
        <w:rPr>
          <w:rFonts w:cs="Times New Roman"/>
          <w:color w:val="000000" w:themeColor="text1"/>
          <w:szCs w:val="24"/>
          <w14:textFill>
            <w14:solidFill>
              <w14:schemeClr w14:val="tx1"/>
            </w14:solidFill>
          </w14:textFill>
        </w:rPr>
        <w:t>系数</w:t>
      </w:r>
      <w:r>
        <w:rPr>
          <w:rFonts w:hint="eastAsia" w:cs="Times New Roman"/>
          <w:color w:val="000000" w:themeColor="text1"/>
          <w:szCs w:val="24"/>
          <w14:textFill>
            <w14:solidFill>
              <w14:schemeClr w14:val="tx1"/>
            </w14:solidFill>
          </w14:textFill>
        </w:rPr>
        <w:t>参照</w:t>
      </w:r>
      <w:r>
        <w:rPr>
          <w:rFonts w:hint="eastAsia" w:cs="Times New Roman"/>
          <w:bCs/>
          <w:color w:val="000000" w:themeColor="text1"/>
          <w:szCs w:val="24"/>
          <w14:textFill>
            <w14:solidFill>
              <w14:schemeClr w14:val="tx1"/>
            </w14:solidFill>
          </w14:textFill>
        </w:rPr>
        <w:t>《环境保护实用数据手册》（胡名操）中相关数据“天然气”燃烧烟尘产污系数取值，</w:t>
      </w:r>
      <w:r>
        <w:rPr>
          <w:rFonts w:cs="Times New Roman"/>
          <w:color w:val="000000" w:themeColor="text1"/>
          <w:szCs w:val="24"/>
          <w14:textFill>
            <w14:solidFill>
              <w14:schemeClr w14:val="tx1"/>
            </w14:solidFill>
          </w14:textFill>
        </w:rPr>
        <w:t>为</w:t>
      </w:r>
      <w:r>
        <w:rPr>
          <w:rFonts w:hint="eastAsia" w:cs="Times New Roman"/>
          <w:color w:val="000000" w:themeColor="text1"/>
          <w:szCs w:val="24"/>
          <w14:textFill>
            <w14:solidFill>
              <w14:schemeClr w14:val="tx1"/>
            </w14:solidFill>
          </w14:textFill>
        </w:rPr>
        <w:t>2.</w:t>
      </w:r>
      <w:r>
        <w:rPr>
          <w:rFonts w:cs="Times New Roman"/>
          <w:color w:val="000000" w:themeColor="text1"/>
          <w:szCs w:val="24"/>
          <w14:textFill>
            <w14:solidFill>
              <w14:schemeClr w14:val="tx1"/>
            </w14:solidFill>
          </w14:textFill>
        </w:rPr>
        <w:t>0千克/万立方米-</w:t>
      </w:r>
      <w:r>
        <w:rPr>
          <w:rFonts w:hint="eastAsia" w:cs="Times New Roman"/>
          <w:color w:val="000000" w:themeColor="text1"/>
          <w:szCs w:val="24"/>
          <w14:textFill>
            <w14:solidFill>
              <w14:schemeClr w14:val="tx1"/>
            </w14:solidFill>
          </w14:textFill>
        </w:rPr>
        <w:t>燃</w:t>
      </w:r>
      <w:r>
        <w:rPr>
          <w:rFonts w:cs="Times New Roman"/>
          <w:color w:val="000000" w:themeColor="text1"/>
          <w:szCs w:val="24"/>
          <w14:textFill>
            <w14:solidFill>
              <w14:schemeClr w14:val="tx1"/>
            </w14:solidFill>
          </w14:textFill>
        </w:rPr>
        <w:t>料。本项目水套加热炉燃气使用量为115.74m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/h，据此核算出本项目水套加热炉的污染物排放情况见表3.4-13。</w:t>
      </w:r>
      <w:bookmarkStart w:id="171" w:name="_Ref143004562"/>
    </w:p>
    <w:p>
      <w:pPr>
        <w:pStyle w:val="95"/>
      </w:pPr>
      <w:r>
        <w:t>表</w:t>
      </w:r>
      <w:r>
        <w:fldChar w:fldCharType="begin"/>
      </w:r>
      <w:r>
        <w:instrText xml:space="preserve"> STYLEREF 2 \s </w:instrText>
      </w:r>
      <w:r>
        <w:fldChar w:fldCharType="separate"/>
      </w:r>
      <w:r>
        <w:t>3.4</w:t>
      </w:r>
      <w:r>
        <w:fldChar w:fldCharType="end"/>
      </w:r>
      <w:r>
        <w:noBreakHyphen/>
      </w:r>
      <w:bookmarkEnd w:id="171"/>
      <w:r>
        <w:t>13  水套加热炉污染物排放情况</w:t>
      </w:r>
    </w:p>
    <w:tbl>
      <w:tblPr>
        <w:tblStyle w:val="52"/>
        <w:tblW w:w="835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3" w:type="dxa"/>
          <w:bottom w:w="0" w:type="dxa"/>
          <w:right w:w="23" w:type="dxa"/>
        </w:tblCellMar>
      </w:tblPr>
      <w:tblGrid>
        <w:gridCol w:w="649"/>
        <w:gridCol w:w="994"/>
        <w:gridCol w:w="1214"/>
        <w:gridCol w:w="1674"/>
        <w:gridCol w:w="626"/>
        <w:gridCol w:w="772"/>
        <w:gridCol w:w="941"/>
        <w:gridCol w:w="14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tblHeader/>
          <w:jc w:val="center"/>
        </w:trPr>
        <w:tc>
          <w:tcPr>
            <w:tcW w:w="649" w:type="dxa"/>
            <w:vMerge w:val="restart"/>
            <w:vAlign w:val="center"/>
          </w:tcPr>
          <w:p>
            <w:pPr>
              <w:pStyle w:val="594"/>
              <w:rPr>
                <w:rFonts w:cs="Times New Roman"/>
                <w:b/>
                <w:bCs/>
                <w:color w:val="000000" w:themeColor="text1"/>
                <w:kern w:val="2"/>
                <w14:textFill>
                  <w14:solidFill>
                    <w14:schemeClr w14:val="tx1"/>
                  </w14:solidFill>
                </w14:textFill>
              </w:rPr>
            </w:pPr>
            <w:r>
              <w:rPr>
                <w:rFonts w:cs="Times New Roman"/>
                <w:b/>
                <w:bCs/>
                <w:color w:val="000000" w:themeColor="text1"/>
                <w:kern w:val="2"/>
                <w14:textFill>
                  <w14:solidFill>
                    <w14:schemeClr w14:val="tx1"/>
                  </w14:solidFill>
                </w14:textFill>
              </w:rPr>
              <w:t>废气类型</w:t>
            </w:r>
          </w:p>
        </w:tc>
        <w:tc>
          <w:tcPr>
            <w:tcW w:w="3882" w:type="dxa"/>
            <w:gridSpan w:val="3"/>
            <w:vAlign w:val="center"/>
          </w:tcPr>
          <w:p>
            <w:pPr>
              <w:pStyle w:val="594"/>
              <w:rPr>
                <w:rFonts w:cs="Times New Roman"/>
                <w:b/>
                <w:bCs/>
                <w:color w:val="000000" w:themeColor="text1"/>
                <w:kern w:val="2"/>
                <w14:textFill>
                  <w14:solidFill>
                    <w14:schemeClr w14:val="tx1"/>
                  </w14:solidFill>
                </w14:textFill>
              </w:rPr>
            </w:pPr>
            <w:r>
              <w:rPr>
                <w:rFonts w:cs="Times New Roman"/>
                <w:b/>
                <w:bCs/>
                <w:color w:val="000000" w:themeColor="text1"/>
                <w:kern w:val="2"/>
                <w14:textFill>
                  <w14:solidFill>
                    <w14:schemeClr w14:val="tx1"/>
                  </w14:solidFill>
                </w14:textFill>
              </w:rPr>
              <w:t>排放量</w:t>
            </w:r>
          </w:p>
        </w:tc>
        <w:tc>
          <w:tcPr>
            <w:tcW w:w="1398" w:type="dxa"/>
            <w:gridSpan w:val="2"/>
            <w:vAlign w:val="center"/>
          </w:tcPr>
          <w:p>
            <w:pPr>
              <w:pStyle w:val="594"/>
              <w:rPr>
                <w:rFonts w:cs="Times New Roman"/>
                <w:b/>
                <w:bCs/>
                <w:color w:val="000000" w:themeColor="text1"/>
                <w:kern w:val="2"/>
                <w14:textFill>
                  <w14:solidFill>
                    <w14:schemeClr w14:val="tx1"/>
                  </w14:solidFill>
                </w14:textFill>
              </w:rPr>
            </w:pPr>
            <w:r>
              <w:rPr>
                <w:rFonts w:cs="Times New Roman"/>
                <w:b/>
                <w:bCs/>
                <w:color w:val="000000" w:themeColor="text1"/>
                <w:kern w:val="2"/>
                <w14:textFill>
                  <w14:solidFill>
                    <w14:schemeClr w14:val="tx1"/>
                  </w14:solidFill>
                </w14:textFill>
              </w:rPr>
              <w:t>排气筒</w:t>
            </w:r>
          </w:p>
        </w:tc>
        <w:tc>
          <w:tcPr>
            <w:tcW w:w="941" w:type="dxa"/>
            <w:vMerge w:val="restart"/>
            <w:vAlign w:val="center"/>
          </w:tcPr>
          <w:p>
            <w:pPr>
              <w:pStyle w:val="594"/>
              <w:rPr>
                <w:rFonts w:cs="Times New Roman"/>
                <w:b/>
                <w:bCs/>
                <w:color w:val="000000" w:themeColor="text1"/>
                <w:kern w:val="2"/>
                <w14:textFill>
                  <w14:solidFill>
                    <w14:schemeClr w14:val="tx1"/>
                  </w14:solidFill>
                </w14:textFill>
              </w:rPr>
            </w:pPr>
            <w:r>
              <w:rPr>
                <w:rFonts w:cs="Times New Roman"/>
                <w:b/>
                <w:bCs/>
                <w:color w:val="000000" w:themeColor="text1"/>
                <w:kern w:val="2"/>
                <w14:textFill>
                  <w14:solidFill>
                    <w14:schemeClr w14:val="tx1"/>
                  </w14:solidFill>
                </w14:textFill>
              </w:rPr>
              <w:t>排烟温度（</w:t>
            </w:r>
            <w:r>
              <w:rPr>
                <w:rFonts w:hint="eastAsia" w:ascii="宋体" w:hAnsi="宋体" w:cs="宋体"/>
                <w:b/>
                <w:bCs/>
                <w:color w:val="000000" w:themeColor="text1"/>
                <w:kern w:val="2"/>
                <w14:textFill>
                  <w14:solidFill>
                    <w14:schemeClr w14:val="tx1"/>
                  </w14:solidFill>
                </w14:textFill>
              </w:rPr>
              <w:t>℃</w:t>
            </w:r>
            <w:r>
              <w:rPr>
                <w:rFonts w:cs="Times New Roman"/>
                <w:b/>
                <w:bCs/>
                <w:color w:val="000000" w:themeColor="text1"/>
                <w:kern w:val="2"/>
                <w14:textFill>
                  <w14:solidFill>
                    <w14:schemeClr w14:val="tx1"/>
                  </w14:solidFill>
                </w14:textFill>
              </w:rPr>
              <w:t>）</w:t>
            </w:r>
          </w:p>
        </w:tc>
        <w:tc>
          <w:tcPr>
            <w:tcW w:w="1489" w:type="dxa"/>
            <w:vMerge w:val="restart"/>
            <w:vAlign w:val="center"/>
          </w:tcPr>
          <w:p>
            <w:pPr>
              <w:pStyle w:val="594"/>
              <w:rPr>
                <w:rFonts w:cs="Times New Roman"/>
                <w:b/>
                <w:bCs/>
                <w:color w:val="000000" w:themeColor="text1"/>
                <w:kern w:val="2"/>
                <w14:textFill>
                  <w14:solidFill>
                    <w14:schemeClr w14:val="tx1"/>
                  </w14:solidFill>
                </w14:textFill>
              </w:rPr>
            </w:pPr>
            <w:r>
              <w:rPr>
                <w:rFonts w:cs="Times New Roman"/>
                <w:b/>
                <w:bCs/>
                <w:color w:val="000000" w:themeColor="text1"/>
                <w:kern w:val="2"/>
                <w14:textFill>
                  <w14:solidFill>
                    <w14:schemeClr w14:val="tx1"/>
                  </w14:solidFill>
                </w14:textFill>
              </w:rPr>
              <w:t>排放方式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tblHeader/>
          <w:jc w:val="center"/>
        </w:trPr>
        <w:tc>
          <w:tcPr>
            <w:tcW w:w="649" w:type="dxa"/>
            <w:vMerge w:val="continue"/>
            <w:vAlign w:val="center"/>
          </w:tcPr>
          <w:p>
            <w:pPr>
              <w:pStyle w:val="594"/>
              <w:rPr>
                <w:rFonts w:cs="Times New Roman"/>
                <w:bCs/>
                <w:color w:val="000000" w:themeColor="text1"/>
                <w:kern w:val="2"/>
                <w14:textFill>
                  <w14:solidFill>
                    <w14:schemeClr w14:val="tx1"/>
                  </w14:solidFill>
                </w14:textFill>
              </w:rPr>
            </w:pPr>
          </w:p>
        </w:tc>
        <w:tc>
          <w:tcPr>
            <w:tcW w:w="994" w:type="dxa"/>
            <w:vAlign w:val="center"/>
          </w:tcPr>
          <w:p>
            <w:pPr>
              <w:pStyle w:val="594"/>
              <w:rPr>
                <w:rFonts w:cs="Times New Roman"/>
                <w:b/>
                <w:bCs/>
                <w:color w:val="000000" w:themeColor="text1"/>
                <w:kern w:val="2"/>
                <w14:textFill>
                  <w14:solidFill>
                    <w14:schemeClr w14:val="tx1"/>
                  </w14:solidFill>
                </w14:textFill>
              </w:rPr>
            </w:pPr>
            <w:r>
              <w:rPr>
                <w:rFonts w:cs="Times New Roman"/>
                <w:b/>
                <w:bCs/>
                <w:color w:val="000000" w:themeColor="text1"/>
                <w:kern w:val="2"/>
                <w14:textFill>
                  <w14:solidFill>
                    <w14:schemeClr w14:val="tx1"/>
                  </w14:solidFill>
                </w14:textFill>
              </w:rPr>
              <w:t>项目</w:t>
            </w:r>
          </w:p>
        </w:tc>
        <w:tc>
          <w:tcPr>
            <w:tcW w:w="1214" w:type="dxa"/>
            <w:vAlign w:val="center"/>
          </w:tcPr>
          <w:p>
            <w:pPr>
              <w:pStyle w:val="594"/>
              <w:rPr>
                <w:rFonts w:cs="Times New Roman"/>
                <w:b/>
                <w:bCs/>
                <w:color w:val="000000" w:themeColor="text1"/>
                <w:kern w:val="2"/>
                <w14:textFill>
                  <w14:solidFill>
                    <w14:schemeClr w14:val="tx1"/>
                  </w14:solidFill>
                </w14:textFill>
              </w:rPr>
            </w:pPr>
            <w:r>
              <w:rPr>
                <w:rFonts w:cs="Times New Roman"/>
                <w:b/>
                <w:bCs/>
                <w:color w:val="000000" w:themeColor="text1"/>
                <w:kern w:val="2"/>
                <w14:textFill>
                  <w14:solidFill>
                    <w14:schemeClr w14:val="tx1"/>
                  </w14:solidFill>
                </w14:textFill>
              </w:rPr>
              <w:t>排放浓度</w:t>
            </w:r>
            <w:r>
              <w:rPr>
                <w:rFonts w:cs="Times New Roman"/>
                <w:color w:val="000000" w:themeColor="text1"/>
                <w:kern w:val="2"/>
                <w14:textFill>
                  <w14:solidFill>
                    <w14:schemeClr w14:val="tx1"/>
                  </w14:solidFill>
                </w14:textFill>
              </w:rPr>
              <w:t>mg/m</w:t>
            </w:r>
            <w:r>
              <w:rPr>
                <w:rFonts w:cs="Times New Roman"/>
                <w:color w:val="000000" w:themeColor="text1"/>
                <w:kern w:val="2"/>
                <w:vertAlign w:val="superscript"/>
                <w14:textFill>
                  <w14:solidFill>
                    <w14:schemeClr w14:val="tx1"/>
                  </w14:solidFill>
                </w14:textFill>
              </w:rPr>
              <w:t>3</w:t>
            </w:r>
          </w:p>
        </w:tc>
        <w:tc>
          <w:tcPr>
            <w:tcW w:w="1674" w:type="dxa"/>
            <w:vAlign w:val="center"/>
          </w:tcPr>
          <w:p>
            <w:pPr>
              <w:pStyle w:val="594"/>
              <w:rPr>
                <w:rFonts w:cs="Times New Roman"/>
                <w:b/>
                <w:bCs/>
                <w:color w:val="000000" w:themeColor="text1"/>
                <w:kern w:val="2"/>
                <w14:textFill>
                  <w14:solidFill>
                    <w14:schemeClr w14:val="tx1"/>
                  </w14:solidFill>
                </w14:textFill>
              </w:rPr>
            </w:pPr>
            <w:r>
              <w:rPr>
                <w:rFonts w:cs="Times New Roman"/>
                <w:b/>
                <w:bCs/>
                <w:color w:val="000000" w:themeColor="text1"/>
                <w:kern w:val="2"/>
                <w14:textFill>
                  <w14:solidFill>
                    <w14:schemeClr w14:val="tx1"/>
                  </w14:solidFill>
                </w14:textFill>
              </w:rPr>
              <w:t>排放强度</w:t>
            </w:r>
          </w:p>
        </w:tc>
        <w:tc>
          <w:tcPr>
            <w:tcW w:w="626" w:type="dxa"/>
            <w:vAlign w:val="center"/>
          </w:tcPr>
          <w:p>
            <w:pPr>
              <w:pStyle w:val="594"/>
              <w:rPr>
                <w:rFonts w:cs="Times New Roman"/>
                <w:b/>
                <w:bCs/>
                <w:color w:val="000000" w:themeColor="text1"/>
                <w:kern w:val="2"/>
                <w14:textFill>
                  <w14:solidFill>
                    <w14:schemeClr w14:val="tx1"/>
                  </w14:solidFill>
                </w14:textFill>
              </w:rPr>
            </w:pPr>
            <w:r>
              <w:rPr>
                <w:rFonts w:cs="Times New Roman"/>
                <w:b/>
                <w:bCs/>
                <w:color w:val="000000" w:themeColor="text1"/>
                <w:kern w:val="2"/>
                <w14:textFill>
                  <w14:solidFill>
                    <w14:schemeClr w14:val="tx1"/>
                  </w14:solidFill>
                </w14:textFill>
              </w:rPr>
              <w:t>高度</w:t>
            </w:r>
          </w:p>
        </w:tc>
        <w:tc>
          <w:tcPr>
            <w:tcW w:w="772" w:type="dxa"/>
            <w:vAlign w:val="center"/>
          </w:tcPr>
          <w:p>
            <w:pPr>
              <w:pStyle w:val="594"/>
              <w:rPr>
                <w:rFonts w:cs="Times New Roman"/>
                <w:b/>
                <w:bCs/>
                <w:color w:val="000000" w:themeColor="text1"/>
                <w:kern w:val="2"/>
                <w14:textFill>
                  <w14:solidFill>
                    <w14:schemeClr w14:val="tx1"/>
                  </w14:solidFill>
                </w14:textFill>
              </w:rPr>
            </w:pPr>
            <w:r>
              <w:rPr>
                <w:rFonts w:cs="Times New Roman"/>
                <w:b/>
                <w:bCs/>
                <w:color w:val="000000" w:themeColor="text1"/>
                <w:kern w:val="2"/>
                <w14:textFill>
                  <w14:solidFill>
                    <w14:schemeClr w14:val="tx1"/>
                  </w14:solidFill>
                </w14:textFill>
              </w:rPr>
              <w:t>内径</w:t>
            </w:r>
          </w:p>
        </w:tc>
        <w:tc>
          <w:tcPr>
            <w:tcW w:w="941" w:type="dxa"/>
            <w:vMerge w:val="continue"/>
            <w:vAlign w:val="center"/>
          </w:tcPr>
          <w:p>
            <w:pPr>
              <w:pStyle w:val="594"/>
              <w:rPr>
                <w:rFonts w:cs="Times New Roman"/>
                <w:bCs/>
                <w:color w:val="000000" w:themeColor="text1"/>
                <w:kern w:val="2"/>
                <w14:textFill>
                  <w14:solidFill>
                    <w14:schemeClr w14:val="tx1"/>
                  </w14:solidFill>
                </w14:textFill>
              </w:rPr>
            </w:pPr>
          </w:p>
        </w:tc>
        <w:tc>
          <w:tcPr>
            <w:tcW w:w="1489" w:type="dxa"/>
            <w:vMerge w:val="continue"/>
            <w:vAlign w:val="center"/>
          </w:tcPr>
          <w:p>
            <w:pPr>
              <w:pStyle w:val="594"/>
              <w:rPr>
                <w:rFonts w:cs="Times New Roman"/>
                <w:bCs/>
                <w:color w:val="000000" w:themeColor="text1"/>
                <w:kern w:val="2"/>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jc w:val="center"/>
        </w:trPr>
        <w:tc>
          <w:tcPr>
            <w:tcW w:w="649" w:type="dxa"/>
            <w:vMerge w:val="restart"/>
            <w:vAlign w:val="center"/>
          </w:tcPr>
          <w:p>
            <w:pPr>
              <w:pStyle w:val="594"/>
              <w:rPr>
                <w:rFonts w:cs="Times New Roman"/>
                <w:bCs/>
                <w:color w:val="000000" w:themeColor="text1"/>
                <w:kern w:val="2"/>
                <w14:textFill>
                  <w14:solidFill>
                    <w14:schemeClr w14:val="tx1"/>
                  </w14:solidFill>
                </w14:textFill>
              </w:rPr>
            </w:pPr>
            <w:r>
              <w:rPr>
                <w:rFonts w:cs="Times New Roman"/>
                <w:color w:val="000000" w:themeColor="text1"/>
                <w:kern w:val="2"/>
                <w14:textFill>
                  <w14:solidFill>
                    <w14:schemeClr w14:val="tx1"/>
                  </w14:solidFill>
                </w14:textFill>
              </w:rPr>
              <w:t>单个水套炉</w:t>
            </w:r>
            <w:r>
              <w:rPr>
                <w:rFonts w:cs="Times New Roman"/>
                <w:bCs/>
                <w:color w:val="000000" w:themeColor="text1"/>
                <w:kern w:val="2"/>
                <w14:textFill>
                  <w14:solidFill>
                    <w14:schemeClr w14:val="tx1"/>
                  </w14:solidFill>
                </w14:textFill>
              </w:rPr>
              <w:t>燃烧废气</w:t>
            </w:r>
          </w:p>
        </w:tc>
        <w:tc>
          <w:tcPr>
            <w:tcW w:w="994" w:type="dxa"/>
            <w:vAlign w:val="center"/>
          </w:tcPr>
          <w:p>
            <w:pPr>
              <w:pStyle w:val="594"/>
              <w:rPr>
                <w:rFonts w:cs="Times New Roman"/>
                <w:bCs/>
                <w:color w:val="000000" w:themeColor="text1"/>
                <w:kern w:val="2"/>
                <w14:textFill>
                  <w14:solidFill>
                    <w14:schemeClr w14:val="tx1"/>
                  </w14:solidFill>
                </w14:textFill>
              </w:rPr>
            </w:pPr>
            <w:r>
              <w:rPr>
                <w:rFonts w:cs="Times New Roman"/>
                <w:color w:val="000000" w:themeColor="text1"/>
                <w:kern w:val="2"/>
                <w14:textFill>
                  <w14:solidFill>
                    <w14:schemeClr w14:val="tx1"/>
                  </w14:solidFill>
                </w14:textFill>
              </w:rPr>
              <w:t>烟气流量</w:t>
            </w:r>
          </w:p>
        </w:tc>
        <w:tc>
          <w:tcPr>
            <w:tcW w:w="1214" w:type="dxa"/>
            <w:vAlign w:val="center"/>
          </w:tcPr>
          <w:p>
            <w:pPr>
              <w:pStyle w:val="594"/>
              <w:rPr>
                <w:rFonts w:cs="Times New Roman"/>
                <w:bCs/>
                <w:color w:val="000000" w:themeColor="text1"/>
                <w:kern w:val="2"/>
                <w14:textFill>
                  <w14:solidFill>
                    <w14:schemeClr w14:val="tx1"/>
                  </w14:solidFill>
                </w14:textFill>
              </w:rPr>
            </w:pPr>
            <w:r>
              <w:rPr>
                <w:rFonts w:cs="Times New Roman"/>
                <w:bCs/>
                <w:color w:val="000000" w:themeColor="text1"/>
                <w:kern w:val="2"/>
                <w14:textFill>
                  <w14:solidFill>
                    <w14:schemeClr w14:val="tx1"/>
                  </w14:solidFill>
                </w14:textFill>
              </w:rPr>
              <w:t>/</w:t>
            </w:r>
          </w:p>
        </w:tc>
        <w:tc>
          <w:tcPr>
            <w:tcW w:w="1674" w:type="dxa"/>
            <w:vAlign w:val="center"/>
          </w:tcPr>
          <w:p>
            <w:pPr>
              <w:pStyle w:val="594"/>
              <w:rPr>
                <w:rFonts w:cs="Times New Roman"/>
                <w:color w:val="000000" w:themeColor="text1"/>
                <w:kern w:val="2"/>
                <w14:textFill>
                  <w14:solidFill>
                    <w14:schemeClr w14:val="tx1"/>
                  </w14:solidFill>
                </w14:textFill>
              </w:rPr>
            </w:pPr>
            <w:r>
              <w:rPr>
                <w:rFonts w:cs="Times New Roman"/>
                <w:color w:val="000000" w:themeColor="text1"/>
                <w:kern w:val="2"/>
                <w14:textFill>
                  <w14:solidFill>
                    <w14:schemeClr w14:val="tx1"/>
                  </w14:solidFill>
                </w14:textFill>
              </w:rPr>
              <w:t>1247.13Nm</w:t>
            </w:r>
            <w:r>
              <w:rPr>
                <w:rFonts w:cs="Times New Roman"/>
                <w:color w:val="000000" w:themeColor="text1"/>
                <w:kern w:val="2"/>
                <w:vertAlign w:val="superscript"/>
                <w14:textFill>
                  <w14:solidFill>
                    <w14:schemeClr w14:val="tx1"/>
                  </w14:solidFill>
                </w14:textFill>
              </w:rPr>
              <w:t>3</w:t>
            </w:r>
            <w:r>
              <w:rPr>
                <w:rFonts w:cs="Times New Roman"/>
                <w:color w:val="000000" w:themeColor="text1"/>
                <w:kern w:val="2"/>
                <w14:textFill>
                  <w14:solidFill>
                    <w14:schemeClr w14:val="tx1"/>
                  </w14:solidFill>
                </w14:textFill>
              </w:rPr>
              <w:t>/h</w:t>
            </w:r>
          </w:p>
          <w:p>
            <w:pPr>
              <w:pStyle w:val="594"/>
              <w:rPr>
                <w:rFonts w:cs="Times New Roman"/>
                <w:color w:val="000000" w:themeColor="text1"/>
                <w:kern w:val="2"/>
                <w14:textFill>
                  <w14:solidFill>
                    <w14:schemeClr w14:val="tx1"/>
                  </w14:solidFill>
                </w14:textFill>
              </w:rPr>
            </w:pPr>
            <w:r>
              <w:rPr>
                <w:rFonts w:cs="Times New Roman"/>
                <w:color w:val="000000" w:themeColor="text1"/>
                <w:kern w:val="2"/>
                <w14:textFill>
                  <w14:solidFill>
                    <w14:schemeClr w14:val="tx1"/>
                  </w14:solidFill>
                </w14:textFill>
              </w:rPr>
              <w:t>987.7万m</w:t>
            </w:r>
            <w:r>
              <w:rPr>
                <w:rFonts w:cs="Times New Roman"/>
                <w:color w:val="000000" w:themeColor="text1"/>
                <w:kern w:val="2"/>
                <w:vertAlign w:val="superscript"/>
                <w14:textFill>
                  <w14:solidFill>
                    <w14:schemeClr w14:val="tx1"/>
                  </w14:solidFill>
                </w14:textFill>
              </w:rPr>
              <w:t>3</w:t>
            </w:r>
            <w:r>
              <w:rPr>
                <w:rFonts w:cs="Times New Roman"/>
                <w:color w:val="000000" w:themeColor="text1"/>
                <w:kern w:val="2"/>
                <w14:textFill>
                  <w14:solidFill>
                    <w14:schemeClr w14:val="tx1"/>
                  </w14:solidFill>
                </w14:textFill>
              </w:rPr>
              <w:t>/a</w:t>
            </w:r>
          </w:p>
        </w:tc>
        <w:tc>
          <w:tcPr>
            <w:tcW w:w="626" w:type="dxa"/>
            <w:vMerge w:val="restart"/>
            <w:vAlign w:val="center"/>
          </w:tcPr>
          <w:p>
            <w:pPr>
              <w:pStyle w:val="594"/>
              <w:rPr>
                <w:rFonts w:cs="Times New Roman"/>
                <w:bCs/>
                <w:color w:val="000000" w:themeColor="text1"/>
                <w:kern w:val="2"/>
                <w14:textFill>
                  <w14:solidFill>
                    <w14:schemeClr w14:val="tx1"/>
                  </w14:solidFill>
                </w14:textFill>
              </w:rPr>
            </w:pPr>
            <w:r>
              <w:rPr>
                <w:rFonts w:cs="Times New Roman"/>
                <w:bCs/>
                <w:color w:val="000000" w:themeColor="text1"/>
                <w:kern w:val="2"/>
                <w14:textFill>
                  <w14:solidFill>
                    <w14:schemeClr w14:val="tx1"/>
                  </w14:solidFill>
                </w14:textFill>
              </w:rPr>
              <w:t>8m</w:t>
            </w:r>
          </w:p>
        </w:tc>
        <w:tc>
          <w:tcPr>
            <w:tcW w:w="772" w:type="dxa"/>
            <w:vMerge w:val="restart"/>
            <w:vAlign w:val="center"/>
          </w:tcPr>
          <w:p>
            <w:pPr>
              <w:pStyle w:val="594"/>
              <w:rPr>
                <w:rFonts w:cs="Times New Roman"/>
                <w:bCs/>
                <w:color w:val="000000" w:themeColor="text1"/>
                <w:kern w:val="2"/>
                <w14:textFill>
                  <w14:solidFill>
                    <w14:schemeClr w14:val="tx1"/>
                  </w14:solidFill>
                </w14:textFill>
              </w:rPr>
            </w:pPr>
            <w:r>
              <w:rPr>
                <w:rFonts w:cs="Times New Roman"/>
                <w:bCs/>
                <w:color w:val="000000" w:themeColor="text1"/>
                <w:kern w:val="2"/>
                <w14:textFill>
                  <w14:solidFill>
                    <w14:schemeClr w14:val="tx1"/>
                  </w14:solidFill>
                </w14:textFill>
              </w:rPr>
              <w:t>0.2m</w:t>
            </w:r>
          </w:p>
        </w:tc>
        <w:tc>
          <w:tcPr>
            <w:tcW w:w="941" w:type="dxa"/>
            <w:vMerge w:val="restart"/>
            <w:vAlign w:val="center"/>
          </w:tcPr>
          <w:p>
            <w:pPr>
              <w:pStyle w:val="594"/>
              <w:rPr>
                <w:rFonts w:cs="Times New Roman"/>
                <w:bCs/>
                <w:color w:val="000000" w:themeColor="text1"/>
                <w:kern w:val="2"/>
                <w14:textFill>
                  <w14:solidFill>
                    <w14:schemeClr w14:val="tx1"/>
                  </w14:solidFill>
                </w14:textFill>
              </w:rPr>
            </w:pPr>
            <w:r>
              <w:rPr>
                <w:rFonts w:cs="Times New Roman"/>
                <w:bCs/>
                <w:color w:val="000000" w:themeColor="text1"/>
                <w:kern w:val="2"/>
                <w14:textFill>
                  <w14:solidFill>
                    <w14:schemeClr w14:val="tx1"/>
                  </w14:solidFill>
                </w14:textFill>
              </w:rPr>
              <w:t>200</w:t>
            </w:r>
          </w:p>
        </w:tc>
        <w:tc>
          <w:tcPr>
            <w:tcW w:w="1489" w:type="dxa"/>
            <w:vMerge w:val="restart"/>
            <w:vAlign w:val="center"/>
          </w:tcPr>
          <w:p>
            <w:pPr>
              <w:pStyle w:val="594"/>
              <w:rPr>
                <w:rFonts w:cs="Times New Roman"/>
                <w:bCs/>
                <w:color w:val="000000" w:themeColor="text1"/>
                <w:kern w:val="2"/>
                <w14:textFill>
                  <w14:solidFill>
                    <w14:schemeClr w14:val="tx1"/>
                  </w14:solidFill>
                </w14:textFill>
              </w:rPr>
            </w:pPr>
            <w:r>
              <w:rPr>
                <w:rFonts w:cs="Times New Roman"/>
                <w:bCs/>
                <w:color w:val="000000" w:themeColor="text1"/>
                <w14:textFill>
                  <w14:solidFill>
                    <w14:schemeClr w14:val="tx1"/>
                  </w14:solidFill>
                </w14:textFill>
              </w:rPr>
              <w:t>有组织排放，连续24小时，年330天（扣除检修和关井恢复压力期）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jc w:val="center"/>
        </w:trPr>
        <w:tc>
          <w:tcPr>
            <w:tcW w:w="649" w:type="dxa"/>
            <w:vMerge w:val="continue"/>
            <w:vAlign w:val="center"/>
          </w:tcPr>
          <w:p>
            <w:pPr>
              <w:pStyle w:val="594"/>
              <w:rPr>
                <w:rFonts w:cs="Times New Roman"/>
                <w:color w:val="000000" w:themeColor="text1"/>
                <w:kern w:val="2"/>
                <w14:textFill>
                  <w14:solidFill>
                    <w14:schemeClr w14:val="tx1"/>
                  </w14:solidFill>
                </w14:textFill>
              </w:rPr>
            </w:pPr>
          </w:p>
        </w:tc>
        <w:tc>
          <w:tcPr>
            <w:tcW w:w="994" w:type="dxa"/>
            <w:vAlign w:val="center"/>
          </w:tcPr>
          <w:p>
            <w:pPr>
              <w:pStyle w:val="594"/>
              <w:rPr>
                <w:rFonts w:cs="Times New Roman"/>
                <w:color w:val="000000" w:themeColor="text1"/>
                <w:kern w:val="2"/>
                <w14:textFill>
                  <w14:solidFill>
                    <w14:schemeClr w14:val="tx1"/>
                  </w14:solidFill>
                </w14:textFill>
              </w:rPr>
            </w:pPr>
            <w:r>
              <w:rPr>
                <w:rFonts w:hint="eastAsia" w:cs="Times New Roman"/>
                <w:color w:val="000000" w:themeColor="text1"/>
                <w:kern w:val="2"/>
                <w14:textFill>
                  <w14:solidFill>
                    <w14:schemeClr w14:val="tx1"/>
                  </w14:solidFill>
                </w14:textFill>
              </w:rPr>
              <w:t>颗粒物</w:t>
            </w:r>
          </w:p>
        </w:tc>
        <w:tc>
          <w:tcPr>
            <w:tcW w:w="1214" w:type="dxa"/>
            <w:vAlign w:val="center"/>
          </w:tcPr>
          <w:p>
            <w:pPr>
              <w:pStyle w:val="594"/>
              <w:rPr>
                <w:rFonts w:cs="Times New Roman"/>
                <w:bCs/>
                <w:color w:val="000000" w:themeColor="text1"/>
                <w:kern w:val="2"/>
                <w14:textFill>
                  <w14:solidFill>
                    <w14:schemeClr w14:val="tx1"/>
                  </w14:solidFill>
                </w14:textFill>
              </w:rPr>
            </w:pPr>
            <w:r>
              <w:rPr>
                <w:rFonts w:cs="Times New Roman"/>
                <w:bCs/>
                <w:color w:val="000000" w:themeColor="text1"/>
                <w:kern w:val="2"/>
                <w14:textFill>
                  <w14:solidFill>
                    <w14:schemeClr w14:val="tx1"/>
                  </w14:solidFill>
                </w14:textFill>
              </w:rPr>
              <w:t>18.4</w:t>
            </w:r>
          </w:p>
        </w:tc>
        <w:tc>
          <w:tcPr>
            <w:tcW w:w="1674" w:type="dxa"/>
            <w:vAlign w:val="center"/>
          </w:tcPr>
          <w:p>
            <w:pPr>
              <w:pStyle w:val="594"/>
              <w:rPr>
                <w:rFonts w:cs="Times New Roman"/>
                <w:color w:val="000000" w:themeColor="text1"/>
                <w:kern w:val="2"/>
                <w14:textFill>
                  <w14:solidFill>
                    <w14:schemeClr w14:val="tx1"/>
                  </w14:solidFill>
                </w14:textFill>
              </w:rPr>
            </w:pPr>
            <w:r>
              <w:rPr>
                <w:rFonts w:cs="Times New Roman"/>
                <w:color w:val="000000" w:themeColor="text1"/>
                <w:kern w:val="2"/>
                <w14:textFill>
                  <w14:solidFill>
                    <w14:schemeClr w14:val="tx1"/>
                  </w14:solidFill>
                </w14:textFill>
              </w:rPr>
              <w:t>0.182t/a；0.023kg/h</w:t>
            </w:r>
          </w:p>
        </w:tc>
        <w:tc>
          <w:tcPr>
            <w:tcW w:w="626" w:type="dxa"/>
            <w:vMerge w:val="continue"/>
            <w:vAlign w:val="center"/>
          </w:tcPr>
          <w:p>
            <w:pPr>
              <w:pStyle w:val="594"/>
              <w:rPr>
                <w:rFonts w:cs="Times New Roman"/>
                <w:bCs/>
                <w:color w:val="000000" w:themeColor="text1"/>
                <w:kern w:val="2"/>
                <w14:textFill>
                  <w14:solidFill>
                    <w14:schemeClr w14:val="tx1"/>
                  </w14:solidFill>
                </w14:textFill>
              </w:rPr>
            </w:pPr>
          </w:p>
        </w:tc>
        <w:tc>
          <w:tcPr>
            <w:tcW w:w="772" w:type="dxa"/>
            <w:vMerge w:val="continue"/>
            <w:vAlign w:val="center"/>
          </w:tcPr>
          <w:p>
            <w:pPr>
              <w:pStyle w:val="594"/>
              <w:rPr>
                <w:rFonts w:cs="Times New Roman"/>
                <w:bCs/>
                <w:color w:val="000000" w:themeColor="text1"/>
                <w:kern w:val="2"/>
                <w14:textFill>
                  <w14:solidFill>
                    <w14:schemeClr w14:val="tx1"/>
                  </w14:solidFill>
                </w14:textFill>
              </w:rPr>
            </w:pPr>
          </w:p>
        </w:tc>
        <w:tc>
          <w:tcPr>
            <w:tcW w:w="941" w:type="dxa"/>
            <w:vMerge w:val="continue"/>
            <w:vAlign w:val="center"/>
          </w:tcPr>
          <w:p>
            <w:pPr>
              <w:pStyle w:val="594"/>
              <w:rPr>
                <w:rFonts w:cs="Times New Roman"/>
                <w:bCs/>
                <w:color w:val="000000" w:themeColor="text1"/>
                <w:kern w:val="2"/>
                <w14:textFill>
                  <w14:solidFill>
                    <w14:schemeClr w14:val="tx1"/>
                  </w14:solidFill>
                </w14:textFill>
              </w:rPr>
            </w:pPr>
          </w:p>
        </w:tc>
        <w:tc>
          <w:tcPr>
            <w:tcW w:w="1489" w:type="dxa"/>
            <w:vMerge w:val="continue"/>
            <w:vAlign w:val="center"/>
          </w:tcPr>
          <w:p>
            <w:pPr>
              <w:pStyle w:val="594"/>
              <w:rPr>
                <w:rFonts w:cs="Times New Roman"/>
                <w:bCs/>
                <w:color w:val="000000" w:themeColor="text1"/>
                <w:kern w:val="2"/>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jc w:val="center"/>
        </w:trPr>
        <w:tc>
          <w:tcPr>
            <w:tcW w:w="649" w:type="dxa"/>
            <w:vMerge w:val="continue"/>
            <w:vAlign w:val="center"/>
          </w:tcPr>
          <w:p>
            <w:pPr>
              <w:pStyle w:val="594"/>
              <w:rPr>
                <w:rFonts w:cs="Times New Roman"/>
                <w:color w:val="000000" w:themeColor="text1"/>
                <w:kern w:val="2"/>
                <w14:textFill>
                  <w14:solidFill>
                    <w14:schemeClr w14:val="tx1"/>
                  </w14:solidFill>
                </w14:textFill>
              </w:rPr>
            </w:pPr>
          </w:p>
        </w:tc>
        <w:tc>
          <w:tcPr>
            <w:tcW w:w="994" w:type="dxa"/>
            <w:vAlign w:val="center"/>
          </w:tcPr>
          <w:p>
            <w:pPr>
              <w:pStyle w:val="594"/>
              <w:rPr>
                <w:rFonts w:cs="Times New Roman"/>
                <w:color w:val="000000" w:themeColor="text1"/>
                <w:kern w:val="2"/>
                <w14:textFill>
                  <w14:solidFill>
                    <w14:schemeClr w14:val="tx1"/>
                  </w14:solidFill>
                </w14:textFill>
              </w:rPr>
            </w:pPr>
            <w:r>
              <w:rPr>
                <w:rFonts w:cs="Times New Roman"/>
                <w:color w:val="000000" w:themeColor="text1"/>
                <w:kern w:val="2"/>
                <w14:textFill>
                  <w14:solidFill>
                    <w14:schemeClr w14:val="tx1"/>
                  </w14:solidFill>
                </w14:textFill>
              </w:rPr>
              <w:t>SO</w:t>
            </w:r>
            <w:r>
              <w:rPr>
                <w:rFonts w:cs="Times New Roman"/>
                <w:color w:val="000000" w:themeColor="text1"/>
                <w:kern w:val="2"/>
                <w:vertAlign w:val="subscript"/>
                <w14:textFill>
                  <w14:solidFill>
                    <w14:schemeClr w14:val="tx1"/>
                  </w14:solidFill>
                </w14:textFill>
              </w:rPr>
              <w:t>2</w:t>
            </w:r>
          </w:p>
        </w:tc>
        <w:tc>
          <w:tcPr>
            <w:tcW w:w="1214" w:type="dxa"/>
            <w:vAlign w:val="center"/>
          </w:tcPr>
          <w:p>
            <w:pPr>
              <w:pStyle w:val="594"/>
              <w:rPr>
                <w:rFonts w:cs="Times New Roman"/>
                <w:bCs/>
                <w:color w:val="000000" w:themeColor="text1"/>
                <w:kern w:val="2"/>
                <w14:textFill>
                  <w14:solidFill>
                    <w14:schemeClr w14:val="tx1"/>
                  </w14:solidFill>
                </w14:textFill>
              </w:rPr>
            </w:pPr>
            <w:r>
              <w:rPr>
                <w:rFonts w:cs="Times New Roman"/>
                <w:bCs/>
                <w:color w:val="000000" w:themeColor="text1"/>
                <w:kern w:val="2"/>
                <w14:textFill>
                  <w14:solidFill>
                    <w14:schemeClr w14:val="tx1"/>
                  </w14:solidFill>
                </w14:textFill>
              </w:rPr>
              <w:t>0.67</w:t>
            </w:r>
          </w:p>
        </w:tc>
        <w:tc>
          <w:tcPr>
            <w:tcW w:w="1674" w:type="dxa"/>
            <w:vAlign w:val="center"/>
          </w:tcPr>
          <w:p>
            <w:pPr>
              <w:pStyle w:val="594"/>
              <w:rPr>
                <w:rFonts w:cs="Times New Roman"/>
                <w:color w:val="000000" w:themeColor="text1"/>
                <w:kern w:val="2"/>
                <w14:textFill>
                  <w14:solidFill>
                    <w14:schemeClr w14:val="tx1"/>
                  </w14:solidFill>
                </w14:textFill>
              </w:rPr>
            </w:pPr>
            <w:r>
              <w:rPr>
                <w:rFonts w:cs="Times New Roman"/>
                <w:color w:val="000000" w:themeColor="text1"/>
                <w:kern w:val="2"/>
                <w14:textFill>
                  <w14:solidFill>
                    <w14:schemeClr w14:val="tx1"/>
                  </w14:solidFill>
                </w14:textFill>
              </w:rPr>
              <w:t>0.011t/a；0.0014kg/h</w:t>
            </w:r>
          </w:p>
        </w:tc>
        <w:tc>
          <w:tcPr>
            <w:tcW w:w="626" w:type="dxa"/>
            <w:vMerge w:val="continue"/>
            <w:vAlign w:val="center"/>
          </w:tcPr>
          <w:p>
            <w:pPr>
              <w:pStyle w:val="594"/>
              <w:rPr>
                <w:rFonts w:cs="Times New Roman"/>
                <w:bCs/>
                <w:color w:val="000000" w:themeColor="text1"/>
                <w:kern w:val="2"/>
                <w14:textFill>
                  <w14:solidFill>
                    <w14:schemeClr w14:val="tx1"/>
                  </w14:solidFill>
                </w14:textFill>
              </w:rPr>
            </w:pPr>
          </w:p>
        </w:tc>
        <w:tc>
          <w:tcPr>
            <w:tcW w:w="772" w:type="dxa"/>
            <w:vMerge w:val="continue"/>
            <w:vAlign w:val="center"/>
          </w:tcPr>
          <w:p>
            <w:pPr>
              <w:pStyle w:val="594"/>
              <w:rPr>
                <w:rFonts w:cs="Times New Roman"/>
                <w:bCs/>
                <w:color w:val="000000" w:themeColor="text1"/>
                <w:kern w:val="2"/>
                <w14:textFill>
                  <w14:solidFill>
                    <w14:schemeClr w14:val="tx1"/>
                  </w14:solidFill>
                </w14:textFill>
              </w:rPr>
            </w:pPr>
          </w:p>
        </w:tc>
        <w:tc>
          <w:tcPr>
            <w:tcW w:w="941" w:type="dxa"/>
            <w:vMerge w:val="continue"/>
            <w:vAlign w:val="center"/>
          </w:tcPr>
          <w:p>
            <w:pPr>
              <w:pStyle w:val="594"/>
              <w:rPr>
                <w:rFonts w:cs="Times New Roman"/>
                <w:bCs/>
                <w:color w:val="000000" w:themeColor="text1"/>
                <w:kern w:val="2"/>
                <w14:textFill>
                  <w14:solidFill>
                    <w14:schemeClr w14:val="tx1"/>
                  </w14:solidFill>
                </w14:textFill>
              </w:rPr>
            </w:pPr>
          </w:p>
        </w:tc>
        <w:tc>
          <w:tcPr>
            <w:tcW w:w="1489" w:type="dxa"/>
            <w:vMerge w:val="continue"/>
            <w:vAlign w:val="center"/>
          </w:tcPr>
          <w:p>
            <w:pPr>
              <w:pStyle w:val="594"/>
              <w:rPr>
                <w:rFonts w:cs="Times New Roman"/>
                <w:bCs/>
                <w:color w:val="000000" w:themeColor="text1"/>
                <w:kern w:val="2"/>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3" w:type="dxa"/>
            <w:bottom w:w="0" w:type="dxa"/>
            <w:right w:w="23" w:type="dxa"/>
          </w:tblCellMar>
        </w:tblPrEx>
        <w:trPr>
          <w:jc w:val="center"/>
        </w:trPr>
        <w:tc>
          <w:tcPr>
            <w:tcW w:w="649" w:type="dxa"/>
            <w:vMerge w:val="continue"/>
            <w:vAlign w:val="center"/>
          </w:tcPr>
          <w:p>
            <w:pPr>
              <w:pStyle w:val="594"/>
              <w:rPr>
                <w:rFonts w:cs="Times New Roman"/>
                <w:color w:val="000000" w:themeColor="text1"/>
                <w:kern w:val="2"/>
                <w14:textFill>
                  <w14:solidFill>
                    <w14:schemeClr w14:val="tx1"/>
                  </w14:solidFill>
                </w14:textFill>
              </w:rPr>
            </w:pPr>
          </w:p>
        </w:tc>
        <w:tc>
          <w:tcPr>
            <w:tcW w:w="994" w:type="dxa"/>
            <w:vAlign w:val="center"/>
          </w:tcPr>
          <w:p>
            <w:pPr>
              <w:pStyle w:val="594"/>
              <w:rPr>
                <w:rFonts w:cs="Times New Roman"/>
                <w:color w:val="000000" w:themeColor="text1"/>
                <w:kern w:val="2"/>
                <w14:textFill>
                  <w14:solidFill>
                    <w14:schemeClr w14:val="tx1"/>
                  </w14:solidFill>
                </w14:textFill>
              </w:rPr>
            </w:pPr>
            <w:r>
              <w:rPr>
                <w:rFonts w:cs="Times New Roman"/>
                <w:color w:val="000000" w:themeColor="text1"/>
                <w:kern w:val="2"/>
                <w14:textFill>
                  <w14:solidFill>
                    <w14:schemeClr w14:val="tx1"/>
                  </w14:solidFill>
                </w14:textFill>
              </w:rPr>
              <w:t>NOx</w:t>
            </w:r>
          </w:p>
        </w:tc>
        <w:tc>
          <w:tcPr>
            <w:tcW w:w="1214" w:type="dxa"/>
            <w:vAlign w:val="center"/>
          </w:tcPr>
          <w:p>
            <w:pPr>
              <w:pStyle w:val="594"/>
              <w:rPr>
                <w:rFonts w:cs="Times New Roman"/>
                <w:bCs/>
                <w:color w:val="000000" w:themeColor="text1"/>
                <w:kern w:val="2"/>
                <w14:textFill>
                  <w14:solidFill>
                    <w14:schemeClr w14:val="tx1"/>
                  </w14:solidFill>
                </w14:textFill>
              </w:rPr>
            </w:pPr>
            <w:r>
              <w:rPr>
                <w:rFonts w:cs="Times New Roman"/>
                <w:color w:val="000000" w:themeColor="text1"/>
                <w:kern w:val="2"/>
                <w14:textFill>
                  <w14:solidFill>
                    <w14:schemeClr w14:val="tx1"/>
                  </w14:solidFill>
                </w14:textFill>
              </w:rPr>
              <w:t>64.86</w:t>
            </w:r>
          </w:p>
        </w:tc>
        <w:tc>
          <w:tcPr>
            <w:tcW w:w="1674" w:type="dxa"/>
            <w:vAlign w:val="center"/>
          </w:tcPr>
          <w:p>
            <w:pPr>
              <w:pStyle w:val="594"/>
              <w:rPr>
                <w:rFonts w:cs="Times New Roman"/>
                <w:bCs/>
                <w:color w:val="000000" w:themeColor="text1"/>
                <w:kern w:val="2"/>
                <w14:textFill>
                  <w14:solidFill>
                    <w14:schemeClr w14:val="tx1"/>
                  </w14:solidFill>
                </w14:textFill>
              </w:rPr>
            </w:pPr>
            <w:r>
              <w:rPr>
                <w:rFonts w:cs="Times New Roman"/>
                <w:color w:val="000000" w:themeColor="text1"/>
                <w:kern w:val="2"/>
                <w14:textFill>
                  <w14:solidFill>
                    <w14:schemeClr w14:val="tx1"/>
                  </w14:solidFill>
                </w14:textFill>
              </w:rPr>
              <w:t>0.64t/a；0.081kg/h</w:t>
            </w:r>
          </w:p>
        </w:tc>
        <w:tc>
          <w:tcPr>
            <w:tcW w:w="626" w:type="dxa"/>
            <w:vMerge w:val="continue"/>
            <w:vAlign w:val="center"/>
          </w:tcPr>
          <w:p>
            <w:pPr>
              <w:pStyle w:val="594"/>
              <w:rPr>
                <w:rFonts w:cs="Times New Roman"/>
                <w:bCs/>
                <w:color w:val="000000" w:themeColor="text1"/>
                <w:kern w:val="2"/>
                <w14:textFill>
                  <w14:solidFill>
                    <w14:schemeClr w14:val="tx1"/>
                  </w14:solidFill>
                </w14:textFill>
              </w:rPr>
            </w:pPr>
          </w:p>
        </w:tc>
        <w:tc>
          <w:tcPr>
            <w:tcW w:w="772" w:type="dxa"/>
            <w:vMerge w:val="continue"/>
            <w:vAlign w:val="center"/>
          </w:tcPr>
          <w:p>
            <w:pPr>
              <w:pStyle w:val="594"/>
              <w:rPr>
                <w:rFonts w:cs="Times New Roman"/>
                <w:bCs/>
                <w:color w:val="000000" w:themeColor="text1"/>
                <w:kern w:val="2"/>
                <w14:textFill>
                  <w14:solidFill>
                    <w14:schemeClr w14:val="tx1"/>
                  </w14:solidFill>
                </w14:textFill>
              </w:rPr>
            </w:pPr>
          </w:p>
        </w:tc>
        <w:tc>
          <w:tcPr>
            <w:tcW w:w="941" w:type="dxa"/>
            <w:vMerge w:val="continue"/>
            <w:vAlign w:val="center"/>
          </w:tcPr>
          <w:p>
            <w:pPr>
              <w:pStyle w:val="594"/>
              <w:rPr>
                <w:rFonts w:cs="Times New Roman"/>
                <w:bCs/>
                <w:color w:val="000000" w:themeColor="text1"/>
                <w:kern w:val="2"/>
                <w14:textFill>
                  <w14:solidFill>
                    <w14:schemeClr w14:val="tx1"/>
                  </w14:solidFill>
                </w14:textFill>
              </w:rPr>
            </w:pPr>
          </w:p>
        </w:tc>
        <w:tc>
          <w:tcPr>
            <w:tcW w:w="1489" w:type="dxa"/>
            <w:vMerge w:val="continue"/>
            <w:vAlign w:val="center"/>
          </w:tcPr>
          <w:p>
            <w:pPr>
              <w:pStyle w:val="594"/>
              <w:rPr>
                <w:rFonts w:cs="Times New Roman"/>
                <w:bCs/>
                <w:color w:val="000000" w:themeColor="text1"/>
                <w:kern w:val="2"/>
                <w14:textFill>
                  <w14:solidFill>
                    <w14:schemeClr w14:val="tx1"/>
                  </w14:solidFill>
                </w14:textFill>
              </w:rPr>
            </w:pPr>
          </w:p>
        </w:tc>
      </w:tr>
    </w:tbl>
    <w:p>
      <w:pPr>
        <w:spacing w:before="120" w:beforeLines="5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本项目依托使用的水套炉燃烧废气通过水套炉自带8m高排气筒排放，已通过环保验收，满足《锅炉大气污染物排放标准》（GB13271-2014）中大气污染物NOx：200mg/m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、SO</w:t>
      </w:r>
      <w:r>
        <w:rPr>
          <w:rFonts w:cs="Times New Roman"/>
          <w:color w:val="000000" w:themeColor="text1"/>
          <w:szCs w:val="24"/>
          <w:vertAlign w:val="subscript"/>
          <w14:textFill>
            <w14:solidFill>
              <w14:schemeClr w14:val="tx1"/>
            </w14:solidFill>
          </w14:textFill>
        </w:rPr>
        <w:t>2</w:t>
      </w:r>
      <w:r>
        <w:rPr>
          <w:rFonts w:cs="Times New Roman"/>
          <w:color w:val="000000" w:themeColor="text1"/>
          <w:szCs w:val="24"/>
          <w14:textFill>
            <w14:solidFill>
              <w14:schemeClr w14:val="tx1"/>
            </w14:solidFill>
          </w14:textFill>
        </w:rPr>
        <w:t>：50mg/m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w:t>
      </w:r>
      <w:r>
        <w:rPr>
          <w:rFonts w:hint="eastAsia" w:cs="Times New Roman"/>
          <w:color w:val="000000" w:themeColor="text1"/>
          <w:szCs w:val="24"/>
          <w14:textFill>
            <w14:solidFill>
              <w14:schemeClr w14:val="tx1"/>
            </w14:solidFill>
          </w14:textFill>
        </w:rPr>
        <w:t>颗粒物</w:t>
      </w:r>
      <w:r>
        <w:rPr>
          <w:rFonts w:cs="Times New Roman"/>
          <w:color w:val="000000" w:themeColor="text1"/>
          <w:szCs w:val="24"/>
          <w14:textFill>
            <w14:solidFill>
              <w14:schemeClr w14:val="tx1"/>
            </w14:solidFill>
          </w14:textFill>
        </w:rPr>
        <w:t>：20mg/m</w:t>
      </w:r>
      <w:r>
        <w:rPr>
          <w:rFonts w:cs="Times New Roman"/>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的</w:t>
      </w:r>
      <w:r>
        <w:rPr>
          <w:rFonts w:cs="Times New Roman"/>
          <w:color w:val="000000" w:themeColor="text1"/>
          <w:szCs w:val="24"/>
          <w14:textFill>
            <w14:solidFill>
              <w14:schemeClr w14:val="tx1"/>
            </w14:solidFill>
          </w14:textFill>
        </w:rPr>
        <w:t>排放浓度限值要求。</w:t>
      </w:r>
    </w:p>
    <w:p>
      <w:pPr>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2、非正常工况设备检修或系统超压时排放少量天然气燃烧废气</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非正常工况主要废气为站场检修/事故放空废气，项目装置检修时为保证检修过程的安全，需排空装置及管道内的残留天然气，残留天然气通过放空系统点火排放。本项目运营期依托P301集气站已建的放空火炬，本项目的运营不会增加火炬头长明灯废气量。</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本项目建成后，因此非正常运行状态检修废气或系统超压等情况产生的事故放空废气不会增加。</w:t>
      </w:r>
    </w:p>
    <w:bookmarkEnd w:id="168"/>
    <w:bookmarkEnd w:id="169"/>
    <w:p>
      <w:pPr>
        <w:pStyle w:val="5"/>
      </w:pPr>
      <w:r>
        <w:rPr>
          <w:rFonts w:hint="eastAsia"/>
        </w:rPr>
        <w:t>3.4.2.2</w:t>
      </w:r>
      <w:r>
        <w:t>废水</w:t>
      </w:r>
    </w:p>
    <w:p>
      <w:pPr>
        <w:pStyle w:val="249"/>
        <w:ind w:firstLine="480"/>
        <w:rPr>
          <w:b/>
          <w:bCs/>
          <w:color w:val="000000" w:themeColor="text1"/>
          <w14:textFill>
            <w14:solidFill>
              <w14:schemeClr w14:val="tx1"/>
            </w14:solidFill>
          </w14:textFill>
        </w:rPr>
      </w:pPr>
      <w:r>
        <w:rPr>
          <w:bCs/>
          <w:color w:val="000000" w:themeColor="text1"/>
          <w14:textFill>
            <w14:solidFill>
              <w14:schemeClr w14:val="tx1"/>
            </w14:solidFill>
          </w14:textFill>
        </w:rPr>
        <w:t>本项目建成后，试采期废水主要为采气废水、非正常工况井下作业废水，本项目依托P3011采气站采气，试采站为无人值守井站，工作人员不新增，因此无新增生活污水产生。具体产生情况分析如下</w:t>
      </w:r>
      <w:r>
        <w:rPr>
          <w:color w:val="000000" w:themeColor="text1"/>
          <w14:textFill>
            <w14:solidFill>
              <w14:schemeClr w14:val="tx1"/>
            </w14:solidFill>
          </w14:textFill>
        </w:rPr>
        <w:t>。</w:t>
      </w:r>
    </w:p>
    <w:p>
      <w:pPr>
        <w:pStyle w:val="249"/>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1）采气废水</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工程拟新建实验性探井1口，</w:t>
      </w:r>
      <w:bookmarkStart w:id="172" w:name="OLE_LINK272"/>
      <w:bookmarkStart w:id="173" w:name="OLE_LINK273"/>
      <w:r>
        <w:rPr>
          <w:color w:val="000000" w:themeColor="text1"/>
          <w14:textFill>
            <w14:solidFill>
              <w14:schemeClr w14:val="tx1"/>
            </w14:solidFill>
          </w14:textFill>
        </w:rPr>
        <w:t>普光3011-6井建成后采气经采气树一级节流后，通过新建采气管线输送至P3011采气站，依托采气站内已建的加热炉进行加热，加热后与P3011-1井、P3011-5井出气一同输入P301集气站，依托集气站内计量分离后外输进入天然气净化厂。项目试采期初期来气直接气液混输P3011采气站内新建的临时分酸分离器进行脱水分离，分离后经新建酸液缓冲罐收集暂存，P301集气站内分离器出气田水排至P301集气站内已建的火炬分液罐暂存，然后一并通过密闭罐车拉运至赵家坝污水处理站达到《气田水回注方法》（SY/T 6596-2016）中注入水基本要求后管输至普光11井回注站回注处理，不外排；</w:t>
      </w:r>
      <w:r>
        <w:rPr>
          <w:bCs/>
          <w:color w:val="000000" w:themeColor="text1"/>
          <w14:textFill>
            <w14:solidFill>
              <w14:schemeClr w14:val="tx1"/>
            </w14:solidFill>
          </w14:textFill>
        </w:rPr>
        <w:t>根据类比调查301集气站内已建成的气井运行情况，单井采气废水量约10m</w:t>
      </w:r>
      <w:r>
        <w:rPr>
          <w:bCs/>
          <w:color w:val="000000" w:themeColor="text1"/>
          <w:vertAlign w:val="superscript"/>
          <w14:textFill>
            <w14:solidFill>
              <w14:schemeClr w14:val="tx1"/>
            </w14:solidFill>
          </w14:textFill>
        </w:rPr>
        <w:t>3</w:t>
      </w:r>
      <w:r>
        <w:rPr>
          <w:bCs/>
          <w:color w:val="000000" w:themeColor="text1"/>
          <w14:textFill>
            <w14:solidFill>
              <w14:schemeClr w14:val="tx1"/>
            </w14:solidFill>
          </w14:textFill>
        </w:rPr>
        <w:t>/d</w:t>
      </w:r>
      <w:r>
        <w:rPr>
          <w:color w:val="000000" w:themeColor="text1"/>
          <w14:textFill>
            <w14:solidFill>
              <w14:schemeClr w14:val="tx1"/>
            </w14:solidFill>
          </w14:textFill>
        </w:rPr>
        <w:t>。</w:t>
      </w:r>
      <w:bookmarkEnd w:id="172"/>
      <w:bookmarkEnd w:id="173"/>
    </w:p>
    <w:p>
      <w:pPr>
        <w:ind w:firstLine="480"/>
        <w:rPr>
          <w:rFonts w:cs="Times New Roman"/>
          <w:b/>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气田水水质情况参照2021年12月31日D403集气站外输污水管道监测数据，详见</w:t>
      </w:r>
      <w:r>
        <w:rPr>
          <w:rFonts w:cs="Times New Roman"/>
          <w:bCs/>
          <w:color w:val="000000" w:themeColor="text1"/>
          <w14:textFill>
            <w14:solidFill>
              <w14:schemeClr w14:val="tx1"/>
            </w14:solidFill>
          </w14:textFill>
        </w:rPr>
        <w:fldChar w:fldCharType="begin"/>
      </w:r>
      <w:r>
        <w:rPr>
          <w:rFonts w:cs="Times New Roman"/>
          <w:bCs/>
          <w:color w:val="000000" w:themeColor="text1"/>
          <w14:textFill>
            <w14:solidFill>
              <w14:schemeClr w14:val="tx1"/>
            </w14:solidFill>
          </w14:textFill>
        </w:rPr>
        <w:instrText xml:space="preserve"> REF _Ref142593553 \h  \* MERGEFORMAT </w:instrText>
      </w:r>
      <w:r>
        <w:rPr>
          <w:rFonts w:cs="Times New Roman"/>
          <w:bCs/>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表3.4</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13</w:t>
      </w:r>
      <w:r>
        <w:rPr>
          <w:rFonts w:cs="Times New Roman"/>
          <w:bCs/>
          <w:color w:val="000000" w:themeColor="text1"/>
          <w14:textFill>
            <w14:solidFill>
              <w14:schemeClr w14:val="tx1"/>
            </w14:solidFill>
          </w14:textFill>
        </w:rPr>
        <w:fldChar w:fldCharType="end"/>
      </w:r>
      <w:r>
        <w:rPr>
          <w:rFonts w:cs="Times New Roman"/>
          <w:bCs/>
          <w:color w:val="000000" w:themeColor="text1"/>
          <w14:textFill>
            <w14:solidFill>
              <w14:schemeClr w14:val="tx1"/>
            </w14:solidFill>
          </w14:textFill>
        </w:rPr>
        <w:t>。</w:t>
      </w:r>
    </w:p>
    <w:p>
      <w:pPr>
        <w:pStyle w:val="95"/>
      </w:pPr>
      <w:bookmarkStart w:id="174" w:name="_Ref142593553"/>
      <w:r>
        <w:t>表</w:t>
      </w:r>
      <w:r>
        <w:fldChar w:fldCharType="begin"/>
      </w:r>
      <w:r>
        <w:instrText xml:space="preserve"> STYLEREF 2 \s </w:instrText>
      </w:r>
      <w:r>
        <w:fldChar w:fldCharType="separate"/>
      </w:r>
      <w:r>
        <w:t>3.4</w:t>
      </w:r>
      <w:r>
        <w:fldChar w:fldCharType="end"/>
      </w:r>
      <w:r>
        <w:noBreakHyphen/>
      </w:r>
      <w:r>
        <w:fldChar w:fldCharType="begin"/>
      </w:r>
      <w:r>
        <w:instrText xml:space="preserve"> SEQ 表 \* ARABIC \s 2 </w:instrText>
      </w:r>
      <w:r>
        <w:fldChar w:fldCharType="separate"/>
      </w:r>
      <w:r>
        <w:t>13</w:t>
      </w:r>
      <w:r>
        <w:fldChar w:fldCharType="end"/>
      </w:r>
      <w:bookmarkEnd w:id="174"/>
      <w:r>
        <w:t xml:space="preserve"> 采气废水水质一览表</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834"/>
        <w:gridCol w:w="703"/>
        <w:gridCol w:w="828"/>
        <w:gridCol w:w="710"/>
        <w:gridCol w:w="710"/>
        <w:gridCol w:w="1302"/>
        <w:gridCol w:w="966"/>
        <w:gridCol w:w="1076"/>
        <w:gridCol w:w="123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8" w:hRule="atLeast"/>
          <w:jc w:val="center"/>
        </w:trPr>
        <w:tc>
          <w:tcPr>
            <w:tcW w:w="499" w:type="pct"/>
            <w:shd w:val="clear" w:color="auto" w:fill="FFFFFF"/>
            <w:tcMar>
              <w:top w:w="15" w:type="dxa"/>
              <w:left w:w="46" w:type="dxa"/>
              <w:bottom w:w="0" w:type="dxa"/>
              <w:right w:w="46" w:type="dxa"/>
            </w:tcMar>
            <w:vAlign w:val="center"/>
          </w:tcPr>
          <w:p>
            <w:pPr>
              <w:pStyle w:val="294"/>
            </w:pPr>
            <w:r>
              <w:t>项目</w:t>
            </w:r>
          </w:p>
        </w:tc>
        <w:tc>
          <w:tcPr>
            <w:tcW w:w="420" w:type="pct"/>
            <w:shd w:val="clear" w:color="auto" w:fill="FFFFFF"/>
            <w:tcMar>
              <w:top w:w="15" w:type="dxa"/>
              <w:left w:w="46" w:type="dxa"/>
              <w:bottom w:w="0" w:type="dxa"/>
              <w:right w:w="46" w:type="dxa"/>
            </w:tcMar>
            <w:vAlign w:val="center"/>
          </w:tcPr>
          <w:p>
            <w:pPr>
              <w:pStyle w:val="294"/>
            </w:pPr>
            <w:r>
              <w:t>pH值</w:t>
            </w:r>
          </w:p>
        </w:tc>
        <w:tc>
          <w:tcPr>
            <w:tcW w:w="495" w:type="pct"/>
            <w:shd w:val="clear" w:color="auto" w:fill="FFFFFF"/>
            <w:vAlign w:val="center"/>
          </w:tcPr>
          <w:p>
            <w:pPr>
              <w:pStyle w:val="294"/>
            </w:pPr>
            <w:r>
              <w:t>溶解氧</w:t>
            </w:r>
          </w:p>
        </w:tc>
        <w:tc>
          <w:tcPr>
            <w:tcW w:w="424" w:type="pct"/>
            <w:shd w:val="clear" w:color="auto" w:fill="FFFFFF"/>
            <w:vAlign w:val="center"/>
          </w:tcPr>
          <w:p>
            <w:pPr>
              <w:pStyle w:val="294"/>
            </w:pPr>
            <w:r>
              <w:t>硫化物</w:t>
            </w:r>
          </w:p>
        </w:tc>
        <w:tc>
          <w:tcPr>
            <w:tcW w:w="424" w:type="pct"/>
            <w:shd w:val="clear" w:color="auto" w:fill="FFFFFF"/>
            <w:tcMar>
              <w:top w:w="15" w:type="dxa"/>
              <w:left w:w="46" w:type="dxa"/>
              <w:bottom w:w="0" w:type="dxa"/>
              <w:right w:w="46" w:type="dxa"/>
            </w:tcMar>
            <w:vAlign w:val="center"/>
          </w:tcPr>
          <w:p>
            <w:pPr>
              <w:pStyle w:val="294"/>
            </w:pPr>
            <w:r>
              <w:t>含油量</w:t>
            </w:r>
          </w:p>
        </w:tc>
        <w:tc>
          <w:tcPr>
            <w:tcW w:w="778" w:type="pct"/>
            <w:shd w:val="clear" w:color="auto" w:fill="FFFFFF"/>
            <w:tcMar>
              <w:top w:w="15" w:type="dxa"/>
              <w:left w:w="46" w:type="dxa"/>
              <w:bottom w:w="0" w:type="dxa"/>
              <w:right w:w="46" w:type="dxa"/>
            </w:tcMar>
            <w:vAlign w:val="center"/>
          </w:tcPr>
          <w:p>
            <w:pPr>
              <w:pStyle w:val="294"/>
            </w:pPr>
            <w:r>
              <w:t>悬浮固体含量</w:t>
            </w:r>
          </w:p>
        </w:tc>
        <w:tc>
          <w:tcPr>
            <w:tcW w:w="577" w:type="pct"/>
            <w:shd w:val="clear" w:color="auto" w:fill="FFFFFF"/>
            <w:tcMar>
              <w:top w:w="15" w:type="dxa"/>
              <w:left w:w="46" w:type="dxa"/>
              <w:bottom w:w="0" w:type="dxa"/>
              <w:right w:w="46" w:type="dxa"/>
            </w:tcMar>
            <w:vAlign w:val="center"/>
          </w:tcPr>
          <w:p>
            <w:pPr>
              <w:pStyle w:val="294"/>
            </w:pPr>
            <w:r>
              <w:t>二价铁含量</w:t>
            </w:r>
          </w:p>
        </w:tc>
        <w:tc>
          <w:tcPr>
            <w:tcW w:w="643" w:type="pct"/>
            <w:shd w:val="clear" w:color="auto" w:fill="FFFFFF"/>
            <w:vAlign w:val="center"/>
          </w:tcPr>
          <w:p>
            <w:pPr>
              <w:pStyle w:val="294"/>
            </w:pPr>
            <w:r>
              <w:t>总铁含量</w:t>
            </w:r>
          </w:p>
        </w:tc>
        <w:tc>
          <w:tcPr>
            <w:tcW w:w="739" w:type="pct"/>
            <w:shd w:val="clear" w:color="auto" w:fill="FFFFFF"/>
          </w:tcPr>
          <w:p>
            <w:pPr>
              <w:pStyle w:val="294"/>
            </w:pPr>
            <w:r>
              <w:t>悬浮物颗粒直径中值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4" w:hRule="atLeast"/>
          <w:jc w:val="center"/>
        </w:trPr>
        <w:tc>
          <w:tcPr>
            <w:tcW w:w="499" w:type="pct"/>
            <w:shd w:val="clear" w:color="auto" w:fill="FFFFFF"/>
            <w:tcMar>
              <w:top w:w="15" w:type="dxa"/>
              <w:left w:w="46" w:type="dxa"/>
              <w:bottom w:w="0" w:type="dxa"/>
              <w:right w:w="46" w:type="dxa"/>
            </w:tcMar>
            <w:vAlign w:val="center"/>
          </w:tcPr>
          <w:p>
            <w:pPr>
              <w:pStyle w:val="294"/>
            </w:pPr>
            <w:r>
              <w:t>浓度</w:t>
            </w:r>
          </w:p>
        </w:tc>
        <w:tc>
          <w:tcPr>
            <w:tcW w:w="420" w:type="pct"/>
            <w:shd w:val="clear" w:color="auto" w:fill="FFFFFF"/>
            <w:tcMar>
              <w:top w:w="15" w:type="dxa"/>
              <w:left w:w="15" w:type="dxa"/>
              <w:bottom w:w="0" w:type="dxa"/>
              <w:right w:w="15" w:type="dxa"/>
            </w:tcMar>
            <w:vAlign w:val="center"/>
          </w:tcPr>
          <w:p>
            <w:pPr>
              <w:pStyle w:val="294"/>
            </w:pPr>
            <w:r>
              <w:t>7.0</w:t>
            </w:r>
          </w:p>
        </w:tc>
        <w:tc>
          <w:tcPr>
            <w:tcW w:w="495" w:type="pct"/>
            <w:shd w:val="clear" w:color="auto" w:fill="FFFFFF"/>
            <w:vAlign w:val="center"/>
          </w:tcPr>
          <w:p>
            <w:pPr>
              <w:pStyle w:val="294"/>
            </w:pPr>
            <w:r>
              <w:t>0.20</w:t>
            </w:r>
          </w:p>
        </w:tc>
        <w:tc>
          <w:tcPr>
            <w:tcW w:w="424" w:type="pct"/>
            <w:shd w:val="clear" w:color="auto" w:fill="FFFFFF"/>
            <w:vAlign w:val="center"/>
          </w:tcPr>
          <w:p>
            <w:pPr>
              <w:pStyle w:val="294"/>
            </w:pPr>
            <w:r>
              <w:t>0.0</w:t>
            </w:r>
          </w:p>
        </w:tc>
        <w:tc>
          <w:tcPr>
            <w:tcW w:w="424" w:type="pct"/>
            <w:shd w:val="clear" w:color="auto" w:fill="FFFFFF"/>
            <w:tcMar>
              <w:top w:w="15" w:type="dxa"/>
              <w:left w:w="46" w:type="dxa"/>
              <w:bottom w:w="0" w:type="dxa"/>
              <w:right w:w="46" w:type="dxa"/>
            </w:tcMar>
            <w:vAlign w:val="center"/>
          </w:tcPr>
          <w:p>
            <w:pPr>
              <w:pStyle w:val="294"/>
            </w:pPr>
            <w:r>
              <w:t>2.3</w:t>
            </w:r>
          </w:p>
        </w:tc>
        <w:tc>
          <w:tcPr>
            <w:tcW w:w="778" w:type="pct"/>
            <w:shd w:val="clear" w:color="auto" w:fill="FFFFFF"/>
            <w:tcMar>
              <w:top w:w="15" w:type="dxa"/>
              <w:left w:w="46" w:type="dxa"/>
              <w:bottom w:w="0" w:type="dxa"/>
              <w:right w:w="46" w:type="dxa"/>
            </w:tcMar>
            <w:vAlign w:val="center"/>
          </w:tcPr>
          <w:p>
            <w:pPr>
              <w:pStyle w:val="294"/>
            </w:pPr>
            <w:r>
              <w:t>1.0</w:t>
            </w:r>
          </w:p>
        </w:tc>
        <w:tc>
          <w:tcPr>
            <w:tcW w:w="577" w:type="pct"/>
            <w:shd w:val="clear" w:color="auto" w:fill="FFFFFF"/>
            <w:tcMar>
              <w:top w:w="15" w:type="dxa"/>
              <w:left w:w="46" w:type="dxa"/>
              <w:bottom w:w="0" w:type="dxa"/>
              <w:right w:w="46" w:type="dxa"/>
            </w:tcMar>
            <w:vAlign w:val="center"/>
          </w:tcPr>
          <w:p>
            <w:pPr>
              <w:pStyle w:val="294"/>
            </w:pPr>
            <w:r>
              <w:t>/</w:t>
            </w:r>
          </w:p>
        </w:tc>
        <w:tc>
          <w:tcPr>
            <w:tcW w:w="643" w:type="pct"/>
            <w:shd w:val="clear" w:color="auto" w:fill="FFFFFF"/>
            <w:vAlign w:val="center"/>
          </w:tcPr>
          <w:p>
            <w:pPr>
              <w:pStyle w:val="294"/>
            </w:pPr>
            <w:r>
              <w:t>/</w:t>
            </w:r>
          </w:p>
        </w:tc>
        <w:tc>
          <w:tcPr>
            <w:tcW w:w="739" w:type="pct"/>
            <w:shd w:val="clear" w:color="auto" w:fill="FFFFFF"/>
            <w:vAlign w:val="center"/>
          </w:tcPr>
          <w:p>
            <w:pPr>
              <w:pStyle w:val="294"/>
            </w:pPr>
            <w:r>
              <w:t>1.6</w:t>
            </w:r>
          </w:p>
        </w:tc>
      </w:tr>
    </w:tbl>
    <w:p>
      <w:pPr>
        <w:autoSpaceDE w:val="0"/>
        <w:autoSpaceDN w:val="0"/>
        <w:spacing w:before="120" w:beforeLines="50"/>
        <w:ind w:firstLine="482"/>
        <w:textAlignment w:val="baseline"/>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2）非正常工况井下作业废水</w:t>
      </w:r>
    </w:p>
    <w:p>
      <w:pPr>
        <w:autoSpaceDE w:val="0"/>
        <w:autoSpaceDN w:val="0"/>
        <w:ind w:firstLine="480"/>
        <w:textAlignment w:val="baseline"/>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正常试采期，当地层堵塞时，为提高地层渗透率，需进行压裂酸化等作业，属于试采期非正常工况。根据类比调查，作业频次为1次/a，单井排放量为50m</w:t>
      </w:r>
      <w:r>
        <w:rPr>
          <w:rFonts w:cs="Times New Roman"/>
          <w:bCs/>
          <w:color w:val="000000" w:themeColor="text1"/>
          <w:vertAlign w:val="superscript"/>
          <w14:textFill>
            <w14:solidFill>
              <w14:schemeClr w14:val="tx1"/>
            </w14:solidFill>
          </w14:textFill>
        </w:rPr>
        <w:t>3</w:t>
      </w:r>
      <w:r>
        <w:rPr>
          <w:rFonts w:cs="Times New Roman"/>
          <w:bCs/>
          <w:color w:val="000000" w:themeColor="text1"/>
          <w14:textFill>
            <w14:solidFill>
              <w14:schemeClr w14:val="tx1"/>
            </w14:solidFill>
          </w14:textFill>
        </w:rPr>
        <w:t>/a，将废水用密闭罐车拉运至赵家坝污水处理站处理达标后经普光11井回注站回注。</w:t>
      </w:r>
    </w:p>
    <w:p>
      <w:pPr>
        <w:pStyle w:val="5"/>
      </w:pPr>
      <w:r>
        <w:rPr>
          <w:rFonts w:hint="eastAsia"/>
        </w:rPr>
        <w:t>3.4.2.3</w:t>
      </w:r>
      <w:r>
        <w:t>噪声</w:t>
      </w:r>
    </w:p>
    <w:p>
      <w:pPr>
        <w:ind w:firstLine="480"/>
        <w:rPr>
          <w:rFonts w:cs="Times New Roman"/>
          <w:bCs/>
          <w:color w:val="000000" w:themeColor="text1"/>
          <w14:textFill>
            <w14:solidFill>
              <w14:schemeClr w14:val="tx1"/>
            </w14:solidFill>
          </w14:textFill>
        </w:rPr>
      </w:pPr>
      <w:bookmarkStart w:id="175" w:name="OLE_LINK281"/>
      <w:bookmarkStart w:id="176" w:name="OLE_LINK280"/>
      <w:r>
        <w:rPr>
          <w:rFonts w:cs="Times New Roman"/>
          <w:bCs/>
          <w:color w:val="000000" w:themeColor="text1"/>
          <w14:textFill>
            <w14:solidFill>
              <w14:schemeClr w14:val="tx1"/>
            </w14:solidFill>
          </w14:textFill>
        </w:rPr>
        <w:t>本项目依托P3011采气站和P301集气站已建工艺流程进行生产，</w:t>
      </w:r>
      <w:r>
        <w:rPr>
          <w:rFonts w:cs="Times New Roman"/>
          <w:color w:val="000000" w:themeColor="text1"/>
          <w14:textFill>
            <w14:solidFill>
              <w14:schemeClr w14:val="tx1"/>
            </w14:solidFill>
          </w14:textFill>
        </w:rPr>
        <w:t>超声波流量计运行时基本无噪声产生。</w:t>
      </w:r>
      <w:r>
        <w:rPr>
          <w:rFonts w:cs="Times New Roman"/>
          <w:bCs/>
          <w:color w:val="000000" w:themeColor="text1"/>
          <w14:textFill>
            <w14:solidFill>
              <w14:schemeClr w14:val="tx1"/>
            </w14:solidFill>
          </w14:textFill>
        </w:rPr>
        <w:t>试采站内噪声主要来井口采气装置和乙二醇加注橇等设备的气流摩擦噪声，气流摩擦噪声大小与天然气产量及气质组分有关。通过大量钻井项目的试采期气流噪声源类比调查结果，预计本项目试采期单井噪声级约60dB（A）。为有效控制噪声，首先在平面布置时进行合理布局，控制气流速度，减少站场工艺管线的弯头、三通等管件，降低试采站内噪声；其次，选用高效低噪声的分离器和调压设备等。通过采取这些噪声控制措施后，单井噪声源的声级值约55dB（A）以下。</w:t>
      </w:r>
    </w:p>
    <w:bookmarkEnd w:id="175"/>
    <w:bookmarkEnd w:id="176"/>
    <w:p>
      <w:pPr>
        <w:pStyle w:val="5"/>
      </w:pPr>
      <w:r>
        <w:rPr>
          <w:rFonts w:hint="eastAsia"/>
        </w:rPr>
        <w:t>3.4.2.4</w:t>
      </w:r>
      <w:r>
        <w:t>固废</w:t>
      </w:r>
    </w:p>
    <w:p>
      <w:pPr>
        <w:pStyle w:val="249"/>
        <w:ind w:firstLine="480"/>
        <w:rPr>
          <w:color w:val="000000" w:themeColor="text1"/>
          <w14:textFill>
            <w14:solidFill>
              <w14:schemeClr w14:val="tx1"/>
            </w14:solidFill>
          </w14:textFill>
        </w:rPr>
      </w:pPr>
      <w:bookmarkStart w:id="177" w:name="_Hlk139554817"/>
      <w:r>
        <w:rPr>
          <w:bCs/>
          <w:color w:val="000000" w:themeColor="text1"/>
          <w:szCs w:val="21"/>
          <w14:textFill>
            <w14:solidFill>
              <w14:schemeClr w14:val="tx1"/>
            </w14:solidFill>
          </w14:textFill>
        </w:rPr>
        <w:t>本项目拟建工程内容</w:t>
      </w:r>
      <w:r>
        <w:rPr>
          <w:color w:val="000000" w:themeColor="text1"/>
          <w14:textFill>
            <w14:solidFill>
              <w14:schemeClr w14:val="tx1"/>
            </w14:solidFill>
          </w14:textFill>
        </w:rPr>
        <w:t>只新增井口采气装置及站内连接管线，在正常运行过程中不会产生固体废物。本项目拟建工程内容不新增清管收发球装置，试采期无清管废渣产生。日常管理依托P301集气站进行，无新增定员，无生活垃圾新增。</w:t>
      </w:r>
    </w:p>
    <w:bookmarkEnd w:id="177"/>
    <w:p>
      <w:pPr>
        <w:pStyle w:val="5"/>
      </w:pPr>
      <w:r>
        <w:rPr>
          <w:rFonts w:hint="eastAsia"/>
        </w:rPr>
        <w:t>3.4.2.5</w:t>
      </w:r>
      <w:r>
        <w:t>生态环境</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本项目试采期扩建现有的P3011采气站，扩建面积约583.1m</w:t>
      </w:r>
      <w:r>
        <w:rPr>
          <w:rFonts w:cs="Times New Roman"/>
          <w:bCs/>
          <w:color w:val="000000" w:themeColor="text1"/>
          <w:vertAlign w:val="superscript"/>
          <w14:textFill>
            <w14:solidFill>
              <w14:schemeClr w14:val="tx1"/>
            </w14:solidFill>
          </w14:textFill>
        </w:rPr>
        <w:t>2</w:t>
      </w:r>
      <w:r>
        <w:rPr>
          <w:rFonts w:cs="Times New Roman"/>
          <w:bCs/>
          <w:color w:val="000000" w:themeColor="text1"/>
          <w14:textFill>
            <w14:solidFill>
              <w14:schemeClr w14:val="tx1"/>
            </w14:solidFill>
          </w14:textFill>
        </w:rPr>
        <w:t>（运营期仅增加该部分用地占地时长），项目结束后对采气站进行生态恢复。</w:t>
      </w:r>
    </w:p>
    <w:p>
      <w:pPr>
        <w:pStyle w:val="5"/>
      </w:pPr>
      <w:r>
        <w:rPr>
          <w:rFonts w:hint="eastAsia"/>
        </w:rPr>
        <w:t>3.4.2.6</w:t>
      </w:r>
      <w:r>
        <w:t>土壤及地下水环境</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试采期若废水未妥善处置转运，发生泄露后可能会对区域土壤及地下水环境造成污染影响。</w:t>
      </w:r>
    </w:p>
    <w:p>
      <w:pPr>
        <w:pStyle w:val="5"/>
      </w:pPr>
      <w:r>
        <w:rPr>
          <w:rFonts w:hint="eastAsia"/>
        </w:rPr>
        <w:t>3.4.2.7</w:t>
      </w:r>
      <w:r>
        <w:t>环境风险</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试采期环境风险主要表现为站内采气管线或设备发生破裂造成天然气泄漏事故以及泄露气体遇明火引起火灾或爆炸对附近人群生命财产造成伤害与损失，事故时的天然气放空，对附近人群生命财产造成伤害与损失。</w:t>
      </w:r>
      <w:r>
        <w:rPr>
          <w:rFonts w:cs="Times New Roman"/>
          <w:bCs/>
          <w:color w:val="000000" w:themeColor="text1"/>
          <w14:textFill>
            <w14:solidFill>
              <w14:schemeClr w14:val="tx1"/>
            </w14:solidFill>
          </w14:textFill>
        </w:rPr>
        <w:t>火炬分液罐</w:t>
      </w:r>
      <w:r>
        <w:rPr>
          <w:rFonts w:cs="Times New Roman"/>
          <w:bCs/>
          <w:color w:val="000000" w:themeColor="text1"/>
          <w:szCs w:val="24"/>
          <w14:textFill>
            <w14:solidFill>
              <w14:schemeClr w14:val="tx1"/>
            </w14:solidFill>
          </w14:textFill>
        </w:rPr>
        <w:t>存储的采气废水泄漏环境风险；污染物外运处理中的运输风险等。</w:t>
      </w:r>
    </w:p>
    <w:p>
      <w:pPr>
        <w:pStyle w:val="5"/>
      </w:pPr>
      <w:r>
        <w:rPr>
          <w:rFonts w:hint="eastAsia"/>
        </w:rPr>
        <w:t>3.4.2.8</w:t>
      </w:r>
      <w:r>
        <w:t>试采期“三废”</w:t>
      </w:r>
      <w:r>
        <w:rPr>
          <w:b/>
        </w:rPr>
        <w:t>汇总</w:t>
      </w:r>
      <w:r>
        <w:t>表</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综上所述，本项目试采期污染物产生量及排放状况与生态影响见下表。</w:t>
      </w:r>
    </w:p>
    <w:p>
      <w:pPr>
        <w:pStyle w:val="95"/>
      </w:pPr>
      <w:r>
        <w:t>表</w:t>
      </w:r>
      <w:r>
        <w:fldChar w:fldCharType="begin"/>
      </w:r>
      <w:r>
        <w:instrText xml:space="preserve"> STYLEREF 2 \s </w:instrText>
      </w:r>
      <w:r>
        <w:fldChar w:fldCharType="separate"/>
      </w:r>
      <w:r>
        <w:t>3.4</w:t>
      </w:r>
      <w:r>
        <w:fldChar w:fldCharType="end"/>
      </w:r>
      <w:r>
        <w:noBreakHyphen/>
      </w:r>
      <w:r>
        <w:fldChar w:fldCharType="begin"/>
      </w:r>
      <w:r>
        <w:instrText xml:space="preserve"> SEQ 表 \* ARABIC \s 2 </w:instrText>
      </w:r>
      <w:r>
        <w:fldChar w:fldCharType="separate"/>
      </w:r>
      <w:r>
        <w:t>14</w:t>
      </w:r>
      <w:r>
        <w:fldChar w:fldCharType="end"/>
      </w:r>
      <w:r>
        <w:t xml:space="preserve"> 本项目试采期正常工况下“三废”及生态影响汇总表</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703"/>
        <w:gridCol w:w="1557"/>
        <w:gridCol w:w="1133"/>
        <w:gridCol w:w="1284"/>
        <w:gridCol w:w="991"/>
        <w:gridCol w:w="255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blHeader/>
          <w:jc w:val="center"/>
        </w:trPr>
        <w:tc>
          <w:tcPr>
            <w:tcW w:w="2260" w:type="dxa"/>
            <w:gridSpan w:val="2"/>
            <w:vAlign w:val="center"/>
          </w:tcPr>
          <w:p>
            <w:pPr>
              <w:pStyle w:val="294"/>
            </w:pPr>
            <w:r>
              <w:t>污染源</w:t>
            </w:r>
          </w:p>
        </w:tc>
        <w:tc>
          <w:tcPr>
            <w:tcW w:w="1133" w:type="dxa"/>
            <w:vAlign w:val="center"/>
          </w:tcPr>
          <w:p>
            <w:pPr>
              <w:pStyle w:val="294"/>
            </w:pPr>
            <w:r>
              <w:t>主要污染物</w:t>
            </w:r>
          </w:p>
        </w:tc>
        <w:tc>
          <w:tcPr>
            <w:tcW w:w="1284" w:type="dxa"/>
            <w:vAlign w:val="center"/>
          </w:tcPr>
          <w:p>
            <w:pPr>
              <w:pStyle w:val="294"/>
            </w:pPr>
            <w:r>
              <w:t>产生量</w:t>
            </w:r>
          </w:p>
        </w:tc>
        <w:tc>
          <w:tcPr>
            <w:tcW w:w="991" w:type="dxa"/>
            <w:vAlign w:val="center"/>
          </w:tcPr>
          <w:p>
            <w:pPr>
              <w:pStyle w:val="294"/>
            </w:pPr>
            <w:r>
              <w:t>排放量</w:t>
            </w:r>
          </w:p>
        </w:tc>
        <w:tc>
          <w:tcPr>
            <w:tcW w:w="2554" w:type="dxa"/>
            <w:vAlign w:val="center"/>
          </w:tcPr>
          <w:p>
            <w:pPr>
              <w:pStyle w:val="294"/>
            </w:pPr>
            <w:r>
              <w:t>防治措施</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328" w:hRule="atLeast"/>
          <w:jc w:val="center"/>
        </w:trPr>
        <w:tc>
          <w:tcPr>
            <w:tcW w:w="703" w:type="dxa"/>
            <w:vMerge w:val="restart"/>
            <w:tcMar>
              <w:left w:w="0" w:type="dxa"/>
              <w:right w:w="0" w:type="dxa"/>
            </w:tcMar>
            <w:vAlign w:val="center"/>
          </w:tcPr>
          <w:p>
            <w:pPr>
              <w:pStyle w:val="294"/>
            </w:pPr>
            <w:r>
              <w:t>废气</w:t>
            </w:r>
          </w:p>
        </w:tc>
        <w:tc>
          <w:tcPr>
            <w:tcW w:w="1557" w:type="dxa"/>
            <w:vMerge w:val="restart"/>
            <w:vAlign w:val="center"/>
          </w:tcPr>
          <w:p>
            <w:pPr>
              <w:pStyle w:val="294"/>
            </w:pPr>
            <w:r>
              <w:t>水套加热炉燃烧废气</w:t>
            </w:r>
          </w:p>
        </w:tc>
        <w:tc>
          <w:tcPr>
            <w:tcW w:w="1133" w:type="dxa"/>
            <w:vAlign w:val="center"/>
          </w:tcPr>
          <w:p>
            <w:pPr>
              <w:pStyle w:val="294"/>
            </w:pPr>
            <w:r>
              <w:rPr>
                <w:rFonts w:hint="eastAsia"/>
              </w:rPr>
              <w:t>颗粒物</w:t>
            </w:r>
          </w:p>
        </w:tc>
        <w:tc>
          <w:tcPr>
            <w:tcW w:w="1284" w:type="dxa"/>
            <w:vAlign w:val="center"/>
          </w:tcPr>
          <w:p>
            <w:pPr>
              <w:pStyle w:val="294"/>
            </w:pPr>
            <w:r>
              <w:rPr>
                <w:rFonts w:hint="eastAsia"/>
              </w:rPr>
              <w:t>0.182</w:t>
            </w:r>
            <w:r>
              <w:t>t/a</w:t>
            </w:r>
          </w:p>
        </w:tc>
        <w:tc>
          <w:tcPr>
            <w:tcW w:w="991" w:type="dxa"/>
            <w:vAlign w:val="center"/>
          </w:tcPr>
          <w:p>
            <w:pPr>
              <w:pStyle w:val="294"/>
            </w:pPr>
            <w:r>
              <w:rPr>
                <w:rFonts w:hint="eastAsia"/>
              </w:rPr>
              <w:t>0.182</w:t>
            </w:r>
            <w:r>
              <w:t>t/a</w:t>
            </w:r>
          </w:p>
        </w:tc>
        <w:tc>
          <w:tcPr>
            <w:tcW w:w="2554" w:type="dxa"/>
            <w:vMerge w:val="restart"/>
            <w:vAlign w:val="center"/>
          </w:tcPr>
          <w:p>
            <w:pPr>
              <w:pStyle w:val="294"/>
            </w:pPr>
            <w:r>
              <w:t>依托P3011采气站水套加热炉，废气通过8m排气筒排放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328" w:hRule="atLeast"/>
          <w:jc w:val="center"/>
        </w:trPr>
        <w:tc>
          <w:tcPr>
            <w:tcW w:w="703" w:type="dxa"/>
            <w:vMerge w:val="continue"/>
            <w:tcMar>
              <w:left w:w="0" w:type="dxa"/>
              <w:right w:w="0" w:type="dxa"/>
            </w:tcMar>
            <w:vAlign w:val="center"/>
          </w:tcPr>
          <w:p>
            <w:pPr>
              <w:pStyle w:val="294"/>
            </w:pPr>
          </w:p>
        </w:tc>
        <w:tc>
          <w:tcPr>
            <w:tcW w:w="1557" w:type="dxa"/>
            <w:vMerge w:val="continue"/>
            <w:vAlign w:val="center"/>
          </w:tcPr>
          <w:p>
            <w:pPr>
              <w:pStyle w:val="294"/>
            </w:pPr>
          </w:p>
        </w:tc>
        <w:tc>
          <w:tcPr>
            <w:tcW w:w="1133" w:type="dxa"/>
            <w:vAlign w:val="center"/>
          </w:tcPr>
          <w:p>
            <w:pPr>
              <w:pStyle w:val="294"/>
            </w:pPr>
            <w:r>
              <w:t>SO</w:t>
            </w:r>
            <w:r>
              <w:rPr>
                <w:vertAlign w:val="subscript"/>
              </w:rPr>
              <w:t>2</w:t>
            </w:r>
          </w:p>
        </w:tc>
        <w:tc>
          <w:tcPr>
            <w:tcW w:w="1284" w:type="dxa"/>
            <w:vAlign w:val="center"/>
          </w:tcPr>
          <w:p>
            <w:pPr>
              <w:pStyle w:val="294"/>
            </w:pPr>
            <w:r>
              <w:rPr>
                <w:rFonts w:hint="eastAsia"/>
              </w:rPr>
              <w:t>0.011</w:t>
            </w:r>
            <w:r>
              <w:t>t/a</w:t>
            </w:r>
          </w:p>
        </w:tc>
        <w:tc>
          <w:tcPr>
            <w:tcW w:w="991" w:type="dxa"/>
            <w:vAlign w:val="center"/>
          </w:tcPr>
          <w:p>
            <w:pPr>
              <w:pStyle w:val="294"/>
            </w:pPr>
            <w:r>
              <w:rPr>
                <w:rFonts w:hint="eastAsia"/>
              </w:rPr>
              <w:t>0.011</w:t>
            </w:r>
            <w:r>
              <w:t>t/a</w:t>
            </w:r>
          </w:p>
        </w:tc>
        <w:tc>
          <w:tcPr>
            <w:tcW w:w="2554"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150" w:hRule="atLeast"/>
          <w:jc w:val="center"/>
        </w:trPr>
        <w:tc>
          <w:tcPr>
            <w:tcW w:w="703" w:type="dxa"/>
            <w:vMerge w:val="continue"/>
            <w:tcMar>
              <w:left w:w="0" w:type="dxa"/>
              <w:right w:w="0" w:type="dxa"/>
            </w:tcMar>
            <w:vAlign w:val="center"/>
          </w:tcPr>
          <w:p>
            <w:pPr>
              <w:pStyle w:val="294"/>
            </w:pPr>
          </w:p>
        </w:tc>
        <w:tc>
          <w:tcPr>
            <w:tcW w:w="1557" w:type="dxa"/>
            <w:vMerge w:val="continue"/>
            <w:vAlign w:val="center"/>
          </w:tcPr>
          <w:p>
            <w:pPr>
              <w:pStyle w:val="294"/>
            </w:pPr>
          </w:p>
        </w:tc>
        <w:tc>
          <w:tcPr>
            <w:tcW w:w="1133" w:type="dxa"/>
            <w:vAlign w:val="center"/>
          </w:tcPr>
          <w:p>
            <w:pPr>
              <w:pStyle w:val="294"/>
            </w:pPr>
            <w:r>
              <w:t>NOx</w:t>
            </w:r>
          </w:p>
        </w:tc>
        <w:tc>
          <w:tcPr>
            <w:tcW w:w="1284" w:type="dxa"/>
            <w:vAlign w:val="center"/>
          </w:tcPr>
          <w:p>
            <w:pPr>
              <w:pStyle w:val="294"/>
            </w:pPr>
            <w:r>
              <w:rPr>
                <w:rFonts w:hint="eastAsia"/>
              </w:rPr>
              <w:t>0.640</w:t>
            </w:r>
            <w:r>
              <w:t>t/a</w:t>
            </w:r>
          </w:p>
        </w:tc>
        <w:tc>
          <w:tcPr>
            <w:tcW w:w="991" w:type="dxa"/>
            <w:vAlign w:val="center"/>
          </w:tcPr>
          <w:p>
            <w:pPr>
              <w:pStyle w:val="294"/>
            </w:pPr>
            <w:r>
              <w:rPr>
                <w:rFonts w:hint="eastAsia"/>
              </w:rPr>
              <w:t>0.640</w:t>
            </w:r>
            <w:r>
              <w:t>t/a</w:t>
            </w:r>
          </w:p>
        </w:tc>
        <w:tc>
          <w:tcPr>
            <w:tcW w:w="2554"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设备检修或系统超压时排放少量天然气</w:t>
            </w:r>
          </w:p>
        </w:tc>
        <w:tc>
          <w:tcPr>
            <w:tcW w:w="1133" w:type="dxa"/>
            <w:vAlign w:val="center"/>
          </w:tcPr>
          <w:p>
            <w:pPr>
              <w:pStyle w:val="294"/>
            </w:pPr>
            <w:r>
              <w:t>SO</w:t>
            </w:r>
            <w:r>
              <w:rPr>
                <w:vertAlign w:val="subscript"/>
              </w:rPr>
              <w:t>2</w:t>
            </w:r>
            <w:r>
              <w:t>、NOx、颗粒物</w:t>
            </w:r>
          </w:p>
        </w:tc>
        <w:tc>
          <w:tcPr>
            <w:tcW w:w="1284" w:type="dxa"/>
            <w:vAlign w:val="center"/>
          </w:tcPr>
          <w:p>
            <w:pPr>
              <w:pStyle w:val="294"/>
            </w:pPr>
            <w:bookmarkStart w:id="178" w:name="_Toc123682147"/>
            <w:bookmarkStart w:id="179" w:name="_Toc123682535"/>
            <w:r>
              <w:t>/</w:t>
            </w:r>
            <w:bookmarkEnd w:id="178"/>
            <w:bookmarkEnd w:id="179"/>
          </w:p>
        </w:tc>
        <w:tc>
          <w:tcPr>
            <w:tcW w:w="991" w:type="dxa"/>
            <w:vAlign w:val="center"/>
          </w:tcPr>
          <w:p>
            <w:pPr>
              <w:pStyle w:val="294"/>
            </w:pPr>
            <w:r>
              <w:t>/</w:t>
            </w:r>
          </w:p>
        </w:tc>
        <w:tc>
          <w:tcPr>
            <w:tcW w:w="2554" w:type="dxa"/>
            <w:vAlign w:val="center"/>
          </w:tcPr>
          <w:p>
            <w:pPr>
              <w:pStyle w:val="294"/>
            </w:pPr>
            <w:r>
              <w:t xml:space="preserve">依托下游P301集气站内放空火炬系统和点火排放，火炬系统排气筒高度75m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jc w:val="center"/>
        </w:trPr>
        <w:tc>
          <w:tcPr>
            <w:tcW w:w="703" w:type="dxa"/>
            <w:vMerge w:val="restart"/>
            <w:tcMar>
              <w:left w:w="0" w:type="dxa"/>
              <w:right w:w="0" w:type="dxa"/>
            </w:tcMar>
            <w:vAlign w:val="center"/>
          </w:tcPr>
          <w:p>
            <w:pPr>
              <w:pStyle w:val="294"/>
            </w:pPr>
            <w:r>
              <w:t>废水</w:t>
            </w:r>
          </w:p>
        </w:tc>
        <w:tc>
          <w:tcPr>
            <w:tcW w:w="1557" w:type="dxa"/>
            <w:vAlign w:val="center"/>
          </w:tcPr>
          <w:p>
            <w:pPr>
              <w:pStyle w:val="294"/>
            </w:pPr>
            <w:r>
              <w:t>采气废水</w:t>
            </w:r>
          </w:p>
        </w:tc>
        <w:tc>
          <w:tcPr>
            <w:tcW w:w="1133" w:type="dxa"/>
            <w:vMerge w:val="restart"/>
            <w:vAlign w:val="center"/>
          </w:tcPr>
          <w:p>
            <w:pPr>
              <w:pStyle w:val="294"/>
            </w:pPr>
            <w:r>
              <w:t>石油类、悬浮物、COD及氯化物等</w:t>
            </w:r>
          </w:p>
        </w:tc>
        <w:tc>
          <w:tcPr>
            <w:tcW w:w="1284" w:type="dxa"/>
            <w:vAlign w:val="center"/>
          </w:tcPr>
          <w:p>
            <w:pPr>
              <w:pStyle w:val="294"/>
            </w:pPr>
            <w:r>
              <w:t>10m</w:t>
            </w:r>
            <w:r>
              <w:rPr>
                <w:vertAlign w:val="superscript"/>
              </w:rPr>
              <w:t>3</w:t>
            </w:r>
            <w:r>
              <w:t>/d</w:t>
            </w:r>
          </w:p>
        </w:tc>
        <w:tc>
          <w:tcPr>
            <w:tcW w:w="991" w:type="dxa"/>
            <w:vAlign w:val="center"/>
          </w:tcPr>
          <w:p>
            <w:pPr>
              <w:pStyle w:val="294"/>
            </w:pPr>
            <w:r>
              <w:t>/</w:t>
            </w:r>
          </w:p>
        </w:tc>
        <w:tc>
          <w:tcPr>
            <w:tcW w:w="2554" w:type="dxa"/>
            <w:vMerge w:val="restart"/>
            <w:vAlign w:val="center"/>
          </w:tcPr>
          <w:p>
            <w:pPr>
              <w:pStyle w:val="294"/>
            </w:pPr>
            <w:r>
              <w:t>废水用密闭罐车拉运至</w:t>
            </w:r>
            <w:r>
              <w:rPr>
                <w:bCs/>
                <w:szCs w:val="24"/>
              </w:rPr>
              <w:t>赵家坝污水处理站</w:t>
            </w:r>
            <w:r>
              <w:t>处理达标后经普光11井回注站回注</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4"/>
            </w:pPr>
          </w:p>
        </w:tc>
        <w:tc>
          <w:tcPr>
            <w:tcW w:w="1557" w:type="dxa"/>
            <w:vAlign w:val="center"/>
          </w:tcPr>
          <w:p>
            <w:pPr>
              <w:pStyle w:val="294"/>
            </w:pPr>
            <w:r>
              <w:t>非正常工况井下作业废水</w:t>
            </w:r>
          </w:p>
        </w:tc>
        <w:tc>
          <w:tcPr>
            <w:tcW w:w="1133" w:type="dxa"/>
            <w:vMerge w:val="continue"/>
            <w:vAlign w:val="center"/>
          </w:tcPr>
          <w:p>
            <w:pPr>
              <w:pStyle w:val="294"/>
            </w:pPr>
          </w:p>
        </w:tc>
        <w:tc>
          <w:tcPr>
            <w:tcW w:w="1284" w:type="dxa"/>
            <w:vAlign w:val="center"/>
          </w:tcPr>
          <w:p>
            <w:pPr>
              <w:pStyle w:val="294"/>
            </w:pPr>
            <w:r>
              <w:t>50m</w:t>
            </w:r>
            <w:r>
              <w:rPr>
                <w:vertAlign w:val="superscript"/>
              </w:rPr>
              <w:t>3</w:t>
            </w:r>
            <w:r>
              <w:t>/a</w:t>
            </w:r>
          </w:p>
        </w:tc>
        <w:tc>
          <w:tcPr>
            <w:tcW w:w="991" w:type="dxa"/>
            <w:vAlign w:val="center"/>
          </w:tcPr>
          <w:p>
            <w:pPr>
              <w:pStyle w:val="294"/>
            </w:pPr>
            <w:r>
              <w:t>/</w:t>
            </w:r>
          </w:p>
        </w:tc>
        <w:tc>
          <w:tcPr>
            <w:tcW w:w="2554"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jc w:val="center"/>
        </w:trPr>
        <w:tc>
          <w:tcPr>
            <w:tcW w:w="703" w:type="dxa"/>
            <w:tcMar>
              <w:left w:w="0" w:type="dxa"/>
              <w:right w:w="0" w:type="dxa"/>
            </w:tcMar>
            <w:vAlign w:val="center"/>
          </w:tcPr>
          <w:p>
            <w:pPr>
              <w:pStyle w:val="294"/>
            </w:pPr>
            <w:r>
              <w:t>噪声</w:t>
            </w:r>
          </w:p>
        </w:tc>
        <w:tc>
          <w:tcPr>
            <w:tcW w:w="1557" w:type="dxa"/>
            <w:vAlign w:val="center"/>
          </w:tcPr>
          <w:p>
            <w:pPr>
              <w:pStyle w:val="294"/>
            </w:pPr>
            <w:r>
              <w:t>设备噪声</w:t>
            </w:r>
          </w:p>
        </w:tc>
        <w:tc>
          <w:tcPr>
            <w:tcW w:w="5962" w:type="dxa"/>
            <w:gridSpan w:val="4"/>
            <w:vAlign w:val="center"/>
          </w:tcPr>
          <w:p>
            <w:pPr>
              <w:pStyle w:val="294"/>
            </w:pPr>
            <w:r>
              <w:t>设备选型时选择低噪声设备，设置减震基础；工艺管道的设计考虑合理的流速，减少气流噪声；站内设备合理布局。</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493" w:hRule="atLeast"/>
          <w:jc w:val="center"/>
        </w:trPr>
        <w:tc>
          <w:tcPr>
            <w:tcW w:w="703" w:type="dxa"/>
            <w:tcMar>
              <w:left w:w="0" w:type="dxa"/>
              <w:right w:w="0" w:type="dxa"/>
            </w:tcMar>
            <w:vAlign w:val="center"/>
          </w:tcPr>
          <w:p>
            <w:pPr>
              <w:pStyle w:val="294"/>
            </w:pPr>
            <w:r>
              <w:t>固废</w:t>
            </w:r>
          </w:p>
        </w:tc>
        <w:tc>
          <w:tcPr>
            <w:tcW w:w="7519" w:type="dxa"/>
            <w:gridSpan w:val="5"/>
            <w:vAlign w:val="center"/>
          </w:tcPr>
          <w:p>
            <w:pPr>
              <w:pStyle w:val="294"/>
            </w:pPr>
            <w:r>
              <w:rPr>
                <w:bCs/>
                <w:szCs w:val="21"/>
              </w:rPr>
              <w:t>本项目拟建工程内容</w:t>
            </w:r>
            <w:r>
              <w:t>只新增井口采气装置及站内连接管线，在正常运行过程中不会产生固体废物。本项目拟建工程内容不新增清管收发球装置，试采期无清管废渣产生。日常管理依托P301集气站进行，无新增定员，无生活垃圾新增</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jc w:val="center"/>
        </w:trPr>
        <w:tc>
          <w:tcPr>
            <w:tcW w:w="703" w:type="dxa"/>
            <w:tcMar>
              <w:left w:w="0" w:type="dxa"/>
              <w:right w:w="0" w:type="dxa"/>
            </w:tcMar>
            <w:vAlign w:val="center"/>
          </w:tcPr>
          <w:p>
            <w:pPr>
              <w:pStyle w:val="294"/>
            </w:pPr>
            <w:r>
              <w:t>生态</w:t>
            </w:r>
          </w:p>
        </w:tc>
        <w:tc>
          <w:tcPr>
            <w:tcW w:w="1557" w:type="dxa"/>
            <w:vAlign w:val="center"/>
          </w:tcPr>
          <w:p>
            <w:pPr>
              <w:pStyle w:val="294"/>
            </w:pPr>
            <w:r>
              <w:t>试采站</w:t>
            </w:r>
          </w:p>
        </w:tc>
        <w:tc>
          <w:tcPr>
            <w:tcW w:w="3408" w:type="dxa"/>
            <w:gridSpan w:val="3"/>
            <w:vAlign w:val="center"/>
          </w:tcPr>
          <w:p>
            <w:pPr>
              <w:pStyle w:val="294"/>
            </w:pPr>
            <w:r>
              <w:t>改变土地利用类型</w:t>
            </w:r>
          </w:p>
        </w:tc>
        <w:tc>
          <w:tcPr>
            <w:tcW w:w="2554" w:type="dxa"/>
            <w:vAlign w:val="center"/>
          </w:tcPr>
          <w:p>
            <w:pPr>
              <w:pStyle w:val="294"/>
            </w:pPr>
            <w:r>
              <w:t>加强站场绿化</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jc w:val="center"/>
        </w:trPr>
        <w:tc>
          <w:tcPr>
            <w:tcW w:w="703" w:type="dxa"/>
            <w:tcMar>
              <w:left w:w="0" w:type="dxa"/>
              <w:right w:w="0" w:type="dxa"/>
            </w:tcMar>
            <w:vAlign w:val="center"/>
          </w:tcPr>
          <w:p>
            <w:pPr>
              <w:pStyle w:val="294"/>
            </w:pPr>
            <w:r>
              <w:t>环境风险</w:t>
            </w:r>
          </w:p>
        </w:tc>
        <w:tc>
          <w:tcPr>
            <w:tcW w:w="7519" w:type="dxa"/>
            <w:gridSpan w:val="5"/>
            <w:vAlign w:val="center"/>
          </w:tcPr>
          <w:p>
            <w:pPr>
              <w:pStyle w:val="294"/>
            </w:pPr>
            <w:r>
              <w:t>1、试采期环境风险主要是采气管线发生破裂造成天然气泄漏事故以及泄露气体遇明火引起火灾或爆炸对附近人群生命财产造成伤害与损失。</w:t>
            </w:r>
          </w:p>
          <w:p>
            <w:pPr>
              <w:pStyle w:val="294"/>
            </w:pPr>
            <w:r>
              <w:t>2、试采站事故时的天然气放空，对附近人群生命财产造成伤害与损失。</w:t>
            </w:r>
          </w:p>
          <w:p>
            <w:pPr>
              <w:pStyle w:val="294"/>
            </w:pPr>
            <w:r>
              <w:t>3、火炬分液罐存储的采气废水泄漏环境风险；污染物外运处理中的运输风险等</w:t>
            </w:r>
          </w:p>
        </w:tc>
      </w:tr>
    </w:tbl>
    <w:p>
      <w:pPr>
        <w:ind w:firstLine="480"/>
        <w:rPr>
          <w:rFonts w:cs="Times New Roman"/>
          <w:color w:val="000000" w:themeColor="text1"/>
          <w14:textFill>
            <w14:solidFill>
              <w14:schemeClr w14:val="tx1"/>
            </w14:solidFill>
          </w14:textFill>
        </w:rPr>
        <w:sectPr>
          <w:headerReference r:id="rId17" w:type="default"/>
          <w:pgSz w:w="11910" w:h="16840"/>
          <w:pgMar w:top="1440" w:right="1800" w:bottom="1440" w:left="1800" w:header="964" w:footer="964" w:gutter="0"/>
          <w:cols w:space="720" w:num="1"/>
          <w:docGrid w:linePitch="326" w:charSpace="0"/>
        </w:sectPr>
      </w:pPr>
      <w:bookmarkStart w:id="180" w:name="3.4.4污染物排放情况汇总"/>
      <w:bookmarkEnd w:id="180"/>
      <w:bookmarkStart w:id="181" w:name="_bookmark22"/>
      <w:bookmarkEnd w:id="181"/>
      <w:bookmarkStart w:id="182" w:name="第四章__环境现状调查与评价"/>
      <w:bookmarkEnd w:id="182"/>
    </w:p>
    <w:p>
      <w:pPr>
        <w:pStyle w:val="2"/>
      </w:pPr>
      <w:bookmarkStart w:id="183" w:name="_Toc164667021"/>
      <w:r>
        <w:rPr>
          <w:rFonts w:hint="eastAsia"/>
        </w:rPr>
        <w:t xml:space="preserve">4 </w:t>
      </w:r>
      <w:r>
        <w:t>环境现状调查与评价</w:t>
      </w:r>
      <w:bookmarkEnd w:id="183"/>
    </w:p>
    <w:p>
      <w:pPr>
        <w:pStyle w:val="3"/>
      </w:pPr>
      <w:bookmarkStart w:id="184" w:name="_bookmark23"/>
      <w:bookmarkEnd w:id="184"/>
      <w:bookmarkStart w:id="185" w:name="4.1自然环境现状"/>
      <w:bookmarkEnd w:id="185"/>
      <w:bookmarkStart w:id="186" w:name="_Toc164667022"/>
      <w:r>
        <w:rPr>
          <w:rFonts w:hint="eastAsia"/>
        </w:rPr>
        <w:t>4.1</w:t>
      </w:r>
      <w:r>
        <w:t>自然环境现状</w:t>
      </w:r>
      <w:bookmarkEnd w:id="186"/>
    </w:p>
    <w:p>
      <w:pPr>
        <w:pStyle w:val="4"/>
        <w:ind w:firstLine="241"/>
      </w:pPr>
      <w:bookmarkStart w:id="187" w:name="4.1.1地理位置"/>
      <w:bookmarkEnd w:id="187"/>
      <w:bookmarkStart w:id="188" w:name="_Toc120173119"/>
      <w:r>
        <w:rPr>
          <w:rFonts w:hint="eastAsia"/>
        </w:rPr>
        <w:t>4.1.1</w:t>
      </w:r>
      <w:r>
        <w:t>地理位置</w:t>
      </w:r>
      <w:bookmarkEnd w:id="188"/>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宣汉县介于东经107°22′至108°32′和北纬31°06′～31°49′之间。东北与城口接壤，东与开县相邻，南连开江，西接达川、通川和平昌，北与万源交界，是北通陕西、东达湖北的要口。境内地形地貌复杂、山势逶迤，由东北向西南倾斜绵延，呈“七山一水两分田”总体地貌。县境东西最长110.6km，南北最78.8km，边界线总长590.6km。</w:t>
      </w:r>
    </w:p>
    <w:p>
      <w:pPr>
        <w:ind w:firstLine="480"/>
        <w:rPr>
          <w:rFonts w:cs="Times New Roman"/>
          <w:color w:val="000000" w:themeColor="text1"/>
          <w:szCs w:val="24"/>
          <w14:textFill>
            <w14:solidFill>
              <w14:schemeClr w14:val="tx1"/>
            </w14:solidFill>
          </w14:textFill>
        </w:rPr>
      </w:pPr>
      <w:r>
        <w:rPr>
          <w:rFonts w:hint="eastAsia" w:cs="Times New Roman"/>
          <w:color w:val="000000" w:themeColor="text1"/>
          <w:szCs w:val="24"/>
          <w14:textFill>
            <w14:solidFill>
              <w14:schemeClr w14:val="tx1"/>
            </w14:solidFill>
          </w14:textFill>
        </w:rPr>
        <w:t>普光镇地处宣汉县北部。东接清溪镇，南连柳池乡，西界土主镇，北邻黄金镇， 辖区总面积83.47平方千米。</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本项目位于达州市宣汉县普光镇陡梯村。项目地理位置见附图1。</w:t>
      </w:r>
    </w:p>
    <w:p>
      <w:pPr>
        <w:pStyle w:val="4"/>
        <w:ind w:firstLine="241"/>
        <w:rPr>
          <w:b w:val="0"/>
        </w:rPr>
      </w:pPr>
      <w:bookmarkStart w:id="189" w:name="4.1.2地形、地貌"/>
      <w:bookmarkEnd w:id="189"/>
      <w:bookmarkStart w:id="190" w:name="_Toc120173120"/>
      <w:r>
        <w:rPr>
          <w:rFonts w:hint="eastAsia"/>
        </w:rPr>
        <w:t>4.1.2</w:t>
      </w:r>
      <w:r>
        <w:t>地形、地貌</w:t>
      </w:r>
      <w:bookmarkEnd w:id="190"/>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宣汉县按地形、地貌形态可分为3区：一、丘陵河谷区，约占县境内四川地貌区划中属米仓山大巴山中山区和盆北低山区、盆东平行岭谷区的一部分，以低山和低中山为主。低山、中山面积占全县总幅员的90.2%；二、低山区，约占25%；三、低中山区，约占65.2%，可分为平坝、台地或高阶台地、浅丘陵、深丘陵、低山。</w:t>
      </w:r>
    </w:p>
    <w:p>
      <w:pPr>
        <w:pStyle w:val="4"/>
        <w:ind w:firstLine="241"/>
        <w:rPr>
          <w:b w:val="0"/>
        </w:rPr>
      </w:pPr>
      <w:bookmarkStart w:id="191" w:name="4.1.3水文水系"/>
      <w:bookmarkEnd w:id="191"/>
      <w:bookmarkStart w:id="192" w:name="_Toc120173121"/>
      <w:r>
        <w:rPr>
          <w:rFonts w:hint="eastAsia"/>
        </w:rPr>
        <w:t>4.1.3</w:t>
      </w:r>
      <w:r>
        <w:t>水文水系</w:t>
      </w:r>
      <w:bookmarkEnd w:id="192"/>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本工程建设区域属渠江流域。渠江流域位于四川盆地东北部，是四川省五大水系（嘉、涪、渠、岷、乌）之一，是嘉陵江右岸的最大支流。渠江源出流域北、东北部的大巴山南麓，流域面积为39220km</w:t>
      </w:r>
      <w:r>
        <w:rPr>
          <w:rFonts w:ascii="Times New Roman" w:hAnsi="Times New Roman"/>
          <w:color w:val="000000" w:themeColor="text1"/>
          <w:vertAlign w:val="superscript"/>
          <w:lang w:eastAsia="zh-CN"/>
          <w14:textFill>
            <w14:solidFill>
              <w14:schemeClr w14:val="tx1"/>
            </w14:solidFill>
          </w14:textFill>
        </w:rPr>
        <w:t>2</w:t>
      </w:r>
      <w:r>
        <w:rPr>
          <w:rFonts w:ascii="Times New Roman" w:hAnsi="Times New Roman"/>
          <w:color w:val="000000" w:themeColor="text1"/>
          <w:lang w:eastAsia="zh-CN"/>
          <w14:textFill>
            <w14:solidFill>
              <w14:schemeClr w14:val="tx1"/>
            </w14:solidFill>
          </w14:textFill>
        </w:rPr>
        <w:t>。渠江为多源头河流，其主要支流有前河、中河、后河；南江河、恩阳河、通江河。前三支流在宣汉汇而为州河；正流由南江、巴河、渠江三段自然河段组成。本工程建设区域内主要河流为后河</w:t>
      </w:r>
      <w:r>
        <w:rPr>
          <w:rFonts w:hint="eastAsia" w:ascii="Times New Roman" w:hAnsi="Times New Roman"/>
          <w:color w:val="000000" w:themeColor="text1"/>
          <w:lang w:eastAsia="zh-CN"/>
          <w14:textFill>
            <w14:solidFill>
              <w14:schemeClr w14:val="tx1"/>
            </w14:solidFill>
          </w14:textFill>
        </w:rPr>
        <w:t>，</w:t>
      </w:r>
      <w:r>
        <w:rPr>
          <w:rFonts w:ascii="Times New Roman" w:hAnsi="Times New Roman"/>
          <w:color w:val="000000" w:themeColor="text1"/>
          <w:lang w:eastAsia="zh-CN"/>
          <w14:textFill>
            <w14:solidFill>
              <w14:schemeClr w14:val="tx1"/>
            </w14:solidFill>
          </w14:textFill>
        </w:rPr>
        <w:t xml:space="preserve">后河于宣汉县城东汇入州河，并在渠县三汇镇汇入渠江，南流至合川后注入嘉陵江。 </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后河属山溪性河流，河谷狭窄，河道弯曲，落差大。河道开阔段与峡谷段相间出现，滩沱交错，水量丰富。河宽约100m，流向自东北向西南。后河发源于万源市城北大横山，在毛坝镇入宣汉县境，纵贯西北部，于普光镇汇入中河，至县城东江口与前河汇流归州河，并在渠县三汇镇汇入渠江，南流至合川后注入嘉陵江。流域面积3670.7km</w:t>
      </w:r>
      <w:r>
        <w:rPr>
          <w:rFonts w:ascii="Times New Roman" w:hAnsi="Times New Roman"/>
          <w:color w:val="000000" w:themeColor="text1"/>
          <w:vertAlign w:val="superscript"/>
          <w:lang w:eastAsia="zh-CN"/>
          <w14:textFill>
            <w14:solidFill>
              <w14:schemeClr w14:val="tx1"/>
            </w14:solidFill>
          </w14:textFill>
        </w:rPr>
        <w:t>2</w:t>
      </w:r>
      <w:r>
        <w:rPr>
          <w:rFonts w:ascii="Times New Roman" w:hAnsi="Times New Roman"/>
          <w:color w:val="000000" w:themeColor="text1"/>
          <w:lang w:eastAsia="zh-CN"/>
          <w14:textFill>
            <w14:solidFill>
              <w14:schemeClr w14:val="tx1"/>
            </w14:solidFill>
          </w14:textFill>
        </w:rPr>
        <w:t>，其中宣汉县内面积1462.3km</w:t>
      </w:r>
      <w:r>
        <w:rPr>
          <w:rFonts w:ascii="Times New Roman" w:hAnsi="Times New Roman"/>
          <w:color w:val="000000" w:themeColor="text1"/>
          <w:vertAlign w:val="superscript"/>
          <w:lang w:eastAsia="zh-CN"/>
          <w14:textFill>
            <w14:solidFill>
              <w14:schemeClr w14:val="tx1"/>
            </w14:solidFill>
          </w14:textFill>
        </w:rPr>
        <w:t>2</w:t>
      </w:r>
      <w:r>
        <w:rPr>
          <w:rFonts w:ascii="Times New Roman" w:hAnsi="Times New Roman"/>
          <w:color w:val="000000" w:themeColor="text1"/>
          <w:lang w:eastAsia="zh-CN"/>
          <w14:textFill>
            <w14:solidFill>
              <w14:schemeClr w14:val="tx1"/>
            </w14:solidFill>
          </w14:textFill>
        </w:rPr>
        <w:t>(包括中河面积)，干流长56km，平均坡降1.1‰，河网密度0.25km/km</w:t>
      </w:r>
      <w:r>
        <w:rPr>
          <w:rFonts w:ascii="Times New Roman" w:hAnsi="Times New Roman"/>
          <w:color w:val="000000" w:themeColor="text1"/>
          <w:vertAlign w:val="superscript"/>
          <w:lang w:eastAsia="zh-CN"/>
          <w14:textFill>
            <w14:solidFill>
              <w14:schemeClr w14:val="tx1"/>
            </w14:solidFill>
          </w14:textFill>
        </w:rPr>
        <w:t>2</w:t>
      </w:r>
      <w:r>
        <w:rPr>
          <w:rFonts w:ascii="Times New Roman" w:hAnsi="Times New Roman"/>
          <w:color w:val="000000" w:themeColor="text1"/>
          <w:lang w:eastAsia="zh-CN"/>
          <w14:textFill>
            <w14:solidFill>
              <w14:schemeClr w14:val="tx1"/>
            </w14:solidFill>
          </w14:textFill>
        </w:rPr>
        <w:t>。后河径流主要为降水补给，其次为地下水和融雪化冰，径流年内分配与降水年内分配基本一致。据毛坝水文站资料统计分析，每年4月起径流随降雨的增多而增大，7月～9月水量最丰，10月份次之，11月后由于降雨减少，地下水补给比重渐渐增大，径流逐渐以地下水和融雪水补给为主</w:t>
      </w:r>
      <w:r>
        <w:rPr>
          <w:rFonts w:hint="eastAsia" w:ascii="Times New Roman" w:hAnsi="Times New Roman"/>
          <w:color w:val="000000" w:themeColor="text1"/>
          <w:lang w:eastAsia="zh-CN"/>
          <w14:textFill>
            <w14:solidFill>
              <w14:schemeClr w14:val="tx1"/>
            </w14:solidFill>
          </w14:textFill>
        </w:rPr>
        <w:t>，</w:t>
      </w:r>
      <w:r>
        <w:rPr>
          <w:rFonts w:ascii="Times New Roman" w:hAnsi="Times New Roman"/>
          <w:color w:val="000000" w:themeColor="text1"/>
          <w:lang w:eastAsia="zh-CN"/>
          <w14:textFill>
            <w14:solidFill>
              <w14:schemeClr w14:val="tx1"/>
            </w14:solidFill>
          </w14:textFill>
        </w:rPr>
        <w:t>稳定退水至翌年3月。径流年内分配不均匀，丰水期（5月～10月）径流占年径流的81.3%，其中7月～9月占年径流的39.5%。枯水期（11月～4月）径流占年径流的18.7%，最枯段（1月～3月）只占年径流的7.5%。径流年际变化不大，最丰水年为1983年5月~1984年4月(年平均流量85.4m</w:t>
      </w:r>
      <w:r>
        <w:rPr>
          <w:rFonts w:ascii="Times New Roman" w:hAnsi="Times New Roman"/>
          <w:color w:val="000000" w:themeColor="text1"/>
          <w:vertAlign w:val="superscript"/>
          <w:lang w:eastAsia="zh-CN"/>
          <w14:textFill>
            <w14:solidFill>
              <w14:schemeClr w14:val="tx1"/>
            </w14:solidFill>
          </w14:textFill>
        </w:rPr>
        <w:t>3</w:t>
      </w:r>
      <w:r>
        <w:rPr>
          <w:rFonts w:ascii="Times New Roman" w:hAnsi="Times New Roman"/>
          <w:color w:val="000000" w:themeColor="text1"/>
          <w:lang w:eastAsia="zh-CN"/>
          <w14:textFill>
            <w14:solidFill>
              <w14:schemeClr w14:val="tx1"/>
            </w14:solidFill>
          </w14:textFill>
        </w:rPr>
        <w:t>/s)，最枯水年为1962年5月～1963年4月(年平均流量为17.1m</w:t>
      </w:r>
      <w:r>
        <w:rPr>
          <w:rFonts w:ascii="Times New Roman" w:hAnsi="Times New Roman"/>
          <w:color w:val="000000" w:themeColor="text1"/>
          <w:vertAlign w:val="superscript"/>
          <w:lang w:eastAsia="zh-CN"/>
          <w14:textFill>
            <w14:solidFill>
              <w14:schemeClr w14:val="tx1"/>
            </w14:solidFill>
          </w14:textFill>
        </w:rPr>
        <w:t>3</w:t>
      </w:r>
      <w:r>
        <w:rPr>
          <w:rFonts w:ascii="Times New Roman" w:hAnsi="Times New Roman"/>
          <w:color w:val="000000" w:themeColor="text1"/>
          <w:lang w:eastAsia="zh-CN"/>
          <w14:textFill>
            <w14:solidFill>
              <w14:schemeClr w14:val="tx1"/>
            </w14:solidFill>
          </w14:textFill>
        </w:rPr>
        <w:t>/s）</w:t>
      </w:r>
      <w:r>
        <w:rPr>
          <w:rFonts w:hint="eastAsia" w:ascii="Times New Roman" w:hAnsi="Times New Roman"/>
          <w:color w:val="000000" w:themeColor="text1"/>
          <w:lang w:eastAsia="zh-CN"/>
          <w14:textFill>
            <w14:solidFill>
              <w14:schemeClr w14:val="tx1"/>
            </w14:solidFill>
          </w14:textFill>
        </w:rPr>
        <w:t>，</w:t>
      </w:r>
      <w:r>
        <w:rPr>
          <w:rFonts w:ascii="Times New Roman" w:hAnsi="Times New Roman"/>
          <w:color w:val="000000" w:themeColor="text1"/>
          <w:lang w:eastAsia="zh-CN"/>
          <w14:textFill>
            <w14:solidFill>
              <w14:schemeClr w14:val="tx1"/>
            </w14:solidFill>
          </w14:textFill>
        </w:rPr>
        <w:t>分别为多年平均流量的2.2倍和0.44倍。最小流量多发生在2月和3月，历年实测最小流量4.32m</w:t>
      </w:r>
      <w:r>
        <w:rPr>
          <w:rFonts w:ascii="Times New Roman" w:hAnsi="Times New Roman"/>
          <w:color w:val="000000" w:themeColor="text1"/>
          <w:vertAlign w:val="superscript"/>
          <w:lang w:eastAsia="zh-CN"/>
          <w14:textFill>
            <w14:solidFill>
              <w14:schemeClr w14:val="tx1"/>
            </w14:solidFill>
          </w14:textFill>
        </w:rPr>
        <w:t>3</w:t>
      </w:r>
      <w:r>
        <w:rPr>
          <w:rFonts w:ascii="Times New Roman" w:hAnsi="Times New Roman"/>
          <w:color w:val="000000" w:themeColor="text1"/>
          <w:lang w:eastAsia="zh-CN"/>
          <w14:textFill>
            <w14:solidFill>
              <w14:schemeClr w14:val="tx1"/>
            </w14:solidFill>
          </w14:textFill>
        </w:rPr>
        <w:t>/s（1963年2月28日）。</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bookmarkStart w:id="193" w:name="_Toc19816012"/>
      <w:r>
        <w:rPr>
          <w:rFonts w:ascii="Times New Roman" w:hAnsi="Times New Roman"/>
          <w:color w:val="000000" w:themeColor="text1"/>
          <w:lang w:eastAsia="zh-CN"/>
          <w14:textFill>
            <w14:solidFill>
              <w14:schemeClr w14:val="tx1"/>
            </w14:solidFill>
          </w14:textFill>
        </w:rPr>
        <w:t>2、</w:t>
      </w:r>
      <w:bookmarkEnd w:id="193"/>
      <w:r>
        <w:rPr>
          <w:rFonts w:ascii="Times New Roman" w:hAnsi="Times New Roman"/>
          <w:color w:val="000000" w:themeColor="text1"/>
          <w:lang w:eastAsia="zh-CN"/>
          <w14:textFill>
            <w14:solidFill>
              <w14:schemeClr w14:val="tx1"/>
            </w14:solidFill>
          </w14:textFill>
        </w:rPr>
        <w:t>地下水</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普光气田开发区内地下水类型包括松散堆积层孔隙水、碎屑岩裂隙孔隙水和基岩裂隙水，其中本项目所在区域以第四系松散堆积层孔隙水和基岩裂隙水为主。沟谷地段为地下水的排泄区。岩性变化地段和结构松散的卸荷岩体具有较强的透水性能，岩体的透水性具有随着深度的增加、卸荷的减弱而递减的一般规律。地层富水性差、水量较小，水位埋深一般小于20m，含水层顶板埋深一般小于50m。</w:t>
      </w:r>
    </w:p>
    <w:p>
      <w:pPr>
        <w:pStyle w:val="4"/>
        <w:ind w:firstLine="241"/>
        <w:rPr>
          <w:b w:val="0"/>
        </w:rPr>
      </w:pPr>
      <w:bookmarkStart w:id="194" w:name="4.1.4气候气象"/>
      <w:bookmarkEnd w:id="194"/>
      <w:bookmarkStart w:id="195" w:name="_Toc120173122"/>
      <w:r>
        <w:rPr>
          <w:rFonts w:hint="eastAsia"/>
        </w:rPr>
        <w:t>4.1.4</w:t>
      </w:r>
      <w:r>
        <w:t>气候气象</w:t>
      </w:r>
      <w:bookmarkEnd w:id="195"/>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境内气象属中亚热带湿润季风气候区，由于地处四川盆地东北缘，北有秦岭、大巴山的天然屏障，因此气候温和，热量丰富，四季分明，雨量充沛，季风气候明显，立体气候突出。冬季属大陆性气候，常受西北冷空气影响，气候干冷；夏季属海洋性季风气候，常受东南及西南暖湿空气影响，湿热多雷雨。受海拔高度影响区内立体气候明显，海拔500m以下地区春早夏热，雨水集中，旱涝交错，多风雹，秋雨，冬暖霜雪少，属四川盆地亚热带气候；海拔800m以上地区春迟秋早，夏短冬长，具有盆缘同地温带气候特征。低山、高丘云雾较多，日照较浅丘平坝少。</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灾害性天气主要有干旱，暴雨山洪，雷电，低温冷害，冰雹及大风等，其中暴雨山洪、大风等对管道及试采站建设构成一定危害。</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宣汉县多年平均降水量1132.69mm，多年平均气温16.8</w:t>
      </w:r>
      <w:r>
        <w:rPr>
          <w:rFonts w:hint="eastAsia" w:cs="宋体"/>
          <w:color w:val="000000" w:themeColor="text1"/>
          <w:lang w:eastAsia="zh-CN"/>
          <w14:textFill>
            <w14:solidFill>
              <w14:schemeClr w14:val="tx1"/>
            </w14:solidFill>
          </w14:textFill>
        </w:rPr>
        <w:t>℃</w:t>
      </w:r>
      <w:r>
        <w:rPr>
          <w:rFonts w:ascii="Times New Roman" w:hAnsi="Times New Roman"/>
          <w:color w:val="000000" w:themeColor="text1"/>
          <w:lang w:eastAsia="zh-CN"/>
          <w14:textFill>
            <w14:solidFill>
              <w14:schemeClr w14:val="tx1"/>
            </w14:solidFill>
          </w14:textFill>
        </w:rPr>
        <w:t>，相对湿度75%，每年5~10月份为多雨季，降水量占全年总降水量约80%，3月份为旱季，降水量约占全年降水量8~12%，无霜期长达10个月，冬季多雾，雨季多暴雨，雨后往往形成洪流。</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宣汉县主要气象要素见</w:t>
      </w:r>
      <w:r>
        <w:rPr>
          <w:rFonts w:ascii="Times New Roman" w:hAnsi="Times New Roman"/>
          <w:color w:val="000000" w:themeColor="text1"/>
          <w:lang w:eastAsia="zh-CN"/>
          <w14:textFill>
            <w14:solidFill>
              <w14:schemeClr w14:val="tx1"/>
            </w14:solidFill>
          </w14:textFill>
        </w:rPr>
        <w:fldChar w:fldCharType="begin"/>
      </w:r>
      <w:r>
        <w:rPr>
          <w:rFonts w:ascii="Times New Roman" w:hAnsi="Times New Roman"/>
          <w:color w:val="000000" w:themeColor="text1"/>
          <w:lang w:eastAsia="zh-CN"/>
          <w14:textFill>
            <w14:solidFill>
              <w14:schemeClr w14:val="tx1"/>
            </w14:solidFill>
          </w14:textFill>
        </w:rPr>
        <w:instrText xml:space="preserve"> REF _Ref142907039 \h  \* MERGEFORMAT </w:instrText>
      </w:r>
      <w:r>
        <w:rPr>
          <w:rFonts w:ascii="Times New Roman" w:hAnsi="Times New Roman"/>
          <w:color w:val="000000" w:themeColor="text1"/>
          <w:lang w:eastAsia="zh-CN"/>
          <w14:textFill>
            <w14:solidFill>
              <w14:schemeClr w14:val="tx1"/>
            </w14:solidFill>
          </w14:textFill>
        </w:rPr>
        <w:fldChar w:fldCharType="separate"/>
      </w:r>
      <w:r>
        <w:rPr>
          <w:rFonts w:ascii="Times New Roman" w:hAnsi="Times New Roman"/>
          <w:color w:val="000000" w:themeColor="text1"/>
          <w:lang w:eastAsia="zh-CN"/>
          <w14:textFill>
            <w14:solidFill>
              <w14:schemeClr w14:val="tx1"/>
            </w14:solidFill>
          </w14:textFill>
        </w:rPr>
        <w:t>表4.1</w:t>
      </w:r>
      <w:r>
        <w:rPr>
          <w:rFonts w:ascii="Times New Roman" w:hAnsi="Times New Roman"/>
          <w:color w:val="000000" w:themeColor="text1"/>
          <w:lang w:eastAsia="zh-CN"/>
          <w14:textFill>
            <w14:solidFill>
              <w14:schemeClr w14:val="tx1"/>
            </w14:solidFill>
          </w14:textFill>
        </w:rPr>
        <w:noBreakHyphen/>
      </w:r>
      <w:r>
        <w:rPr>
          <w:rFonts w:ascii="Times New Roman" w:hAnsi="Times New Roman"/>
          <w:color w:val="000000" w:themeColor="text1"/>
          <w:lang w:eastAsia="zh-CN"/>
          <w14:textFill>
            <w14:solidFill>
              <w14:schemeClr w14:val="tx1"/>
            </w14:solidFill>
          </w14:textFill>
        </w:rPr>
        <w:t>1</w:t>
      </w:r>
      <w:r>
        <w:rPr>
          <w:rFonts w:ascii="Times New Roman" w:hAnsi="Times New Roman"/>
          <w:color w:val="000000" w:themeColor="text1"/>
          <w:lang w:eastAsia="zh-CN"/>
          <w14:textFill>
            <w14:solidFill>
              <w14:schemeClr w14:val="tx1"/>
            </w14:solidFill>
          </w14:textFill>
        </w:rPr>
        <w:fldChar w:fldCharType="end"/>
      </w:r>
      <w:r>
        <w:rPr>
          <w:rFonts w:ascii="Times New Roman" w:hAnsi="Times New Roman"/>
          <w:color w:val="000000" w:themeColor="text1"/>
          <w:lang w:eastAsia="zh-CN"/>
          <w14:textFill>
            <w14:solidFill>
              <w14:schemeClr w14:val="tx1"/>
            </w14:solidFill>
          </w14:textFill>
        </w:rPr>
        <w:t>：</w:t>
      </w:r>
    </w:p>
    <w:p>
      <w:pPr>
        <w:pStyle w:val="95"/>
      </w:pPr>
      <w:bookmarkStart w:id="196" w:name="_Ref142907039"/>
      <w:r>
        <w:t>表</w:t>
      </w:r>
      <w:r>
        <w:fldChar w:fldCharType="begin"/>
      </w:r>
      <w:r>
        <w:instrText xml:space="preserve"> STYLEREF 2 \s </w:instrText>
      </w:r>
      <w:r>
        <w:fldChar w:fldCharType="separate"/>
      </w:r>
      <w:r>
        <w:t>4.1</w:t>
      </w:r>
      <w:r>
        <w:fldChar w:fldCharType="end"/>
      </w:r>
      <w:r>
        <w:noBreakHyphen/>
      </w:r>
      <w:r>
        <w:fldChar w:fldCharType="begin"/>
      </w:r>
      <w:r>
        <w:instrText xml:space="preserve"> SEQ 表 \* ARABIC \s 2 </w:instrText>
      </w:r>
      <w:r>
        <w:fldChar w:fldCharType="separate"/>
      </w:r>
      <w:r>
        <w:t>1</w:t>
      </w:r>
      <w:r>
        <w:fldChar w:fldCharType="end"/>
      </w:r>
      <w:bookmarkEnd w:id="196"/>
      <w:r>
        <w:t xml:space="preserve"> 宣汉县主要气象资料一览表</w:t>
      </w:r>
    </w:p>
    <w:tbl>
      <w:tblPr>
        <w:tblStyle w:val="52"/>
        <w:tblW w:w="515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80"/>
        <w:gridCol w:w="1903"/>
        <w:gridCol w:w="2670"/>
        <w:gridCol w:w="294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1810" w:type="pct"/>
            <w:gridSpan w:val="2"/>
            <w:vAlign w:val="center"/>
          </w:tcPr>
          <w:p>
            <w:pPr>
              <w:pStyle w:val="294"/>
            </w:pPr>
            <w:r>
              <w:t>气象要素</w:t>
            </w:r>
          </w:p>
        </w:tc>
        <w:tc>
          <w:tcPr>
            <w:tcW w:w="1518" w:type="pct"/>
          </w:tcPr>
          <w:p>
            <w:pPr>
              <w:pStyle w:val="294"/>
            </w:pPr>
            <w:r>
              <w:t>单位</w:t>
            </w:r>
          </w:p>
        </w:tc>
        <w:tc>
          <w:tcPr>
            <w:tcW w:w="1672" w:type="pct"/>
            <w:vAlign w:val="center"/>
          </w:tcPr>
          <w:p>
            <w:pPr>
              <w:pStyle w:val="294"/>
            </w:pPr>
            <w:r>
              <w:t>数值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728" w:type="pct"/>
            <w:vMerge w:val="restart"/>
            <w:vAlign w:val="center"/>
          </w:tcPr>
          <w:p>
            <w:pPr>
              <w:pStyle w:val="294"/>
            </w:pPr>
            <w:r>
              <w:t>气温</w:t>
            </w:r>
          </w:p>
        </w:tc>
        <w:tc>
          <w:tcPr>
            <w:tcW w:w="1082" w:type="pct"/>
            <w:vAlign w:val="center"/>
          </w:tcPr>
          <w:p>
            <w:pPr>
              <w:pStyle w:val="294"/>
            </w:pPr>
            <w:r>
              <w:t>年平均气温</w:t>
            </w:r>
          </w:p>
        </w:tc>
        <w:tc>
          <w:tcPr>
            <w:tcW w:w="1518" w:type="pct"/>
          </w:tcPr>
          <w:p>
            <w:pPr>
              <w:pStyle w:val="294"/>
            </w:pPr>
            <w:r>
              <w:rPr>
                <w:rFonts w:hint="eastAsia"/>
              </w:rPr>
              <w:t>℃</w:t>
            </w:r>
          </w:p>
        </w:tc>
        <w:tc>
          <w:tcPr>
            <w:tcW w:w="1672" w:type="pct"/>
            <w:vAlign w:val="center"/>
          </w:tcPr>
          <w:p>
            <w:pPr>
              <w:pStyle w:val="294"/>
            </w:pPr>
            <w:r>
              <w:t>16.8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294"/>
            </w:pPr>
          </w:p>
        </w:tc>
        <w:tc>
          <w:tcPr>
            <w:tcW w:w="1082" w:type="pct"/>
            <w:vAlign w:val="center"/>
          </w:tcPr>
          <w:p>
            <w:pPr>
              <w:pStyle w:val="294"/>
            </w:pPr>
            <w:r>
              <w:t>极端最高气温</w:t>
            </w:r>
          </w:p>
        </w:tc>
        <w:tc>
          <w:tcPr>
            <w:tcW w:w="1518" w:type="pct"/>
          </w:tcPr>
          <w:p>
            <w:pPr>
              <w:pStyle w:val="294"/>
            </w:pPr>
            <w:r>
              <w:rPr>
                <w:rFonts w:hint="eastAsia"/>
              </w:rPr>
              <w:t>℃</w:t>
            </w:r>
          </w:p>
        </w:tc>
        <w:tc>
          <w:tcPr>
            <w:tcW w:w="1672" w:type="pct"/>
            <w:vAlign w:val="center"/>
          </w:tcPr>
          <w:p>
            <w:pPr>
              <w:pStyle w:val="294"/>
            </w:pPr>
            <w:r>
              <w:t>41.3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294"/>
            </w:pPr>
          </w:p>
        </w:tc>
        <w:tc>
          <w:tcPr>
            <w:tcW w:w="1082" w:type="pct"/>
            <w:vAlign w:val="center"/>
          </w:tcPr>
          <w:p>
            <w:pPr>
              <w:pStyle w:val="294"/>
            </w:pPr>
            <w:r>
              <w:t>极端最低气温</w:t>
            </w:r>
          </w:p>
        </w:tc>
        <w:tc>
          <w:tcPr>
            <w:tcW w:w="1518" w:type="pct"/>
          </w:tcPr>
          <w:p>
            <w:pPr>
              <w:pStyle w:val="294"/>
            </w:pPr>
            <w:r>
              <w:rPr>
                <w:rFonts w:hint="eastAsia"/>
              </w:rPr>
              <w:t>℃</w:t>
            </w:r>
          </w:p>
        </w:tc>
        <w:tc>
          <w:tcPr>
            <w:tcW w:w="1672" w:type="pct"/>
            <w:vAlign w:val="center"/>
          </w:tcPr>
          <w:p>
            <w:pPr>
              <w:pStyle w:val="294"/>
            </w:pPr>
            <w:r>
              <w:t>-5.3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728" w:type="pct"/>
            <w:vMerge w:val="restart"/>
            <w:vAlign w:val="center"/>
          </w:tcPr>
          <w:p>
            <w:pPr>
              <w:pStyle w:val="294"/>
            </w:pPr>
            <w:r>
              <w:t>年降水量</w:t>
            </w:r>
          </w:p>
        </w:tc>
        <w:tc>
          <w:tcPr>
            <w:tcW w:w="1082" w:type="pct"/>
            <w:vAlign w:val="center"/>
          </w:tcPr>
          <w:p>
            <w:pPr>
              <w:pStyle w:val="294"/>
            </w:pPr>
            <w:r>
              <w:t>平均</w:t>
            </w:r>
          </w:p>
        </w:tc>
        <w:tc>
          <w:tcPr>
            <w:tcW w:w="1518" w:type="pct"/>
          </w:tcPr>
          <w:p>
            <w:pPr>
              <w:pStyle w:val="294"/>
            </w:pPr>
            <w:r>
              <w:t>mm</w:t>
            </w:r>
          </w:p>
        </w:tc>
        <w:tc>
          <w:tcPr>
            <w:tcW w:w="1672" w:type="pct"/>
            <w:vAlign w:val="center"/>
          </w:tcPr>
          <w:p>
            <w:pPr>
              <w:pStyle w:val="294"/>
            </w:pPr>
            <w:r>
              <w:t>1132.69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294"/>
            </w:pPr>
          </w:p>
        </w:tc>
        <w:tc>
          <w:tcPr>
            <w:tcW w:w="1082" w:type="pct"/>
            <w:vAlign w:val="center"/>
          </w:tcPr>
          <w:p>
            <w:pPr>
              <w:pStyle w:val="294"/>
            </w:pPr>
            <w:r>
              <w:t>最大</w:t>
            </w:r>
          </w:p>
        </w:tc>
        <w:tc>
          <w:tcPr>
            <w:tcW w:w="1518" w:type="pct"/>
          </w:tcPr>
          <w:p>
            <w:pPr>
              <w:pStyle w:val="294"/>
            </w:pPr>
            <w:r>
              <w:t>mm</w:t>
            </w:r>
          </w:p>
        </w:tc>
        <w:tc>
          <w:tcPr>
            <w:tcW w:w="1672" w:type="pct"/>
            <w:vAlign w:val="center"/>
          </w:tcPr>
          <w:p>
            <w:pPr>
              <w:pStyle w:val="294"/>
            </w:pPr>
            <w:r>
              <w:t>1698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294"/>
            </w:pPr>
          </w:p>
        </w:tc>
        <w:tc>
          <w:tcPr>
            <w:tcW w:w="1082" w:type="pct"/>
            <w:vAlign w:val="center"/>
          </w:tcPr>
          <w:p>
            <w:pPr>
              <w:pStyle w:val="294"/>
            </w:pPr>
            <w:r>
              <w:t>最小</w:t>
            </w:r>
          </w:p>
        </w:tc>
        <w:tc>
          <w:tcPr>
            <w:tcW w:w="1518" w:type="pct"/>
          </w:tcPr>
          <w:p>
            <w:pPr>
              <w:pStyle w:val="294"/>
            </w:pPr>
            <w:r>
              <w:t>mm</w:t>
            </w:r>
          </w:p>
        </w:tc>
        <w:tc>
          <w:tcPr>
            <w:tcW w:w="1672" w:type="pct"/>
            <w:vAlign w:val="center"/>
          </w:tcPr>
          <w:p>
            <w:pPr>
              <w:pStyle w:val="294"/>
            </w:pPr>
            <w:r>
              <w:t>865.9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728" w:type="pct"/>
            <w:vMerge w:val="restart"/>
            <w:vAlign w:val="center"/>
          </w:tcPr>
          <w:p>
            <w:pPr>
              <w:pStyle w:val="294"/>
            </w:pPr>
            <w:r>
              <w:t>风速</w:t>
            </w:r>
          </w:p>
        </w:tc>
        <w:tc>
          <w:tcPr>
            <w:tcW w:w="1082" w:type="pct"/>
            <w:vAlign w:val="center"/>
          </w:tcPr>
          <w:p>
            <w:pPr>
              <w:pStyle w:val="294"/>
            </w:pPr>
            <w:r>
              <w:t>平均</w:t>
            </w:r>
          </w:p>
        </w:tc>
        <w:tc>
          <w:tcPr>
            <w:tcW w:w="1518" w:type="pct"/>
          </w:tcPr>
          <w:p>
            <w:pPr>
              <w:pStyle w:val="294"/>
            </w:pPr>
            <w:r>
              <w:t>m/s</w:t>
            </w:r>
          </w:p>
        </w:tc>
        <w:tc>
          <w:tcPr>
            <w:tcW w:w="1672" w:type="pct"/>
            <w:vAlign w:val="center"/>
          </w:tcPr>
          <w:p>
            <w:pPr>
              <w:pStyle w:val="294"/>
            </w:pPr>
            <w:r>
              <w:t>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294"/>
            </w:pPr>
          </w:p>
        </w:tc>
        <w:tc>
          <w:tcPr>
            <w:tcW w:w="1082" w:type="pct"/>
            <w:vAlign w:val="center"/>
          </w:tcPr>
          <w:p>
            <w:pPr>
              <w:pStyle w:val="294"/>
            </w:pPr>
            <w:r>
              <w:t>最大</w:t>
            </w:r>
          </w:p>
        </w:tc>
        <w:tc>
          <w:tcPr>
            <w:tcW w:w="1518" w:type="pct"/>
          </w:tcPr>
          <w:p>
            <w:pPr>
              <w:pStyle w:val="294"/>
            </w:pPr>
            <w:r>
              <w:t>m/s</w:t>
            </w:r>
          </w:p>
        </w:tc>
        <w:tc>
          <w:tcPr>
            <w:tcW w:w="1672" w:type="pct"/>
            <w:vAlign w:val="center"/>
          </w:tcPr>
          <w:p>
            <w:pPr>
              <w:pStyle w:val="294"/>
            </w:pPr>
            <w:r>
              <w:t>32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294"/>
            </w:pPr>
          </w:p>
        </w:tc>
        <w:tc>
          <w:tcPr>
            <w:tcW w:w="1082" w:type="pct"/>
            <w:vAlign w:val="center"/>
          </w:tcPr>
          <w:p>
            <w:pPr>
              <w:pStyle w:val="294"/>
            </w:pPr>
            <w:r>
              <w:t>主导风向</w:t>
            </w:r>
          </w:p>
        </w:tc>
        <w:tc>
          <w:tcPr>
            <w:tcW w:w="1518" w:type="pct"/>
          </w:tcPr>
          <w:p>
            <w:pPr>
              <w:pStyle w:val="294"/>
            </w:pPr>
            <w:r>
              <w:t>m/s</w:t>
            </w:r>
          </w:p>
        </w:tc>
        <w:tc>
          <w:tcPr>
            <w:tcW w:w="1672" w:type="pct"/>
            <w:vAlign w:val="center"/>
          </w:tcPr>
          <w:p>
            <w:pPr>
              <w:pStyle w:val="294"/>
            </w:pPr>
            <w:r>
              <w:t>NE</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728" w:type="pct"/>
            <w:vMerge w:val="restart"/>
            <w:vAlign w:val="center"/>
          </w:tcPr>
          <w:p>
            <w:pPr>
              <w:pStyle w:val="294"/>
            </w:pPr>
            <w:r>
              <w:t>多年平均地温</w:t>
            </w:r>
          </w:p>
        </w:tc>
        <w:tc>
          <w:tcPr>
            <w:tcW w:w="1082" w:type="pct"/>
            <w:vAlign w:val="center"/>
          </w:tcPr>
          <w:p>
            <w:pPr>
              <w:pStyle w:val="294"/>
            </w:pPr>
            <w:r>
              <w:t>地面</w:t>
            </w:r>
          </w:p>
        </w:tc>
        <w:tc>
          <w:tcPr>
            <w:tcW w:w="1518" w:type="pct"/>
          </w:tcPr>
          <w:p>
            <w:pPr>
              <w:pStyle w:val="294"/>
            </w:pPr>
            <w:r>
              <w:rPr>
                <w:rFonts w:hint="eastAsia"/>
              </w:rPr>
              <w:t>℃</w:t>
            </w:r>
          </w:p>
        </w:tc>
        <w:tc>
          <w:tcPr>
            <w:tcW w:w="1672" w:type="pct"/>
            <w:vAlign w:val="center"/>
          </w:tcPr>
          <w:p>
            <w:pPr>
              <w:pStyle w:val="294"/>
            </w:pPr>
            <w:r>
              <w:t>18.1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294"/>
            </w:pPr>
          </w:p>
        </w:tc>
        <w:tc>
          <w:tcPr>
            <w:tcW w:w="1082" w:type="pct"/>
            <w:vAlign w:val="center"/>
          </w:tcPr>
          <w:p>
            <w:pPr>
              <w:pStyle w:val="294"/>
            </w:pPr>
            <w:r>
              <w:t>-0.2m</w:t>
            </w:r>
          </w:p>
        </w:tc>
        <w:tc>
          <w:tcPr>
            <w:tcW w:w="1518" w:type="pct"/>
          </w:tcPr>
          <w:p>
            <w:pPr>
              <w:pStyle w:val="294"/>
            </w:pPr>
            <w:r>
              <w:rPr>
                <w:rFonts w:hint="eastAsia"/>
              </w:rPr>
              <w:t>℃</w:t>
            </w:r>
          </w:p>
        </w:tc>
        <w:tc>
          <w:tcPr>
            <w:tcW w:w="1672" w:type="pct"/>
            <w:vAlign w:val="center"/>
          </w:tcPr>
          <w:p>
            <w:pPr>
              <w:pStyle w:val="294"/>
            </w:pPr>
            <w:r>
              <w:t>20.2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1810" w:type="pct"/>
            <w:gridSpan w:val="2"/>
            <w:vAlign w:val="center"/>
          </w:tcPr>
          <w:p>
            <w:pPr>
              <w:pStyle w:val="294"/>
            </w:pPr>
            <w:r>
              <w:t>年平均日照时数</w:t>
            </w:r>
          </w:p>
        </w:tc>
        <w:tc>
          <w:tcPr>
            <w:tcW w:w="1518" w:type="pct"/>
          </w:tcPr>
          <w:p>
            <w:pPr>
              <w:pStyle w:val="294"/>
            </w:pPr>
            <w:r>
              <w:t>h</w:t>
            </w:r>
          </w:p>
        </w:tc>
        <w:tc>
          <w:tcPr>
            <w:tcW w:w="1672" w:type="pct"/>
            <w:vAlign w:val="center"/>
          </w:tcPr>
          <w:p>
            <w:pPr>
              <w:pStyle w:val="294"/>
            </w:pPr>
            <w:r>
              <w:t>1596.3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1810" w:type="pct"/>
            <w:gridSpan w:val="2"/>
            <w:vAlign w:val="center"/>
          </w:tcPr>
          <w:p>
            <w:pPr>
              <w:pStyle w:val="294"/>
            </w:pPr>
            <w:r>
              <w:t>年平均蒸发量</w:t>
            </w:r>
          </w:p>
        </w:tc>
        <w:tc>
          <w:tcPr>
            <w:tcW w:w="1518" w:type="pct"/>
          </w:tcPr>
          <w:p>
            <w:pPr>
              <w:pStyle w:val="294"/>
            </w:pPr>
            <w:r>
              <w:t>mm</w:t>
            </w:r>
          </w:p>
        </w:tc>
        <w:tc>
          <w:tcPr>
            <w:tcW w:w="1672" w:type="pct"/>
            <w:vAlign w:val="center"/>
          </w:tcPr>
          <w:p>
            <w:pPr>
              <w:pStyle w:val="294"/>
            </w:pPr>
            <w:r>
              <w:t>1215.9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1810" w:type="pct"/>
            <w:gridSpan w:val="2"/>
            <w:vAlign w:val="center"/>
          </w:tcPr>
          <w:p>
            <w:pPr>
              <w:pStyle w:val="294"/>
            </w:pPr>
            <w:r>
              <w:t>年均无霜期</w:t>
            </w:r>
          </w:p>
        </w:tc>
        <w:tc>
          <w:tcPr>
            <w:tcW w:w="1518" w:type="pct"/>
          </w:tcPr>
          <w:p>
            <w:pPr>
              <w:pStyle w:val="294"/>
            </w:pPr>
            <w:r>
              <w:t>d</w:t>
            </w:r>
          </w:p>
        </w:tc>
        <w:tc>
          <w:tcPr>
            <w:tcW w:w="1672" w:type="pct"/>
            <w:vAlign w:val="center"/>
          </w:tcPr>
          <w:p>
            <w:pPr>
              <w:pStyle w:val="294"/>
            </w:pPr>
            <w:r>
              <w:t>296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1810" w:type="pct"/>
            <w:gridSpan w:val="2"/>
            <w:vAlign w:val="center"/>
          </w:tcPr>
          <w:p>
            <w:pPr>
              <w:pStyle w:val="294"/>
            </w:pPr>
            <w:r>
              <w:t>相对湿度</w:t>
            </w:r>
          </w:p>
        </w:tc>
        <w:tc>
          <w:tcPr>
            <w:tcW w:w="1518" w:type="pct"/>
          </w:tcPr>
          <w:p>
            <w:pPr>
              <w:pStyle w:val="294"/>
            </w:pPr>
            <w:r>
              <w:t>%</w:t>
            </w:r>
          </w:p>
        </w:tc>
        <w:tc>
          <w:tcPr>
            <w:tcW w:w="1672" w:type="pct"/>
            <w:vAlign w:val="center"/>
          </w:tcPr>
          <w:p>
            <w:pPr>
              <w:pStyle w:val="294"/>
            </w:pPr>
            <w:r>
              <w:t>77</w:t>
            </w:r>
          </w:p>
        </w:tc>
      </w:tr>
    </w:tbl>
    <w:p>
      <w:pPr>
        <w:pStyle w:val="4"/>
        <w:ind w:firstLine="241"/>
        <w:rPr>
          <w:b w:val="0"/>
        </w:rPr>
      </w:pPr>
      <w:bookmarkStart w:id="197" w:name="4.1.5动植物及生物多样性"/>
      <w:bookmarkEnd w:id="197"/>
      <w:bookmarkStart w:id="198" w:name="_Toc120173123"/>
      <w:r>
        <w:rPr>
          <w:rFonts w:hint="eastAsia"/>
        </w:rPr>
        <w:t>4.1.5</w:t>
      </w:r>
      <w:r>
        <w:t>地质构造与地震</w:t>
      </w:r>
      <w:bookmarkEnd w:id="198"/>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1、地质构造</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本项目区位于宣汉县普光镇陡梯村，构造上介于大巴山推覆带前缘褶断带与川中平缓褶皱带之间，属于川东断褶带东北段双石庙—普光北东向构造带上的一个鼻状构造。地层南西高北东低、主要呈单斜特征。断裂系统以北东向断层为主，主要包括东岳寨—普光断层、普光7断层、老君庙南断层及普光3等4条断层。其中，普光3断层将主体构造分为普光2块、普光3块。</w:t>
      </w:r>
    </w:p>
    <w:p>
      <w:pPr>
        <w:pStyle w:val="21"/>
        <w:numPr>
          <w:ilvl w:val="0"/>
          <w:numId w:val="5"/>
        </w:numPr>
        <w:spacing w:before="0"/>
        <w:ind w:left="0" w:firstLine="480"/>
        <w:jc w:val="both"/>
        <w:rPr>
          <w:rFonts w:ascii="Times New Roman" w:hAnsi="Times New Roman"/>
          <w:color w:val="000000" w:themeColor="text1"/>
          <w:lang w:eastAsia="zh-CN"/>
          <w14:textFill>
            <w14:solidFill>
              <w14:schemeClr w14:val="tx1"/>
            </w14:solidFill>
          </w14:textFill>
        </w:rPr>
      </w:pPr>
      <w:r>
        <w:rPr>
          <w:rFonts w:hint="eastAsia" w:ascii="Times New Roman" w:hAnsi="Times New Roman"/>
          <w:color w:val="000000" w:themeColor="text1"/>
          <w:lang w:eastAsia="zh-CN"/>
          <w14:textFill>
            <w14:solidFill>
              <w14:schemeClr w14:val="tx1"/>
            </w14:solidFill>
          </w14:textFill>
        </w:rPr>
        <w:t>地层层序及岩性</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工程区域地层岩性较为单一，上部主要为第四系松散覆盖层，包括残坡积层、崩坡积层，下伏基岩为侏罗系中统沙溪庙组（J</w:t>
      </w:r>
      <w:r>
        <w:rPr>
          <w:rFonts w:ascii="Times New Roman" w:hAnsi="Times New Roman"/>
          <w:color w:val="000000" w:themeColor="text1"/>
          <w:vertAlign w:val="subscript"/>
          <w:lang w:eastAsia="zh-CN"/>
          <w14:textFill>
            <w14:solidFill>
              <w14:schemeClr w14:val="tx1"/>
            </w14:solidFill>
          </w14:textFill>
        </w:rPr>
        <w:t>2</w:t>
      </w:r>
      <w:r>
        <w:rPr>
          <w:rFonts w:ascii="Times New Roman" w:hAnsi="Times New Roman"/>
          <w:color w:val="000000" w:themeColor="text1"/>
          <w:lang w:eastAsia="zh-CN"/>
          <w14:textFill>
            <w14:solidFill>
              <w14:schemeClr w14:val="tx1"/>
            </w14:solidFill>
          </w14:textFill>
        </w:rPr>
        <w:t>S）。沿线出露地层由上至下分别为：</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1）第四系残坡积层：</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主要为砂土、砂质粘土、粘土，干燥，松散，分布很广。坡体及坡体上覆盖层厚度很薄，一般0.2～0.5m。沟谷中为砂质粘土、粘土。厚度较大，一般为1.0～2.5m左右，为可塑状。</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2）第四系崩坡积层：</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主要分布于陡坡下部，为含碎块石土，厚度一般为1.0～3.0m。碎块石成份主要为砂岩碎块石，另外可见巨大孤石。</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3）基岩</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侏罗系中统沙溪庙组为含钙质结核的紫红色砂质泥岩、粉砂岩、泥质粉砂岩与黄灰色块状长石岩屑石英砂岩不等厚互层。砂岩坚硬性脆，常形成陡坎陡崖，泥岩易风化剥落，多形成缓坡。</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部署地层层序</w:t>
      </w:r>
      <w:r>
        <w:rPr>
          <w:rFonts w:hint="eastAsia" w:ascii="Times New Roman" w:hAnsi="Times New Roman"/>
          <w:color w:val="000000" w:themeColor="text1"/>
          <w:lang w:eastAsia="zh-CN"/>
          <w14:textFill>
            <w14:solidFill>
              <w14:schemeClr w14:val="tx1"/>
            </w14:solidFill>
          </w14:textFill>
        </w:rPr>
        <w:t>普光3011-6</w:t>
      </w:r>
      <w:r>
        <w:rPr>
          <w:rFonts w:ascii="Times New Roman" w:hAnsi="Times New Roman"/>
          <w:color w:val="000000" w:themeColor="text1"/>
          <w:lang w:eastAsia="zh-CN"/>
          <w14:textFill>
            <w14:solidFill>
              <w14:schemeClr w14:val="tx1"/>
            </w14:solidFill>
          </w14:textFill>
        </w:rPr>
        <w:t>井地质分层</w:t>
      </w:r>
      <w:r>
        <w:rPr>
          <w:rFonts w:hint="eastAsia" w:ascii="Times New Roman" w:hAnsi="Times New Roman"/>
          <w:color w:val="000000" w:themeColor="text1"/>
          <w:lang w:eastAsia="zh-CN"/>
          <w14:textFill>
            <w14:solidFill>
              <w14:schemeClr w14:val="tx1"/>
            </w14:solidFill>
          </w14:textFill>
        </w:rPr>
        <w:t>如下</w:t>
      </w:r>
      <w:r>
        <w:rPr>
          <w:rFonts w:ascii="Times New Roman" w:hAnsi="Times New Roman"/>
          <w:color w:val="000000" w:themeColor="text1"/>
          <w:lang w:eastAsia="zh-CN"/>
          <w14:textFill>
            <w14:solidFill>
              <w14:schemeClr w14:val="tx1"/>
            </w14:solidFill>
          </w14:textFill>
        </w:rPr>
        <w:t>，主要地质复杂层位为</w:t>
      </w:r>
      <w:r>
        <w:rPr>
          <w:rFonts w:hint="eastAsia" w:ascii="Times New Roman" w:hAnsi="Times New Roman"/>
          <w:color w:val="000000" w:themeColor="text1"/>
          <w:lang w:eastAsia="zh-CN"/>
          <w14:textFill>
            <w14:solidFill>
              <w14:schemeClr w14:val="tx1"/>
            </w14:solidFill>
          </w14:textFill>
        </w:rPr>
        <w:t>须家河、</w:t>
      </w:r>
      <w:r>
        <w:rPr>
          <w:rFonts w:ascii="Times New Roman" w:hAnsi="Times New Roman"/>
          <w:color w:val="000000" w:themeColor="text1"/>
          <w:lang w:eastAsia="zh-CN"/>
          <w14:textFill>
            <w14:solidFill>
              <w14:schemeClr w14:val="tx1"/>
            </w14:solidFill>
          </w14:textFill>
        </w:rPr>
        <w:t>嘉四五段盐膏层和飞仙关组一二段低压层。</w:t>
      </w:r>
    </w:p>
    <w:p>
      <w:pPr>
        <w:pStyle w:val="95"/>
      </w:pPr>
      <w:r>
        <w:t>表</w:t>
      </w:r>
      <w:r>
        <w:rPr>
          <w:rFonts w:hint="eastAsia"/>
        </w:rPr>
        <w:t>4.1</w:t>
      </w:r>
      <w:r>
        <w:t>-</w:t>
      </w:r>
      <w:r>
        <w:rPr>
          <w:rFonts w:hint="eastAsia"/>
        </w:rPr>
        <w:t>2</w:t>
      </w:r>
      <w:r>
        <w:t xml:space="preserve"> </w:t>
      </w:r>
      <w:r>
        <w:rPr>
          <w:rFonts w:hint="eastAsia"/>
        </w:rPr>
        <w:t>普光3011-6</w:t>
      </w:r>
      <w:r>
        <w:t>地层分层</w:t>
      </w:r>
    </w:p>
    <w:tbl>
      <w:tblPr>
        <w:tblStyle w:val="52"/>
        <w:tblW w:w="4992"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1424"/>
        <w:gridCol w:w="1562"/>
        <w:gridCol w:w="1710"/>
        <w:gridCol w:w="1274"/>
        <w:gridCol w:w="1684"/>
        <w:gridCol w:w="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336" w:type="pct"/>
            <w:gridSpan w:val="2"/>
            <w:vAlign w:val="center"/>
          </w:tcPr>
          <w:p>
            <w:pPr>
              <w:pStyle w:val="294"/>
            </w:pPr>
            <w:r>
              <w:t>层位</w:t>
            </w:r>
          </w:p>
        </w:tc>
        <w:tc>
          <w:tcPr>
            <w:tcW w:w="917" w:type="pct"/>
            <w:vAlign w:val="center"/>
          </w:tcPr>
          <w:p>
            <w:pPr>
              <w:pStyle w:val="294"/>
            </w:pPr>
            <w:r>
              <w:t>海拔(m)</w:t>
            </w:r>
          </w:p>
        </w:tc>
        <w:tc>
          <w:tcPr>
            <w:tcW w:w="1004" w:type="pct"/>
            <w:vAlign w:val="center"/>
          </w:tcPr>
          <w:p>
            <w:pPr>
              <w:pStyle w:val="294"/>
            </w:pPr>
            <w:r>
              <w:t>垂直井深(m)</w:t>
            </w:r>
          </w:p>
        </w:tc>
        <w:tc>
          <w:tcPr>
            <w:tcW w:w="748" w:type="pct"/>
            <w:vAlign w:val="center"/>
          </w:tcPr>
          <w:p>
            <w:pPr>
              <w:pStyle w:val="294"/>
            </w:pPr>
            <w:r>
              <w:t>断距(m)</w:t>
            </w:r>
          </w:p>
        </w:tc>
        <w:tc>
          <w:tcPr>
            <w:tcW w:w="993" w:type="pct"/>
            <w:gridSpan w:val="2"/>
            <w:vAlign w:val="center"/>
          </w:tcPr>
          <w:p>
            <w:pPr>
              <w:pStyle w:val="294"/>
            </w:pPr>
            <w:r>
              <w:t>压力系数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336" w:type="pct"/>
            <w:gridSpan w:val="2"/>
            <w:vAlign w:val="center"/>
          </w:tcPr>
          <w:p>
            <w:pPr>
              <w:pStyle w:val="294"/>
            </w:pPr>
            <w:r>
              <w:t>下沙溪庙组</w:t>
            </w:r>
          </w:p>
        </w:tc>
        <w:tc>
          <w:tcPr>
            <w:tcW w:w="917" w:type="pct"/>
            <w:vAlign w:val="center"/>
          </w:tcPr>
          <w:p>
            <w:pPr>
              <w:pStyle w:val="294"/>
            </w:pPr>
            <w:r>
              <w:t>-1640</w:t>
            </w:r>
          </w:p>
        </w:tc>
        <w:tc>
          <w:tcPr>
            <w:tcW w:w="1004" w:type="pct"/>
            <w:vAlign w:val="center"/>
          </w:tcPr>
          <w:p>
            <w:pPr>
              <w:pStyle w:val="294"/>
            </w:pPr>
            <w:r>
              <w:t xml:space="preserve">2210.12 </w:t>
            </w:r>
          </w:p>
        </w:tc>
        <w:tc>
          <w:tcPr>
            <w:tcW w:w="748" w:type="pct"/>
            <w:vAlign w:val="center"/>
          </w:tcPr>
          <w:p>
            <w:pPr>
              <w:pStyle w:val="294"/>
            </w:pPr>
          </w:p>
        </w:tc>
        <w:tc>
          <w:tcPr>
            <w:tcW w:w="993" w:type="pct"/>
            <w:gridSpan w:val="2"/>
            <w:vAlign w:val="center"/>
          </w:tcPr>
          <w:p>
            <w:pPr>
              <w:pStyle w:val="294"/>
            </w:pPr>
            <w:r>
              <w:t>1.0-1.1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336" w:type="pct"/>
            <w:gridSpan w:val="2"/>
            <w:vAlign w:val="center"/>
          </w:tcPr>
          <w:p>
            <w:pPr>
              <w:pStyle w:val="294"/>
            </w:pPr>
            <w:r>
              <w:t>千佛崖组</w:t>
            </w:r>
          </w:p>
        </w:tc>
        <w:tc>
          <w:tcPr>
            <w:tcW w:w="917" w:type="pct"/>
            <w:vAlign w:val="center"/>
          </w:tcPr>
          <w:p>
            <w:pPr>
              <w:pStyle w:val="294"/>
            </w:pPr>
            <w:r>
              <w:t>-2115</w:t>
            </w:r>
          </w:p>
        </w:tc>
        <w:tc>
          <w:tcPr>
            <w:tcW w:w="1004" w:type="pct"/>
            <w:vAlign w:val="center"/>
          </w:tcPr>
          <w:p>
            <w:pPr>
              <w:pStyle w:val="294"/>
            </w:pPr>
            <w:r>
              <w:t xml:space="preserve">2685.12 </w:t>
            </w:r>
          </w:p>
        </w:tc>
        <w:tc>
          <w:tcPr>
            <w:tcW w:w="748" w:type="pct"/>
            <w:vAlign w:val="center"/>
          </w:tcPr>
          <w:p>
            <w:pPr>
              <w:pStyle w:val="294"/>
            </w:pPr>
          </w:p>
        </w:tc>
        <w:tc>
          <w:tcPr>
            <w:tcW w:w="993" w:type="pct"/>
            <w:gridSpan w:val="2"/>
            <w:vAlign w:val="center"/>
          </w:tcPr>
          <w:p>
            <w:pPr>
              <w:pStyle w:val="294"/>
            </w:pPr>
            <w:r>
              <w:t>1.1-1.3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336" w:type="pct"/>
            <w:gridSpan w:val="2"/>
            <w:vAlign w:val="center"/>
          </w:tcPr>
          <w:p>
            <w:pPr>
              <w:pStyle w:val="294"/>
            </w:pPr>
            <w:r>
              <w:t>自流井组</w:t>
            </w:r>
          </w:p>
        </w:tc>
        <w:tc>
          <w:tcPr>
            <w:tcW w:w="917" w:type="pct"/>
            <w:vAlign w:val="center"/>
          </w:tcPr>
          <w:p>
            <w:pPr>
              <w:pStyle w:val="294"/>
            </w:pPr>
            <w:r>
              <w:t>-2455</w:t>
            </w:r>
          </w:p>
        </w:tc>
        <w:tc>
          <w:tcPr>
            <w:tcW w:w="1004" w:type="pct"/>
            <w:vAlign w:val="center"/>
          </w:tcPr>
          <w:p>
            <w:pPr>
              <w:pStyle w:val="294"/>
            </w:pPr>
            <w:r>
              <w:t xml:space="preserve">3025.12 </w:t>
            </w:r>
          </w:p>
        </w:tc>
        <w:tc>
          <w:tcPr>
            <w:tcW w:w="748" w:type="pct"/>
            <w:vAlign w:val="center"/>
          </w:tcPr>
          <w:p>
            <w:pPr>
              <w:pStyle w:val="294"/>
            </w:pPr>
          </w:p>
        </w:tc>
        <w:tc>
          <w:tcPr>
            <w:tcW w:w="993" w:type="pct"/>
            <w:gridSpan w:val="2"/>
            <w:vAlign w:val="center"/>
          </w:tcPr>
          <w:p>
            <w:pPr>
              <w:pStyle w:val="294"/>
            </w:pPr>
            <w:r>
              <w:t>1.05-1.1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336" w:type="pct"/>
            <w:gridSpan w:val="2"/>
            <w:vAlign w:val="center"/>
          </w:tcPr>
          <w:p>
            <w:pPr>
              <w:pStyle w:val="294"/>
            </w:pPr>
            <w:r>
              <w:t>须家河组</w:t>
            </w:r>
          </w:p>
        </w:tc>
        <w:tc>
          <w:tcPr>
            <w:tcW w:w="917" w:type="pct"/>
            <w:vAlign w:val="center"/>
          </w:tcPr>
          <w:p>
            <w:pPr>
              <w:pStyle w:val="294"/>
            </w:pPr>
            <w:r>
              <w:t>-2974</w:t>
            </w:r>
          </w:p>
        </w:tc>
        <w:tc>
          <w:tcPr>
            <w:tcW w:w="1004" w:type="pct"/>
            <w:vAlign w:val="center"/>
          </w:tcPr>
          <w:p>
            <w:pPr>
              <w:pStyle w:val="294"/>
            </w:pPr>
            <w:r>
              <w:t xml:space="preserve">3544.12 </w:t>
            </w:r>
          </w:p>
        </w:tc>
        <w:tc>
          <w:tcPr>
            <w:tcW w:w="748" w:type="pct"/>
            <w:vAlign w:val="center"/>
          </w:tcPr>
          <w:p>
            <w:pPr>
              <w:pStyle w:val="294"/>
            </w:pPr>
          </w:p>
        </w:tc>
        <w:tc>
          <w:tcPr>
            <w:tcW w:w="993" w:type="pct"/>
            <w:gridSpan w:val="2"/>
            <w:vAlign w:val="center"/>
          </w:tcPr>
          <w:p>
            <w:pPr>
              <w:pStyle w:val="294"/>
            </w:pPr>
            <w:r>
              <w:t>1.05-1.1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336" w:type="pct"/>
            <w:gridSpan w:val="2"/>
            <w:vAlign w:val="center"/>
          </w:tcPr>
          <w:p>
            <w:pPr>
              <w:pStyle w:val="294"/>
            </w:pPr>
            <w:r>
              <w:t>雷口坡组</w:t>
            </w:r>
          </w:p>
        </w:tc>
        <w:tc>
          <w:tcPr>
            <w:tcW w:w="917" w:type="pct"/>
            <w:vAlign w:val="center"/>
          </w:tcPr>
          <w:p>
            <w:pPr>
              <w:pStyle w:val="294"/>
            </w:pPr>
            <w:r>
              <w:t>-3360</w:t>
            </w:r>
          </w:p>
        </w:tc>
        <w:tc>
          <w:tcPr>
            <w:tcW w:w="1004" w:type="pct"/>
            <w:vAlign w:val="center"/>
          </w:tcPr>
          <w:p>
            <w:pPr>
              <w:pStyle w:val="294"/>
            </w:pPr>
            <w:r>
              <w:t xml:space="preserve">3930.12 </w:t>
            </w:r>
          </w:p>
        </w:tc>
        <w:tc>
          <w:tcPr>
            <w:tcW w:w="748" w:type="pct"/>
            <w:vAlign w:val="center"/>
          </w:tcPr>
          <w:p>
            <w:pPr>
              <w:pStyle w:val="294"/>
            </w:pPr>
          </w:p>
        </w:tc>
        <w:tc>
          <w:tcPr>
            <w:tcW w:w="993" w:type="pct"/>
            <w:gridSpan w:val="2"/>
            <w:vAlign w:val="center"/>
          </w:tcPr>
          <w:p>
            <w:pPr>
              <w:pStyle w:val="294"/>
            </w:pPr>
            <w:r>
              <w:t>1.05-1.20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29" w:hRule="atLeast"/>
        </w:trPr>
        <w:tc>
          <w:tcPr>
            <w:tcW w:w="500" w:type="pct"/>
            <w:vMerge w:val="restart"/>
            <w:vAlign w:val="center"/>
          </w:tcPr>
          <w:p>
            <w:pPr>
              <w:pStyle w:val="294"/>
            </w:pPr>
            <w:r>
              <w:t>嘉陵江组</w:t>
            </w:r>
          </w:p>
        </w:tc>
        <w:tc>
          <w:tcPr>
            <w:tcW w:w="835" w:type="pct"/>
            <w:vAlign w:val="center"/>
          </w:tcPr>
          <w:p>
            <w:pPr>
              <w:pStyle w:val="294"/>
            </w:pPr>
            <w:r>
              <w:t>嘉四五段</w:t>
            </w:r>
          </w:p>
        </w:tc>
        <w:tc>
          <w:tcPr>
            <w:tcW w:w="917" w:type="pct"/>
            <w:vAlign w:val="center"/>
          </w:tcPr>
          <w:p>
            <w:pPr>
              <w:pStyle w:val="294"/>
            </w:pPr>
            <w:r>
              <w:t>-3575</w:t>
            </w:r>
          </w:p>
        </w:tc>
        <w:tc>
          <w:tcPr>
            <w:tcW w:w="1004" w:type="pct"/>
            <w:vAlign w:val="center"/>
          </w:tcPr>
          <w:p>
            <w:pPr>
              <w:pStyle w:val="294"/>
            </w:pPr>
            <w:r>
              <w:t xml:space="preserve">4145.12 </w:t>
            </w:r>
          </w:p>
        </w:tc>
        <w:tc>
          <w:tcPr>
            <w:tcW w:w="748" w:type="pct"/>
            <w:vAlign w:val="center"/>
          </w:tcPr>
          <w:p>
            <w:pPr>
              <w:pStyle w:val="294"/>
            </w:pPr>
          </w:p>
        </w:tc>
        <w:tc>
          <w:tcPr>
            <w:tcW w:w="989" w:type="pct"/>
            <w:vMerge w:val="restart"/>
            <w:vAlign w:val="center"/>
          </w:tcPr>
          <w:p>
            <w:pPr>
              <w:pStyle w:val="294"/>
            </w:pPr>
            <w:r>
              <w:t>1.05-1.20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29" w:hRule="atLeast"/>
        </w:trPr>
        <w:tc>
          <w:tcPr>
            <w:tcW w:w="500" w:type="pct"/>
            <w:vMerge w:val="continue"/>
            <w:vAlign w:val="center"/>
          </w:tcPr>
          <w:p>
            <w:pPr>
              <w:pStyle w:val="294"/>
            </w:pPr>
          </w:p>
        </w:tc>
        <w:tc>
          <w:tcPr>
            <w:tcW w:w="835" w:type="pct"/>
            <w:vAlign w:val="center"/>
          </w:tcPr>
          <w:p>
            <w:pPr>
              <w:pStyle w:val="294"/>
            </w:pPr>
            <w:r>
              <w:t>嘉一段</w:t>
            </w:r>
          </w:p>
        </w:tc>
        <w:tc>
          <w:tcPr>
            <w:tcW w:w="917" w:type="pct"/>
            <w:vAlign w:val="center"/>
          </w:tcPr>
          <w:p>
            <w:pPr>
              <w:pStyle w:val="294"/>
            </w:pPr>
            <w:r>
              <w:t>-4165</w:t>
            </w:r>
          </w:p>
        </w:tc>
        <w:tc>
          <w:tcPr>
            <w:tcW w:w="1004" w:type="pct"/>
            <w:vAlign w:val="center"/>
          </w:tcPr>
          <w:p>
            <w:pPr>
              <w:pStyle w:val="294"/>
            </w:pPr>
            <w:r>
              <w:t xml:space="preserve">4735.12 </w:t>
            </w:r>
          </w:p>
        </w:tc>
        <w:tc>
          <w:tcPr>
            <w:tcW w:w="748" w:type="pct"/>
            <w:vAlign w:val="center"/>
          </w:tcPr>
          <w:p>
            <w:pPr>
              <w:pStyle w:val="294"/>
            </w:pPr>
          </w:p>
        </w:tc>
        <w:tc>
          <w:tcPr>
            <w:tcW w:w="989" w:type="pct"/>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500" w:type="pct"/>
            <w:vMerge w:val="restart"/>
            <w:vAlign w:val="center"/>
          </w:tcPr>
          <w:p>
            <w:pPr>
              <w:pStyle w:val="294"/>
            </w:pPr>
            <w:r>
              <w:t>飞仙关组</w:t>
            </w:r>
          </w:p>
        </w:tc>
        <w:tc>
          <w:tcPr>
            <w:tcW w:w="835" w:type="pct"/>
            <w:vAlign w:val="center"/>
          </w:tcPr>
          <w:p>
            <w:pPr>
              <w:pStyle w:val="294"/>
            </w:pPr>
            <w:r>
              <w:t>飞四段</w:t>
            </w:r>
          </w:p>
        </w:tc>
        <w:tc>
          <w:tcPr>
            <w:tcW w:w="917" w:type="pct"/>
            <w:vAlign w:val="center"/>
          </w:tcPr>
          <w:p>
            <w:pPr>
              <w:pStyle w:val="294"/>
            </w:pPr>
            <w:r>
              <w:t>-4224</w:t>
            </w:r>
          </w:p>
        </w:tc>
        <w:tc>
          <w:tcPr>
            <w:tcW w:w="1004" w:type="pct"/>
            <w:vAlign w:val="center"/>
          </w:tcPr>
          <w:p>
            <w:pPr>
              <w:pStyle w:val="294"/>
            </w:pPr>
            <w:r>
              <w:t>4794.12</w:t>
            </w:r>
          </w:p>
        </w:tc>
        <w:tc>
          <w:tcPr>
            <w:tcW w:w="748" w:type="pct"/>
            <w:vAlign w:val="center"/>
          </w:tcPr>
          <w:p>
            <w:pPr>
              <w:pStyle w:val="294"/>
            </w:pPr>
          </w:p>
        </w:tc>
        <w:tc>
          <w:tcPr>
            <w:tcW w:w="993" w:type="pct"/>
            <w:gridSpan w:val="2"/>
            <w:vAlign w:val="center"/>
          </w:tcPr>
          <w:p>
            <w:pPr>
              <w:pStyle w:val="294"/>
            </w:pPr>
            <w:r>
              <w:t>1.05-1.20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500" w:type="pct"/>
            <w:vMerge w:val="continue"/>
            <w:vAlign w:val="center"/>
          </w:tcPr>
          <w:p>
            <w:pPr>
              <w:pStyle w:val="294"/>
            </w:pPr>
          </w:p>
        </w:tc>
        <w:tc>
          <w:tcPr>
            <w:tcW w:w="835" w:type="pct"/>
            <w:vAlign w:val="center"/>
          </w:tcPr>
          <w:p>
            <w:pPr>
              <w:pStyle w:val="294"/>
            </w:pPr>
            <w:r>
              <w:t>飞三段</w:t>
            </w:r>
          </w:p>
        </w:tc>
        <w:tc>
          <w:tcPr>
            <w:tcW w:w="917" w:type="pct"/>
            <w:vAlign w:val="center"/>
          </w:tcPr>
          <w:p>
            <w:pPr>
              <w:pStyle w:val="294"/>
            </w:pPr>
            <w:r>
              <w:t>-4338</w:t>
            </w:r>
          </w:p>
        </w:tc>
        <w:tc>
          <w:tcPr>
            <w:tcW w:w="1004" w:type="pct"/>
            <w:vAlign w:val="center"/>
          </w:tcPr>
          <w:p>
            <w:pPr>
              <w:pStyle w:val="294"/>
            </w:pPr>
            <w:r>
              <w:t>4908.12</w:t>
            </w:r>
          </w:p>
        </w:tc>
        <w:tc>
          <w:tcPr>
            <w:tcW w:w="748" w:type="pct"/>
            <w:vAlign w:val="center"/>
          </w:tcPr>
          <w:p>
            <w:pPr>
              <w:pStyle w:val="294"/>
            </w:pPr>
          </w:p>
        </w:tc>
        <w:tc>
          <w:tcPr>
            <w:tcW w:w="993" w:type="pct"/>
            <w:gridSpan w:val="2"/>
            <w:vAlign w:val="center"/>
          </w:tcPr>
          <w:p>
            <w:pPr>
              <w:pStyle w:val="294"/>
            </w:pPr>
            <w:r>
              <w:t>0.43-0.52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500" w:type="pct"/>
            <w:vMerge w:val="continue"/>
            <w:vAlign w:val="center"/>
          </w:tcPr>
          <w:p>
            <w:pPr>
              <w:pStyle w:val="294"/>
            </w:pPr>
          </w:p>
        </w:tc>
        <w:tc>
          <w:tcPr>
            <w:tcW w:w="835" w:type="pct"/>
            <w:vAlign w:val="center"/>
          </w:tcPr>
          <w:p>
            <w:pPr>
              <w:pStyle w:val="294"/>
            </w:pPr>
            <w:r>
              <w:t>飞一二段</w:t>
            </w:r>
          </w:p>
        </w:tc>
        <w:tc>
          <w:tcPr>
            <w:tcW w:w="917" w:type="pct"/>
            <w:vAlign w:val="center"/>
          </w:tcPr>
          <w:p>
            <w:pPr>
              <w:pStyle w:val="294"/>
            </w:pPr>
            <w:r>
              <w:t>-4575</w:t>
            </w:r>
          </w:p>
        </w:tc>
        <w:tc>
          <w:tcPr>
            <w:tcW w:w="1004" w:type="pct"/>
            <w:vAlign w:val="center"/>
          </w:tcPr>
          <w:p>
            <w:pPr>
              <w:pStyle w:val="294"/>
            </w:pPr>
            <w:r>
              <w:t>5145.12</w:t>
            </w:r>
          </w:p>
        </w:tc>
        <w:tc>
          <w:tcPr>
            <w:tcW w:w="748" w:type="pct"/>
            <w:vAlign w:val="center"/>
          </w:tcPr>
          <w:p>
            <w:pPr>
              <w:pStyle w:val="294"/>
            </w:pPr>
            <w:r>
              <w:t>180</w:t>
            </w:r>
          </w:p>
        </w:tc>
        <w:tc>
          <w:tcPr>
            <w:tcW w:w="993" w:type="pct"/>
            <w:gridSpan w:val="2"/>
            <w:vAlign w:val="center"/>
          </w:tcPr>
          <w:p>
            <w:pPr>
              <w:pStyle w:val="294"/>
            </w:pPr>
            <w:r>
              <w:t>0.491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500" w:type="pct"/>
            <w:vMerge w:val="continue"/>
            <w:vAlign w:val="center"/>
          </w:tcPr>
          <w:p>
            <w:pPr>
              <w:pStyle w:val="294"/>
            </w:pPr>
          </w:p>
        </w:tc>
        <w:tc>
          <w:tcPr>
            <w:tcW w:w="835" w:type="pct"/>
            <w:vAlign w:val="center"/>
          </w:tcPr>
          <w:p>
            <w:pPr>
              <w:pStyle w:val="294"/>
            </w:pPr>
            <w:r>
              <w:t>飞一二段</w:t>
            </w:r>
          </w:p>
          <w:p>
            <w:pPr>
              <w:pStyle w:val="294"/>
            </w:pPr>
            <w:r>
              <w:t>（夹缝带）</w:t>
            </w:r>
          </w:p>
        </w:tc>
        <w:tc>
          <w:tcPr>
            <w:tcW w:w="917" w:type="pct"/>
            <w:vAlign w:val="center"/>
          </w:tcPr>
          <w:p>
            <w:pPr>
              <w:pStyle w:val="294"/>
            </w:pPr>
            <w:r>
              <w:t>-4812</w:t>
            </w:r>
          </w:p>
          <w:p>
            <w:pPr>
              <w:pStyle w:val="294"/>
            </w:pPr>
            <w:r>
              <w:t>-4968</w:t>
            </w:r>
          </w:p>
          <w:p>
            <w:pPr>
              <w:pStyle w:val="294"/>
            </w:pPr>
            <w:r>
              <w:t>-5040</w:t>
            </w:r>
          </w:p>
        </w:tc>
        <w:tc>
          <w:tcPr>
            <w:tcW w:w="1004" w:type="pct"/>
            <w:vAlign w:val="center"/>
          </w:tcPr>
          <w:p>
            <w:pPr>
              <w:pStyle w:val="294"/>
            </w:pPr>
            <w:r>
              <w:t>5382.12</w:t>
            </w:r>
          </w:p>
          <w:p>
            <w:pPr>
              <w:pStyle w:val="294"/>
            </w:pPr>
            <w:r>
              <w:t>5538.12</w:t>
            </w:r>
          </w:p>
          <w:p>
            <w:pPr>
              <w:pStyle w:val="294"/>
            </w:pPr>
            <w:r>
              <w:t>5610.12</w:t>
            </w:r>
          </w:p>
        </w:tc>
        <w:tc>
          <w:tcPr>
            <w:tcW w:w="748" w:type="pct"/>
            <w:vAlign w:val="center"/>
          </w:tcPr>
          <w:p>
            <w:pPr>
              <w:pStyle w:val="294"/>
            </w:pPr>
            <w:r>
              <w:t>230</w:t>
            </w:r>
          </w:p>
          <w:p>
            <w:pPr>
              <w:pStyle w:val="294"/>
            </w:pPr>
            <w:r>
              <w:t>220</w:t>
            </w:r>
          </w:p>
          <w:p>
            <w:pPr>
              <w:pStyle w:val="294"/>
            </w:pPr>
            <w:r>
              <w:t>/</w:t>
            </w:r>
          </w:p>
        </w:tc>
        <w:tc>
          <w:tcPr>
            <w:tcW w:w="993" w:type="pct"/>
            <w:gridSpan w:val="2"/>
            <w:vAlign w:val="center"/>
          </w:tcPr>
          <w:p>
            <w:pPr>
              <w:pStyle w:val="294"/>
            </w:pPr>
            <w:r>
              <w:t>1.0-1.18</w:t>
            </w:r>
          </w:p>
        </w:tc>
      </w:tr>
    </w:tbl>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普光3011-6井自普光2块飞一二段中下部钻至夹缝带飞一二段地层，依次钻遇断层为F4、普光7和F1，断点断距分别为180m、230m和220m。</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根据普光主体飞仙关组13口探井测试资料，认为普光主体飞仙关组属于常压、低温系统，原始地层压力系数1.0～1.18，地温梯度1.98～2.21℃/100m。</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hint="eastAsia" w:ascii="Times New Roman" w:hAnsi="Times New Roman"/>
          <w:color w:val="000000" w:themeColor="text1"/>
          <w:lang w:eastAsia="zh-CN"/>
          <w14:textFill>
            <w14:solidFill>
              <w14:schemeClr w14:val="tx1"/>
            </w14:solidFill>
          </w14:textFill>
        </w:rPr>
        <w:t>综合数值模拟预测及气藏工程方法评价普光主体目前地层压力约为23MPa，压力系数为0.491。</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hint="eastAsia" w:ascii="Times New Roman" w:hAnsi="Times New Roman"/>
          <w:color w:val="000000" w:themeColor="text1"/>
          <w:lang w:eastAsia="zh-CN"/>
          <w14:textFill>
            <w14:solidFill>
              <w14:schemeClr w14:val="tx1"/>
            </w14:solidFill>
          </w14:textFill>
        </w:rPr>
        <w:t>根据现有资料推测普光西夹缝带储层基本未动用，处于原始地层状态，预测夹缝带飞仙关组地层也为常压、低温系统。</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hint="eastAsia" w:ascii="Times New Roman" w:hAnsi="Times New Roman"/>
          <w:color w:val="000000" w:themeColor="text1"/>
          <w:lang w:eastAsia="zh-CN"/>
          <w14:textFill>
            <w14:solidFill>
              <w14:schemeClr w14:val="tx1"/>
            </w14:solidFill>
          </w14:textFill>
        </w:rPr>
        <w:t>3</w:t>
      </w:r>
      <w:r>
        <w:rPr>
          <w:rFonts w:ascii="Times New Roman" w:hAnsi="Times New Roman"/>
          <w:color w:val="000000" w:themeColor="text1"/>
          <w:lang w:eastAsia="zh-CN"/>
          <w14:textFill>
            <w14:solidFill>
              <w14:schemeClr w14:val="tx1"/>
            </w14:solidFill>
          </w14:textFill>
        </w:rPr>
        <w:t>、地震</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根据《建筑抗震设计规范》（GB50011-2010），宣汉抗震设防烈度为6度，设计基本地震加速度值为0.05g，属第一组，可不考虑地震液化问题。另查阅县志，整个宣汉县境尚无地震活动的记载。因此总体上区域稳定性良好，适宜工程修建。</w:t>
      </w:r>
    </w:p>
    <w:p>
      <w:pPr>
        <w:pStyle w:val="4"/>
        <w:ind w:firstLine="241"/>
        <w:rPr>
          <w:b w:val="0"/>
        </w:rPr>
      </w:pPr>
      <w:bookmarkStart w:id="199" w:name="_Toc120173124"/>
      <w:r>
        <w:rPr>
          <w:rFonts w:hint="eastAsia"/>
        </w:rPr>
        <w:t>4.1.6</w:t>
      </w:r>
      <w:r>
        <w:t>土壤</w:t>
      </w:r>
      <w:bookmarkEnd w:id="199"/>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项目所在地面（区域硬化前）以残坡积和崩坡积之砂质粘土夹碎块石为主，局部有小卵石混杂其中。区内土壤多由灰岩和砂页岩发育而成的砾石土、砾质土为主。土壤质地与母岩和地形关系密切，一般由砂岩发育的多为沙质土；由砂页岩互层发育的多为壤质土；泥岩和灰岩发育的多为粘质土，陡坡地和二迭系以前母岩发育的多为砾石土和砾质土。土壤剖面各发生层的质地上下变化较小，仅少数土壤剖面物粘含量有随深度增加而增加的趋势。</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土壤以中性和微碱性为主，其次是微酸性，少数酸性。pH值在4.5～5.4之间的占6.4%；5.5～6.4之间的占34%；6.5～7.5之间的占34.2%；7.6～8.5之间的占25.3%。</w:t>
      </w:r>
    </w:p>
    <w:p>
      <w:pPr>
        <w:pStyle w:val="4"/>
        <w:ind w:firstLine="241"/>
        <w:rPr>
          <w:b w:val="0"/>
        </w:rPr>
      </w:pPr>
      <w:bookmarkStart w:id="200" w:name="_Toc120173125"/>
      <w:r>
        <w:rPr>
          <w:rFonts w:hint="eastAsia"/>
        </w:rPr>
        <w:t>4.1</w:t>
      </w:r>
      <w:r>
        <w:t>.</w:t>
      </w:r>
      <w:r>
        <w:rPr>
          <w:rFonts w:hint="eastAsia"/>
        </w:rPr>
        <w:t>7</w:t>
      </w:r>
      <w:r>
        <w:t>矿产资源</w:t>
      </w:r>
      <w:bookmarkEnd w:id="200"/>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截至2018年，宣汉县共探测到的资源达28种，主要矿产资源概括为：一煤（煤炭），二气（石油、天然气），三土（粘土、高岭土、膨润土），五石（滑石、长石、大理石、石英石、石灰石），八矿（铁、砷、硅、硫磺、石膏、铝、卤钾、岩盐）。天然气预测储量高达1.5万亿立方米，居中国第2位，已探明开发储量达3000-6000亿立方米，系西南地区天然气气田中心、国家“西气东输工程”重要基地。原煤储量达1.6亿吨，发热量6000大卡以上。富钾卤水储量达1.3亿立方米，是国家盐化工业基地自贡黑卤的10倍。此外，还有大理石30亿立方米，石灰石30亿立方米，石英石3000万立方米，硫磺矿867万吨，铁矿1800万吨等。</w:t>
      </w:r>
    </w:p>
    <w:p>
      <w:pPr>
        <w:pStyle w:val="4"/>
        <w:ind w:firstLine="241"/>
        <w:rPr>
          <w:b w:val="0"/>
        </w:rPr>
      </w:pPr>
      <w:bookmarkStart w:id="201" w:name="_Toc120173126"/>
      <w:r>
        <w:rPr>
          <w:rFonts w:hint="eastAsia"/>
        </w:rPr>
        <w:t>4.1.8</w:t>
      </w:r>
      <w:r>
        <w:t>周边自然遗迹、自然保护区的分布情况</w:t>
      </w:r>
      <w:bookmarkEnd w:id="201"/>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评价区域无自然保护区、风景名胜区、自然遗迹、文物古迹等，在项目建设过程中如果发现有保护价值的文物遗迹，建设单位应保护好现场，并报告文物主管部门。</w:t>
      </w:r>
    </w:p>
    <w:p>
      <w:pPr>
        <w:pStyle w:val="3"/>
      </w:pPr>
      <w:bookmarkStart w:id="202" w:name="_bookmark25"/>
      <w:bookmarkEnd w:id="202"/>
      <w:bookmarkStart w:id="203" w:name="_bookmark24"/>
      <w:bookmarkEnd w:id="203"/>
      <w:bookmarkStart w:id="204" w:name="4.2项目周边环境概况"/>
      <w:bookmarkEnd w:id="204"/>
      <w:bookmarkStart w:id="205" w:name="4.3环境质量现状评价"/>
      <w:bookmarkEnd w:id="205"/>
      <w:bookmarkStart w:id="206" w:name="_Toc164667023"/>
      <w:r>
        <w:rPr>
          <w:rFonts w:hint="eastAsia"/>
        </w:rPr>
        <w:t>4.2</w:t>
      </w:r>
      <w:r>
        <w:t>环境质量现状评价</w:t>
      </w:r>
      <w:bookmarkEnd w:id="206"/>
    </w:p>
    <w:p>
      <w:pPr>
        <w:pStyle w:val="4"/>
        <w:ind w:firstLine="241"/>
        <w:rPr>
          <w:b w:val="0"/>
        </w:rPr>
      </w:pPr>
      <w:bookmarkStart w:id="207" w:name="_Toc120173128"/>
      <w:r>
        <w:t>4.2.1环境空气质量现状</w:t>
      </w:r>
      <w:bookmarkEnd w:id="207"/>
    </w:p>
    <w:p>
      <w:pPr>
        <w:pStyle w:val="249"/>
        <w:ind w:firstLine="480"/>
        <w:rPr>
          <w:color w:val="000000" w:themeColor="text1"/>
          <w:szCs w:val="24"/>
          <w14:textFill>
            <w14:solidFill>
              <w14:schemeClr w14:val="tx1"/>
            </w14:solidFill>
          </w14:textFill>
        </w:rPr>
      </w:pPr>
      <w:bookmarkStart w:id="208" w:name="_Hlk84604118"/>
      <w:r>
        <w:rPr>
          <w:color w:val="000000" w:themeColor="text1"/>
          <w:szCs w:val="24"/>
          <w14:textFill>
            <w14:solidFill>
              <w14:schemeClr w14:val="tx1"/>
            </w14:solidFill>
          </w14:textFill>
        </w:rPr>
        <w:t>本次评价采用了现场实测和资料复用相结合的方法。</w:t>
      </w:r>
    </w:p>
    <w:p>
      <w:pPr>
        <w:pStyle w:val="249"/>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根据项目工程特点和各工艺站场的具体情况，以项目涉及区域作为本项目大气环境质量现状调查、评价的对象。</w:t>
      </w:r>
      <w:r>
        <w:rPr>
          <w:color w:val="000000" w:themeColor="text1"/>
          <w:szCs w:val="21"/>
          <w14:textFill>
            <w14:solidFill>
              <w14:schemeClr w14:val="tx1"/>
            </w14:solidFill>
          </w14:textFill>
        </w:rPr>
        <w:t>本次评价收集了达州市宣汉生态环境局于2023年1月18日发布的《达州市2022年环境空气质量状况》中</w:t>
      </w:r>
      <w:r>
        <w:rPr>
          <w:color w:val="000000" w:themeColor="text1"/>
          <w:szCs w:val="24"/>
          <w14:textFill>
            <w14:solidFill>
              <w14:schemeClr w14:val="tx1"/>
            </w14:solidFill>
          </w14:textFill>
        </w:rPr>
        <w:t>环境空气质量公报数据。</w:t>
      </w:r>
    </w:p>
    <w:p>
      <w:pPr>
        <w:pStyle w:val="21"/>
        <w:spacing w:before="0"/>
        <w:ind w:left="0" w:firstLine="482"/>
        <w:rPr>
          <w:rFonts w:ascii="Times New Roman" w:hAnsi="Times New Roman"/>
          <w:b/>
          <w:bCs/>
          <w:color w:val="000000" w:themeColor="text1"/>
          <w:lang w:eastAsia="zh-CN"/>
          <w14:textFill>
            <w14:solidFill>
              <w14:schemeClr w14:val="tx1"/>
            </w14:solidFill>
          </w14:textFill>
        </w:rPr>
      </w:pPr>
      <w:r>
        <w:rPr>
          <w:rFonts w:ascii="Times New Roman" w:hAnsi="Times New Roman"/>
          <w:b/>
          <w:bCs/>
          <w:color w:val="000000" w:themeColor="text1"/>
          <w:lang w:eastAsia="zh-CN"/>
          <w14:textFill>
            <w14:solidFill>
              <w14:schemeClr w14:val="tx1"/>
            </w14:solidFill>
          </w14:textFill>
        </w:rPr>
        <w:t>1、达标判断</w:t>
      </w:r>
    </w:p>
    <w:p>
      <w:pPr>
        <w:pStyle w:val="249"/>
        <w:ind w:firstLine="480"/>
        <w:rPr>
          <w:color w:val="000000" w:themeColor="text1"/>
          <w:szCs w:val="21"/>
          <w14:textFill>
            <w14:solidFill>
              <w14:schemeClr w14:val="tx1"/>
            </w14:solidFill>
          </w14:textFill>
        </w:rPr>
      </w:pPr>
      <w:r>
        <w:rPr>
          <w:color w:val="000000" w:themeColor="text1"/>
          <w:szCs w:val="24"/>
          <w14:textFill>
            <w14:solidFill>
              <w14:schemeClr w14:val="tx1"/>
            </w14:solidFill>
          </w14:textFill>
        </w:rPr>
        <w:t>本项目位于达州市宣汉县，项目所在区环境空气功能分区为二类区。根据《环境影响评价技术导则 总纲》（HJ2.1-2016）与《环境影响评价技术导则 大气环境》（HJ2.2-2018）的要求，评价采用</w:t>
      </w:r>
      <w:r>
        <w:rPr>
          <w:color w:val="000000" w:themeColor="text1"/>
          <w:szCs w:val="21"/>
          <w14:textFill>
            <w14:solidFill>
              <w14:schemeClr w14:val="tx1"/>
            </w14:solidFill>
          </w14:textFill>
        </w:rPr>
        <w:t>达州市宣汉生态环境局于2023年1月18日发布的《达州市2022年环境空气质量状况》中</w:t>
      </w:r>
      <w:r>
        <w:rPr>
          <w:color w:val="000000" w:themeColor="text1"/>
          <w:szCs w:val="24"/>
          <w14:textFill>
            <w14:solidFill>
              <w14:schemeClr w14:val="tx1"/>
            </w14:solidFill>
          </w14:textFill>
        </w:rPr>
        <w:t>环境空气质量数据进行评价：</w:t>
      </w:r>
    </w:p>
    <w:p>
      <w:pPr>
        <w:wordWrap w:val="0"/>
        <w:ind w:firstLine="480"/>
        <w:rPr>
          <w:rFonts w:cs="Times New Roman"/>
          <w:color w:val="000000" w:themeColor="text1"/>
          <w:kern w:val="0"/>
          <w:szCs w:val="21"/>
          <w14:textFill>
            <w14:solidFill>
              <w14:schemeClr w14:val="tx1"/>
            </w14:solidFill>
          </w14:textFill>
        </w:rPr>
      </w:pPr>
      <w:r>
        <w:rPr>
          <w:rFonts w:cs="Times New Roman"/>
          <w:color w:val="000000" w:themeColor="text1"/>
          <w:kern w:val="0"/>
          <w:szCs w:val="21"/>
          <w14:textFill>
            <w14:solidFill>
              <w14:schemeClr w14:val="tx1"/>
            </w14:solidFill>
          </w14:textFill>
        </w:rPr>
        <w:t>宣汉县2022年1月1日至12月31日对城区环境空气质量进行了连续自动监测。全年有效监测天数365天，达标天数355天，达标率为97.3%。其中：优194天，占53.2%，良161天，占44.1%，轻度污染9天，占2.5%，中度污染1天，占0.3%，无重度污染。县城区二氧化硫年均值为5微克/立方米，二氧化氮年均值为19微克/立方米，可吸入颗粒物年均值为50微克/立方米，细颗粒物年均值为27微克/立方米，臭氧年均值为99微克/立方米，一氧化碳年均值为1.1毫克/立方米，宣汉县城区环境空气质量年均值达到《环境空气质量标准》（GB3095—2012）中二级标准。具体见</w:t>
      </w:r>
      <w:r>
        <w:rPr>
          <w:rFonts w:cs="Times New Roman"/>
          <w:color w:val="000000" w:themeColor="text1"/>
          <w:kern w:val="0"/>
          <w:szCs w:val="21"/>
          <w14:textFill>
            <w14:solidFill>
              <w14:schemeClr w14:val="tx1"/>
            </w14:solidFill>
          </w14:textFill>
        </w:rPr>
        <w:fldChar w:fldCharType="begin"/>
      </w:r>
      <w:r>
        <w:rPr>
          <w:rFonts w:cs="Times New Roman"/>
          <w:color w:val="000000" w:themeColor="text1"/>
          <w:kern w:val="0"/>
          <w:szCs w:val="21"/>
          <w14:textFill>
            <w14:solidFill>
              <w14:schemeClr w14:val="tx1"/>
            </w14:solidFill>
          </w14:textFill>
        </w:rPr>
        <w:instrText xml:space="preserve"> REF _Ref142907064 \h  \* MERGEFORMAT </w:instrText>
      </w:r>
      <w:r>
        <w:rPr>
          <w:rFonts w:cs="Times New Roman"/>
          <w:color w:val="000000" w:themeColor="text1"/>
          <w:kern w:val="0"/>
          <w:szCs w:val="21"/>
          <w14:textFill>
            <w14:solidFill>
              <w14:schemeClr w14:val="tx1"/>
            </w14:solidFill>
          </w14:textFill>
        </w:rPr>
        <w:fldChar w:fldCharType="separate"/>
      </w:r>
      <w:r>
        <w:rPr>
          <w:rFonts w:cs="Times New Roman"/>
          <w:color w:val="000000" w:themeColor="text1"/>
          <w14:textFill>
            <w14:solidFill>
              <w14:schemeClr w14:val="tx1"/>
            </w14:solidFill>
          </w14:textFill>
        </w:rPr>
        <w:t>表4.2</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1</w:t>
      </w:r>
      <w:r>
        <w:rPr>
          <w:rFonts w:cs="Times New Roman"/>
          <w:color w:val="000000" w:themeColor="text1"/>
          <w:kern w:val="0"/>
          <w:szCs w:val="21"/>
          <w14:textFill>
            <w14:solidFill>
              <w14:schemeClr w14:val="tx1"/>
            </w14:solidFill>
          </w14:textFill>
        </w:rPr>
        <w:fldChar w:fldCharType="end"/>
      </w:r>
      <w:r>
        <w:rPr>
          <w:rFonts w:cs="Times New Roman"/>
          <w:color w:val="000000" w:themeColor="text1"/>
          <w:kern w:val="0"/>
          <w:szCs w:val="21"/>
          <w14:textFill>
            <w14:solidFill>
              <w14:schemeClr w14:val="tx1"/>
            </w14:solidFill>
          </w14:textFill>
        </w:rPr>
        <w:t>：</w:t>
      </w:r>
    </w:p>
    <w:p>
      <w:pPr>
        <w:pStyle w:val="95"/>
      </w:pPr>
      <w:bookmarkStart w:id="209" w:name="_Ref142907064"/>
      <w:r>
        <w:t>表</w:t>
      </w:r>
      <w:r>
        <w:fldChar w:fldCharType="begin"/>
      </w:r>
      <w:r>
        <w:instrText xml:space="preserve"> STYLEREF 2 \s </w:instrText>
      </w:r>
      <w:r>
        <w:fldChar w:fldCharType="separate"/>
      </w:r>
      <w:r>
        <w:t>4.2</w:t>
      </w:r>
      <w:r>
        <w:fldChar w:fldCharType="end"/>
      </w:r>
      <w:r>
        <w:noBreakHyphen/>
      </w:r>
      <w:r>
        <w:fldChar w:fldCharType="begin"/>
      </w:r>
      <w:r>
        <w:instrText xml:space="preserve"> SEQ 表 \* ARABIC \s 2 </w:instrText>
      </w:r>
      <w:r>
        <w:fldChar w:fldCharType="separate"/>
      </w:r>
      <w:r>
        <w:t>1</w:t>
      </w:r>
      <w:r>
        <w:fldChar w:fldCharType="end"/>
      </w:r>
      <w:bookmarkEnd w:id="209"/>
      <w:r>
        <w:t xml:space="preserve"> 2022年宣汉县环境空气质量状况统计表</w:t>
      </w:r>
    </w:p>
    <w:tbl>
      <w:tblPr>
        <w:tblStyle w:val="5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68"/>
        <w:gridCol w:w="2755"/>
        <w:gridCol w:w="2268"/>
        <w:gridCol w:w="1417"/>
        <w:gridCol w:w="7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068" w:type="dxa"/>
            <w:vAlign w:val="center"/>
          </w:tcPr>
          <w:p>
            <w:pPr>
              <w:pStyle w:val="294"/>
              <w:rPr>
                <w:shd w:val="clear" w:color="auto" w:fill="FFFFFF"/>
              </w:rPr>
            </w:pPr>
            <w:r>
              <w:rPr>
                <w:shd w:val="clear" w:color="auto" w:fill="FFFFFF"/>
              </w:rPr>
              <w:t>污染物</w:t>
            </w:r>
          </w:p>
        </w:tc>
        <w:tc>
          <w:tcPr>
            <w:tcW w:w="2755" w:type="dxa"/>
            <w:vAlign w:val="center"/>
          </w:tcPr>
          <w:p>
            <w:pPr>
              <w:pStyle w:val="294"/>
              <w:rPr>
                <w:shd w:val="clear" w:color="auto" w:fill="FFFFFF"/>
              </w:rPr>
            </w:pPr>
            <w:r>
              <w:rPr>
                <w:shd w:val="clear" w:color="auto" w:fill="FFFFFF"/>
              </w:rPr>
              <w:t>评价指标</w:t>
            </w:r>
          </w:p>
        </w:tc>
        <w:tc>
          <w:tcPr>
            <w:tcW w:w="2268" w:type="dxa"/>
            <w:vAlign w:val="center"/>
          </w:tcPr>
          <w:p>
            <w:pPr>
              <w:pStyle w:val="294"/>
              <w:rPr>
                <w:shd w:val="clear" w:color="auto" w:fill="FFFFFF"/>
              </w:rPr>
            </w:pPr>
            <w:r>
              <w:rPr>
                <w:shd w:val="clear" w:color="auto" w:fill="FFFFFF"/>
              </w:rPr>
              <w:t>现状浓度（ug/ m</w:t>
            </w:r>
            <w:r>
              <w:rPr>
                <w:shd w:val="clear" w:color="auto" w:fill="FFFFFF"/>
                <w:vertAlign w:val="superscript"/>
              </w:rPr>
              <w:t>3</w:t>
            </w:r>
            <w:r>
              <w:rPr>
                <w:shd w:val="clear" w:color="auto" w:fill="FFFFFF"/>
              </w:rPr>
              <w:t>）</w:t>
            </w:r>
          </w:p>
        </w:tc>
        <w:tc>
          <w:tcPr>
            <w:tcW w:w="1417" w:type="dxa"/>
            <w:vAlign w:val="center"/>
          </w:tcPr>
          <w:p>
            <w:pPr>
              <w:pStyle w:val="294"/>
              <w:rPr>
                <w:shd w:val="clear" w:color="auto" w:fill="FFFFFF"/>
              </w:rPr>
            </w:pPr>
            <w:r>
              <w:rPr>
                <w:shd w:val="clear" w:color="auto" w:fill="FFFFFF"/>
              </w:rPr>
              <w:t>标准值（ug/ m</w:t>
            </w:r>
            <w:r>
              <w:rPr>
                <w:shd w:val="clear" w:color="auto" w:fill="FFFFFF"/>
                <w:vertAlign w:val="superscript"/>
              </w:rPr>
              <w:t>3</w:t>
            </w:r>
            <w:r>
              <w:rPr>
                <w:shd w:val="clear" w:color="auto" w:fill="FFFFFF"/>
              </w:rPr>
              <w:t>）</w:t>
            </w:r>
          </w:p>
        </w:tc>
        <w:tc>
          <w:tcPr>
            <w:tcW w:w="792" w:type="dxa"/>
            <w:vAlign w:val="center"/>
          </w:tcPr>
          <w:p>
            <w:pPr>
              <w:pStyle w:val="294"/>
              <w:rPr>
                <w:shd w:val="clear" w:color="auto" w:fill="FFFFFF"/>
              </w:rPr>
            </w:pPr>
            <w:r>
              <w:rPr>
                <w:shd w:val="clear" w:color="auto" w:fill="FFFFFF"/>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068" w:type="dxa"/>
            <w:vAlign w:val="center"/>
          </w:tcPr>
          <w:p>
            <w:pPr>
              <w:pStyle w:val="294"/>
              <w:rPr>
                <w:shd w:val="clear" w:color="auto" w:fill="FFFFFF"/>
              </w:rPr>
            </w:pPr>
            <w:r>
              <w:rPr>
                <w:shd w:val="clear" w:color="auto" w:fill="FFFFFF"/>
              </w:rPr>
              <w:t>SO</w:t>
            </w:r>
            <w:r>
              <w:rPr>
                <w:shd w:val="clear" w:color="auto" w:fill="FFFFFF"/>
                <w:vertAlign w:val="subscript"/>
              </w:rPr>
              <w:t>2</w:t>
            </w:r>
          </w:p>
        </w:tc>
        <w:tc>
          <w:tcPr>
            <w:tcW w:w="2755" w:type="dxa"/>
            <w:vMerge w:val="restart"/>
            <w:vAlign w:val="center"/>
          </w:tcPr>
          <w:p>
            <w:pPr>
              <w:pStyle w:val="294"/>
              <w:rPr>
                <w:shd w:val="clear" w:color="auto" w:fill="FFFFFF"/>
              </w:rPr>
            </w:pPr>
            <w:r>
              <w:rPr>
                <w:shd w:val="clear" w:color="auto" w:fill="FFFFFF"/>
              </w:rPr>
              <w:t>年评价质量浓度</w:t>
            </w:r>
          </w:p>
        </w:tc>
        <w:tc>
          <w:tcPr>
            <w:tcW w:w="2268" w:type="dxa"/>
            <w:vAlign w:val="center"/>
          </w:tcPr>
          <w:p>
            <w:pPr>
              <w:pStyle w:val="294"/>
              <w:rPr>
                <w:shd w:val="clear" w:color="auto" w:fill="FFFFFF"/>
              </w:rPr>
            </w:pPr>
            <w:r>
              <w:rPr>
                <w:shd w:val="clear" w:color="auto" w:fill="FFFFFF"/>
              </w:rPr>
              <w:t>5</w:t>
            </w:r>
          </w:p>
        </w:tc>
        <w:tc>
          <w:tcPr>
            <w:tcW w:w="1417" w:type="dxa"/>
            <w:vAlign w:val="center"/>
          </w:tcPr>
          <w:p>
            <w:pPr>
              <w:pStyle w:val="294"/>
              <w:rPr>
                <w:shd w:val="clear" w:color="auto" w:fill="FFFFFF"/>
              </w:rPr>
            </w:pPr>
            <w:r>
              <w:rPr>
                <w:shd w:val="clear" w:color="auto" w:fill="FFFFFF"/>
              </w:rPr>
              <w:t>60</w:t>
            </w:r>
          </w:p>
        </w:tc>
        <w:tc>
          <w:tcPr>
            <w:tcW w:w="792" w:type="dxa"/>
            <w:vAlign w:val="center"/>
          </w:tcPr>
          <w:p>
            <w:pPr>
              <w:pStyle w:val="294"/>
              <w:rPr>
                <w:shd w:val="clear" w:color="auto" w:fill="FFFFFF"/>
              </w:rPr>
            </w:pPr>
            <w:r>
              <w:rPr>
                <w:shd w:val="clear" w:color="auto" w:fill="FFFFFF"/>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068" w:type="dxa"/>
            <w:vAlign w:val="center"/>
          </w:tcPr>
          <w:p>
            <w:pPr>
              <w:pStyle w:val="294"/>
              <w:rPr>
                <w:shd w:val="clear" w:color="auto" w:fill="FFFFFF"/>
              </w:rPr>
            </w:pPr>
            <w:r>
              <w:rPr>
                <w:shd w:val="clear" w:color="auto" w:fill="FFFFFF"/>
              </w:rPr>
              <w:t>NO</w:t>
            </w:r>
            <w:r>
              <w:rPr>
                <w:shd w:val="clear" w:color="auto" w:fill="FFFFFF"/>
                <w:vertAlign w:val="subscript"/>
              </w:rPr>
              <w:t>2</w:t>
            </w:r>
          </w:p>
        </w:tc>
        <w:tc>
          <w:tcPr>
            <w:tcW w:w="2755" w:type="dxa"/>
            <w:vMerge w:val="continue"/>
            <w:vAlign w:val="center"/>
          </w:tcPr>
          <w:p>
            <w:pPr>
              <w:pStyle w:val="294"/>
              <w:rPr>
                <w:shd w:val="clear" w:color="auto" w:fill="FFFFFF"/>
              </w:rPr>
            </w:pPr>
          </w:p>
        </w:tc>
        <w:tc>
          <w:tcPr>
            <w:tcW w:w="2268" w:type="dxa"/>
            <w:vAlign w:val="center"/>
          </w:tcPr>
          <w:p>
            <w:pPr>
              <w:pStyle w:val="294"/>
              <w:rPr>
                <w:shd w:val="clear" w:color="auto" w:fill="FFFFFF"/>
              </w:rPr>
            </w:pPr>
            <w:r>
              <w:rPr>
                <w:shd w:val="clear" w:color="auto" w:fill="FFFFFF"/>
              </w:rPr>
              <w:t>19</w:t>
            </w:r>
          </w:p>
        </w:tc>
        <w:tc>
          <w:tcPr>
            <w:tcW w:w="1417" w:type="dxa"/>
            <w:vAlign w:val="center"/>
          </w:tcPr>
          <w:p>
            <w:pPr>
              <w:pStyle w:val="294"/>
              <w:rPr>
                <w:shd w:val="clear" w:color="auto" w:fill="FFFFFF"/>
              </w:rPr>
            </w:pPr>
            <w:r>
              <w:rPr>
                <w:shd w:val="clear" w:color="auto" w:fill="FFFFFF"/>
              </w:rPr>
              <w:t>40</w:t>
            </w:r>
          </w:p>
        </w:tc>
        <w:tc>
          <w:tcPr>
            <w:tcW w:w="792" w:type="dxa"/>
            <w:vAlign w:val="center"/>
          </w:tcPr>
          <w:p>
            <w:pPr>
              <w:pStyle w:val="294"/>
              <w:rPr>
                <w:shd w:val="clear" w:color="auto" w:fill="FFFFFF"/>
              </w:rPr>
            </w:pPr>
            <w:r>
              <w:rPr>
                <w:shd w:val="clear" w:color="auto" w:fill="FFFFFF"/>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068" w:type="dxa"/>
            <w:vAlign w:val="center"/>
          </w:tcPr>
          <w:p>
            <w:pPr>
              <w:pStyle w:val="294"/>
              <w:rPr>
                <w:shd w:val="clear" w:color="auto" w:fill="FFFFFF"/>
              </w:rPr>
            </w:pPr>
            <w:r>
              <w:rPr>
                <w:shd w:val="clear" w:color="auto" w:fill="FFFFFF"/>
              </w:rPr>
              <w:t>PM</w:t>
            </w:r>
            <w:r>
              <w:rPr>
                <w:shd w:val="clear" w:color="auto" w:fill="FFFFFF"/>
                <w:vertAlign w:val="subscript"/>
              </w:rPr>
              <w:t>10</w:t>
            </w:r>
          </w:p>
        </w:tc>
        <w:tc>
          <w:tcPr>
            <w:tcW w:w="2755" w:type="dxa"/>
            <w:vMerge w:val="continue"/>
            <w:vAlign w:val="center"/>
          </w:tcPr>
          <w:p>
            <w:pPr>
              <w:pStyle w:val="294"/>
              <w:rPr>
                <w:shd w:val="clear" w:color="auto" w:fill="FFFFFF"/>
              </w:rPr>
            </w:pPr>
          </w:p>
        </w:tc>
        <w:tc>
          <w:tcPr>
            <w:tcW w:w="2268" w:type="dxa"/>
            <w:vAlign w:val="center"/>
          </w:tcPr>
          <w:p>
            <w:pPr>
              <w:pStyle w:val="294"/>
              <w:rPr>
                <w:shd w:val="clear" w:color="auto" w:fill="FFFFFF"/>
              </w:rPr>
            </w:pPr>
            <w:r>
              <w:rPr>
                <w:shd w:val="clear" w:color="auto" w:fill="FFFFFF"/>
              </w:rPr>
              <w:t>50</w:t>
            </w:r>
          </w:p>
        </w:tc>
        <w:tc>
          <w:tcPr>
            <w:tcW w:w="1417" w:type="dxa"/>
            <w:vAlign w:val="center"/>
          </w:tcPr>
          <w:p>
            <w:pPr>
              <w:pStyle w:val="294"/>
              <w:rPr>
                <w:shd w:val="clear" w:color="auto" w:fill="FFFFFF"/>
              </w:rPr>
            </w:pPr>
            <w:r>
              <w:rPr>
                <w:shd w:val="clear" w:color="auto" w:fill="FFFFFF"/>
              </w:rPr>
              <w:t>70</w:t>
            </w:r>
          </w:p>
        </w:tc>
        <w:tc>
          <w:tcPr>
            <w:tcW w:w="792" w:type="dxa"/>
            <w:vAlign w:val="center"/>
          </w:tcPr>
          <w:p>
            <w:pPr>
              <w:pStyle w:val="294"/>
              <w:rPr>
                <w:shd w:val="clear" w:color="auto" w:fill="FFFFFF"/>
              </w:rPr>
            </w:pPr>
            <w:r>
              <w:rPr>
                <w:shd w:val="clear" w:color="auto" w:fill="FFFFFF"/>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068" w:type="dxa"/>
            <w:vAlign w:val="center"/>
          </w:tcPr>
          <w:p>
            <w:pPr>
              <w:pStyle w:val="294"/>
              <w:rPr>
                <w:shd w:val="clear" w:color="auto" w:fill="FFFFFF"/>
              </w:rPr>
            </w:pPr>
            <w:r>
              <w:rPr>
                <w:shd w:val="clear" w:color="auto" w:fill="FFFFFF"/>
              </w:rPr>
              <w:t>PM</w:t>
            </w:r>
            <w:r>
              <w:rPr>
                <w:shd w:val="clear" w:color="auto" w:fill="FFFFFF"/>
                <w:vertAlign w:val="subscript"/>
              </w:rPr>
              <w:t>2.5</w:t>
            </w:r>
          </w:p>
        </w:tc>
        <w:tc>
          <w:tcPr>
            <w:tcW w:w="2755" w:type="dxa"/>
            <w:vMerge w:val="continue"/>
            <w:vAlign w:val="center"/>
          </w:tcPr>
          <w:p>
            <w:pPr>
              <w:pStyle w:val="294"/>
              <w:rPr>
                <w:shd w:val="clear" w:color="auto" w:fill="FFFFFF"/>
              </w:rPr>
            </w:pPr>
          </w:p>
        </w:tc>
        <w:tc>
          <w:tcPr>
            <w:tcW w:w="2268" w:type="dxa"/>
            <w:vAlign w:val="center"/>
          </w:tcPr>
          <w:p>
            <w:pPr>
              <w:pStyle w:val="294"/>
              <w:rPr>
                <w:shd w:val="clear" w:color="auto" w:fill="FFFFFF"/>
              </w:rPr>
            </w:pPr>
            <w:r>
              <w:rPr>
                <w:shd w:val="clear" w:color="auto" w:fill="FFFFFF"/>
              </w:rPr>
              <w:t>27</w:t>
            </w:r>
          </w:p>
        </w:tc>
        <w:tc>
          <w:tcPr>
            <w:tcW w:w="1417" w:type="dxa"/>
            <w:vAlign w:val="center"/>
          </w:tcPr>
          <w:p>
            <w:pPr>
              <w:pStyle w:val="294"/>
              <w:rPr>
                <w:shd w:val="clear" w:color="auto" w:fill="FFFFFF"/>
              </w:rPr>
            </w:pPr>
            <w:r>
              <w:rPr>
                <w:shd w:val="clear" w:color="auto" w:fill="FFFFFF"/>
              </w:rPr>
              <w:t>35</w:t>
            </w:r>
          </w:p>
        </w:tc>
        <w:tc>
          <w:tcPr>
            <w:tcW w:w="792" w:type="dxa"/>
            <w:vAlign w:val="center"/>
          </w:tcPr>
          <w:p>
            <w:pPr>
              <w:pStyle w:val="294"/>
              <w:rPr>
                <w:shd w:val="clear" w:color="auto" w:fill="FFFFFF"/>
              </w:rPr>
            </w:pPr>
            <w:r>
              <w:rPr>
                <w:shd w:val="clear" w:color="auto" w:fill="FFFFFF"/>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1068" w:type="dxa"/>
            <w:vAlign w:val="center"/>
          </w:tcPr>
          <w:p>
            <w:pPr>
              <w:pStyle w:val="294"/>
              <w:rPr>
                <w:shd w:val="clear" w:color="auto" w:fill="FFFFFF"/>
              </w:rPr>
            </w:pPr>
            <w:r>
              <w:rPr>
                <w:shd w:val="clear" w:color="auto" w:fill="FFFFFF"/>
              </w:rPr>
              <w:t>CO</w:t>
            </w:r>
          </w:p>
        </w:tc>
        <w:tc>
          <w:tcPr>
            <w:tcW w:w="2755" w:type="dxa"/>
            <w:vAlign w:val="center"/>
          </w:tcPr>
          <w:p>
            <w:pPr>
              <w:pStyle w:val="294"/>
              <w:rPr>
                <w:shd w:val="clear" w:color="auto" w:fill="FFFFFF"/>
              </w:rPr>
            </w:pPr>
            <w:r>
              <w:rPr>
                <w:shd w:val="clear" w:color="auto" w:fill="FFFFFF"/>
              </w:rPr>
              <w:t>日均浓度的第95百分位数</w:t>
            </w:r>
          </w:p>
        </w:tc>
        <w:tc>
          <w:tcPr>
            <w:tcW w:w="2268" w:type="dxa"/>
            <w:vAlign w:val="center"/>
          </w:tcPr>
          <w:p>
            <w:pPr>
              <w:pStyle w:val="294"/>
              <w:rPr>
                <w:shd w:val="clear" w:color="auto" w:fill="FFFFFF"/>
              </w:rPr>
            </w:pPr>
            <w:r>
              <w:rPr>
                <w:shd w:val="clear" w:color="auto" w:fill="FFFFFF"/>
              </w:rPr>
              <w:t>1100</w:t>
            </w:r>
          </w:p>
        </w:tc>
        <w:tc>
          <w:tcPr>
            <w:tcW w:w="1417" w:type="dxa"/>
            <w:vAlign w:val="center"/>
          </w:tcPr>
          <w:p>
            <w:pPr>
              <w:pStyle w:val="294"/>
              <w:rPr>
                <w:shd w:val="clear" w:color="auto" w:fill="FFFFFF"/>
              </w:rPr>
            </w:pPr>
            <w:r>
              <w:rPr>
                <w:shd w:val="clear" w:color="auto" w:fill="FFFFFF"/>
              </w:rPr>
              <w:t>4000</w:t>
            </w:r>
          </w:p>
        </w:tc>
        <w:tc>
          <w:tcPr>
            <w:tcW w:w="792" w:type="dxa"/>
            <w:vAlign w:val="center"/>
          </w:tcPr>
          <w:p>
            <w:pPr>
              <w:pStyle w:val="294"/>
              <w:rPr>
                <w:shd w:val="clear" w:color="auto" w:fill="FFFFFF"/>
              </w:rPr>
            </w:pPr>
            <w:r>
              <w:rPr>
                <w:shd w:val="clear" w:color="auto" w:fill="FFFFFF"/>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068" w:type="dxa"/>
            <w:vAlign w:val="center"/>
          </w:tcPr>
          <w:p>
            <w:pPr>
              <w:pStyle w:val="294"/>
              <w:rPr>
                <w:shd w:val="clear" w:color="auto" w:fill="FFFFFF"/>
              </w:rPr>
            </w:pPr>
            <w:r>
              <w:rPr>
                <w:shd w:val="clear" w:color="auto" w:fill="FFFFFF"/>
              </w:rPr>
              <w:t>O</w:t>
            </w:r>
            <w:r>
              <w:rPr>
                <w:shd w:val="clear" w:color="auto" w:fill="FFFFFF"/>
                <w:vertAlign w:val="subscript"/>
              </w:rPr>
              <w:t>3</w:t>
            </w:r>
          </w:p>
        </w:tc>
        <w:tc>
          <w:tcPr>
            <w:tcW w:w="2755" w:type="dxa"/>
            <w:vAlign w:val="center"/>
          </w:tcPr>
          <w:p>
            <w:pPr>
              <w:pStyle w:val="294"/>
              <w:rPr>
                <w:shd w:val="clear" w:color="auto" w:fill="FFFFFF"/>
              </w:rPr>
            </w:pPr>
            <w:r>
              <w:rPr>
                <w:shd w:val="clear" w:color="auto" w:fill="FFFFFF"/>
              </w:rPr>
              <w:t>日最大8h平均浓度的第90百分位数</w:t>
            </w:r>
          </w:p>
        </w:tc>
        <w:tc>
          <w:tcPr>
            <w:tcW w:w="2268" w:type="dxa"/>
            <w:vAlign w:val="center"/>
          </w:tcPr>
          <w:p>
            <w:pPr>
              <w:pStyle w:val="294"/>
              <w:rPr>
                <w:shd w:val="clear" w:color="auto" w:fill="FFFFFF"/>
              </w:rPr>
            </w:pPr>
            <w:r>
              <w:rPr>
                <w:shd w:val="clear" w:color="auto" w:fill="FFFFFF"/>
              </w:rPr>
              <w:t>99</w:t>
            </w:r>
          </w:p>
        </w:tc>
        <w:tc>
          <w:tcPr>
            <w:tcW w:w="1417" w:type="dxa"/>
            <w:vAlign w:val="center"/>
          </w:tcPr>
          <w:p>
            <w:pPr>
              <w:pStyle w:val="294"/>
              <w:rPr>
                <w:shd w:val="clear" w:color="auto" w:fill="FFFFFF"/>
              </w:rPr>
            </w:pPr>
            <w:r>
              <w:rPr>
                <w:shd w:val="clear" w:color="auto" w:fill="FFFFFF"/>
              </w:rPr>
              <w:t>160</w:t>
            </w:r>
          </w:p>
        </w:tc>
        <w:tc>
          <w:tcPr>
            <w:tcW w:w="792" w:type="dxa"/>
            <w:vAlign w:val="center"/>
          </w:tcPr>
          <w:p>
            <w:pPr>
              <w:pStyle w:val="294"/>
              <w:rPr>
                <w:shd w:val="clear" w:color="auto" w:fill="FFFFFF"/>
              </w:rPr>
            </w:pPr>
            <w:r>
              <w:rPr>
                <w:shd w:val="clear" w:color="auto" w:fill="FFFFFF"/>
              </w:rPr>
              <w:t>达标</w:t>
            </w:r>
          </w:p>
        </w:tc>
      </w:tr>
    </w:tbl>
    <w:p>
      <w:pPr>
        <w:pStyle w:val="249"/>
        <w:spacing w:before="120" w:beforeLines="50"/>
        <w:ind w:firstLine="480"/>
        <w:rPr>
          <w:color w:val="000000" w:themeColor="text1"/>
          <w:szCs w:val="24"/>
          <w14:textFill>
            <w14:solidFill>
              <w14:schemeClr w14:val="tx1"/>
            </w14:solidFill>
          </w14:textFill>
        </w:rPr>
      </w:pPr>
      <w:bookmarkStart w:id="210" w:name="_Hlk144654236"/>
      <w:r>
        <w:rPr>
          <w:color w:val="000000" w:themeColor="text1"/>
          <w:szCs w:val="21"/>
          <w14:textFill>
            <w14:solidFill>
              <w14:schemeClr w14:val="tx1"/>
            </w14:solidFill>
          </w14:textFill>
        </w:rPr>
        <w:t>根据《达州市2022年环境空气质量状况》内容，宣汉县2022年度主要污染物SO</w:t>
      </w:r>
      <w:r>
        <w:rPr>
          <w:color w:val="000000" w:themeColor="text1"/>
          <w:szCs w:val="21"/>
          <w:vertAlign w:val="subscript"/>
          <w14:textFill>
            <w14:solidFill>
              <w14:schemeClr w14:val="tx1"/>
            </w14:solidFill>
          </w14:textFill>
        </w:rPr>
        <w:t>2</w:t>
      </w:r>
      <w:r>
        <w:rPr>
          <w:color w:val="000000" w:themeColor="text1"/>
          <w:szCs w:val="21"/>
          <w14:textFill>
            <w14:solidFill>
              <w14:schemeClr w14:val="tx1"/>
            </w14:solidFill>
          </w14:textFill>
        </w:rPr>
        <w:t>、NO</w:t>
      </w:r>
      <w:r>
        <w:rPr>
          <w:color w:val="000000" w:themeColor="text1"/>
          <w:szCs w:val="21"/>
          <w:vertAlign w:val="subscript"/>
          <w14:textFill>
            <w14:solidFill>
              <w14:schemeClr w14:val="tx1"/>
            </w14:solidFill>
          </w14:textFill>
        </w:rPr>
        <w:t>2</w:t>
      </w:r>
      <w:r>
        <w:rPr>
          <w:color w:val="000000" w:themeColor="text1"/>
          <w:szCs w:val="21"/>
          <w14:textFill>
            <w14:solidFill>
              <w14:schemeClr w14:val="tx1"/>
            </w14:solidFill>
          </w14:textFill>
        </w:rPr>
        <w:t>、PM</w:t>
      </w:r>
      <w:r>
        <w:rPr>
          <w:color w:val="000000" w:themeColor="text1"/>
          <w:szCs w:val="21"/>
          <w:vertAlign w:val="subscript"/>
          <w14:textFill>
            <w14:solidFill>
              <w14:schemeClr w14:val="tx1"/>
            </w14:solidFill>
          </w14:textFill>
        </w:rPr>
        <w:t>10</w:t>
      </w:r>
      <w:r>
        <w:rPr>
          <w:color w:val="000000" w:themeColor="text1"/>
          <w:szCs w:val="21"/>
          <w14:textFill>
            <w14:solidFill>
              <w14:schemeClr w14:val="tx1"/>
            </w14:solidFill>
          </w14:textFill>
        </w:rPr>
        <w:t>、PM</w:t>
      </w:r>
      <w:r>
        <w:rPr>
          <w:color w:val="000000" w:themeColor="text1"/>
          <w:szCs w:val="21"/>
          <w:vertAlign w:val="subscript"/>
          <w14:textFill>
            <w14:solidFill>
              <w14:schemeClr w14:val="tx1"/>
            </w14:solidFill>
          </w14:textFill>
        </w:rPr>
        <w:t>2.5</w:t>
      </w:r>
      <w:r>
        <w:rPr>
          <w:color w:val="000000" w:themeColor="text1"/>
          <w:szCs w:val="21"/>
          <w14:textFill>
            <w14:solidFill>
              <w14:schemeClr w14:val="tx1"/>
            </w14:solidFill>
          </w14:textFill>
        </w:rPr>
        <w:t>、CO、O</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均满足《环境空气质量标准》（GB3095-2012）二级标准要求，按《环境影响评价技术导则 大气环境》（HJ2.2-2018）区域达标判断标准，宣汉县2022年度区域环境空气质量为达标区</w:t>
      </w:r>
      <w:bookmarkEnd w:id="210"/>
      <w:r>
        <w:rPr>
          <w:color w:val="000000" w:themeColor="text1"/>
          <w:szCs w:val="21"/>
          <w14:textFill>
            <w14:solidFill>
              <w14:schemeClr w14:val="tx1"/>
            </w14:solidFill>
          </w14:textFill>
        </w:rPr>
        <w:t>。</w:t>
      </w:r>
    </w:p>
    <w:p>
      <w:pPr>
        <w:pStyle w:val="249"/>
        <w:ind w:firstLine="482"/>
        <w:rPr>
          <w:b/>
          <w:bCs/>
          <w:color w:val="000000" w:themeColor="text1"/>
          <w:szCs w:val="24"/>
          <w14:textFill>
            <w14:solidFill>
              <w14:schemeClr w14:val="tx1"/>
            </w14:solidFill>
          </w14:textFill>
        </w:rPr>
      </w:pPr>
      <w:r>
        <w:rPr>
          <w:b/>
          <w:bCs/>
          <w:color w:val="000000" w:themeColor="text1"/>
          <w:szCs w:val="24"/>
          <w14:textFill>
            <w14:solidFill>
              <w14:schemeClr w14:val="tx1"/>
            </w14:solidFill>
          </w14:textFill>
        </w:rPr>
        <w:t>2、特征污染物</w:t>
      </w:r>
    </w:p>
    <w:p>
      <w:pPr>
        <w:pStyle w:val="249"/>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（1）监测点布设</w:t>
      </w:r>
    </w:p>
    <w:p>
      <w:pPr>
        <w:pStyle w:val="249"/>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根据项目工程特点的具体情况，本次评价</w:t>
      </w:r>
      <w:r>
        <w:rPr>
          <w:rFonts w:hint="eastAsia"/>
          <w:color w:val="000000" w:themeColor="text1"/>
          <w:szCs w:val="24"/>
          <w14:textFill>
            <w14:solidFill>
              <w14:schemeClr w14:val="tx1"/>
            </w14:solidFill>
          </w14:textFill>
        </w:rPr>
        <w:t>H</w:t>
      </w:r>
      <w:r>
        <w:rPr>
          <w:rFonts w:hint="eastAsia"/>
          <w:color w:val="000000" w:themeColor="text1"/>
          <w:szCs w:val="24"/>
          <w:vertAlign w:val="subscript"/>
          <w14:textFill>
            <w14:solidFill>
              <w14:schemeClr w14:val="tx1"/>
            </w14:solidFill>
          </w14:textFill>
        </w:rPr>
        <w:t>2</w:t>
      </w:r>
      <w:r>
        <w:rPr>
          <w:rFonts w:hint="eastAsia"/>
          <w:color w:val="000000" w:themeColor="text1"/>
          <w:szCs w:val="24"/>
          <w14:textFill>
            <w14:solidFill>
              <w14:schemeClr w14:val="tx1"/>
            </w14:solidFill>
          </w14:textFill>
        </w:rPr>
        <w:t>S</w:t>
      </w:r>
      <w:r>
        <w:rPr>
          <w:color w:val="000000" w:themeColor="text1"/>
          <w:szCs w:val="24"/>
          <w14:textFill>
            <w14:solidFill>
              <w14:schemeClr w14:val="tx1"/>
            </w14:solidFill>
          </w14:textFill>
        </w:rPr>
        <w:t>引用</w:t>
      </w:r>
      <w:r>
        <w:rPr>
          <w:rFonts w:hint="eastAsia"/>
          <w:color w:val="000000" w:themeColor="text1"/>
          <w:szCs w:val="24"/>
          <w14:textFill>
            <w14:solidFill>
              <w14:schemeClr w14:val="tx1"/>
            </w14:solidFill>
          </w14:textFill>
        </w:rPr>
        <w:t>《普光3021-8、9井钻井及试采工程环境影响评价监测》中监测数据，该监测点位位于本项目南侧约960m；非甲烷总烃引用《</w:t>
      </w:r>
      <w:r>
        <w:rPr>
          <w:color w:val="000000" w:themeColor="text1"/>
          <w:szCs w:val="24"/>
          <w14:textFill>
            <w14:solidFill>
              <w14:schemeClr w14:val="tx1"/>
            </w14:solidFill>
          </w14:textFill>
        </w:rPr>
        <w:t>普陆页2井</w:t>
      </w:r>
      <w:r>
        <w:rPr>
          <w:rFonts w:hint="eastAsia"/>
          <w:color w:val="000000" w:themeColor="text1"/>
          <w:szCs w:val="24"/>
          <w14:textFill>
            <w14:solidFill>
              <w14:schemeClr w14:val="tx1"/>
            </w14:solidFill>
          </w14:textFill>
        </w:rPr>
        <w:t>台钻井及试采工程》中监测数据，该监测点位位于本项目南侧约</w:t>
      </w:r>
      <w:r>
        <w:rPr>
          <w:color w:val="000000" w:themeColor="text1"/>
          <w:szCs w:val="24"/>
          <w14:textFill>
            <w14:solidFill>
              <w14:schemeClr w14:val="tx1"/>
            </w14:solidFill>
          </w14:textFill>
        </w:rPr>
        <w:t>1</w:t>
      </w:r>
      <w:r>
        <w:rPr>
          <w:rFonts w:hint="eastAsia"/>
          <w:color w:val="000000" w:themeColor="text1"/>
          <w:szCs w:val="24"/>
          <w14:textFill>
            <w14:solidFill>
              <w14:schemeClr w14:val="tx1"/>
            </w14:solidFill>
          </w14:textFill>
        </w:rPr>
        <w:t>30</w:t>
      </w:r>
      <w:r>
        <w:rPr>
          <w:color w:val="000000" w:themeColor="text1"/>
          <w:szCs w:val="24"/>
          <w14:textFill>
            <w14:solidFill>
              <w14:schemeClr w14:val="tx1"/>
            </w14:solidFill>
          </w14:textFill>
        </w:rPr>
        <w:t>0m，目前</w:t>
      </w:r>
      <w:r>
        <w:rPr>
          <w:rFonts w:hint="eastAsia"/>
          <w:color w:val="000000" w:themeColor="text1"/>
          <w:szCs w:val="24"/>
          <w14:textFill>
            <w14:solidFill>
              <w14:schemeClr w14:val="tx1"/>
            </w14:solidFill>
          </w14:textFill>
        </w:rPr>
        <w:t>以上</w:t>
      </w:r>
      <w:r>
        <w:rPr>
          <w:color w:val="000000" w:themeColor="text1"/>
          <w:szCs w:val="24"/>
          <w14:textFill>
            <w14:solidFill>
              <w14:schemeClr w14:val="tx1"/>
            </w14:solidFill>
          </w14:textFill>
        </w:rPr>
        <w:t>项目正在</w:t>
      </w:r>
      <w:r>
        <w:rPr>
          <w:rFonts w:hint="eastAsia"/>
          <w:color w:val="000000" w:themeColor="text1"/>
          <w:szCs w:val="24"/>
          <w14:textFill>
            <w14:solidFill>
              <w14:schemeClr w14:val="tx1"/>
            </w14:solidFill>
          </w14:textFill>
        </w:rPr>
        <w:t>开展钻前施工工作</w:t>
      </w:r>
      <w:r>
        <w:rPr>
          <w:color w:val="000000" w:themeColor="text1"/>
          <w:szCs w:val="24"/>
          <w14:textFill>
            <w14:solidFill>
              <w14:schemeClr w14:val="tx1"/>
            </w14:solidFill>
          </w14:textFill>
        </w:rPr>
        <w:t>，尚未</w:t>
      </w:r>
      <w:r>
        <w:rPr>
          <w:rFonts w:hint="eastAsia"/>
          <w:color w:val="000000" w:themeColor="text1"/>
          <w:szCs w:val="24"/>
          <w14:textFill>
            <w14:solidFill>
              <w14:schemeClr w14:val="tx1"/>
            </w14:solidFill>
          </w14:textFill>
        </w:rPr>
        <w:t>排放H</w:t>
      </w:r>
      <w:r>
        <w:rPr>
          <w:rFonts w:hint="eastAsia"/>
          <w:color w:val="000000" w:themeColor="text1"/>
          <w:szCs w:val="24"/>
          <w:vertAlign w:val="subscript"/>
          <w14:textFill>
            <w14:solidFill>
              <w14:schemeClr w14:val="tx1"/>
            </w14:solidFill>
          </w14:textFill>
        </w:rPr>
        <w:t>2</w:t>
      </w:r>
      <w:r>
        <w:rPr>
          <w:rFonts w:hint="eastAsia"/>
          <w:color w:val="000000" w:themeColor="text1"/>
          <w:szCs w:val="24"/>
          <w14:textFill>
            <w14:solidFill>
              <w14:schemeClr w14:val="tx1"/>
            </w14:solidFill>
          </w14:textFill>
        </w:rPr>
        <w:t>S和非甲烷总烃，</w:t>
      </w:r>
      <w:r>
        <w:rPr>
          <w:color w:val="000000" w:themeColor="text1"/>
          <w:szCs w:val="24"/>
          <w14:textFill>
            <w14:solidFill>
              <w14:schemeClr w14:val="tx1"/>
            </w14:solidFill>
          </w14:textFill>
        </w:rPr>
        <w:t>监测数据引用可行。</w:t>
      </w:r>
    </w:p>
    <w:p>
      <w:pPr>
        <w:pStyle w:val="249"/>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（2）监测项目：硫化氢、非甲烷总烃（引用监测）。</w:t>
      </w:r>
    </w:p>
    <w:p>
      <w:pPr>
        <w:pStyle w:val="249"/>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（3）监测频次：连续采样7天。</w:t>
      </w:r>
    </w:p>
    <w:p>
      <w:pPr>
        <w:pStyle w:val="249"/>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（4）采样及分析方法</w:t>
      </w:r>
    </w:p>
    <w:p>
      <w:pPr>
        <w:pStyle w:val="249"/>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采样及分析方法按国家有关规定进行。</w:t>
      </w:r>
    </w:p>
    <w:p>
      <w:pPr>
        <w:pStyle w:val="249"/>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（5）评价标准</w:t>
      </w:r>
    </w:p>
    <w:p>
      <w:pPr>
        <w:pStyle w:val="249"/>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本次非甲烷总烃环境质量现状评价，执行标准采用《大气污染物综合排放标准详解》小时平均浓度限值2.0mg/m</w:t>
      </w:r>
      <w:r>
        <w:rPr>
          <w:color w:val="000000" w:themeColor="text1"/>
          <w:szCs w:val="24"/>
          <w:vertAlign w:val="superscript"/>
          <w14:textFill>
            <w14:solidFill>
              <w14:schemeClr w14:val="tx1"/>
            </w14:solidFill>
          </w14:textFill>
        </w:rPr>
        <w:t>3</w:t>
      </w:r>
      <w:r>
        <w:rPr>
          <w:color w:val="000000" w:themeColor="text1"/>
          <w:szCs w:val="24"/>
          <w14:textFill>
            <w14:solidFill>
              <w14:schemeClr w14:val="tx1"/>
            </w14:solidFill>
          </w14:textFill>
        </w:rPr>
        <w:t>；硫化氢环境质量现状评价，执行标准采用《环境影响评价技术导则大气环境》（HJ2.2-2018）中附录D小时平均浓度限值10μg/m</w:t>
      </w:r>
      <w:r>
        <w:rPr>
          <w:color w:val="000000" w:themeColor="text1"/>
          <w:szCs w:val="24"/>
          <w:vertAlign w:val="superscript"/>
          <w14:textFill>
            <w14:solidFill>
              <w14:schemeClr w14:val="tx1"/>
            </w14:solidFill>
          </w14:textFill>
        </w:rPr>
        <w:t>3</w:t>
      </w:r>
      <w:r>
        <w:rPr>
          <w:color w:val="000000" w:themeColor="text1"/>
          <w:szCs w:val="24"/>
          <w14:textFill>
            <w14:solidFill>
              <w14:schemeClr w14:val="tx1"/>
            </w14:solidFill>
          </w14:textFill>
        </w:rPr>
        <w:t>。</w:t>
      </w:r>
    </w:p>
    <w:p>
      <w:pPr>
        <w:pStyle w:val="249"/>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（6）评价方法</w:t>
      </w:r>
    </w:p>
    <w:p>
      <w:pPr>
        <w:pStyle w:val="249"/>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根据《环境影响评价技术导则大气环境》（HJ2.2-2018），采用最大监测浓度占标率对评价区域大气环境质量现状进行评价，评价模式如下：</w:t>
      </w:r>
    </w:p>
    <w:p>
      <w:pPr>
        <w:pStyle w:val="249"/>
        <w:ind w:firstLine="480"/>
        <w:rPr>
          <w:color w:val="000000" w:themeColor="text1"/>
          <w:szCs w:val="24"/>
          <w14:textFill>
            <w14:solidFill>
              <w14:schemeClr w14:val="tx1"/>
            </w14:solidFill>
          </w14:textFill>
        </w:rPr>
      </w:pPr>
      <m:oMathPara>
        <m:oMath>
          <m:sSub>
            <m:sSubPr>
              <m:ctrlPr>
                <w:rPr>
                  <w:rFonts w:ascii="Cambria Math" w:hAnsi="Cambria Math"/>
                  <w:color w:val="000000" w:themeColor="text1"/>
                  <w:kern w:val="2"/>
                  <w:szCs w:val="24"/>
                  <w14:textFill>
                    <w14:solidFill>
                      <w14:schemeClr w14:val="tx1"/>
                    </w14:solidFill>
                  </w14:textFill>
                </w:rPr>
              </m:ctrlPr>
            </m:sSubPr>
            <m:e>
              <m:r>
                <m:rPr>
                  <m:sty m:val="p"/>
                </m:rPr>
                <w:rPr>
                  <w:rFonts w:ascii="Cambria Math" w:hAnsi="Cambria Math"/>
                  <w:color w:val="000000" w:themeColor="text1"/>
                  <w:szCs w:val="24"/>
                  <w14:textFill>
                    <w14:solidFill>
                      <w14:schemeClr w14:val="tx1"/>
                    </w14:solidFill>
                  </w14:textFill>
                </w:rPr>
                <m:t>P</m:t>
              </m:r>
              <m:ctrlPr>
                <w:rPr>
                  <w:rFonts w:ascii="Cambria Math" w:hAnsi="Cambria Math"/>
                  <w:color w:val="000000" w:themeColor="text1"/>
                  <w:kern w:val="2"/>
                  <w:szCs w:val="24"/>
                  <w14:textFill>
                    <w14:solidFill>
                      <w14:schemeClr w14:val="tx1"/>
                    </w14:solidFill>
                  </w14:textFill>
                </w:rPr>
              </m:ctrlPr>
            </m:e>
            <m:sub>
              <m:r>
                <m:rPr>
                  <m:sty m:val="p"/>
                </m:rPr>
                <w:rPr>
                  <w:rFonts w:ascii="Cambria Math" w:hAnsi="Cambria Math"/>
                  <w:color w:val="000000" w:themeColor="text1"/>
                  <w:szCs w:val="24"/>
                  <w14:textFill>
                    <w14:solidFill>
                      <w14:schemeClr w14:val="tx1"/>
                    </w14:solidFill>
                  </w14:textFill>
                </w:rPr>
                <m:t>i</m:t>
              </m:r>
              <m:ctrlPr>
                <w:rPr>
                  <w:rFonts w:ascii="Cambria Math" w:hAnsi="Cambria Math"/>
                  <w:color w:val="000000" w:themeColor="text1"/>
                  <w:kern w:val="2"/>
                  <w:szCs w:val="24"/>
                  <w14:textFill>
                    <w14:solidFill>
                      <w14:schemeClr w14:val="tx1"/>
                    </w14:solidFill>
                  </w14:textFill>
                </w:rPr>
              </m:ctrlPr>
            </m:sub>
          </m:sSub>
          <m:r>
            <m:rPr>
              <m:sty m:val="p"/>
            </m:rPr>
            <w:rPr>
              <w:rFonts w:ascii="Cambria Math" w:hAnsi="Cambria Math"/>
              <w:color w:val="000000" w:themeColor="text1"/>
              <w:szCs w:val="24"/>
              <w14:textFill>
                <w14:solidFill>
                  <w14:schemeClr w14:val="tx1"/>
                </w14:solidFill>
              </w14:textFill>
            </w:rPr>
            <m:t>=</m:t>
          </m:r>
          <m:f>
            <m:fPr>
              <m:ctrlPr>
                <w:rPr>
                  <w:rFonts w:ascii="Cambria Math" w:hAnsi="Cambria Math"/>
                  <w:color w:val="000000" w:themeColor="text1"/>
                  <w:kern w:val="2"/>
                  <w:szCs w:val="24"/>
                  <w14:textFill>
                    <w14:solidFill>
                      <w14:schemeClr w14:val="tx1"/>
                    </w14:solidFill>
                  </w14:textFill>
                </w:rPr>
              </m:ctrlPr>
            </m:fPr>
            <m:num>
              <m:sSub>
                <m:sSubPr>
                  <m:ctrlPr>
                    <w:rPr>
                      <w:rFonts w:ascii="Cambria Math" w:hAnsi="Cambria Math"/>
                      <w:color w:val="000000" w:themeColor="text1"/>
                      <w:kern w:val="2"/>
                      <w:szCs w:val="24"/>
                      <w14:textFill>
                        <w14:solidFill>
                          <w14:schemeClr w14:val="tx1"/>
                        </w14:solidFill>
                      </w14:textFill>
                    </w:rPr>
                  </m:ctrlPr>
                </m:sSubPr>
                <m:e>
                  <m:r>
                    <m:rPr>
                      <m:sty m:val="p"/>
                    </m:rPr>
                    <w:rPr>
                      <w:rFonts w:ascii="Cambria Math" w:hAnsi="Cambria Math"/>
                      <w:color w:val="000000" w:themeColor="text1"/>
                      <w:szCs w:val="24"/>
                      <w14:textFill>
                        <w14:solidFill>
                          <w14:schemeClr w14:val="tx1"/>
                        </w14:solidFill>
                      </w14:textFill>
                    </w:rPr>
                    <m:t>C</m:t>
                  </m:r>
                  <m:ctrlPr>
                    <w:rPr>
                      <w:rFonts w:ascii="Cambria Math" w:hAnsi="Cambria Math"/>
                      <w:color w:val="000000" w:themeColor="text1"/>
                      <w:kern w:val="2"/>
                      <w:szCs w:val="24"/>
                      <w14:textFill>
                        <w14:solidFill>
                          <w14:schemeClr w14:val="tx1"/>
                        </w14:solidFill>
                      </w14:textFill>
                    </w:rPr>
                  </m:ctrlPr>
                </m:e>
                <m:sub>
                  <m:r>
                    <m:rPr>
                      <m:sty m:val="p"/>
                    </m:rPr>
                    <w:rPr>
                      <w:rFonts w:ascii="Cambria Math" w:hAnsi="Cambria Math"/>
                      <w:color w:val="000000" w:themeColor="text1"/>
                      <w:szCs w:val="24"/>
                      <w14:textFill>
                        <w14:solidFill>
                          <w14:schemeClr w14:val="tx1"/>
                        </w14:solidFill>
                      </w14:textFill>
                    </w:rPr>
                    <m:t>i</m:t>
                  </m:r>
                  <m:ctrlPr>
                    <w:rPr>
                      <w:rFonts w:ascii="Cambria Math" w:hAnsi="Cambria Math"/>
                      <w:color w:val="000000" w:themeColor="text1"/>
                      <w:kern w:val="2"/>
                      <w:szCs w:val="24"/>
                      <w14:textFill>
                        <w14:solidFill>
                          <w14:schemeClr w14:val="tx1"/>
                        </w14:solidFill>
                      </w14:textFill>
                    </w:rPr>
                  </m:ctrlPr>
                </m:sub>
              </m:sSub>
              <m:ctrlPr>
                <w:rPr>
                  <w:rFonts w:ascii="Cambria Math" w:hAnsi="Cambria Math"/>
                  <w:color w:val="000000" w:themeColor="text1"/>
                  <w:kern w:val="2"/>
                  <w:szCs w:val="24"/>
                  <w14:textFill>
                    <w14:solidFill>
                      <w14:schemeClr w14:val="tx1"/>
                    </w14:solidFill>
                  </w14:textFill>
                </w:rPr>
              </m:ctrlPr>
            </m:num>
            <m:den>
              <m:sSub>
                <m:sSubPr>
                  <m:ctrlPr>
                    <w:rPr>
                      <w:rFonts w:ascii="Cambria Math" w:hAnsi="Cambria Math"/>
                      <w:color w:val="000000" w:themeColor="text1"/>
                      <w:kern w:val="2"/>
                      <w:szCs w:val="24"/>
                      <w14:textFill>
                        <w14:solidFill>
                          <w14:schemeClr w14:val="tx1"/>
                        </w14:solidFill>
                      </w14:textFill>
                    </w:rPr>
                  </m:ctrlPr>
                </m:sSubPr>
                <m:e>
                  <m:r>
                    <m:rPr>
                      <m:sty m:val="p"/>
                    </m:rPr>
                    <w:rPr>
                      <w:rFonts w:ascii="Cambria Math" w:hAnsi="Cambria Math"/>
                      <w:color w:val="000000" w:themeColor="text1"/>
                      <w:szCs w:val="24"/>
                      <w14:textFill>
                        <w14:solidFill>
                          <w14:schemeClr w14:val="tx1"/>
                        </w14:solidFill>
                      </w14:textFill>
                    </w:rPr>
                    <m:t>C</m:t>
                  </m:r>
                  <m:ctrlPr>
                    <w:rPr>
                      <w:rFonts w:ascii="Cambria Math" w:hAnsi="Cambria Math"/>
                      <w:color w:val="000000" w:themeColor="text1"/>
                      <w:kern w:val="2"/>
                      <w:szCs w:val="24"/>
                      <w14:textFill>
                        <w14:solidFill>
                          <w14:schemeClr w14:val="tx1"/>
                        </w14:solidFill>
                      </w14:textFill>
                    </w:rPr>
                  </m:ctrlPr>
                </m:e>
                <m:sub>
                  <m:r>
                    <m:rPr>
                      <m:sty m:val="p"/>
                    </m:rPr>
                    <w:rPr>
                      <w:rFonts w:ascii="Cambria Math" w:hAnsi="Cambria Math"/>
                      <w:color w:val="000000" w:themeColor="text1"/>
                      <w:szCs w:val="24"/>
                      <w14:textFill>
                        <w14:solidFill>
                          <w14:schemeClr w14:val="tx1"/>
                        </w14:solidFill>
                      </w14:textFill>
                    </w:rPr>
                    <m:t>oi</m:t>
                  </m:r>
                  <m:ctrlPr>
                    <w:rPr>
                      <w:rFonts w:ascii="Cambria Math" w:hAnsi="Cambria Math"/>
                      <w:color w:val="000000" w:themeColor="text1"/>
                      <w:kern w:val="2"/>
                      <w:szCs w:val="24"/>
                      <w14:textFill>
                        <w14:solidFill>
                          <w14:schemeClr w14:val="tx1"/>
                        </w14:solidFill>
                      </w14:textFill>
                    </w:rPr>
                  </m:ctrlPr>
                </m:sub>
              </m:sSub>
              <m:ctrlPr>
                <w:rPr>
                  <w:rFonts w:ascii="Cambria Math" w:hAnsi="Cambria Math"/>
                  <w:i/>
                  <w:color w:val="000000" w:themeColor="text1"/>
                  <w:kern w:val="2"/>
                  <w:szCs w:val="24"/>
                  <w14:textFill>
                    <w14:solidFill>
                      <w14:schemeClr w14:val="tx1"/>
                    </w14:solidFill>
                  </w14:textFill>
                </w:rPr>
              </m:ctrlPr>
            </m:den>
          </m:f>
          <m:r>
            <m:rPr>
              <m:sty m:val="p"/>
            </m:rPr>
            <w:rPr>
              <w:rFonts w:ascii="Cambria Math" w:hAnsi="Cambria Math"/>
              <w:color w:val="000000" w:themeColor="text1"/>
              <w:szCs w:val="24"/>
              <w14:textFill>
                <w14:solidFill>
                  <w14:schemeClr w14:val="tx1"/>
                </w14:solidFill>
              </w14:textFill>
            </w:rPr>
            <m:t>×100%</m:t>
          </m:r>
        </m:oMath>
      </m:oMathPara>
    </w:p>
    <w:p>
      <w:pPr>
        <w:pStyle w:val="249"/>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Pi——为第i个污染物的最大监测浓度占标率，%；</w:t>
      </w:r>
    </w:p>
    <w:p>
      <w:pPr>
        <w:pStyle w:val="249"/>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Ci——为第i个污染因子的最大实测浓度（mg/m</w:t>
      </w:r>
      <w:r>
        <w:rPr>
          <w:color w:val="000000" w:themeColor="text1"/>
          <w:szCs w:val="24"/>
          <w:vertAlign w:val="superscript"/>
          <w14:textFill>
            <w14:solidFill>
              <w14:schemeClr w14:val="tx1"/>
            </w14:solidFill>
          </w14:textFill>
        </w:rPr>
        <w:t>3</w:t>
      </w:r>
      <w:r>
        <w:rPr>
          <w:color w:val="000000" w:themeColor="text1"/>
          <w:szCs w:val="24"/>
          <w14:textFill>
            <w14:solidFill>
              <w14:schemeClr w14:val="tx1"/>
            </w14:solidFill>
          </w14:textFill>
        </w:rPr>
        <w:t>）；</w:t>
      </w:r>
    </w:p>
    <w:p>
      <w:pPr>
        <w:pStyle w:val="249"/>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Coi——为第i个污染物相对应的评价标准（mg/m</w:t>
      </w:r>
      <w:r>
        <w:rPr>
          <w:color w:val="000000" w:themeColor="text1"/>
          <w:szCs w:val="24"/>
          <w:vertAlign w:val="superscript"/>
          <w14:textFill>
            <w14:solidFill>
              <w14:schemeClr w14:val="tx1"/>
            </w14:solidFill>
          </w14:textFill>
        </w:rPr>
        <w:t>3</w:t>
      </w:r>
      <w:r>
        <w:rPr>
          <w:color w:val="000000" w:themeColor="text1"/>
          <w:szCs w:val="24"/>
          <w14:textFill>
            <w14:solidFill>
              <w14:schemeClr w14:val="tx1"/>
            </w14:solidFill>
          </w14:textFill>
        </w:rPr>
        <w:t>）。</w:t>
      </w:r>
    </w:p>
    <w:p>
      <w:pPr>
        <w:pStyle w:val="249"/>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根据HJ2.2-2018，现状监测结果以列表的方式给出各监测点大气污染物的不同取值时间的变化范围，并给出各取值时间最大浓度值占相应标准浓度限值的百分比和超标率，并评价达标情况。</w:t>
      </w:r>
    </w:p>
    <w:p>
      <w:pPr>
        <w:pStyle w:val="21"/>
        <w:spacing w:before="0"/>
        <w:ind w:left="0" w:firstLine="480"/>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（7）监测结果及评价结论见</w:t>
      </w:r>
      <w:r>
        <w:rPr>
          <w:rFonts w:ascii="Times New Roman" w:hAnsi="Times New Roman"/>
          <w:color w:val="000000" w:themeColor="text1"/>
          <w:lang w:eastAsia="zh-CN"/>
          <w14:textFill>
            <w14:solidFill>
              <w14:schemeClr w14:val="tx1"/>
            </w14:solidFill>
          </w14:textFill>
        </w:rPr>
        <w:fldChar w:fldCharType="begin"/>
      </w:r>
      <w:r>
        <w:rPr>
          <w:rFonts w:ascii="Times New Roman" w:hAnsi="Times New Roman"/>
          <w:color w:val="000000" w:themeColor="text1"/>
          <w:lang w:eastAsia="zh-CN"/>
          <w14:textFill>
            <w14:solidFill>
              <w14:schemeClr w14:val="tx1"/>
            </w14:solidFill>
          </w14:textFill>
        </w:rPr>
        <w:instrText xml:space="preserve"> REF _Ref142907081 \h  \* MERGEFORMAT </w:instrText>
      </w:r>
      <w:r>
        <w:rPr>
          <w:rFonts w:ascii="Times New Roman" w:hAnsi="Times New Roman"/>
          <w:color w:val="000000" w:themeColor="text1"/>
          <w:lang w:eastAsia="zh-CN"/>
          <w14:textFill>
            <w14:solidFill>
              <w14:schemeClr w14:val="tx1"/>
            </w14:solidFill>
          </w14:textFill>
        </w:rPr>
        <w:fldChar w:fldCharType="separate"/>
      </w:r>
      <w:r>
        <w:rPr>
          <w:rFonts w:ascii="Times New Roman" w:hAnsi="Times New Roman"/>
          <w:color w:val="000000" w:themeColor="text1"/>
          <w:lang w:eastAsia="zh-CN"/>
          <w14:textFill>
            <w14:solidFill>
              <w14:schemeClr w14:val="tx1"/>
            </w14:solidFill>
          </w14:textFill>
        </w:rPr>
        <w:t>表4.2</w:t>
      </w:r>
      <w:r>
        <w:rPr>
          <w:rFonts w:ascii="Times New Roman" w:hAnsi="Times New Roman"/>
          <w:color w:val="000000" w:themeColor="text1"/>
          <w:lang w:eastAsia="zh-CN"/>
          <w14:textFill>
            <w14:solidFill>
              <w14:schemeClr w14:val="tx1"/>
            </w14:solidFill>
          </w14:textFill>
        </w:rPr>
        <w:noBreakHyphen/>
      </w:r>
      <w:r>
        <w:rPr>
          <w:rFonts w:ascii="Times New Roman" w:hAnsi="Times New Roman"/>
          <w:color w:val="000000" w:themeColor="text1"/>
          <w:lang w:eastAsia="zh-CN"/>
          <w14:textFill>
            <w14:solidFill>
              <w14:schemeClr w14:val="tx1"/>
            </w14:solidFill>
          </w14:textFill>
        </w:rPr>
        <w:t>2</w:t>
      </w:r>
      <w:r>
        <w:rPr>
          <w:rFonts w:ascii="Times New Roman" w:hAnsi="Times New Roman"/>
          <w:color w:val="000000" w:themeColor="text1"/>
          <w:lang w:eastAsia="zh-CN"/>
          <w14:textFill>
            <w14:solidFill>
              <w14:schemeClr w14:val="tx1"/>
            </w14:solidFill>
          </w14:textFill>
        </w:rPr>
        <w:fldChar w:fldCharType="end"/>
      </w:r>
      <w:r>
        <w:rPr>
          <w:rFonts w:ascii="Times New Roman" w:hAnsi="Times New Roman"/>
          <w:color w:val="000000" w:themeColor="text1"/>
          <w:lang w:eastAsia="zh-CN"/>
          <w14:textFill>
            <w14:solidFill>
              <w14:schemeClr w14:val="tx1"/>
            </w14:solidFill>
          </w14:textFill>
        </w:rPr>
        <w:t>~</w:t>
      </w:r>
      <w:r>
        <w:rPr>
          <w:rFonts w:ascii="Times New Roman" w:hAnsi="Times New Roman"/>
          <w:color w:val="000000" w:themeColor="text1"/>
          <w:lang w:eastAsia="zh-CN"/>
          <w14:textFill>
            <w14:solidFill>
              <w14:schemeClr w14:val="tx1"/>
            </w14:solidFill>
          </w14:textFill>
        </w:rPr>
        <w:fldChar w:fldCharType="begin"/>
      </w:r>
      <w:r>
        <w:rPr>
          <w:rFonts w:ascii="Times New Roman" w:hAnsi="Times New Roman"/>
          <w:color w:val="000000" w:themeColor="text1"/>
          <w:lang w:eastAsia="zh-CN"/>
          <w14:textFill>
            <w14:solidFill>
              <w14:schemeClr w14:val="tx1"/>
            </w14:solidFill>
          </w14:textFill>
        </w:rPr>
        <w:instrText xml:space="preserve"> REF _Ref142907107 \h  \* MERGEFORMAT </w:instrText>
      </w:r>
      <w:r>
        <w:rPr>
          <w:rFonts w:ascii="Times New Roman" w:hAnsi="Times New Roman"/>
          <w:color w:val="000000" w:themeColor="text1"/>
          <w:lang w:eastAsia="zh-CN"/>
          <w14:textFill>
            <w14:solidFill>
              <w14:schemeClr w14:val="tx1"/>
            </w14:solidFill>
          </w14:textFill>
        </w:rPr>
        <w:fldChar w:fldCharType="separate"/>
      </w:r>
      <w:r>
        <w:rPr>
          <w:rFonts w:ascii="Times New Roman" w:hAnsi="Times New Roman"/>
          <w:color w:val="000000" w:themeColor="text1"/>
          <w:lang w:eastAsia="zh-CN"/>
          <w14:textFill>
            <w14:solidFill>
              <w14:schemeClr w14:val="tx1"/>
            </w14:solidFill>
          </w14:textFill>
        </w:rPr>
        <w:t>表4.2</w:t>
      </w:r>
      <w:r>
        <w:rPr>
          <w:rFonts w:ascii="Times New Roman" w:hAnsi="Times New Roman"/>
          <w:color w:val="000000" w:themeColor="text1"/>
          <w:lang w:eastAsia="zh-CN"/>
          <w14:textFill>
            <w14:solidFill>
              <w14:schemeClr w14:val="tx1"/>
            </w14:solidFill>
          </w14:textFill>
        </w:rPr>
        <w:noBreakHyphen/>
      </w:r>
      <w:r>
        <w:rPr>
          <w:rFonts w:ascii="Times New Roman" w:hAnsi="Times New Roman"/>
          <w:color w:val="000000" w:themeColor="text1"/>
          <w:lang w:eastAsia="zh-CN"/>
          <w14:textFill>
            <w14:solidFill>
              <w14:schemeClr w14:val="tx1"/>
            </w14:solidFill>
          </w14:textFill>
        </w:rPr>
        <w:fldChar w:fldCharType="end"/>
      </w:r>
      <w:r>
        <w:rPr>
          <w:rFonts w:ascii="Times New Roman" w:hAnsi="Times New Roman"/>
          <w:color w:val="000000" w:themeColor="text1"/>
          <w:lang w:eastAsia="zh-CN"/>
          <w14:textFill>
            <w14:solidFill>
              <w14:schemeClr w14:val="tx1"/>
            </w14:solidFill>
          </w14:textFill>
        </w:rPr>
        <w:t>。</w:t>
      </w:r>
    </w:p>
    <w:p>
      <w:pPr>
        <w:pStyle w:val="95"/>
      </w:pPr>
      <w:bookmarkStart w:id="211" w:name="_Ref142907081"/>
      <w:r>
        <w:t>表</w:t>
      </w:r>
      <w:r>
        <w:fldChar w:fldCharType="begin"/>
      </w:r>
      <w:r>
        <w:instrText xml:space="preserve"> STYLEREF 2 \s </w:instrText>
      </w:r>
      <w:r>
        <w:fldChar w:fldCharType="separate"/>
      </w:r>
      <w:r>
        <w:t>4.2</w:t>
      </w:r>
      <w:r>
        <w:fldChar w:fldCharType="end"/>
      </w:r>
      <w:r>
        <w:noBreakHyphen/>
      </w:r>
      <w:r>
        <w:fldChar w:fldCharType="begin"/>
      </w:r>
      <w:r>
        <w:instrText xml:space="preserve"> SEQ 表 \* ARABIC \s 2 </w:instrText>
      </w:r>
      <w:r>
        <w:fldChar w:fldCharType="separate"/>
      </w:r>
      <w:r>
        <w:t>2</w:t>
      </w:r>
      <w:r>
        <w:fldChar w:fldCharType="end"/>
      </w:r>
      <w:bookmarkEnd w:id="211"/>
      <w:r>
        <w:t xml:space="preserve"> 环境空气质量现状监测结果    单位：mg/m</w:t>
      </w:r>
      <w:r>
        <w:rPr>
          <w:vertAlign w:val="superscript"/>
        </w:rPr>
        <w:t>3</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691"/>
        <w:gridCol w:w="1551"/>
        <w:gridCol w:w="848"/>
        <w:gridCol w:w="1118"/>
        <w:gridCol w:w="1242"/>
        <w:gridCol w:w="1037"/>
        <w:gridCol w:w="10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991" w:type="pct"/>
            <w:shd w:val="clear" w:color="auto" w:fill="auto"/>
            <w:vAlign w:val="center"/>
          </w:tcPr>
          <w:p>
            <w:pPr>
              <w:pStyle w:val="294"/>
            </w:pPr>
            <w:r>
              <w:t>监测点位</w:t>
            </w:r>
          </w:p>
        </w:tc>
        <w:tc>
          <w:tcPr>
            <w:tcW w:w="909" w:type="pct"/>
            <w:shd w:val="clear" w:color="auto" w:fill="auto"/>
            <w:vAlign w:val="center"/>
          </w:tcPr>
          <w:p>
            <w:pPr>
              <w:pStyle w:val="294"/>
            </w:pPr>
            <w:r>
              <w:t>监测日期</w:t>
            </w:r>
          </w:p>
        </w:tc>
        <w:tc>
          <w:tcPr>
            <w:tcW w:w="497" w:type="pct"/>
            <w:shd w:val="clear" w:color="auto" w:fill="auto"/>
            <w:vAlign w:val="center"/>
          </w:tcPr>
          <w:p>
            <w:pPr>
              <w:pStyle w:val="294"/>
            </w:pPr>
            <w:r>
              <w:t>项目</w:t>
            </w:r>
          </w:p>
        </w:tc>
        <w:tc>
          <w:tcPr>
            <w:tcW w:w="655" w:type="pct"/>
            <w:shd w:val="clear" w:color="auto" w:fill="auto"/>
            <w:vAlign w:val="center"/>
          </w:tcPr>
          <w:p>
            <w:pPr>
              <w:pStyle w:val="294"/>
            </w:pPr>
            <w:r>
              <w:t>第一次</w:t>
            </w:r>
          </w:p>
        </w:tc>
        <w:tc>
          <w:tcPr>
            <w:tcW w:w="728" w:type="pct"/>
            <w:shd w:val="clear" w:color="auto" w:fill="auto"/>
            <w:vAlign w:val="center"/>
          </w:tcPr>
          <w:p>
            <w:pPr>
              <w:pStyle w:val="294"/>
            </w:pPr>
            <w:r>
              <w:t>第二次</w:t>
            </w:r>
          </w:p>
        </w:tc>
        <w:tc>
          <w:tcPr>
            <w:tcW w:w="608" w:type="pct"/>
            <w:shd w:val="clear" w:color="auto" w:fill="auto"/>
            <w:vAlign w:val="center"/>
          </w:tcPr>
          <w:p>
            <w:pPr>
              <w:pStyle w:val="294"/>
            </w:pPr>
            <w:r>
              <w:t>第三次</w:t>
            </w:r>
          </w:p>
        </w:tc>
        <w:tc>
          <w:tcPr>
            <w:tcW w:w="609" w:type="pct"/>
            <w:shd w:val="clear" w:color="auto" w:fill="auto"/>
            <w:vAlign w:val="center"/>
          </w:tcPr>
          <w:p>
            <w:pPr>
              <w:pStyle w:val="294"/>
            </w:pPr>
            <w:r>
              <w:t>第四次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991" w:type="pct"/>
            <w:vMerge w:val="restart"/>
            <w:shd w:val="clear" w:color="auto" w:fill="auto"/>
            <w:vAlign w:val="center"/>
          </w:tcPr>
          <w:p>
            <w:pPr>
              <w:pStyle w:val="294"/>
            </w:pPr>
            <w:r>
              <w:t>平台井场南侧</w:t>
            </w:r>
            <w:r>
              <w:rPr>
                <w:rFonts w:hint="eastAsia"/>
              </w:rPr>
              <w:t>96</w:t>
            </w:r>
            <w:r>
              <w:t>0m处</w:t>
            </w:r>
            <w:r>
              <w:rPr>
                <w:rFonts w:hint="eastAsia"/>
              </w:rPr>
              <w:t>（</w:t>
            </w:r>
            <w:r>
              <w:t>对应引用报告中点位为：平台井场外</w:t>
            </w:r>
            <w:r>
              <w:rPr>
                <w:szCs w:val="24"/>
              </w:rPr>
              <w:t>东南侧200m处</w:t>
            </w:r>
            <w:r>
              <w:rPr>
                <w:rFonts w:hint="eastAsia"/>
              </w:rPr>
              <w:t>）</w:t>
            </w:r>
          </w:p>
        </w:tc>
        <w:tc>
          <w:tcPr>
            <w:tcW w:w="909" w:type="pct"/>
            <w:shd w:val="clear" w:color="auto" w:fill="auto"/>
            <w:vAlign w:val="center"/>
          </w:tcPr>
          <w:p>
            <w:pPr>
              <w:pStyle w:val="294"/>
            </w:pPr>
            <w:r>
              <w:t>2023.09.03</w:t>
            </w:r>
          </w:p>
        </w:tc>
        <w:tc>
          <w:tcPr>
            <w:tcW w:w="497" w:type="pct"/>
            <w:vMerge w:val="restart"/>
            <w:shd w:val="clear" w:color="auto" w:fill="auto"/>
            <w:vAlign w:val="center"/>
          </w:tcPr>
          <w:p>
            <w:pPr>
              <w:pStyle w:val="294"/>
            </w:pPr>
            <w:r>
              <w:t>硫化氢</w:t>
            </w:r>
          </w:p>
        </w:tc>
        <w:tc>
          <w:tcPr>
            <w:tcW w:w="655" w:type="pct"/>
            <w:shd w:val="clear" w:color="auto" w:fill="auto"/>
            <w:vAlign w:val="center"/>
          </w:tcPr>
          <w:p>
            <w:pPr>
              <w:pStyle w:val="294"/>
            </w:pPr>
            <w:r>
              <w:t>0.004</w:t>
            </w:r>
          </w:p>
        </w:tc>
        <w:tc>
          <w:tcPr>
            <w:tcW w:w="728" w:type="pct"/>
            <w:shd w:val="clear" w:color="auto" w:fill="auto"/>
            <w:vAlign w:val="center"/>
          </w:tcPr>
          <w:p>
            <w:pPr>
              <w:pStyle w:val="294"/>
            </w:pPr>
            <w:r>
              <w:t>0.006</w:t>
            </w:r>
          </w:p>
        </w:tc>
        <w:tc>
          <w:tcPr>
            <w:tcW w:w="608" w:type="pct"/>
            <w:shd w:val="clear" w:color="auto" w:fill="auto"/>
            <w:vAlign w:val="center"/>
          </w:tcPr>
          <w:p>
            <w:pPr>
              <w:pStyle w:val="294"/>
            </w:pPr>
            <w:r>
              <w:t>0.005</w:t>
            </w:r>
          </w:p>
        </w:tc>
        <w:tc>
          <w:tcPr>
            <w:tcW w:w="609" w:type="pct"/>
            <w:shd w:val="clear" w:color="auto" w:fill="auto"/>
            <w:vAlign w:val="center"/>
          </w:tcPr>
          <w:p>
            <w:pPr>
              <w:pStyle w:val="294"/>
            </w:pPr>
            <w:r>
              <w:t>0.006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991" w:type="pct"/>
            <w:vMerge w:val="continue"/>
            <w:shd w:val="clear" w:color="auto" w:fill="auto"/>
            <w:vAlign w:val="center"/>
          </w:tcPr>
          <w:p>
            <w:pPr>
              <w:pStyle w:val="294"/>
            </w:pPr>
          </w:p>
        </w:tc>
        <w:tc>
          <w:tcPr>
            <w:tcW w:w="909" w:type="pct"/>
            <w:shd w:val="clear" w:color="auto" w:fill="auto"/>
          </w:tcPr>
          <w:p>
            <w:pPr>
              <w:pStyle w:val="294"/>
            </w:pPr>
            <w:r>
              <w:t>2023.09.04</w:t>
            </w:r>
          </w:p>
        </w:tc>
        <w:tc>
          <w:tcPr>
            <w:tcW w:w="497" w:type="pct"/>
            <w:vMerge w:val="continue"/>
            <w:shd w:val="clear" w:color="auto" w:fill="auto"/>
            <w:vAlign w:val="center"/>
          </w:tcPr>
          <w:p>
            <w:pPr>
              <w:pStyle w:val="294"/>
            </w:pPr>
          </w:p>
        </w:tc>
        <w:tc>
          <w:tcPr>
            <w:tcW w:w="655" w:type="pct"/>
            <w:shd w:val="clear" w:color="auto" w:fill="auto"/>
            <w:vAlign w:val="center"/>
          </w:tcPr>
          <w:p>
            <w:pPr>
              <w:pStyle w:val="294"/>
            </w:pPr>
            <w:r>
              <w:t>0.003</w:t>
            </w:r>
          </w:p>
        </w:tc>
        <w:tc>
          <w:tcPr>
            <w:tcW w:w="728" w:type="pct"/>
            <w:shd w:val="clear" w:color="auto" w:fill="auto"/>
            <w:vAlign w:val="center"/>
          </w:tcPr>
          <w:p>
            <w:pPr>
              <w:pStyle w:val="294"/>
            </w:pPr>
            <w:r>
              <w:t>0.005</w:t>
            </w:r>
          </w:p>
        </w:tc>
        <w:tc>
          <w:tcPr>
            <w:tcW w:w="608" w:type="pct"/>
            <w:shd w:val="clear" w:color="auto" w:fill="auto"/>
            <w:vAlign w:val="center"/>
          </w:tcPr>
          <w:p>
            <w:pPr>
              <w:pStyle w:val="294"/>
            </w:pPr>
            <w:r>
              <w:t>0.004</w:t>
            </w:r>
          </w:p>
        </w:tc>
        <w:tc>
          <w:tcPr>
            <w:tcW w:w="609" w:type="pct"/>
            <w:shd w:val="clear" w:color="auto" w:fill="auto"/>
            <w:vAlign w:val="center"/>
          </w:tcPr>
          <w:p>
            <w:pPr>
              <w:pStyle w:val="294"/>
            </w:pPr>
            <w: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991" w:type="pct"/>
            <w:vMerge w:val="continue"/>
            <w:shd w:val="clear" w:color="auto" w:fill="auto"/>
            <w:vAlign w:val="center"/>
          </w:tcPr>
          <w:p>
            <w:pPr>
              <w:pStyle w:val="294"/>
            </w:pPr>
          </w:p>
        </w:tc>
        <w:tc>
          <w:tcPr>
            <w:tcW w:w="909" w:type="pct"/>
            <w:shd w:val="clear" w:color="auto" w:fill="auto"/>
          </w:tcPr>
          <w:p>
            <w:pPr>
              <w:pStyle w:val="294"/>
            </w:pPr>
            <w:r>
              <w:t>2023.09.05</w:t>
            </w:r>
          </w:p>
        </w:tc>
        <w:tc>
          <w:tcPr>
            <w:tcW w:w="497" w:type="pct"/>
            <w:vMerge w:val="continue"/>
            <w:shd w:val="clear" w:color="auto" w:fill="auto"/>
            <w:vAlign w:val="center"/>
          </w:tcPr>
          <w:p>
            <w:pPr>
              <w:pStyle w:val="294"/>
            </w:pPr>
          </w:p>
        </w:tc>
        <w:tc>
          <w:tcPr>
            <w:tcW w:w="655" w:type="pct"/>
            <w:shd w:val="clear" w:color="auto" w:fill="auto"/>
            <w:vAlign w:val="center"/>
          </w:tcPr>
          <w:p>
            <w:pPr>
              <w:pStyle w:val="294"/>
            </w:pPr>
            <w:r>
              <w:t>0.005</w:t>
            </w:r>
          </w:p>
        </w:tc>
        <w:tc>
          <w:tcPr>
            <w:tcW w:w="728" w:type="pct"/>
            <w:shd w:val="clear" w:color="auto" w:fill="auto"/>
            <w:vAlign w:val="center"/>
          </w:tcPr>
          <w:p>
            <w:pPr>
              <w:pStyle w:val="294"/>
            </w:pPr>
            <w:r>
              <w:t>0.005</w:t>
            </w:r>
          </w:p>
        </w:tc>
        <w:tc>
          <w:tcPr>
            <w:tcW w:w="608" w:type="pct"/>
            <w:shd w:val="clear" w:color="auto" w:fill="auto"/>
            <w:vAlign w:val="center"/>
          </w:tcPr>
          <w:p>
            <w:pPr>
              <w:pStyle w:val="294"/>
            </w:pPr>
            <w:r>
              <w:t>0.006</w:t>
            </w:r>
          </w:p>
        </w:tc>
        <w:tc>
          <w:tcPr>
            <w:tcW w:w="609" w:type="pct"/>
            <w:shd w:val="clear" w:color="auto" w:fill="auto"/>
            <w:vAlign w:val="center"/>
          </w:tcPr>
          <w:p>
            <w:pPr>
              <w:pStyle w:val="294"/>
            </w:pPr>
            <w:r>
              <w:t>0.006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991" w:type="pct"/>
            <w:vMerge w:val="continue"/>
            <w:shd w:val="clear" w:color="auto" w:fill="auto"/>
            <w:vAlign w:val="center"/>
          </w:tcPr>
          <w:p>
            <w:pPr>
              <w:pStyle w:val="294"/>
            </w:pPr>
          </w:p>
        </w:tc>
        <w:tc>
          <w:tcPr>
            <w:tcW w:w="909" w:type="pct"/>
            <w:shd w:val="clear" w:color="auto" w:fill="auto"/>
          </w:tcPr>
          <w:p>
            <w:pPr>
              <w:pStyle w:val="294"/>
            </w:pPr>
            <w:r>
              <w:t>2023.09.06</w:t>
            </w:r>
          </w:p>
        </w:tc>
        <w:tc>
          <w:tcPr>
            <w:tcW w:w="497" w:type="pct"/>
            <w:vMerge w:val="continue"/>
            <w:shd w:val="clear" w:color="auto" w:fill="auto"/>
            <w:vAlign w:val="center"/>
          </w:tcPr>
          <w:p>
            <w:pPr>
              <w:pStyle w:val="294"/>
            </w:pPr>
          </w:p>
        </w:tc>
        <w:tc>
          <w:tcPr>
            <w:tcW w:w="655" w:type="pct"/>
            <w:shd w:val="clear" w:color="auto" w:fill="auto"/>
            <w:vAlign w:val="center"/>
          </w:tcPr>
          <w:p>
            <w:pPr>
              <w:pStyle w:val="294"/>
            </w:pPr>
            <w:r>
              <w:t>0.004</w:t>
            </w:r>
          </w:p>
        </w:tc>
        <w:tc>
          <w:tcPr>
            <w:tcW w:w="728" w:type="pct"/>
            <w:shd w:val="clear" w:color="auto" w:fill="auto"/>
            <w:vAlign w:val="center"/>
          </w:tcPr>
          <w:p>
            <w:pPr>
              <w:pStyle w:val="294"/>
            </w:pPr>
            <w:r>
              <w:t>0.003</w:t>
            </w:r>
          </w:p>
        </w:tc>
        <w:tc>
          <w:tcPr>
            <w:tcW w:w="608" w:type="pct"/>
            <w:shd w:val="clear" w:color="auto" w:fill="auto"/>
            <w:vAlign w:val="center"/>
          </w:tcPr>
          <w:p>
            <w:pPr>
              <w:pStyle w:val="294"/>
            </w:pPr>
            <w:r>
              <w:t>0.006</w:t>
            </w:r>
          </w:p>
        </w:tc>
        <w:tc>
          <w:tcPr>
            <w:tcW w:w="609" w:type="pct"/>
            <w:shd w:val="clear" w:color="auto" w:fill="auto"/>
            <w:vAlign w:val="center"/>
          </w:tcPr>
          <w:p>
            <w:pPr>
              <w:pStyle w:val="294"/>
            </w:pPr>
            <w:r>
              <w:t>0.003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991" w:type="pct"/>
            <w:vMerge w:val="continue"/>
            <w:shd w:val="clear" w:color="auto" w:fill="auto"/>
            <w:vAlign w:val="center"/>
          </w:tcPr>
          <w:p>
            <w:pPr>
              <w:pStyle w:val="294"/>
            </w:pPr>
          </w:p>
        </w:tc>
        <w:tc>
          <w:tcPr>
            <w:tcW w:w="909" w:type="pct"/>
            <w:shd w:val="clear" w:color="auto" w:fill="auto"/>
          </w:tcPr>
          <w:p>
            <w:pPr>
              <w:pStyle w:val="294"/>
            </w:pPr>
            <w:r>
              <w:t>2023.09.07</w:t>
            </w:r>
          </w:p>
        </w:tc>
        <w:tc>
          <w:tcPr>
            <w:tcW w:w="497" w:type="pct"/>
            <w:vMerge w:val="continue"/>
            <w:shd w:val="clear" w:color="auto" w:fill="auto"/>
            <w:vAlign w:val="center"/>
          </w:tcPr>
          <w:p>
            <w:pPr>
              <w:pStyle w:val="294"/>
            </w:pPr>
          </w:p>
        </w:tc>
        <w:tc>
          <w:tcPr>
            <w:tcW w:w="655" w:type="pct"/>
            <w:shd w:val="clear" w:color="auto" w:fill="auto"/>
            <w:vAlign w:val="center"/>
          </w:tcPr>
          <w:p>
            <w:pPr>
              <w:pStyle w:val="294"/>
            </w:pPr>
            <w:r>
              <w:t>0.003</w:t>
            </w:r>
          </w:p>
        </w:tc>
        <w:tc>
          <w:tcPr>
            <w:tcW w:w="728" w:type="pct"/>
            <w:shd w:val="clear" w:color="auto" w:fill="auto"/>
            <w:vAlign w:val="center"/>
          </w:tcPr>
          <w:p>
            <w:pPr>
              <w:pStyle w:val="294"/>
            </w:pPr>
            <w:r>
              <w:t>0.005</w:t>
            </w:r>
          </w:p>
        </w:tc>
        <w:tc>
          <w:tcPr>
            <w:tcW w:w="608" w:type="pct"/>
            <w:shd w:val="clear" w:color="auto" w:fill="auto"/>
            <w:vAlign w:val="center"/>
          </w:tcPr>
          <w:p>
            <w:pPr>
              <w:pStyle w:val="294"/>
            </w:pPr>
            <w:r>
              <w:t>0.004</w:t>
            </w:r>
          </w:p>
        </w:tc>
        <w:tc>
          <w:tcPr>
            <w:tcW w:w="609" w:type="pct"/>
            <w:shd w:val="clear" w:color="auto" w:fill="auto"/>
            <w:vAlign w:val="center"/>
          </w:tcPr>
          <w:p>
            <w:pPr>
              <w:pStyle w:val="294"/>
            </w:pPr>
            <w: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991" w:type="pct"/>
            <w:vMerge w:val="continue"/>
            <w:shd w:val="clear" w:color="auto" w:fill="auto"/>
            <w:vAlign w:val="center"/>
          </w:tcPr>
          <w:p>
            <w:pPr>
              <w:pStyle w:val="294"/>
            </w:pPr>
          </w:p>
        </w:tc>
        <w:tc>
          <w:tcPr>
            <w:tcW w:w="909" w:type="pct"/>
            <w:shd w:val="clear" w:color="auto" w:fill="auto"/>
          </w:tcPr>
          <w:p>
            <w:pPr>
              <w:pStyle w:val="294"/>
            </w:pPr>
            <w:r>
              <w:t>2023.09.08</w:t>
            </w:r>
          </w:p>
        </w:tc>
        <w:tc>
          <w:tcPr>
            <w:tcW w:w="497" w:type="pct"/>
            <w:vMerge w:val="continue"/>
            <w:shd w:val="clear" w:color="auto" w:fill="auto"/>
            <w:vAlign w:val="center"/>
          </w:tcPr>
          <w:p>
            <w:pPr>
              <w:pStyle w:val="294"/>
            </w:pPr>
          </w:p>
        </w:tc>
        <w:tc>
          <w:tcPr>
            <w:tcW w:w="655" w:type="pct"/>
            <w:shd w:val="clear" w:color="auto" w:fill="auto"/>
            <w:vAlign w:val="center"/>
          </w:tcPr>
          <w:p>
            <w:pPr>
              <w:pStyle w:val="294"/>
            </w:pPr>
            <w:r>
              <w:t>0.006</w:t>
            </w:r>
          </w:p>
        </w:tc>
        <w:tc>
          <w:tcPr>
            <w:tcW w:w="728" w:type="pct"/>
            <w:shd w:val="clear" w:color="auto" w:fill="auto"/>
            <w:vAlign w:val="center"/>
          </w:tcPr>
          <w:p>
            <w:pPr>
              <w:pStyle w:val="294"/>
            </w:pPr>
            <w:r>
              <w:t>0.005</w:t>
            </w:r>
          </w:p>
        </w:tc>
        <w:tc>
          <w:tcPr>
            <w:tcW w:w="608" w:type="pct"/>
            <w:shd w:val="clear" w:color="auto" w:fill="auto"/>
            <w:vAlign w:val="center"/>
          </w:tcPr>
          <w:p>
            <w:pPr>
              <w:pStyle w:val="294"/>
            </w:pPr>
            <w:r>
              <w:t>0.006</w:t>
            </w:r>
          </w:p>
        </w:tc>
        <w:tc>
          <w:tcPr>
            <w:tcW w:w="609" w:type="pct"/>
            <w:shd w:val="clear" w:color="auto" w:fill="auto"/>
            <w:vAlign w:val="center"/>
          </w:tcPr>
          <w:p>
            <w:pPr>
              <w:pStyle w:val="294"/>
            </w:pPr>
            <w: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91" w:type="pct"/>
            <w:vMerge w:val="continue"/>
            <w:shd w:val="clear" w:color="auto" w:fill="auto"/>
            <w:vAlign w:val="center"/>
          </w:tcPr>
          <w:p>
            <w:pPr>
              <w:pStyle w:val="294"/>
            </w:pPr>
          </w:p>
        </w:tc>
        <w:tc>
          <w:tcPr>
            <w:tcW w:w="909" w:type="pct"/>
            <w:shd w:val="clear" w:color="auto" w:fill="auto"/>
          </w:tcPr>
          <w:p>
            <w:pPr>
              <w:pStyle w:val="294"/>
            </w:pPr>
            <w:r>
              <w:t>2023.09.09</w:t>
            </w:r>
          </w:p>
        </w:tc>
        <w:tc>
          <w:tcPr>
            <w:tcW w:w="497" w:type="pct"/>
            <w:vMerge w:val="continue"/>
            <w:shd w:val="clear" w:color="auto" w:fill="auto"/>
            <w:vAlign w:val="center"/>
          </w:tcPr>
          <w:p>
            <w:pPr>
              <w:pStyle w:val="294"/>
            </w:pPr>
          </w:p>
        </w:tc>
        <w:tc>
          <w:tcPr>
            <w:tcW w:w="655" w:type="pct"/>
            <w:shd w:val="clear" w:color="auto" w:fill="auto"/>
            <w:vAlign w:val="center"/>
          </w:tcPr>
          <w:p>
            <w:pPr>
              <w:pStyle w:val="294"/>
            </w:pPr>
            <w:r>
              <w:t>0.005</w:t>
            </w:r>
          </w:p>
        </w:tc>
        <w:tc>
          <w:tcPr>
            <w:tcW w:w="728" w:type="pct"/>
            <w:shd w:val="clear" w:color="auto" w:fill="auto"/>
            <w:vAlign w:val="center"/>
          </w:tcPr>
          <w:p>
            <w:pPr>
              <w:pStyle w:val="294"/>
            </w:pPr>
            <w:r>
              <w:t>0.005</w:t>
            </w:r>
          </w:p>
        </w:tc>
        <w:tc>
          <w:tcPr>
            <w:tcW w:w="608" w:type="pct"/>
            <w:shd w:val="clear" w:color="auto" w:fill="auto"/>
            <w:vAlign w:val="center"/>
          </w:tcPr>
          <w:p>
            <w:pPr>
              <w:pStyle w:val="294"/>
            </w:pPr>
            <w:r>
              <w:t>0.006</w:t>
            </w:r>
          </w:p>
        </w:tc>
        <w:tc>
          <w:tcPr>
            <w:tcW w:w="609" w:type="pct"/>
            <w:shd w:val="clear" w:color="auto" w:fill="auto"/>
            <w:vAlign w:val="center"/>
          </w:tcPr>
          <w:p>
            <w:pPr>
              <w:pStyle w:val="294"/>
            </w:pPr>
            <w:r>
              <w:t>0.007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91" w:type="pct"/>
            <w:vMerge w:val="restart"/>
            <w:shd w:val="clear" w:color="auto" w:fill="auto"/>
            <w:vAlign w:val="center"/>
          </w:tcPr>
          <w:p>
            <w:pPr>
              <w:pStyle w:val="294"/>
            </w:pPr>
            <w:r>
              <w:t>平台井场南侧</w:t>
            </w:r>
            <w:r>
              <w:rPr>
                <w:rFonts w:hint="eastAsia"/>
              </w:rPr>
              <w:t>130</w:t>
            </w:r>
            <w:r>
              <w:t>0m处（对应引用报告中点位为：普陆页2井</w:t>
            </w:r>
            <w:r>
              <w:rPr>
                <w:szCs w:val="24"/>
              </w:rPr>
              <w:t>南侧200m处）</w:t>
            </w:r>
          </w:p>
        </w:tc>
        <w:tc>
          <w:tcPr>
            <w:tcW w:w="909" w:type="pct"/>
            <w:shd w:val="clear" w:color="auto" w:fill="auto"/>
            <w:vAlign w:val="center"/>
          </w:tcPr>
          <w:p>
            <w:pPr>
              <w:pStyle w:val="294"/>
            </w:pPr>
            <w:r>
              <w:t>2023.08.07</w:t>
            </w:r>
          </w:p>
        </w:tc>
        <w:tc>
          <w:tcPr>
            <w:tcW w:w="497" w:type="pct"/>
            <w:vMerge w:val="restart"/>
            <w:shd w:val="clear" w:color="auto" w:fill="auto"/>
            <w:vAlign w:val="center"/>
          </w:tcPr>
          <w:p>
            <w:pPr>
              <w:pStyle w:val="294"/>
            </w:pPr>
            <w:r>
              <w:t>非甲烷总烃</w:t>
            </w:r>
          </w:p>
        </w:tc>
        <w:tc>
          <w:tcPr>
            <w:tcW w:w="655" w:type="pct"/>
            <w:shd w:val="clear" w:color="auto" w:fill="auto"/>
            <w:vAlign w:val="center"/>
          </w:tcPr>
          <w:p>
            <w:pPr>
              <w:pStyle w:val="294"/>
            </w:pPr>
            <w:r>
              <w:t>1.08</w:t>
            </w:r>
          </w:p>
        </w:tc>
        <w:tc>
          <w:tcPr>
            <w:tcW w:w="728" w:type="pct"/>
            <w:shd w:val="clear" w:color="auto" w:fill="auto"/>
            <w:vAlign w:val="center"/>
          </w:tcPr>
          <w:p>
            <w:pPr>
              <w:pStyle w:val="294"/>
            </w:pPr>
            <w:r>
              <w:t>1.08</w:t>
            </w:r>
          </w:p>
        </w:tc>
        <w:tc>
          <w:tcPr>
            <w:tcW w:w="608" w:type="pct"/>
            <w:shd w:val="clear" w:color="auto" w:fill="auto"/>
            <w:vAlign w:val="center"/>
          </w:tcPr>
          <w:p>
            <w:pPr>
              <w:pStyle w:val="294"/>
            </w:pPr>
            <w:r>
              <w:t>1.07</w:t>
            </w:r>
          </w:p>
        </w:tc>
        <w:tc>
          <w:tcPr>
            <w:tcW w:w="609" w:type="pct"/>
            <w:shd w:val="clear" w:color="auto" w:fill="auto"/>
            <w:vAlign w:val="center"/>
          </w:tcPr>
          <w:p>
            <w:pPr>
              <w:pStyle w:val="294"/>
            </w:pPr>
            <w:r>
              <w:t>1.01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91" w:type="pct"/>
            <w:vMerge w:val="continue"/>
            <w:shd w:val="clear" w:color="auto" w:fill="auto"/>
            <w:vAlign w:val="center"/>
          </w:tcPr>
          <w:p>
            <w:pPr>
              <w:pStyle w:val="294"/>
            </w:pPr>
          </w:p>
        </w:tc>
        <w:tc>
          <w:tcPr>
            <w:tcW w:w="909" w:type="pct"/>
            <w:shd w:val="clear" w:color="auto" w:fill="auto"/>
            <w:vAlign w:val="center"/>
          </w:tcPr>
          <w:p>
            <w:pPr>
              <w:pStyle w:val="294"/>
            </w:pPr>
            <w:r>
              <w:t>2023.08.08</w:t>
            </w:r>
          </w:p>
        </w:tc>
        <w:tc>
          <w:tcPr>
            <w:tcW w:w="497" w:type="pct"/>
            <w:vMerge w:val="continue"/>
            <w:shd w:val="clear" w:color="auto" w:fill="auto"/>
            <w:vAlign w:val="center"/>
          </w:tcPr>
          <w:p>
            <w:pPr>
              <w:pStyle w:val="294"/>
            </w:pPr>
          </w:p>
        </w:tc>
        <w:tc>
          <w:tcPr>
            <w:tcW w:w="655" w:type="pct"/>
            <w:shd w:val="clear" w:color="auto" w:fill="auto"/>
            <w:vAlign w:val="center"/>
          </w:tcPr>
          <w:p>
            <w:pPr>
              <w:pStyle w:val="294"/>
            </w:pPr>
            <w:r>
              <w:t>1.02</w:t>
            </w:r>
          </w:p>
        </w:tc>
        <w:tc>
          <w:tcPr>
            <w:tcW w:w="728" w:type="pct"/>
            <w:shd w:val="clear" w:color="auto" w:fill="auto"/>
            <w:vAlign w:val="center"/>
          </w:tcPr>
          <w:p>
            <w:pPr>
              <w:pStyle w:val="294"/>
            </w:pPr>
            <w:r>
              <w:t>1.01</w:t>
            </w:r>
          </w:p>
        </w:tc>
        <w:tc>
          <w:tcPr>
            <w:tcW w:w="608" w:type="pct"/>
            <w:shd w:val="clear" w:color="auto" w:fill="auto"/>
            <w:vAlign w:val="center"/>
          </w:tcPr>
          <w:p>
            <w:pPr>
              <w:pStyle w:val="294"/>
            </w:pPr>
            <w:r>
              <w:t>1.01</w:t>
            </w:r>
          </w:p>
        </w:tc>
        <w:tc>
          <w:tcPr>
            <w:tcW w:w="609" w:type="pct"/>
            <w:shd w:val="clear" w:color="auto" w:fill="auto"/>
            <w:vAlign w:val="center"/>
          </w:tcPr>
          <w:p>
            <w:pPr>
              <w:pStyle w:val="294"/>
            </w:pPr>
            <w:r>
              <w:t>0.98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91" w:type="pct"/>
            <w:vMerge w:val="continue"/>
            <w:shd w:val="clear" w:color="auto" w:fill="auto"/>
            <w:vAlign w:val="center"/>
          </w:tcPr>
          <w:p>
            <w:pPr>
              <w:pStyle w:val="294"/>
            </w:pPr>
          </w:p>
        </w:tc>
        <w:tc>
          <w:tcPr>
            <w:tcW w:w="909" w:type="pct"/>
            <w:shd w:val="clear" w:color="auto" w:fill="auto"/>
            <w:vAlign w:val="center"/>
          </w:tcPr>
          <w:p>
            <w:pPr>
              <w:pStyle w:val="294"/>
            </w:pPr>
            <w:r>
              <w:t>2023.08.09</w:t>
            </w:r>
          </w:p>
        </w:tc>
        <w:tc>
          <w:tcPr>
            <w:tcW w:w="497" w:type="pct"/>
            <w:vMerge w:val="continue"/>
            <w:shd w:val="clear" w:color="auto" w:fill="auto"/>
            <w:vAlign w:val="center"/>
          </w:tcPr>
          <w:p>
            <w:pPr>
              <w:pStyle w:val="294"/>
            </w:pPr>
          </w:p>
        </w:tc>
        <w:tc>
          <w:tcPr>
            <w:tcW w:w="655" w:type="pct"/>
            <w:shd w:val="clear" w:color="auto" w:fill="auto"/>
            <w:vAlign w:val="center"/>
          </w:tcPr>
          <w:p>
            <w:pPr>
              <w:pStyle w:val="294"/>
            </w:pPr>
            <w:r>
              <w:t>0.82</w:t>
            </w:r>
          </w:p>
        </w:tc>
        <w:tc>
          <w:tcPr>
            <w:tcW w:w="728" w:type="pct"/>
            <w:shd w:val="clear" w:color="auto" w:fill="auto"/>
            <w:vAlign w:val="center"/>
          </w:tcPr>
          <w:p>
            <w:pPr>
              <w:pStyle w:val="294"/>
            </w:pPr>
            <w:r>
              <w:t>0.83</w:t>
            </w:r>
          </w:p>
        </w:tc>
        <w:tc>
          <w:tcPr>
            <w:tcW w:w="608" w:type="pct"/>
            <w:shd w:val="clear" w:color="auto" w:fill="auto"/>
            <w:vAlign w:val="center"/>
          </w:tcPr>
          <w:p>
            <w:pPr>
              <w:pStyle w:val="294"/>
            </w:pPr>
            <w:r>
              <w:t>0.84</w:t>
            </w:r>
          </w:p>
        </w:tc>
        <w:tc>
          <w:tcPr>
            <w:tcW w:w="609" w:type="pct"/>
            <w:shd w:val="clear" w:color="auto" w:fill="auto"/>
            <w:vAlign w:val="center"/>
          </w:tcPr>
          <w:p>
            <w:pPr>
              <w:pStyle w:val="294"/>
            </w:pPr>
            <w:r>
              <w:t>0.86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91" w:type="pct"/>
            <w:vMerge w:val="continue"/>
            <w:shd w:val="clear" w:color="auto" w:fill="auto"/>
            <w:vAlign w:val="center"/>
          </w:tcPr>
          <w:p>
            <w:pPr>
              <w:pStyle w:val="294"/>
            </w:pPr>
          </w:p>
        </w:tc>
        <w:tc>
          <w:tcPr>
            <w:tcW w:w="909" w:type="pct"/>
            <w:shd w:val="clear" w:color="auto" w:fill="auto"/>
            <w:vAlign w:val="center"/>
          </w:tcPr>
          <w:p>
            <w:pPr>
              <w:pStyle w:val="294"/>
            </w:pPr>
            <w:r>
              <w:t>2023.08.10</w:t>
            </w:r>
          </w:p>
        </w:tc>
        <w:tc>
          <w:tcPr>
            <w:tcW w:w="497" w:type="pct"/>
            <w:vMerge w:val="continue"/>
            <w:shd w:val="clear" w:color="auto" w:fill="auto"/>
            <w:vAlign w:val="center"/>
          </w:tcPr>
          <w:p>
            <w:pPr>
              <w:pStyle w:val="294"/>
            </w:pPr>
          </w:p>
        </w:tc>
        <w:tc>
          <w:tcPr>
            <w:tcW w:w="655" w:type="pct"/>
            <w:shd w:val="clear" w:color="auto" w:fill="auto"/>
            <w:vAlign w:val="center"/>
          </w:tcPr>
          <w:p>
            <w:pPr>
              <w:pStyle w:val="294"/>
            </w:pPr>
            <w:r>
              <w:t>1.03</w:t>
            </w:r>
          </w:p>
        </w:tc>
        <w:tc>
          <w:tcPr>
            <w:tcW w:w="728" w:type="pct"/>
            <w:shd w:val="clear" w:color="auto" w:fill="auto"/>
            <w:vAlign w:val="center"/>
          </w:tcPr>
          <w:p>
            <w:pPr>
              <w:pStyle w:val="294"/>
            </w:pPr>
            <w:r>
              <w:t>1.03</w:t>
            </w:r>
          </w:p>
        </w:tc>
        <w:tc>
          <w:tcPr>
            <w:tcW w:w="608" w:type="pct"/>
            <w:shd w:val="clear" w:color="auto" w:fill="auto"/>
            <w:vAlign w:val="center"/>
          </w:tcPr>
          <w:p>
            <w:pPr>
              <w:pStyle w:val="294"/>
            </w:pPr>
            <w:r>
              <w:t>1.04</w:t>
            </w:r>
          </w:p>
        </w:tc>
        <w:tc>
          <w:tcPr>
            <w:tcW w:w="609" w:type="pct"/>
            <w:shd w:val="clear" w:color="auto" w:fill="auto"/>
            <w:vAlign w:val="center"/>
          </w:tcPr>
          <w:p>
            <w:pPr>
              <w:pStyle w:val="294"/>
            </w:pPr>
            <w:r>
              <w:t>1.02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91" w:type="pct"/>
            <w:vMerge w:val="continue"/>
            <w:shd w:val="clear" w:color="auto" w:fill="auto"/>
            <w:vAlign w:val="center"/>
          </w:tcPr>
          <w:p>
            <w:pPr>
              <w:pStyle w:val="294"/>
            </w:pPr>
          </w:p>
        </w:tc>
        <w:tc>
          <w:tcPr>
            <w:tcW w:w="909" w:type="pct"/>
            <w:shd w:val="clear" w:color="auto" w:fill="auto"/>
            <w:vAlign w:val="center"/>
          </w:tcPr>
          <w:p>
            <w:pPr>
              <w:pStyle w:val="294"/>
            </w:pPr>
            <w:r>
              <w:t>2023.08.11</w:t>
            </w:r>
          </w:p>
        </w:tc>
        <w:tc>
          <w:tcPr>
            <w:tcW w:w="497" w:type="pct"/>
            <w:vMerge w:val="continue"/>
            <w:shd w:val="clear" w:color="auto" w:fill="auto"/>
            <w:vAlign w:val="center"/>
          </w:tcPr>
          <w:p>
            <w:pPr>
              <w:pStyle w:val="294"/>
            </w:pPr>
          </w:p>
        </w:tc>
        <w:tc>
          <w:tcPr>
            <w:tcW w:w="655" w:type="pct"/>
            <w:shd w:val="clear" w:color="auto" w:fill="auto"/>
            <w:vAlign w:val="center"/>
          </w:tcPr>
          <w:p>
            <w:pPr>
              <w:pStyle w:val="294"/>
            </w:pPr>
            <w:r>
              <w:t>0.62</w:t>
            </w:r>
          </w:p>
        </w:tc>
        <w:tc>
          <w:tcPr>
            <w:tcW w:w="728" w:type="pct"/>
            <w:shd w:val="clear" w:color="auto" w:fill="auto"/>
            <w:vAlign w:val="center"/>
          </w:tcPr>
          <w:p>
            <w:pPr>
              <w:pStyle w:val="294"/>
            </w:pPr>
            <w:r>
              <w:t>0.62</w:t>
            </w:r>
          </w:p>
        </w:tc>
        <w:tc>
          <w:tcPr>
            <w:tcW w:w="608" w:type="pct"/>
            <w:shd w:val="clear" w:color="auto" w:fill="auto"/>
            <w:vAlign w:val="center"/>
          </w:tcPr>
          <w:p>
            <w:pPr>
              <w:pStyle w:val="294"/>
            </w:pPr>
            <w:r>
              <w:t>0.61</w:t>
            </w:r>
          </w:p>
        </w:tc>
        <w:tc>
          <w:tcPr>
            <w:tcW w:w="609" w:type="pct"/>
            <w:shd w:val="clear" w:color="auto" w:fill="auto"/>
            <w:vAlign w:val="center"/>
          </w:tcPr>
          <w:p>
            <w:pPr>
              <w:pStyle w:val="294"/>
            </w:pPr>
            <w:r>
              <w:t>0.60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91" w:type="pct"/>
            <w:vMerge w:val="continue"/>
            <w:shd w:val="clear" w:color="auto" w:fill="auto"/>
            <w:vAlign w:val="center"/>
          </w:tcPr>
          <w:p>
            <w:pPr>
              <w:pStyle w:val="294"/>
            </w:pPr>
          </w:p>
        </w:tc>
        <w:tc>
          <w:tcPr>
            <w:tcW w:w="909" w:type="pct"/>
            <w:shd w:val="clear" w:color="auto" w:fill="auto"/>
            <w:vAlign w:val="center"/>
          </w:tcPr>
          <w:p>
            <w:pPr>
              <w:pStyle w:val="294"/>
            </w:pPr>
            <w:r>
              <w:t>2023.08.12</w:t>
            </w:r>
          </w:p>
        </w:tc>
        <w:tc>
          <w:tcPr>
            <w:tcW w:w="497" w:type="pct"/>
            <w:vMerge w:val="continue"/>
            <w:shd w:val="clear" w:color="auto" w:fill="auto"/>
            <w:vAlign w:val="center"/>
          </w:tcPr>
          <w:p>
            <w:pPr>
              <w:pStyle w:val="294"/>
            </w:pPr>
          </w:p>
        </w:tc>
        <w:tc>
          <w:tcPr>
            <w:tcW w:w="655" w:type="pct"/>
            <w:shd w:val="clear" w:color="auto" w:fill="auto"/>
            <w:vAlign w:val="center"/>
          </w:tcPr>
          <w:p>
            <w:pPr>
              <w:pStyle w:val="294"/>
            </w:pPr>
            <w:r>
              <w:t>0.68</w:t>
            </w:r>
          </w:p>
        </w:tc>
        <w:tc>
          <w:tcPr>
            <w:tcW w:w="728" w:type="pct"/>
            <w:shd w:val="clear" w:color="auto" w:fill="auto"/>
            <w:vAlign w:val="center"/>
          </w:tcPr>
          <w:p>
            <w:pPr>
              <w:pStyle w:val="294"/>
            </w:pPr>
            <w:r>
              <w:t>0.66</w:t>
            </w:r>
          </w:p>
        </w:tc>
        <w:tc>
          <w:tcPr>
            <w:tcW w:w="608" w:type="pct"/>
            <w:shd w:val="clear" w:color="auto" w:fill="auto"/>
            <w:vAlign w:val="center"/>
          </w:tcPr>
          <w:p>
            <w:pPr>
              <w:pStyle w:val="294"/>
            </w:pPr>
            <w:r>
              <w:t>0.66</w:t>
            </w:r>
          </w:p>
        </w:tc>
        <w:tc>
          <w:tcPr>
            <w:tcW w:w="609" w:type="pct"/>
            <w:shd w:val="clear" w:color="auto" w:fill="auto"/>
            <w:vAlign w:val="center"/>
          </w:tcPr>
          <w:p>
            <w:pPr>
              <w:pStyle w:val="294"/>
            </w:pPr>
            <w:r>
              <w:t>0.66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91" w:type="pct"/>
            <w:vMerge w:val="continue"/>
            <w:shd w:val="clear" w:color="auto" w:fill="auto"/>
            <w:vAlign w:val="center"/>
          </w:tcPr>
          <w:p>
            <w:pPr>
              <w:pStyle w:val="294"/>
            </w:pPr>
          </w:p>
        </w:tc>
        <w:tc>
          <w:tcPr>
            <w:tcW w:w="909" w:type="pct"/>
            <w:shd w:val="clear" w:color="auto" w:fill="auto"/>
            <w:vAlign w:val="center"/>
          </w:tcPr>
          <w:p>
            <w:pPr>
              <w:pStyle w:val="294"/>
            </w:pPr>
            <w:r>
              <w:t>2023.08.13</w:t>
            </w:r>
          </w:p>
        </w:tc>
        <w:tc>
          <w:tcPr>
            <w:tcW w:w="497" w:type="pct"/>
            <w:vMerge w:val="continue"/>
            <w:shd w:val="clear" w:color="auto" w:fill="auto"/>
            <w:vAlign w:val="center"/>
          </w:tcPr>
          <w:p>
            <w:pPr>
              <w:pStyle w:val="294"/>
            </w:pPr>
          </w:p>
        </w:tc>
        <w:tc>
          <w:tcPr>
            <w:tcW w:w="655" w:type="pct"/>
            <w:shd w:val="clear" w:color="auto" w:fill="auto"/>
            <w:vAlign w:val="center"/>
          </w:tcPr>
          <w:p>
            <w:pPr>
              <w:pStyle w:val="294"/>
            </w:pPr>
            <w:r>
              <w:t>0.66</w:t>
            </w:r>
          </w:p>
        </w:tc>
        <w:tc>
          <w:tcPr>
            <w:tcW w:w="728" w:type="pct"/>
            <w:shd w:val="clear" w:color="auto" w:fill="auto"/>
            <w:vAlign w:val="center"/>
          </w:tcPr>
          <w:p>
            <w:pPr>
              <w:pStyle w:val="294"/>
            </w:pPr>
            <w:r>
              <w:t>0.69</w:t>
            </w:r>
          </w:p>
        </w:tc>
        <w:tc>
          <w:tcPr>
            <w:tcW w:w="608" w:type="pct"/>
            <w:shd w:val="clear" w:color="auto" w:fill="auto"/>
            <w:vAlign w:val="center"/>
          </w:tcPr>
          <w:p>
            <w:pPr>
              <w:pStyle w:val="294"/>
            </w:pPr>
            <w:r>
              <w:t>0.68</w:t>
            </w:r>
          </w:p>
        </w:tc>
        <w:tc>
          <w:tcPr>
            <w:tcW w:w="609" w:type="pct"/>
            <w:shd w:val="clear" w:color="auto" w:fill="auto"/>
            <w:vAlign w:val="center"/>
          </w:tcPr>
          <w:p>
            <w:pPr>
              <w:pStyle w:val="294"/>
            </w:pPr>
            <w:r>
              <w:t>0.66</w:t>
            </w:r>
          </w:p>
        </w:tc>
      </w:tr>
    </w:tbl>
    <w:p>
      <w:pPr>
        <w:pStyle w:val="95"/>
      </w:pPr>
      <w:bookmarkStart w:id="212" w:name="_Ref142907107"/>
      <w:r>
        <w:t>表</w:t>
      </w:r>
      <w:r>
        <w:fldChar w:fldCharType="begin"/>
      </w:r>
      <w:r>
        <w:instrText xml:space="preserve"> STYLEREF 2 \s </w:instrText>
      </w:r>
      <w:r>
        <w:fldChar w:fldCharType="separate"/>
      </w:r>
      <w:r>
        <w:t>4.2</w:t>
      </w:r>
      <w:r>
        <w:fldChar w:fldCharType="end"/>
      </w:r>
      <w:r>
        <w:noBreakHyphen/>
      </w:r>
      <w:bookmarkEnd w:id="212"/>
      <w:r>
        <w:t>3 环境空气质量现状及评价</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8"/>
        <w:gridCol w:w="1567"/>
        <w:gridCol w:w="1301"/>
        <w:gridCol w:w="710"/>
        <w:gridCol w:w="1379"/>
        <w:gridCol w:w="992"/>
        <w:gridCol w:w="443"/>
        <w:gridCol w:w="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825" w:type="pct"/>
            <w:tcBorders>
              <w:top w:val="single" w:color="auto" w:sz="8" w:space="0"/>
              <w:left w:val="single" w:color="auto" w:sz="8" w:space="0"/>
            </w:tcBorders>
            <w:vAlign w:val="center"/>
          </w:tcPr>
          <w:p>
            <w:pPr>
              <w:pStyle w:val="294"/>
            </w:pPr>
            <w:r>
              <w:t>监测点位</w:t>
            </w:r>
          </w:p>
        </w:tc>
        <w:tc>
          <w:tcPr>
            <w:tcW w:w="918" w:type="pct"/>
            <w:tcBorders>
              <w:top w:val="single" w:color="auto" w:sz="8" w:space="0"/>
            </w:tcBorders>
            <w:vAlign w:val="center"/>
          </w:tcPr>
          <w:p>
            <w:pPr>
              <w:pStyle w:val="294"/>
            </w:pPr>
            <w:r>
              <w:t>采样时间</w:t>
            </w:r>
          </w:p>
        </w:tc>
        <w:tc>
          <w:tcPr>
            <w:tcW w:w="762" w:type="pct"/>
            <w:tcBorders>
              <w:top w:val="single" w:color="auto" w:sz="8" w:space="0"/>
            </w:tcBorders>
            <w:vAlign w:val="center"/>
          </w:tcPr>
          <w:p>
            <w:pPr>
              <w:pStyle w:val="294"/>
            </w:pPr>
            <w:r>
              <w:t>监测项目</w:t>
            </w:r>
          </w:p>
        </w:tc>
        <w:tc>
          <w:tcPr>
            <w:tcW w:w="416" w:type="pct"/>
            <w:tcBorders>
              <w:top w:val="single" w:color="auto" w:sz="8" w:space="0"/>
            </w:tcBorders>
            <w:vAlign w:val="center"/>
          </w:tcPr>
          <w:p>
            <w:pPr>
              <w:pStyle w:val="294"/>
            </w:pPr>
            <w:r>
              <w:t>采样个数</w:t>
            </w:r>
          </w:p>
        </w:tc>
        <w:tc>
          <w:tcPr>
            <w:tcW w:w="808" w:type="pct"/>
            <w:tcBorders>
              <w:top w:val="single" w:color="auto" w:sz="8" w:space="0"/>
            </w:tcBorders>
            <w:vAlign w:val="center"/>
          </w:tcPr>
          <w:p>
            <w:pPr>
              <w:pStyle w:val="294"/>
            </w:pPr>
            <w:r>
              <w:t>浓度范围</w:t>
            </w:r>
          </w:p>
          <w:p>
            <w:pPr>
              <w:pStyle w:val="294"/>
            </w:pPr>
            <w:r>
              <w:t>m</w:t>
            </w:r>
            <w:r>
              <w:rPr>
                <w:lang w:val="zh-CN"/>
              </w:rPr>
              <w:t>g</w:t>
            </w:r>
            <w:r>
              <w:t>/m</w:t>
            </w:r>
            <w:r>
              <w:rPr>
                <w:vertAlign w:val="superscript"/>
              </w:rPr>
              <w:t>3</w:t>
            </w:r>
          </w:p>
        </w:tc>
        <w:tc>
          <w:tcPr>
            <w:tcW w:w="582" w:type="pct"/>
            <w:tcBorders>
              <w:top w:val="single" w:color="auto" w:sz="8" w:space="0"/>
            </w:tcBorders>
            <w:vAlign w:val="center"/>
          </w:tcPr>
          <w:p>
            <w:pPr>
              <w:pStyle w:val="294"/>
            </w:pPr>
            <w:r>
              <w:t>最大浓度占标率P</w:t>
            </w:r>
            <w:r>
              <w:rPr>
                <w:vertAlign w:val="subscript"/>
              </w:rPr>
              <w:t>i</w:t>
            </w:r>
            <w:r>
              <w:t>（%）</w:t>
            </w:r>
          </w:p>
        </w:tc>
        <w:tc>
          <w:tcPr>
            <w:tcW w:w="260" w:type="pct"/>
            <w:tcBorders>
              <w:top w:val="single" w:color="auto" w:sz="8" w:space="0"/>
            </w:tcBorders>
            <w:vAlign w:val="center"/>
          </w:tcPr>
          <w:p>
            <w:pPr>
              <w:pStyle w:val="294"/>
            </w:pPr>
            <w:r>
              <w:t>超标率</w:t>
            </w:r>
          </w:p>
        </w:tc>
        <w:tc>
          <w:tcPr>
            <w:tcW w:w="425" w:type="pct"/>
            <w:tcBorders>
              <w:top w:val="single" w:color="auto" w:sz="8" w:space="0"/>
              <w:right w:val="single" w:color="auto" w:sz="8" w:space="0"/>
            </w:tcBorders>
            <w:vAlign w:val="center"/>
          </w:tcPr>
          <w:p>
            <w:pPr>
              <w:pStyle w:val="294"/>
            </w:pPr>
            <w:r>
              <w:t>达标</w:t>
            </w:r>
          </w:p>
          <w:p>
            <w:pPr>
              <w:pStyle w:val="294"/>
            </w:pPr>
            <w: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825" w:type="pct"/>
            <w:tcBorders>
              <w:left w:val="single" w:color="auto" w:sz="8" w:space="0"/>
              <w:bottom w:val="single" w:color="000000" w:sz="4" w:space="0"/>
            </w:tcBorders>
            <w:vAlign w:val="center"/>
          </w:tcPr>
          <w:p>
            <w:pPr>
              <w:pStyle w:val="294"/>
            </w:pPr>
            <w:r>
              <w:t>平台井场南侧</w:t>
            </w:r>
            <w:r>
              <w:rPr>
                <w:rFonts w:hint="eastAsia"/>
              </w:rPr>
              <w:t>96</w:t>
            </w:r>
            <w:r>
              <w:t>0m处</w:t>
            </w:r>
          </w:p>
        </w:tc>
        <w:tc>
          <w:tcPr>
            <w:tcW w:w="918" w:type="pct"/>
            <w:tcBorders>
              <w:bottom w:val="single" w:color="000000" w:sz="4" w:space="0"/>
            </w:tcBorders>
            <w:vAlign w:val="center"/>
          </w:tcPr>
          <w:p>
            <w:pPr>
              <w:pStyle w:val="294"/>
            </w:pPr>
            <w:r>
              <w:t>2023.</w:t>
            </w:r>
            <w:r>
              <w:rPr>
                <w:rFonts w:hint="eastAsia"/>
              </w:rPr>
              <w:t>9.03~9.09</w:t>
            </w:r>
          </w:p>
        </w:tc>
        <w:tc>
          <w:tcPr>
            <w:tcW w:w="762" w:type="pct"/>
            <w:vAlign w:val="center"/>
          </w:tcPr>
          <w:p>
            <w:pPr>
              <w:pStyle w:val="294"/>
            </w:pPr>
            <w:r>
              <w:t>非甲烷总烃</w:t>
            </w:r>
          </w:p>
        </w:tc>
        <w:tc>
          <w:tcPr>
            <w:tcW w:w="416" w:type="pct"/>
            <w:vAlign w:val="center"/>
          </w:tcPr>
          <w:p>
            <w:pPr>
              <w:pStyle w:val="294"/>
            </w:pPr>
            <w:r>
              <w:t>28</w:t>
            </w:r>
          </w:p>
        </w:tc>
        <w:tc>
          <w:tcPr>
            <w:tcW w:w="808" w:type="pct"/>
            <w:vAlign w:val="center"/>
          </w:tcPr>
          <w:p>
            <w:pPr>
              <w:pStyle w:val="294"/>
            </w:pPr>
            <w:r>
              <w:t>062~1.08</w:t>
            </w:r>
          </w:p>
        </w:tc>
        <w:tc>
          <w:tcPr>
            <w:tcW w:w="582" w:type="pct"/>
            <w:vAlign w:val="center"/>
          </w:tcPr>
          <w:p>
            <w:pPr>
              <w:pStyle w:val="294"/>
            </w:pPr>
            <w:r>
              <w:t>54%</w:t>
            </w:r>
          </w:p>
        </w:tc>
        <w:tc>
          <w:tcPr>
            <w:tcW w:w="260" w:type="pct"/>
            <w:vAlign w:val="center"/>
          </w:tcPr>
          <w:p>
            <w:pPr>
              <w:pStyle w:val="294"/>
            </w:pPr>
            <w:r>
              <w:t>0</w:t>
            </w:r>
          </w:p>
        </w:tc>
        <w:tc>
          <w:tcPr>
            <w:tcW w:w="425" w:type="pct"/>
            <w:tcBorders>
              <w:right w:val="single" w:color="auto" w:sz="8" w:space="0"/>
            </w:tcBorders>
            <w:vAlign w:val="center"/>
          </w:tcPr>
          <w:p>
            <w:pPr>
              <w:pStyle w:val="294"/>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825" w:type="pct"/>
            <w:tcBorders>
              <w:top w:val="single" w:color="000000" w:sz="4" w:space="0"/>
              <w:left w:val="single" w:color="auto" w:sz="8" w:space="0"/>
              <w:bottom w:val="single" w:color="auto" w:sz="8" w:space="0"/>
            </w:tcBorders>
            <w:vAlign w:val="center"/>
          </w:tcPr>
          <w:p>
            <w:pPr>
              <w:pStyle w:val="294"/>
            </w:pPr>
            <w:r>
              <w:t>平台井场南侧</w:t>
            </w:r>
            <w:r>
              <w:rPr>
                <w:rFonts w:hint="eastAsia"/>
              </w:rPr>
              <w:t>130</w:t>
            </w:r>
            <w:r>
              <w:t>0m处</w:t>
            </w:r>
          </w:p>
        </w:tc>
        <w:tc>
          <w:tcPr>
            <w:tcW w:w="918" w:type="pct"/>
            <w:tcBorders>
              <w:top w:val="single" w:color="000000" w:sz="4" w:space="0"/>
              <w:bottom w:val="single" w:color="auto" w:sz="8" w:space="0"/>
            </w:tcBorders>
            <w:vAlign w:val="center"/>
          </w:tcPr>
          <w:p>
            <w:pPr>
              <w:pStyle w:val="294"/>
            </w:pPr>
            <w:r>
              <w:rPr>
                <w:rFonts w:hint="eastAsia"/>
              </w:rPr>
              <w:t>2023.8.07~8.13</w:t>
            </w:r>
          </w:p>
        </w:tc>
        <w:tc>
          <w:tcPr>
            <w:tcW w:w="762" w:type="pct"/>
            <w:tcBorders>
              <w:bottom w:val="single" w:color="auto" w:sz="8" w:space="0"/>
            </w:tcBorders>
            <w:vAlign w:val="center"/>
          </w:tcPr>
          <w:p>
            <w:pPr>
              <w:pStyle w:val="294"/>
            </w:pPr>
            <w:r>
              <w:t>硫化氢</w:t>
            </w:r>
          </w:p>
        </w:tc>
        <w:tc>
          <w:tcPr>
            <w:tcW w:w="416" w:type="pct"/>
            <w:tcBorders>
              <w:bottom w:val="single" w:color="auto" w:sz="8" w:space="0"/>
            </w:tcBorders>
            <w:vAlign w:val="center"/>
          </w:tcPr>
          <w:p>
            <w:pPr>
              <w:pStyle w:val="294"/>
            </w:pPr>
            <w:r>
              <w:t>28</w:t>
            </w:r>
          </w:p>
        </w:tc>
        <w:tc>
          <w:tcPr>
            <w:tcW w:w="808" w:type="pct"/>
            <w:tcBorders>
              <w:bottom w:val="single" w:color="auto" w:sz="8" w:space="0"/>
            </w:tcBorders>
            <w:vAlign w:val="center"/>
          </w:tcPr>
          <w:p>
            <w:pPr>
              <w:pStyle w:val="294"/>
            </w:pPr>
            <w:r>
              <w:t>0.003~0.006</w:t>
            </w:r>
          </w:p>
        </w:tc>
        <w:tc>
          <w:tcPr>
            <w:tcW w:w="582" w:type="pct"/>
            <w:tcBorders>
              <w:bottom w:val="single" w:color="auto" w:sz="8" w:space="0"/>
            </w:tcBorders>
            <w:vAlign w:val="center"/>
          </w:tcPr>
          <w:p>
            <w:pPr>
              <w:pStyle w:val="294"/>
            </w:pPr>
            <w:r>
              <w:t>60%</w:t>
            </w:r>
          </w:p>
        </w:tc>
        <w:tc>
          <w:tcPr>
            <w:tcW w:w="260" w:type="pct"/>
            <w:tcBorders>
              <w:bottom w:val="single" w:color="auto" w:sz="8" w:space="0"/>
            </w:tcBorders>
            <w:vAlign w:val="center"/>
          </w:tcPr>
          <w:p>
            <w:pPr>
              <w:pStyle w:val="294"/>
            </w:pPr>
            <w:r>
              <w:t>0</w:t>
            </w:r>
          </w:p>
        </w:tc>
        <w:tc>
          <w:tcPr>
            <w:tcW w:w="425" w:type="pct"/>
            <w:tcBorders>
              <w:bottom w:val="single" w:color="auto" w:sz="8" w:space="0"/>
              <w:right w:val="single" w:color="auto" w:sz="8" w:space="0"/>
            </w:tcBorders>
            <w:vAlign w:val="center"/>
          </w:tcPr>
          <w:p>
            <w:pPr>
              <w:pStyle w:val="294"/>
            </w:pPr>
            <w:r>
              <w:t>达标</w:t>
            </w:r>
          </w:p>
        </w:tc>
      </w:tr>
    </w:tbl>
    <w:p>
      <w:pPr>
        <w:spacing w:before="120" w:beforeLines="5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评价结论：本项目所在地环境空气中特征污染物</w:t>
      </w:r>
      <w:bookmarkStart w:id="213" w:name="_Hlk100174264"/>
      <w:bookmarkStart w:id="214" w:name="_Hlk100174299"/>
      <w:r>
        <w:rPr>
          <w:rFonts w:cs="Times New Roman"/>
          <w:color w:val="000000" w:themeColor="text1"/>
          <w14:textFill>
            <w14:solidFill>
              <w14:schemeClr w14:val="tx1"/>
            </w14:solidFill>
          </w14:textFill>
        </w:rPr>
        <w:t>非甲烷总烃</w:t>
      </w:r>
      <w:bookmarkEnd w:id="213"/>
      <w:r>
        <w:rPr>
          <w:rFonts w:cs="Times New Roman"/>
          <w:color w:val="000000" w:themeColor="text1"/>
          <w14:textFill>
            <w14:solidFill>
              <w14:schemeClr w14:val="tx1"/>
            </w14:solidFill>
          </w14:textFill>
        </w:rPr>
        <w:t>现状监测值均低于《大气污染物综合排放标准详解》浓度限值；硫化氢现状监测值均低于《环境影响评价技术导则大气环境》（HJ2.2-2018）中附录D标准限值。</w:t>
      </w:r>
      <w:bookmarkEnd w:id="214"/>
    </w:p>
    <w:bookmarkEnd w:id="208"/>
    <w:p>
      <w:pPr>
        <w:pStyle w:val="4"/>
        <w:ind w:firstLine="241"/>
        <w:rPr>
          <w:b w:val="0"/>
        </w:rPr>
      </w:pPr>
      <w:bookmarkStart w:id="215" w:name="_Toc120173129"/>
      <w:r>
        <w:rPr>
          <w:rFonts w:hint="eastAsia"/>
        </w:rPr>
        <w:t>4.2.2</w:t>
      </w:r>
      <w:r>
        <w:t>地表水环境质量现状</w:t>
      </w:r>
      <w:bookmarkEnd w:id="215"/>
    </w:p>
    <w:p>
      <w:pPr>
        <w:pStyle w:val="21"/>
        <w:ind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本项目位于后河流域，后河属于渠江流域，根据《2023年4月达州市地表水水质月报》：2023年4月全市35个河流断面中，优（</w:t>
      </w:r>
      <w:r>
        <w:rPr>
          <w:rFonts w:hint="eastAsia" w:cs="宋体"/>
          <w:bCs/>
          <w:color w:val="000000" w:themeColor="text1"/>
          <w:kern w:val="2"/>
          <w:lang w:eastAsia="zh-CN"/>
          <w14:textFill>
            <w14:solidFill>
              <w14:schemeClr w14:val="tx1"/>
            </w14:solidFill>
          </w14:textFill>
        </w:rPr>
        <w:t>Ⅰ</w:t>
      </w:r>
      <w:r>
        <w:rPr>
          <w:rFonts w:ascii="Times New Roman" w:hAnsi="Times New Roman"/>
          <w:bCs/>
          <w:color w:val="000000" w:themeColor="text1"/>
          <w:kern w:val="2"/>
          <w:lang w:eastAsia="zh-CN"/>
          <w14:textFill>
            <w14:solidFill>
              <w14:schemeClr w14:val="tx1"/>
            </w14:solidFill>
          </w14:textFill>
        </w:rPr>
        <w:t>~</w:t>
      </w:r>
      <w:r>
        <w:rPr>
          <w:rFonts w:hint="eastAsia" w:cs="宋体"/>
          <w:bCs/>
          <w:color w:val="000000" w:themeColor="text1"/>
          <w:kern w:val="2"/>
          <w:lang w:eastAsia="zh-CN"/>
          <w14:textFill>
            <w14:solidFill>
              <w14:schemeClr w14:val="tx1"/>
            </w14:solidFill>
          </w14:textFill>
        </w:rPr>
        <w:t>Ⅱ</w:t>
      </w:r>
      <w:r>
        <w:rPr>
          <w:rFonts w:ascii="Times New Roman" w:hAnsi="Times New Roman"/>
          <w:bCs/>
          <w:color w:val="000000" w:themeColor="text1"/>
          <w:kern w:val="2"/>
          <w:lang w:eastAsia="zh-CN"/>
          <w14:textFill>
            <w14:solidFill>
              <w14:schemeClr w14:val="tx1"/>
            </w14:solidFill>
          </w14:textFill>
        </w:rPr>
        <w:t>类）良（</w:t>
      </w:r>
      <w:r>
        <w:rPr>
          <w:rFonts w:hint="eastAsia" w:cs="宋体"/>
          <w:bCs/>
          <w:color w:val="000000" w:themeColor="text1"/>
          <w:kern w:val="2"/>
          <w:lang w:eastAsia="zh-CN"/>
          <w14:textFill>
            <w14:solidFill>
              <w14:schemeClr w14:val="tx1"/>
            </w14:solidFill>
          </w14:textFill>
        </w:rPr>
        <w:t>Ⅲ</w:t>
      </w:r>
      <w:r>
        <w:rPr>
          <w:rFonts w:ascii="Times New Roman" w:hAnsi="Times New Roman"/>
          <w:bCs/>
          <w:color w:val="000000" w:themeColor="text1"/>
          <w:kern w:val="2"/>
          <w:lang w:eastAsia="zh-CN"/>
          <w14:textFill>
            <w14:solidFill>
              <w14:schemeClr w14:val="tx1"/>
            </w14:solidFill>
          </w14:textFill>
        </w:rPr>
        <w:t>类）水质断面30个，占比85.7%；轻度污染（</w:t>
      </w:r>
      <w:r>
        <w:rPr>
          <w:rFonts w:hint="eastAsia" w:cs="宋体"/>
          <w:bCs/>
          <w:color w:val="000000" w:themeColor="text1"/>
          <w:kern w:val="2"/>
          <w:lang w:eastAsia="zh-CN"/>
          <w14:textFill>
            <w14:solidFill>
              <w14:schemeClr w14:val="tx1"/>
            </w14:solidFill>
          </w14:textFill>
        </w:rPr>
        <w:t>Ⅳ</w:t>
      </w:r>
      <w:r>
        <w:rPr>
          <w:rFonts w:ascii="Times New Roman" w:hAnsi="Times New Roman"/>
          <w:bCs/>
          <w:color w:val="000000" w:themeColor="text1"/>
          <w:kern w:val="2"/>
          <w:lang w:eastAsia="zh-CN"/>
          <w14:textFill>
            <w14:solidFill>
              <w14:schemeClr w14:val="tx1"/>
            </w14:solidFill>
          </w14:textFill>
        </w:rPr>
        <w:t>类）水质断面5个，占比14.3%。</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全市河流超标情况为：御临河双河口大桥、任市河联盟桥、袁驿河速建桥、平滩河碧山中学、平滩河牛角滩断面受到轻度污染，主要污染指标为高锰酸盐指数、化学需氧量。</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达州市生态环境局公布的2023年1月~2023年7月达州市地表水水质月报，根据月报可知，2023年1月~2023年7月州河水系后河位于</w:t>
      </w:r>
      <w:r>
        <w:rPr>
          <w:rFonts w:ascii="Times New Roman" w:hAnsi="Times New Roman"/>
          <w:color w:val="000000" w:themeColor="text1"/>
          <w:lang w:eastAsia="zh-CN"/>
          <w14:textFill>
            <w14:solidFill>
              <w14:schemeClr w14:val="tx1"/>
            </w14:solidFill>
          </w14:textFill>
        </w:rPr>
        <w:t>漩坑坝（万源市→宣汉县）监测断面的国考断面地表水水质满足</w:t>
      </w:r>
      <w:r>
        <w:rPr>
          <w:rFonts w:ascii="Times New Roman" w:hAnsi="Times New Roman"/>
          <w:bCs/>
          <w:color w:val="000000" w:themeColor="text1"/>
          <w:kern w:val="2"/>
          <w:lang w:eastAsia="zh-CN"/>
          <w14:textFill>
            <w14:solidFill>
              <w14:schemeClr w14:val="tx1"/>
            </w14:solidFill>
          </w14:textFill>
        </w:rPr>
        <w:t>《地表水环境质量标准》（GB3838-2002）中</w:t>
      </w:r>
      <w:r>
        <w:rPr>
          <w:rFonts w:hint="eastAsia" w:cs="宋体"/>
          <w:bCs/>
          <w:color w:val="000000" w:themeColor="text1"/>
          <w:kern w:val="2"/>
          <w:lang w:eastAsia="zh-CN"/>
          <w14:textFill>
            <w14:solidFill>
              <w14:schemeClr w14:val="tx1"/>
            </w14:solidFill>
          </w14:textFill>
        </w:rPr>
        <w:t>Ⅱ</w:t>
      </w:r>
      <w:r>
        <w:rPr>
          <w:rFonts w:ascii="Times New Roman" w:hAnsi="Times New Roman"/>
          <w:bCs/>
          <w:color w:val="000000" w:themeColor="text1"/>
          <w:kern w:val="2"/>
          <w:lang w:eastAsia="zh-CN"/>
          <w14:textFill>
            <w14:solidFill>
              <w14:schemeClr w14:val="tx1"/>
            </w14:solidFill>
          </w14:textFill>
        </w:rPr>
        <w:t>类水质标准限值要求，因此满足《地表水环境质量标准》（GB3838-2002）中</w:t>
      </w:r>
      <w:r>
        <w:rPr>
          <w:rFonts w:hint="eastAsia" w:cs="宋体"/>
          <w:bCs/>
          <w:color w:val="000000" w:themeColor="text1"/>
          <w:kern w:val="2"/>
          <w:lang w:eastAsia="zh-CN"/>
          <w14:textFill>
            <w14:solidFill>
              <w14:schemeClr w14:val="tx1"/>
            </w14:solidFill>
          </w14:textFill>
        </w:rPr>
        <w:t>Ⅲ</w:t>
      </w:r>
      <w:r>
        <w:rPr>
          <w:rFonts w:ascii="Times New Roman" w:hAnsi="Times New Roman"/>
          <w:bCs/>
          <w:color w:val="000000" w:themeColor="text1"/>
          <w:kern w:val="2"/>
          <w:lang w:eastAsia="zh-CN"/>
          <w14:textFill>
            <w14:solidFill>
              <w14:schemeClr w14:val="tx1"/>
            </w14:solidFill>
          </w14:textFill>
        </w:rPr>
        <w:t>类水质标准限值要求。</w:t>
      </w:r>
    </w:p>
    <w:p>
      <w:pPr>
        <w:pStyle w:val="4"/>
        <w:ind w:firstLine="241"/>
        <w:rPr>
          <w:b w:val="0"/>
        </w:rPr>
      </w:pPr>
      <w:bookmarkStart w:id="216" w:name="_Toc120173130"/>
      <w:r>
        <w:rPr>
          <w:rFonts w:hint="eastAsia"/>
        </w:rPr>
        <w:t>4.2.3</w:t>
      </w:r>
      <w:r>
        <w:t>声环境质量现状监测与评价</w:t>
      </w:r>
      <w:bookmarkEnd w:id="216"/>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为了了解项目建设对声环境的影响，本次评价对区域声环境质量进行了现状监测。</w:t>
      </w:r>
    </w:p>
    <w:p>
      <w:pPr>
        <w:pStyle w:val="21"/>
        <w:spacing w:before="0"/>
        <w:ind w:left="0" w:firstLine="482"/>
        <w:jc w:val="both"/>
        <w:rPr>
          <w:rFonts w:ascii="Times New Roman" w:hAnsi="Times New Roman"/>
          <w:b/>
          <w:color w:val="000000" w:themeColor="text1"/>
          <w:kern w:val="2"/>
          <w:lang w:eastAsia="zh-CN"/>
          <w14:textFill>
            <w14:solidFill>
              <w14:schemeClr w14:val="tx1"/>
            </w14:solidFill>
          </w14:textFill>
        </w:rPr>
      </w:pPr>
      <w:r>
        <w:rPr>
          <w:rFonts w:ascii="Times New Roman" w:hAnsi="Times New Roman"/>
          <w:b/>
          <w:color w:val="000000" w:themeColor="text1"/>
          <w:kern w:val="2"/>
          <w:lang w:eastAsia="zh-CN"/>
          <w14:textFill>
            <w14:solidFill>
              <w14:schemeClr w14:val="tx1"/>
            </w14:solidFill>
          </w14:textFill>
        </w:rPr>
        <w:t>（1）监测方案</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监测布点：根据项目情况及环境特征，本次环评布设噪声监测点3个。监测点布置具体见附图2，噪声监测布点统计见</w:t>
      </w:r>
      <w:r>
        <w:rPr>
          <w:rFonts w:ascii="Times New Roman" w:hAnsi="Times New Roman"/>
          <w:bCs/>
          <w:color w:val="000000" w:themeColor="text1"/>
          <w:kern w:val="2"/>
          <w:lang w:eastAsia="zh-CN"/>
          <w14:textFill>
            <w14:solidFill>
              <w14:schemeClr w14:val="tx1"/>
            </w14:solidFill>
          </w14:textFill>
        </w:rPr>
        <w:fldChar w:fldCharType="begin"/>
      </w:r>
      <w:r>
        <w:rPr>
          <w:rFonts w:ascii="Times New Roman" w:hAnsi="Times New Roman"/>
          <w:bCs/>
          <w:color w:val="000000" w:themeColor="text1"/>
          <w:kern w:val="2"/>
          <w:lang w:eastAsia="zh-CN"/>
          <w14:textFill>
            <w14:solidFill>
              <w14:schemeClr w14:val="tx1"/>
            </w14:solidFill>
          </w14:textFill>
        </w:rPr>
        <w:instrText xml:space="preserve"> REF _Ref142599910 \h  \* MERGEFORMAT </w:instrText>
      </w:r>
      <w:r>
        <w:rPr>
          <w:rFonts w:ascii="Times New Roman" w:hAnsi="Times New Roman"/>
          <w:bCs/>
          <w:color w:val="000000" w:themeColor="text1"/>
          <w:kern w:val="2"/>
          <w:lang w:eastAsia="zh-CN"/>
          <w14:textFill>
            <w14:solidFill>
              <w14:schemeClr w14:val="tx1"/>
            </w14:solidFill>
          </w14:textFill>
        </w:rPr>
        <w:fldChar w:fldCharType="separate"/>
      </w:r>
      <w:r>
        <w:rPr>
          <w:rFonts w:ascii="Times New Roman" w:hAnsi="Times New Roman"/>
          <w:color w:val="000000" w:themeColor="text1"/>
          <w:lang w:eastAsia="zh-CN"/>
          <w14:textFill>
            <w14:solidFill>
              <w14:schemeClr w14:val="tx1"/>
            </w14:solidFill>
          </w14:textFill>
        </w:rPr>
        <w:t>表4.2</w:t>
      </w:r>
      <w:r>
        <w:rPr>
          <w:rFonts w:ascii="Times New Roman" w:hAnsi="Times New Roman"/>
          <w:color w:val="000000" w:themeColor="text1"/>
          <w:lang w:eastAsia="zh-CN"/>
          <w14:textFill>
            <w14:solidFill>
              <w14:schemeClr w14:val="tx1"/>
            </w14:solidFill>
          </w14:textFill>
        </w:rPr>
        <w:noBreakHyphen/>
      </w:r>
      <w:r>
        <w:rPr>
          <w:rFonts w:hint="eastAsia" w:ascii="Times New Roman" w:hAnsi="Times New Roman"/>
          <w:color w:val="000000" w:themeColor="text1"/>
          <w:lang w:eastAsia="zh-CN"/>
          <w14:textFill>
            <w14:solidFill>
              <w14:schemeClr w14:val="tx1"/>
            </w14:solidFill>
          </w14:textFill>
        </w:rPr>
        <w:t>4</w:t>
      </w:r>
      <w:r>
        <w:rPr>
          <w:rFonts w:ascii="Times New Roman" w:hAnsi="Times New Roman"/>
          <w:bCs/>
          <w:color w:val="000000" w:themeColor="text1"/>
          <w:kern w:val="2"/>
          <w:lang w:eastAsia="zh-CN"/>
          <w14:textFill>
            <w14:solidFill>
              <w14:schemeClr w14:val="tx1"/>
            </w14:solidFill>
          </w14:textFill>
        </w:rPr>
        <w:fldChar w:fldCharType="end"/>
      </w:r>
      <w:r>
        <w:rPr>
          <w:rFonts w:ascii="Times New Roman" w:hAnsi="Times New Roman"/>
          <w:bCs/>
          <w:color w:val="000000" w:themeColor="text1"/>
          <w:kern w:val="2"/>
          <w:lang w:eastAsia="zh-CN"/>
          <w14:textFill>
            <w14:solidFill>
              <w14:schemeClr w14:val="tx1"/>
            </w14:solidFill>
          </w14:textFill>
        </w:rPr>
        <w:t>。</w:t>
      </w:r>
    </w:p>
    <w:p>
      <w:pPr>
        <w:pStyle w:val="95"/>
      </w:pPr>
      <w:bookmarkStart w:id="217" w:name="_Ref142599910"/>
      <w:bookmarkStart w:id="218" w:name="_Ref142599905"/>
      <w:r>
        <w:t>表</w:t>
      </w:r>
      <w:r>
        <w:fldChar w:fldCharType="begin"/>
      </w:r>
      <w:r>
        <w:instrText xml:space="preserve"> STYLEREF 2 \s </w:instrText>
      </w:r>
      <w:r>
        <w:fldChar w:fldCharType="separate"/>
      </w:r>
      <w:r>
        <w:t>4.2</w:t>
      </w:r>
      <w:r>
        <w:fldChar w:fldCharType="end"/>
      </w:r>
      <w:r>
        <w:noBreakHyphen/>
      </w:r>
      <w:bookmarkEnd w:id="217"/>
      <w:r>
        <w:rPr>
          <w:rFonts w:hint="eastAsia"/>
        </w:rPr>
        <w:t>4</w:t>
      </w:r>
      <w:r>
        <w:t xml:space="preserve"> 项目噪声监测点位一览表</w:t>
      </w:r>
      <w:bookmarkEnd w:id="218"/>
    </w:p>
    <w:tbl>
      <w:tblPr>
        <w:tblStyle w:val="52"/>
        <w:tblpPr w:leftFromText="180" w:rightFromText="180" w:vertAnchor="text" w:tblpXSpec="center" w:tblpY="1"/>
        <w:tblOverlap w:val="never"/>
        <w:tblW w:w="822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8"/>
        <w:gridCol w:w="850"/>
        <w:gridCol w:w="2835"/>
        <w:gridCol w:w="1559"/>
        <w:gridCol w:w="19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88" w:type="dxa"/>
            <w:vAlign w:val="center"/>
          </w:tcPr>
          <w:p>
            <w:pPr>
              <w:pStyle w:val="294"/>
            </w:pPr>
            <w:r>
              <w:t>井号</w:t>
            </w:r>
          </w:p>
        </w:tc>
        <w:tc>
          <w:tcPr>
            <w:tcW w:w="850" w:type="dxa"/>
            <w:vAlign w:val="center"/>
          </w:tcPr>
          <w:p>
            <w:pPr>
              <w:pStyle w:val="294"/>
            </w:pPr>
            <w:r>
              <w:t>编号</w:t>
            </w:r>
          </w:p>
        </w:tc>
        <w:tc>
          <w:tcPr>
            <w:tcW w:w="2835" w:type="dxa"/>
            <w:vAlign w:val="center"/>
          </w:tcPr>
          <w:p>
            <w:pPr>
              <w:pStyle w:val="294"/>
            </w:pPr>
            <w:r>
              <w:t>方位</w:t>
            </w:r>
          </w:p>
        </w:tc>
        <w:tc>
          <w:tcPr>
            <w:tcW w:w="1559" w:type="dxa"/>
            <w:vAlign w:val="center"/>
          </w:tcPr>
          <w:p>
            <w:pPr>
              <w:pStyle w:val="294"/>
            </w:pPr>
            <w:r>
              <w:t>距离（厂界）</w:t>
            </w:r>
          </w:p>
        </w:tc>
        <w:tc>
          <w:tcPr>
            <w:tcW w:w="1990" w:type="dxa"/>
            <w:vAlign w:val="center"/>
          </w:tcPr>
          <w:p>
            <w:pPr>
              <w:pStyle w:val="294"/>
            </w:pPr>
            <w: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88" w:type="dxa"/>
            <w:vMerge w:val="restart"/>
            <w:vAlign w:val="center"/>
          </w:tcPr>
          <w:p>
            <w:pPr>
              <w:pStyle w:val="294"/>
            </w:pPr>
            <w:r>
              <w:t>本项目拟建普光3011-6井</w:t>
            </w:r>
          </w:p>
        </w:tc>
        <w:tc>
          <w:tcPr>
            <w:tcW w:w="850" w:type="dxa"/>
            <w:vAlign w:val="center"/>
          </w:tcPr>
          <w:p>
            <w:pPr>
              <w:pStyle w:val="294"/>
            </w:pPr>
            <w:r>
              <w:rPr>
                <w:rFonts w:hint="eastAsia"/>
              </w:rPr>
              <w:t>N1</w:t>
            </w:r>
          </w:p>
        </w:tc>
        <w:tc>
          <w:tcPr>
            <w:tcW w:w="2835" w:type="dxa"/>
            <w:vAlign w:val="center"/>
          </w:tcPr>
          <w:p>
            <w:pPr>
              <w:pStyle w:val="294"/>
            </w:pPr>
            <w:r>
              <w:rPr>
                <w:rFonts w:hint="eastAsia"/>
              </w:rPr>
              <w:t>项目西南侧</w:t>
            </w:r>
          </w:p>
        </w:tc>
        <w:tc>
          <w:tcPr>
            <w:tcW w:w="1559" w:type="dxa"/>
            <w:vAlign w:val="center"/>
          </w:tcPr>
          <w:p>
            <w:pPr>
              <w:pStyle w:val="294"/>
            </w:pPr>
            <w:r>
              <w:t>1m</w:t>
            </w:r>
          </w:p>
        </w:tc>
        <w:tc>
          <w:tcPr>
            <w:tcW w:w="1990" w:type="dxa"/>
            <w:vMerge w:val="restart"/>
            <w:vAlign w:val="center"/>
          </w:tcPr>
          <w:p>
            <w:pPr>
              <w:pStyle w:val="294"/>
            </w:pPr>
            <w:r>
              <w:t>拟建项目背景值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88" w:type="dxa"/>
            <w:vMerge w:val="continue"/>
            <w:vAlign w:val="center"/>
          </w:tcPr>
          <w:p>
            <w:pPr>
              <w:pStyle w:val="294"/>
            </w:pPr>
          </w:p>
        </w:tc>
        <w:tc>
          <w:tcPr>
            <w:tcW w:w="850" w:type="dxa"/>
            <w:vAlign w:val="center"/>
          </w:tcPr>
          <w:p>
            <w:pPr>
              <w:pStyle w:val="294"/>
            </w:pPr>
            <w:r>
              <w:rPr>
                <w:rFonts w:hint="eastAsia"/>
              </w:rPr>
              <w:t>N2</w:t>
            </w:r>
          </w:p>
        </w:tc>
        <w:tc>
          <w:tcPr>
            <w:tcW w:w="2835" w:type="dxa"/>
            <w:vAlign w:val="center"/>
          </w:tcPr>
          <w:p>
            <w:pPr>
              <w:pStyle w:val="294"/>
            </w:pPr>
            <w:r>
              <w:rPr>
                <w:rFonts w:hint="eastAsia"/>
              </w:rPr>
              <w:t>项目北侧</w:t>
            </w:r>
          </w:p>
        </w:tc>
        <w:tc>
          <w:tcPr>
            <w:tcW w:w="1559" w:type="dxa"/>
            <w:vAlign w:val="center"/>
          </w:tcPr>
          <w:p>
            <w:pPr>
              <w:pStyle w:val="294"/>
            </w:pPr>
            <w:r>
              <w:t>1m</w:t>
            </w:r>
          </w:p>
        </w:tc>
        <w:tc>
          <w:tcPr>
            <w:tcW w:w="1990"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988" w:type="dxa"/>
            <w:vMerge w:val="continue"/>
            <w:vAlign w:val="center"/>
          </w:tcPr>
          <w:p>
            <w:pPr>
              <w:pStyle w:val="294"/>
            </w:pPr>
          </w:p>
        </w:tc>
        <w:tc>
          <w:tcPr>
            <w:tcW w:w="850" w:type="dxa"/>
            <w:vAlign w:val="center"/>
          </w:tcPr>
          <w:p>
            <w:pPr>
              <w:pStyle w:val="294"/>
            </w:pPr>
            <w:r>
              <w:rPr>
                <w:rFonts w:hint="eastAsia"/>
              </w:rPr>
              <w:t>N3</w:t>
            </w:r>
          </w:p>
        </w:tc>
        <w:tc>
          <w:tcPr>
            <w:tcW w:w="2835" w:type="dxa"/>
            <w:vAlign w:val="center"/>
          </w:tcPr>
          <w:p>
            <w:pPr>
              <w:pStyle w:val="294"/>
            </w:pPr>
            <w:r>
              <w:rPr>
                <w:rFonts w:hint="eastAsia"/>
              </w:rPr>
              <w:t>项目东南侧</w:t>
            </w:r>
          </w:p>
        </w:tc>
        <w:tc>
          <w:tcPr>
            <w:tcW w:w="1559" w:type="dxa"/>
            <w:vAlign w:val="center"/>
          </w:tcPr>
          <w:p>
            <w:pPr>
              <w:pStyle w:val="294"/>
            </w:pPr>
            <w:r>
              <w:t>1m</w:t>
            </w:r>
          </w:p>
        </w:tc>
        <w:tc>
          <w:tcPr>
            <w:tcW w:w="1990" w:type="dxa"/>
            <w:vMerge w:val="continue"/>
            <w:vAlign w:val="center"/>
          </w:tcPr>
          <w:p>
            <w:pPr>
              <w:pStyle w:val="294"/>
            </w:pPr>
          </w:p>
        </w:tc>
      </w:tr>
    </w:tbl>
    <w:p>
      <w:pPr>
        <w:pStyle w:val="21"/>
        <w:spacing w:before="120" w:beforeLines="5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监测因子：连续A声级。</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监测频率及时间：连续2天（202</w:t>
      </w:r>
      <w:r>
        <w:rPr>
          <w:rFonts w:hint="eastAsia" w:cs="Times New Roman"/>
          <w:color w:val="000000" w:themeColor="text1"/>
          <w14:textFill>
            <w14:solidFill>
              <w14:schemeClr w14:val="tx1"/>
            </w14:solidFill>
          </w14:textFill>
        </w:rPr>
        <w:t>4</w:t>
      </w:r>
      <w:r>
        <w:rPr>
          <w:rFonts w:cs="Times New Roman"/>
          <w:color w:val="000000" w:themeColor="text1"/>
          <w14:textFill>
            <w14:solidFill>
              <w14:schemeClr w14:val="tx1"/>
            </w14:solidFill>
          </w14:textFill>
        </w:rPr>
        <w:t>年</w:t>
      </w: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月</w:t>
      </w:r>
      <w:r>
        <w:rPr>
          <w:rFonts w:hint="eastAsia" w:cs="Times New Roman"/>
          <w:color w:val="000000" w:themeColor="text1"/>
          <w14:textFill>
            <w14:solidFill>
              <w14:schemeClr w14:val="tx1"/>
            </w14:solidFill>
          </w14:textFill>
        </w:rPr>
        <w:t>17</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月</w:t>
      </w:r>
      <w:r>
        <w:rPr>
          <w:rFonts w:hint="eastAsia" w:cs="Times New Roman"/>
          <w:color w:val="000000" w:themeColor="text1"/>
          <w14:textFill>
            <w14:solidFill>
              <w14:schemeClr w14:val="tx1"/>
            </w14:solidFill>
          </w14:textFill>
        </w:rPr>
        <w:t>18</w:t>
      </w:r>
      <w:r>
        <w:rPr>
          <w:rFonts w:cs="Times New Roman"/>
          <w:color w:val="000000" w:themeColor="text1"/>
          <w14:textFill>
            <w14:solidFill>
              <w14:schemeClr w14:val="tx1"/>
            </w14:solidFill>
          </w14:textFill>
        </w:rPr>
        <w:t>日），每天昼、夜间各一次，监测方法按《声环境质量标准》（GB3096-2008）中规定测量方法进行。</w:t>
      </w:r>
    </w:p>
    <w:p>
      <w:pPr>
        <w:pStyle w:val="21"/>
        <w:spacing w:before="0"/>
        <w:ind w:left="0" w:firstLine="482"/>
        <w:jc w:val="both"/>
        <w:rPr>
          <w:rFonts w:ascii="Times New Roman" w:hAnsi="Times New Roman"/>
          <w:b/>
          <w:color w:val="000000" w:themeColor="text1"/>
          <w:kern w:val="2"/>
          <w:lang w:eastAsia="zh-CN"/>
          <w14:textFill>
            <w14:solidFill>
              <w14:schemeClr w14:val="tx1"/>
            </w14:solidFill>
          </w14:textFill>
        </w:rPr>
      </w:pPr>
      <w:r>
        <w:rPr>
          <w:rFonts w:ascii="Times New Roman" w:hAnsi="Times New Roman"/>
          <w:b/>
          <w:color w:val="000000" w:themeColor="text1"/>
          <w:kern w:val="2"/>
          <w:lang w:eastAsia="zh-CN"/>
          <w14:textFill>
            <w14:solidFill>
              <w14:schemeClr w14:val="tx1"/>
            </w14:solidFill>
          </w14:textFill>
        </w:rPr>
        <w:t>（2）监测及评价结果</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监测及评价结果见</w:t>
      </w:r>
      <w:r>
        <w:rPr>
          <w:rFonts w:ascii="Times New Roman" w:hAnsi="Times New Roman"/>
          <w:bCs/>
          <w:color w:val="000000" w:themeColor="text1"/>
          <w:kern w:val="2"/>
          <w:lang w:eastAsia="zh-CN"/>
          <w14:textFill>
            <w14:solidFill>
              <w14:schemeClr w14:val="tx1"/>
            </w14:solidFill>
          </w14:textFill>
        </w:rPr>
        <w:fldChar w:fldCharType="begin"/>
      </w:r>
      <w:r>
        <w:rPr>
          <w:rFonts w:ascii="Times New Roman" w:hAnsi="Times New Roman"/>
          <w:bCs/>
          <w:color w:val="000000" w:themeColor="text1"/>
          <w:kern w:val="2"/>
          <w:lang w:eastAsia="zh-CN"/>
          <w14:textFill>
            <w14:solidFill>
              <w14:schemeClr w14:val="tx1"/>
            </w14:solidFill>
          </w14:textFill>
        </w:rPr>
        <w:instrText xml:space="preserve"> REF _Ref142599929 \h  \* MERGEFORMAT </w:instrText>
      </w:r>
      <w:r>
        <w:rPr>
          <w:rFonts w:ascii="Times New Roman" w:hAnsi="Times New Roman"/>
          <w:bCs/>
          <w:color w:val="000000" w:themeColor="text1"/>
          <w:kern w:val="2"/>
          <w:lang w:eastAsia="zh-CN"/>
          <w14:textFill>
            <w14:solidFill>
              <w14:schemeClr w14:val="tx1"/>
            </w14:solidFill>
          </w14:textFill>
        </w:rPr>
        <w:fldChar w:fldCharType="separate"/>
      </w:r>
      <w:r>
        <w:rPr>
          <w:rFonts w:ascii="Times New Roman" w:hAnsi="Times New Roman"/>
          <w:color w:val="000000" w:themeColor="text1"/>
          <w:lang w:eastAsia="zh-CN"/>
          <w14:textFill>
            <w14:solidFill>
              <w14:schemeClr w14:val="tx1"/>
            </w14:solidFill>
          </w14:textFill>
        </w:rPr>
        <w:t>表4.2</w:t>
      </w:r>
      <w:r>
        <w:rPr>
          <w:rFonts w:ascii="Times New Roman" w:hAnsi="Times New Roman"/>
          <w:color w:val="000000" w:themeColor="text1"/>
          <w:lang w:eastAsia="zh-CN"/>
          <w14:textFill>
            <w14:solidFill>
              <w14:schemeClr w14:val="tx1"/>
            </w14:solidFill>
          </w14:textFill>
        </w:rPr>
        <w:noBreakHyphen/>
      </w:r>
      <w:r>
        <w:rPr>
          <w:rFonts w:hint="eastAsia" w:ascii="Times New Roman" w:hAnsi="Times New Roman"/>
          <w:color w:val="000000" w:themeColor="text1"/>
          <w:lang w:eastAsia="zh-CN"/>
          <w14:textFill>
            <w14:solidFill>
              <w14:schemeClr w14:val="tx1"/>
            </w14:solidFill>
          </w14:textFill>
        </w:rPr>
        <w:t>5</w:t>
      </w:r>
      <w:r>
        <w:rPr>
          <w:rFonts w:ascii="Times New Roman" w:hAnsi="Times New Roman"/>
          <w:bCs/>
          <w:color w:val="000000" w:themeColor="text1"/>
          <w:kern w:val="2"/>
          <w:lang w:eastAsia="zh-CN"/>
          <w14:textFill>
            <w14:solidFill>
              <w14:schemeClr w14:val="tx1"/>
            </w14:solidFill>
          </w14:textFill>
        </w:rPr>
        <w:fldChar w:fldCharType="end"/>
      </w:r>
      <w:r>
        <w:rPr>
          <w:rFonts w:ascii="Times New Roman" w:hAnsi="Times New Roman"/>
          <w:bCs/>
          <w:color w:val="000000" w:themeColor="text1"/>
          <w:kern w:val="2"/>
          <w:lang w:eastAsia="zh-CN"/>
          <w14:textFill>
            <w14:solidFill>
              <w14:schemeClr w14:val="tx1"/>
            </w14:solidFill>
          </w14:textFill>
        </w:rPr>
        <w:t>。</w:t>
      </w:r>
    </w:p>
    <w:p>
      <w:pPr>
        <w:pStyle w:val="95"/>
      </w:pPr>
      <w:bookmarkStart w:id="219" w:name="_Ref142599929"/>
      <w:r>
        <w:t>表</w:t>
      </w:r>
      <w:r>
        <w:fldChar w:fldCharType="begin"/>
      </w:r>
      <w:r>
        <w:instrText xml:space="preserve"> STYLEREF 2 \s </w:instrText>
      </w:r>
      <w:r>
        <w:fldChar w:fldCharType="separate"/>
      </w:r>
      <w:r>
        <w:t>4.2</w:t>
      </w:r>
      <w:r>
        <w:fldChar w:fldCharType="end"/>
      </w:r>
      <w:r>
        <w:noBreakHyphen/>
      </w:r>
      <w:bookmarkEnd w:id="219"/>
      <w:r>
        <w:rPr>
          <w:rFonts w:hint="eastAsia"/>
        </w:rPr>
        <w:t xml:space="preserve">5 </w:t>
      </w:r>
      <w:r>
        <w:t xml:space="preserve"> 环境噪声监测结果（单位：dB（A））</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562"/>
        <w:gridCol w:w="1961"/>
        <w:gridCol w:w="716"/>
        <w:gridCol w:w="700"/>
        <w:gridCol w:w="750"/>
        <w:gridCol w:w="817"/>
        <w:gridCol w:w="27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29" w:hRule="atLeast"/>
          <w:jc w:val="center"/>
        </w:trPr>
        <w:tc>
          <w:tcPr>
            <w:tcW w:w="562" w:type="dxa"/>
            <w:vMerge w:val="restart"/>
            <w:vAlign w:val="center"/>
          </w:tcPr>
          <w:p>
            <w:pPr>
              <w:pStyle w:val="294"/>
            </w:pPr>
            <w:r>
              <w:t>编号</w:t>
            </w:r>
          </w:p>
        </w:tc>
        <w:tc>
          <w:tcPr>
            <w:tcW w:w="1961" w:type="dxa"/>
            <w:vMerge w:val="restart"/>
            <w:vAlign w:val="center"/>
          </w:tcPr>
          <w:p>
            <w:pPr>
              <w:pStyle w:val="294"/>
            </w:pPr>
            <w:r>
              <w:t>监测日期</w:t>
            </w:r>
          </w:p>
        </w:tc>
        <w:tc>
          <w:tcPr>
            <w:tcW w:w="1416" w:type="dxa"/>
            <w:gridSpan w:val="2"/>
            <w:vAlign w:val="center"/>
          </w:tcPr>
          <w:p>
            <w:pPr>
              <w:pStyle w:val="294"/>
            </w:pPr>
            <w:r>
              <w:rPr>
                <w:rFonts w:hint="eastAsia"/>
              </w:rPr>
              <w:t>2024.01.17</w:t>
            </w:r>
          </w:p>
        </w:tc>
        <w:tc>
          <w:tcPr>
            <w:tcW w:w="1567" w:type="dxa"/>
            <w:gridSpan w:val="2"/>
            <w:vAlign w:val="center"/>
          </w:tcPr>
          <w:p>
            <w:pPr>
              <w:pStyle w:val="294"/>
            </w:pPr>
            <w:r>
              <w:rPr>
                <w:rFonts w:hint="eastAsia"/>
              </w:rPr>
              <w:t>2024.01.18</w:t>
            </w:r>
          </w:p>
        </w:tc>
        <w:tc>
          <w:tcPr>
            <w:tcW w:w="2716" w:type="dxa"/>
            <w:vMerge w:val="restart"/>
            <w:vAlign w:val="center"/>
          </w:tcPr>
          <w:p>
            <w:pPr>
              <w:pStyle w:val="294"/>
            </w:pPr>
            <w: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25" w:hRule="atLeast"/>
          <w:jc w:val="center"/>
        </w:trPr>
        <w:tc>
          <w:tcPr>
            <w:tcW w:w="562" w:type="dxa"/>
            <w:vMerge w:val="continue"/>
            <w:vAlign w:val="center"/>
          </w:tcPr>
          <w:p>
            <w:pPr>
              <w:pStyle w:val="294"/>
            </w:pPr>
          </w:p>
        </w:tc>
        <w:tc>
          <w:tcPr>
            <w:tcW w:w="1961" w:type="dxa"/>
            <w:vMerge w:val="continue"/>
            <w:vAlign w:val="center"/>
          </w:tcPr>
          <w:p>
            <w:pPr>
              <w:pStyle w:val="294"/>
            </w:pPr>
          </w:p>
        </w:tc>
        <w:tc>
          <w:tcPr>
            <w:tcW w:w="716" w:type="dxa"/>
            <w:vAlign w:val="center"/>
          </w:tcPr>
          <w:p>
            <w:pPr>
              <w:pStyle w:val="294"/>
            </w:pPr>
            <w:r>
              <w:t>昼间</w:t>
            </w:r>
          </w:p>
        </w:tc>
        <w:tc>
          <w:tcPr>
            <w:tcW w:w="700" w:type="dxa"/>
            <w:vAlign w:val="center"/>
          </w:tcPr>
          <w:p>
            <w:pPr>
              <w:pStyle w:val="294"/>
            </w:pPr>
            <w:r>
              <w:t>夜间</w:t>
            </w:r>
          </w:p>
        </w:tc>
        <w:tc>
          <w:tcPr>
            <w:tcW w:w="750" w:type="dxa"/>
            <w:vAlign w:val="center"/>
          </w:tcPr>
          <w:p>
            <w:pPr>
              <w:pStyle w:val="294"/>
            </w:pPr>
            <w:r>
              <w:t>昼间</w:t>
            </w:r>
          </w:p>
        </w:tc>
        <w:tc>
          <w:tcPr>
            <w:tcW w:w="817" w:type="dxa"/>
            <w:vAlign w:val="center"/>
          </w:tcPr>
          <w:p>
            <w:pPr>
              <w:pStyle w:val="294"/>
            </w:pPr>
            <w:r>
              <w:t>夜间</w:t>
            </w:r>
          </w:p>
        </w:tc>
        <w:tc>
          <w:tcPr>
            <w:tcW w:w="2716"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562" w:type="dxa"/>
            <w:vAlign w:val="center"/>
          </w:tcPr>
          <w:p>
            <w:pPr>
              <w:pStyle w:val="294"/>
            </w:pPr>
            <w:r>
              <w:rPr>
                <w:rFonts w:hint="eastAsia"/>
              </w:rPr>
              <w:t>N1</w:t>
            </w:r>
          </w:p>
        </w:tc>
        <w:tc>
          <w:tcPr>
            <w:tcW w:w="1961" w:type="dxa"/>
            <w:vAlign w:val="center"/>
          </w:tcPr>
          <w:p>
            <w:pPr>
              <w:pStyle w:val="294"/>
            </w:pPr>
            <w:r>
              <w:rPr>
                <w:rFonts w:hint="eastAsia"/>
              </w:rPr>
              <w:t>项目西南侧外1m处</w:t>
            </w:r>
          </w:p>
        </w:tc>
        <w:tc>
          <w:tcPr>
            <w:tcW w:w="716" w:type="dxa"/>
            <w:vAlign w:val="center"/>
          </w:tcPr>
          <w:p>
            <w:pPr>
              <w:pStyle w:val="294"/>
            </w:pPr>
            <w:r>
              <w:rPr>
                <w:rFonts w:hint="eastAsia"/>
              </w:rPr>
              <w:t>52</w:t>
            </w:r>
          </w:p>
        </w:tc>
        <w:tc>
          <w:tcPr>
            <w:tcW w:w="700" w:type="dxa"/>
            <w:vAlign w:val="center"/>
          </w:tcPr>
          <w:p>
            <w:pPr>
              <w:pStyle w:val="294"/>
              <w:rPr>
                <w:bCs/>
              </w:rPr>
            </w:pPr>
            <w:r>
              <w:rPr>
                <w:rFonts w:hint="eastAsia"/>
              </w:rPr>
              <w:t>43</w:t>
            </w:r>
          </w:p>
        </w:tc>
        <w:tc>
          <w:tcPr>
            <w:tcW w:w="750" w:type="dxa"/>
            <w:vAlign w:val="center"/>
          </w:tcPr>
          <w:p>
            <w:pPr>
              <w:pStyle w:val="294"/>
            </w:pPr>
            <w:r>
              <w:rPr>
                <w:rFonts w:hint="eastAsia"/>
              </w:rPr>
              <w:t>55</w:t>
            </w:r>
          </w:p>
        </w:tc>
        <w:tc>
          <w:tcPr>
            <w:tcW w:w="817" w:type="dxa"/>
            <w:vAlign w:val="center"/>
          </w:tcPr>
          <w:p>
            <w:pPr>
              <w:pStyle w:val="294"/>
            </w:pPr>
            <w:r>
              <w:rPr>
                <w:rFonts w:hint="eastAsia"/>
              </w:rPr>
              <w:t>41</w:t>
            </w:r>
          </w:p>
        </w:tc>
        <w:tc>
          <w:tcPr>
            <w:tcW w:w="2716" w:type="dxa"/>
            <w:vMerge w:val="restart"/>
            <w:vAlign w:val="center"/>
          </w:tcPr>
          <w:p>
            <w:pPr>
              <w:pStyle w:val="294"/>
            </w:pPr>
            <w:r>
              <w:t>《声环境质量标准》（GB3096-2008）2类昼间60；夜间50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562" w:type="dxa"/>
            <w:vAlign w:val="center"/>
          </w:tcPr>
          <w:p>
            <w:pPr>
              <w:pStyle w:val="294"/>
            </w:pPr>
            <w:r>
              <w:rPr>
                <w:rFonts w:hint="eastAsia"/>
              </w:rPr>
              <w:t>N2</w:t>
            </w:r>
          </w:p>
        </w:tc>
        <w:tc>
          <w:tcPr>
            <w:tcW w:w="1961" w:type="dxa"/>
            <w:vAlign w:val="center"/>
          </w:tcPr>
          <w:p>
            <w:pPr>
              <w:pStyle w:val="294"/>
            </w:pPr>
            <w:r>
              <w:rPr>
                <w:rFonts w:hint="eastAsia"/>
              </w:rPr>
              <w:t>项目北侧外1m处</w:t>
            </w:r>
          </w:p>
        </w:tc>
        <w:tc>
          <w:tcPr>
            <w:tcW w:w="716" w:type="dxa"/>
            <w:vAlign w:val="center"/>
          </w:tcPr>
          <w:p>
            <w:pPr>
              <w:pStyle w:val="294"/>
            </w:pPr>
            <w:r>
              <w:rPr>
                <w:rFonts w:hint="eastAsia"/>
              </w:rPr>
              <w:t>53</w:t>
            </w:r>
          </w:p>
        </w:tc>
        <w:tc>
          <w:tcPr>
            <w:tcW w:w="700" w:type="dxa"/>
            <w:vAlign w:val="center"/>
          </w:tcPr>
          <w:p>
            <w:pPr>
              <w:pStyle w:val="294"/>
            </w:pPr>
            <w:r>
              <w:rPr>
                <w:rFonts w:hint="eastAsia"/>
              </w:rPr>
              <w:t>49</w:t>
            </w:r>
          </w:p>
        </w:tc>
        <w:tc>
          <w:tcPr>
            <w:tcW w:w="750" w:type="dxa"/>
            <w:vAlign w:val="center"/>
          </w:tcPr>
          <w:p>
            <w:pPr>
              <w:pStyle w:val="294"/>
            </w:pPr>
            <w:r>
              <w:rPr>
                <w:rFonts w:hint="eastAsia"/>
              </w:rPr>
              <w:t>56</w:t>
            </w:r>
          </w:p>
        </w:tc>
        <w:tc>
          <w:tcPr>
            <w:tcW w:w="817" w:type="dxa"/>
            <w:vAlign w:val="center"/>
          </w:tcPr>
          <w:p>
            <w:pPr>
              <w:pStyle w:val="294"/>
            </w:pPr>
            <w:r>
              <w:rPr>
                <w:rFonts w:hint="eastAsia"/>
              </w:rPr>
              <w:t>46</w:t>
            </w:r>
          </w:p>
        </w:tc>
        <w:tc>
          <w:tcPr>
            <w:tcW w:w="2716"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562" w:type="dxa"/>
            <w:vAlign w:val="center"/>
          </w:tcPr>
          <w:p>
            <w:pPr>
              <w:pStyle w:val="294"/>
            </w:pPr>
            <w:r>
              <w:rPr>
                <w:rFonts w:hint="eastAsia"/>
              </w:rPr>
              <w:t>N3</w:t>
            </w:r>
          </w:p>
        </w:tc>
        <w:tc>
          <w:tcPr>
            <w:tcW w:w="1961" w:type="dxa"/>
            <w:vAlign w:val="center"/>
          </w:tcPr>
          <w:p>
            <w:pPr>
              <w:pStyle w:val="294"/>
            </w:pPr>
            <w:r>
              <w:rPr>
                <w:rFonts w:hint="eastAsia"/>
              </w:rPr>
              <w:t>项目东南侧外1m处</w:t>
            </w:r>
          </w:p>
        </w:tc>
        <w:tc>
          <w:tcPr>
            <w:tcW w:w="716" w:type="dxa"/>
            <w:vAlign w:val="center"/>
          </w:tcPr>
          <w:p>
            <w:pPr>
              <w:pStyle w:val="294"/>
            </w:pPr>
            <w:r>
              <w:rPr>
                <w:rFonts w:hint="eastAsia"/>
              </w:rPr>
              <w:t>56</w:t>
            </w:r>
          </w:p>
        </w:tc>
        <w:tc>
          <w:tcPr>
            <w:tcW w:w="700" w:type="dxa"/>
            <w:vAlign w:val="center"/>
          </w:tcPr>
          <w:p>
            <w:pPr>
              <w:pStyle w:val="294"/>
            </w:pPr>
            <w:r>
              <w:rPr>
                <w:rFonts w:hint="eastAsia"/>
              </w:rPr>
              <w:t>44</w:t>
            </w:r>
          </w:p>
        </w:tc>
        <w:tc>
          <w:tcPr>
            <w:tcW w:w="750" w:type="dxa"/>
            <w:vAlign w:val="center"/>
          </w:tcPr>
          <w:p>
            <w:pPr>
              <w:pStyle w:val="294"/>
            </w:pPr>
            <w:r>
              <w:rPr>
                <w:rFonts w:hint="eastAsia"/>
              </w:rPr>
              <w:t>57</w:t>
            </w:r>
          </w:p>
        </w:tc>
        <w:tc>
          <w:tcPr>
            <w:tcW w:w="817" w:type="dxa"/>
            <w:vAlign w:val="center"/>
          </w:tcPr>
          <w:p>
            <w:pPr>
              <w:pStyle w:val="294"/>
            </w:pPr>
            <w:r>
              <w:rPr>
                <w:rFonts w:hint="eastAsia"/>
              </w:rPr>
              <w:t>43</w:t>
            </w:r>
          </w:p>
        </w:tc>
        <w:tc>
          <w:tcPr>
            <w:tcW w:w="2716" w:type="dxa"/>
            <w:vMerge w:val="continue"/>
            <w:vAlign w:val="center"/>
          </w:tcPr>
          <w:p>
            <w:pPr>
              <w:pStyle w:val="294"/>
            </w:pPr>
          </w:p>
        </w:tc>
      </w:tr>
    </w:tbl>
    <w:p>
      <w:pPr>
        <w:spacing w:before="120" w:beforeLines="5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由</w:t>
      </w:r>
      <w:r>
        <w:rPr>
          <w:rFonts w:cs="Times New Roman"/>
          <w:bCs/>
          <w:color w:val="000000" w:themeColor="text1"/>
          <w14:textFill>
            <w14:solidFill>
              <w14:schemeClr w14:val="tx1"/>
            </w14:solidFill>
          </w14:textFill>
        </w:rPr>
        <w:fldChar w:fldCharType="begin"/>
      </w:r>
      <w:r>
        <w:rPr>
          <w:rFonts w:cs="Times New Roman"/>
          <w:bCs/>
          <w:color w:val="000000" w:themeColor="text1"/>
          <w14:textFill>
            <w14:solidFill>
              <w14:schemeClr w14:val="tx1"/>
            </w14:solidFill>
          </w14:textFill>
        </w:rPr>
        <w:instrText xml:space="preserve"> REF _Ref142599929 \h  \* MERGEFORMAT </w:instrText>
      </w:r>
      <w:r>
        <w:rPr>
          <w:rFonts w:cs="Times New Roman"/>
          <w:bCs/>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表4.2</w:t>
      </w:r>
      <w:r>
        <w:rPr>
          <w:rFonts w:cs="Times New Roman"/>
          <w:color w:val="000000" w:themeColor="text1"/>
          <w14:textFill>
            <w14:solidFill>
              <w14:schemeClr w14:val="tx1"/>
            </w14:solidFill>
          </w14:textFill>
        </w:rPr>
        <w:noBreakHyphen/>
      </w:r>
      <w:r>
        <w:rPr>
          <w:rFonts w:hint="eastAsia" w:cs="Times New Roman"/>
          <w:color w:val="000000" w:themeColor="text1"/>
          <w14:textFill>
            <w14:solidFill>
              <w14:schemeClr w14:val="tx1"/>
            </w14:solidFill>
          </w14:textFill>
        </w:rPr>
        <w:t>5</w:t>
      </w:r>
      <w:r>
        <w:rPr>
          <w:rFonts w:cs="Times New Roman"/>
          <w:bCs/>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可知，拟建项目及周边各监测点昼间夜间噪声监测值满足《声环境质量标准》（GB3096-2008）2类功能区标准，项目拟建地声环境质量良好。</w:t>
      </w:r>
    </w:p>
    <w:p>
      <w:pPr>
        <w:pStyle w:val="4"/>
        <w:ind w:firstLine="241"/>
        <w:rPr>
          <w:b w:val="0"/>
        </w:rPr>
      </w:pPr>
      <w:bookmarkStart w:id="220" w:name="_Toc120173131"/>
      <w:r>
        <w:rPr>
          <w:rFonts w:hint="eastAsia"/>
        </w:rPr>
        <w:t>4.2.4</w:t>
      </w:r>
      <w:r>
        <w:t>地下水质量现状</w:t>
      </w:r>
      <w:bookmarkEnd w:id="220"/>
    </w:p>
    <w:p>
      <w:pPr>
        <w:pStyle w:val="5"/>
      </w:pPr>
      <w:r>
        <w:rPr>
          <w:rFonts w:hint="eastAsia"/>
        </w:rPr>
        <w:t>4.2.4.1</w:t>
      </w:r>
      <w:r>
        <w:t xml:space="preserve"> </w:t>
      </w:r>
      <w:r>
        <w:rPr>
          <w:rFonts w:hint="eastAsia"/>
        </w:rPr>
        <w:t>地下水</w:t>
      </w:r>
      <w:r>
        <w:t>调查情况</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为了了解项目建设对地下水环境的影响，本次评价</w:t>
      </w:r>
      <w:r>
        <w:rPr>
          <w:bCs/>
          <w:color w:val="000000" w:themeColor="text1"/>
          <w:lang w:eastAsia="zh-CN"/>
          <w14:textFill>
            <w14:solidFill>
              <w14:schemeClr w14:val="tx1"/>
            </w14:solidFill>
          </w14:textFill>
        </w:rPr>
        <w:t>委托达州恒福环境监测服务有限公司</w:t>
      </w:r>
      <w:r>
        <w:rPr>
          <w:rFonts w:hint="eastAsia" w:ascii="Times New Roman" w:hAnsi="Times New Roman"/>
          <w:color w:val="000000" w:themeColor="text1"/>
          <w:lang w:eastAsia="zh-CN"/>
          <w14:textFill>
            <w14:solidFill>
              <w14:schemeClr w14:val="tx1"/>
            </w14:solidFill>
          </w14:textFill>
        </w:rPr>
        <w:t>对项目区域地下水环境质量进行了现状监测</w:t>
      </w:r>
      <w:r>
        <w:rPr>
          <w:rFonts w:ascii="Times New Roman" w:hAnsi="Times New Roman"/>
          <w:color w:val="000000" w:themeColor="text1"/>
          <w:lang w:eastAsia="zh-CN"/>
          <w14:textFill>
            <w14:solidFill>
              <w14:schemeClr w14:val="tx1"/>
            </w14:solidFill>
          </w14:textFill>
        </w:rPr>
        <w:t>。</w:t>
      </w:r>
    </w:p>
    <w:p>
      <w:pPr>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（1）监测布点</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本项目为《环境影响评价技术导则 地下水环境》（HJ610-2016）中</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 2 \* ROMAN </w:instrText>
      </w:r>
      <w:r>
        <w:rPr>
          <w:rFonts w:cs="Times New Roman"/>
          <w:bCs/>
          <w:color w:val="000000" w:themeColor="text1"/>
          <w:szCs w:val="24"/>
          <w14:textFill>
            <w14:solidFill>
              <w14:schemeClr w14:val="tx1"/>
            </w14:solidFill>
          </w14:textFill>
        </w:rPr>
        <w:fldChar w:fldCharType="separate"/>
      </w:r>
      <w:r>
        <w:rPr>
          <w:rFonts w:cs="Times New Roman"/>
          <w:bCs/>
          <w:color w:val="000000" w:themeColor="text1"/>
          <w:szCs w:val="24"/>
          <w14:textFill>
            <w14:solidFill>
              <w14:schemeClr w14:val="tx1"/>
            </w14:solidFill>
          </w14:textFill>
        </w:rPr>
        <w:t>II</w:t>
      </w:r>
      <w:r>
        <w:rPr>
          <w:rFonts w:cs="Times New Roman"/>
          <w:bCs/>
          <w:color w:val="000000" w:themeColor="text1"/>
          <w:szCs w:val="24"/>
          <w14:textFill>
            <w14:solidFill>
              <w14:schemeClr w14:val="tx1"/>
            </w14:solidFill>
          </w14:textFill>
        </w:rPr>
        <w:fldChar w:fldCharType="end"/>
      </w:r>
      <w:r>
        <w:rPr>
          <w:rFonts w:cs="Times New Roman"/>
          <w:bCs/>
          <w:color w:val="000000" w:themeColor="text1"/>
          <w:szCs w:val="24"/>
          <w14:textFill>
            <w14:solidFill>
              <w14:schemeClr w14:val="tx1"/>
            </w14:solidFill>
          </w14:textFill>
        </w:rPr>
        <w:t>类建设项目，根据外环境调查，井场附近居民家中主要使用涌泉水作为饮用水源。根据本项目的所在位置的特点、地下水环评导则要求以及地下水污染扩散特点等，共布设</w:t>
      </w:r>
      <w:r>
        <w:rPr>
          <w:rFonts w:hint="eastAsia" w:cs="Times New Roman"/>
          <w:bCs/>
          <w:color w:val="000000" w:themeColor="text1"/>
          <w:szCs w:val="24"/>
          <w14:textFill>
            <w14:solidFill>
              <w14:schemeClr w14:val="tx1"/>
            </w14:solidFill>
          </w14:textFill>
        </w:rPr>
        <w:t>5</w:t>
      </w:r>
      <w:r>
        <w:rPr>
          <w:rFonts w:cs="Times New Roman"/>
          <w:bCs/>
          <w:color w:val="000000" w:themeColor="text1"/>
          <w:szCs w:val="24"/>
          <w14:textFill>
            <w14:solidFill>
              <w14:schemeClr w14:val="tx1"/>
            </w14:solidFill>
          </w14:textFill>
        </w:rPr>
        <w:t>个地下水水质现状监测点，具体监测点位分布见附图2和</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REF _Ref142599951 \h  \* MERGEFORMAT </w:instrText>
      </w:r>
      <w:r>
        <w:rPr>
          <w:rFonts w:cs="Times New Roman"/>
          <w:bCs/>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表4.2</w:t>
      </w:r>
      <w:r>
        <w:rPr>
          <w:rFonts w:cs="Times New Roman"/>
          <w:color w:val="000000" w:themeColor="text1"/>
          <w14:textFill>
            <w14:solidFill>
              <w14:schemeClr w14:val="tx1"/>
            </w14:solidFill>
          </w14:textFill>
        </w:rPr>
        <w:noBreakHyphen/>
      </w:r>
      <w:r>
        <w:rPr>
          <w:rFonts w:hint="eastAsia" w:cs="Times New Roman"/>
          <w:color w:val="000000" w:themeColor="text1"/>
          <w14:textFill>
            <w14:solidFill>
              <w14:schemeClr w14:val="tx1"/>
            </w14:solidFill>
          </w14:textFill>
        </w:rPr>
        <w:t>6</w:t>
      </w:r>
      <w:r>
        <w:rPr>
          <w:rFonts w:cs="Times New Roman"/>
          <w:bCs/>
          <w:color w:val="000000" w:themeColor="text1"/>
          <w:szCs w:val="24"/>
          <w14:textFill>
            <w14:solidFill>
              <w14:schemeClr w14:val="tx1"/>
            </w14:solidFill>
          </w14:textFill>
        </w:rPr>
        <w:fldChar w:fldCharType="end"/>
      </w:r>
      <w:r>
        <w:rPr>
          <w:rFonts w:cs="Times New Roman"/>
          <w:bCs/>
          <w:color w:val="000000" w:themeColor="text1"/>
          <w:szCs w:val="24"/>
          <w14:textFill>
            <w14:solidFill>
              <w14:schemeClr w14:val="tx1"/>
            </w14:solidFill>
          </w14:textFill>
        </w:rPr>
        <w:t>：</w:t>
      </w:r>
    </w:p>
    <w:p>
      <w:pPr>
        <w:pStyle w:val="95"/>
      </w:pPr>
      <w:bookmarkStart w:id="221" w:name="_Ref142599951"/>
      <w:r>
        <w:t>表</w:t>
      </w:r>
      <w:r>
        <w:fldChar w:fldCharType="begin"/>
      </w:r>
      <w:r>
        <w:instrText xml:space="preserve"> STYLEREF 2 \s </w:instrText>
      </w:r>
      <w:r>
        <w:fldChar w:fldCharType="separate"/>
      </w:r>
      <w:r>
        <w:t>4.2</w:t>
      </w:r>
      <w:r>
        <w:fldChar w:fldCharType="end"/>
      </w:r>
      <w:r>
        <w:noBreakHyphen/>
      </w:r>
      <w:bookmarkEnd w:id="221"/>
      <w:r>
        <w:rPr>
          <w:rFonts w:hint="eastAsia"/>
        </w:rPr>
        <w:t>6</w:t>
      </w:r>
      <w:r>
        <w:t xml:space="preserve"> 项目井场地下水监测点位统计表</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38"/>
        <w:gridCol w:w="2274"/>
        <w:gridCol w:w="3203"/>
        <w:gridCol w:w="211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50" w:type="pct"/>
            <w:vAlign w:val="center"/>
          </w:tcPr>
          <w:p>
            <w:pPr>
              <w:pStyle w:val="294"/>
            </w:pPr>
            <w:r>
              <w:t>编号</w:t>
            </w:r>
          </w:p>
        </w:tc>
        <w:tc>
          <w:tcPr>
            <w:tcW w:w="1333" w:type="pct"/>
            <w:vAlign w:val="center"/>
          </w:tcPr>
          <w:p>
            <w:pPr>
              <w:pStyle w:val="294"/>
            </w:pPr>
            <w:r>
              <w:t>地下水点位信息</w:t>
            </w:r>
          </w:p>
        </w:tc>
        <w:tc>
          <w:tcPr>
            <w:tcW w:w="1878" w:type="pct"/>
            <w:vAlign w:val="center"/>
          </w:tcPr>
          <w:p>
            <w:pPr>
              <w:pStyle w:val="294"/>
            </w:pPr>
            <w:r>
              <w:t>位置</w:t>
            </w:r>
          </w:p>
        </w:tc>
        <w:tc>
          <w:tcPr>
            <w:tcW w:w="1237" w:type="pct"/>
            <w:vAlign w:val="center"/>
          </w:tcPr>
          <w:p>
            <w:pPr>
              <w:pStyle w:val="294"/>
            </w:pPr>
            <w: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50" w:type="pct"/>
            <w:vAlign w:val="center"/>
          </w:tcPr>
          <w:p>
            <w:pPr>
              <w:pStyle w:val="294"/>
            </w:pPr>
            <w:r>
              <w:rPr>
                <w:rFonts w:hint="eastAsia"/>
              </w:rPr>
              <w:t>S1</w:t>
            </w:r>
          </w:p>
        </w:tc>
        <w:tc>
          <w:tcPr>
            <w:tcW w:w="1333" w:type="pct"/>
            <w:vAlign w:val="center"/>
          </w:tcPr>
          <w:p>
            <w:pPr>
              <w:pStyle w:val="294"/>
            </w:pPr>
            <w:r>
              <w:rPr>
                <w:rFonts w:hint="eastAsia"/>
              </w:rPr>
              <w:t>项目南方</w:t>
            </w:r>
          </w:p>
        </w:tc>
        <w:tc>
          <w:tcPr>
            <w:tcW w:w="1878" w:type="pct"/>
            <w:vAlign w:val="center"/>
          </w:tcPr>
          <w:p>
            <w:pPr>
              <w:pStyle w:val="294"/>
            </w:pPr>
            <w:r>
              <w:rPr>
                <w:rFonts w:hint="eastAsia"/>
              </w:rPr>
              <w:t>107.759450°E，31.524779°N</w:t>
            </w:r>
          </w:p>
        </w:tc>
        <w:tc>
          <w:tcPr>
            <w:tcW w:w="1237" w:type="pct"/>
            <w:vAlign w:val="center"/>
          </w:tcPr>
          <w:p>
            <w:pPr>
              <w:pStyle w:val="294"/>
            </w:pPr>
            <w:r>
              <w:rPr>
                <w:rFonts w:hint="eastAsia"/>
              </w:rPr>
              <w:t>上</w:t>
            </w:r>
            <w:r>
              <w:t>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50" w:type="pct"/>
            <w:vAlign w:val="center"/>
          </w:tcPr>
          <w:p>
            <w:pPr>
              <w:pStyle w:val="294"/>
            </w:pPr>
            <w:r>
              <w:rPr>
                <w:rFonts w:hint="eastAsia"/>
              </w:rPr>
              <w:t>S2</w:t>
            </w:r>
          </w:p>
        </w:tc>
        <w:tc>
          <w:tcPr>
            <w:tcW w:w="1333" w:type="pct"/>
            <w:vAlign w:val="center"/>
          </w:tcPr>
          <w:p>
            <w:pPr>
              <w:pStyle w:val="294"/>
            </w:pPr>
            <w:r>
              <w:rPr>
                <w:rFonts w:hint="eastAsia"/>
              </w:rPr>
              <w:t>项目西方</w:t>
            </w:r>
          </w:p>
        </w:tc>
        <w:tc>
          <w:tcPr>
            <w:tcW w:w="1878" w:type="pct"/>
            <w:vAlign w:val="center"/>
          </w:tcPr>
          <w:p>
            <w:pPr>
              <w:pStyle w:val="294"/>
            </w:pPr>
            <w:r>
              <w:rPr>
                <w:rFonts w:hint="eastAsia"/>
              </w:rPr>
              <w:t>107.759267°E，31.528437°N</w:t>
            </w:r>
          </w:p>
        </w:tc>
        <w:tc>
          <w:tcPr>
            <w:tcW w:w="1237" w:type="pct"/>
            <w:vAlign w:val="center"/>
          </w:tcPr>
          <w:p>
            <w:pPr>
              <w:pStyle w:val="294"/>
            </w:pPr>
            <w:r>
              <w:rPr>
                <w:rFonts w:hint="eastAsia"/>
              </w:rPr>
              <w:t>侧</w:t>
            </w:r>
            <w:r>
              <w:t>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50" w:type="pct"/>
            <w:vAlign w:val="center"/>
          </w:tcPr>
          <w:p>
            <w:pPr>
              <w:pStyle w:val="294"/>
            </w:pPr>
            <w:r>
              <w:rPr>
                <w:rFonts w:hint="eastAsia"/>
              </w:rPr>
              <w:t>S3</w:t>
            </w:r>
          </w:p>
        </w:tc>
        <w:tc>
          <w:tcPr>
            <w:tcW w:w="1333" w:type="pct"/>
            <w:vAlign w:val="center"/>
          </w:tcPr>
          <w:p>
            <w:pPr>
              <w:pStyle w:val="294"/>
            </w:pPr>
            <w:r>
              <w:rPr>
                <w:rFonts w:hint="eastAsia"/>
              </w:rPr>
              <w:t>项目东方</w:t>
            </w:r>
          </w:p>
        </w:tc>
        <w:tc>
          <w:tcPr>
            <w:tcW w:w="1878" w:type="pct"/>
            <w:vAlign w:val="center"/>
          </w:tcPr>
          <w:p>
            <w:pPr>
              <w:pStyle w:val="294"/>
            </w:pPr>
            <w:r>
              <w:rPr>
                <w:rFonts w:hint="eastAsia"/>
              </w:rPr>
              <w:t>107.765072°E，31.527971°N</w:t>
            </w:r>
          </w:p>
        </w:tc>
        <w:tc>
          <w:tcPr>
            <w:tcW w:w="1237" w:type="pct"/>
            <w:vAlign w:val="center"/>
          </w:tcPr>
          <w:p>
            <w:pPr>
              <w:pStyle w:val="294"/>
            </w:pPr>
            <w:r>
              <w:t>侧游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50" w:type="pct"/>
            <w:vAlign w:val="center"/>
          </w:tcPr>
          <w:p>
            <w:pPr>
              <w:pStyle w:val="294"/>
            </w:pPr>
            <w:r>
              <w:rPr>
                <w:rFonts w:hint="eastAsia"/>
              </w:rPr>
              <w:t>S4</w:t>
            </w:r>
          </w:p>
        </w:tc>
        <w:tc>
          <w:tcPr>
            <w:tcW w:w="1333" w:type="pct"/>
            <w:vAlign w:val="center"/>
          </w:tcPr>
          <w:p>
            <w:pPr>
              <w:pStyle w:val="294"/>
            </w:pPr>
            <w:r>
              <w:rPr>
                <w:rFonts w:hint="eastAsia"/>
              </w:rPr>
              <w:t>项目西北方向</w:t>
            </w:r>
          </w:p>
        </w:tc>
        <w:tc>
          <w:tcPr>
            <w:tcW w:w="1878" w:type="pct"/>
            <w:vAlign w:val="center"/>
          </w:tcPr>
          <w:p>
            <w:pPr>
              <w:pStyle w:val="294"/>
            </w:pPr>
            <w:r>
              <w:rPr>
                <w:rFonts w:hint="eastAsia"/>
              </w:rPr>
              <w:t>107.760737°E，31.530797°N</w:t>
            </w:r>
          </w:p>
        </w:tc>
        <w:tc>
          <w:tcPr>
            <w:tcW w:w="1237" w:type="pct"/>
            <w:vAlign w:val="center"/>
          </w:tcPr>
          <w:p>
            <w:pPr>
              <w:pStyle w:val="294"/>
            </w:pPr>
            <w:r>
              <w:rPr>
                <w:rFonts w:hint="eastAsia"/>
              </w:rPr>
              <w:t>下</w:t>
            </w:r>
            <w:r>
              <w:t>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50" w:type="pct"/>
            <w:vAlign w:val="center"/>
          </w:tcPr>
          <w:p>
            <w:pPr>
              <w:pStyle w:val="294"/>
            </w:pPr>
            <w:r>
              <w:rPr>
                <w:rFonts w:hint="eastAsia"/>
              </w:rPr>
              <w:t>S5</w:t>
            </w:r>
          </w:p>
        </w:tc>
        <w:tc>
          <w:tcPr>
            <w:tcW w:w="1333" w:type="pct"/>
            <w:vAlign w:val="center"/>
          </w:tcPr>
          <w:p>
            <w:pPr>
              <w:pStyle w:val="294"/>
            </w:pPr>
            <w:r>
              <w:rPr>
                <w:rFonts w:hint="eastAsia"/>
              </w:rPr>
              <w:t>项目东北方向</w:t>
            </w:r>
          </w:p>
        </w:tc>
        <w:tc>
          <w:tcPr>
            <w:tcW w:w="1878" w:type="pct"/>
            <w:vAlign w:val="center"/>
          </w:tcPr>
          <w:p>
            <w:pPr>
              <w:pStyle w:val="294"/>
            </w:pPr>
            <w:r>
              <w:rPr>
                <w:rFonts w:hint="eastAsia"/>
              </w:rPr>
              <w:t>107.764063°E，31.530477°N</w:t>
            </w:r>
          </w:p>
        </w:tc>
        <w:tc>
          <w:tcPr>
            <w:tcW w:w="1237" w:type="pct"/>
            <w:vAlign w:val="center"/>
          </w:tcPr>
          <w:p>
            <w:pPr>
              <w:pStyle w:val="294"/>
            </w:pPr>
            <w:r>
              <w:rPr>
                <w:rFonts w:hint="eastAsia"/>
              </w:rPr>
              <w:t>下</w:t>
            </w:r>
            <w:r>
              <w:t>游</w:t>
            </w:r>
          </w:p>
        </w:tc>
      </w:tr>
    </w:tbl>
    <w:p>
      <w:pPr>
        <w:spacing w:before="120" w:beforeLines="5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本项目所设置的5个地下水水质监测点中，2个监测点（</w:t>
      </w:r>
      <w:r>
        <w:rPr>
          <w:rFonts w:hint="eastAsia" w:cs="Times New Roman"/>
          <w:bCs/>
          <w:color w:val="000000" w:themeColor="text1"/>
          <w:szCs w:val="24"/>
          <w14:textFill>
            <w14:solidFill>
              <w14:schemeClr w14:val="tx1"/>
            </w14:solidFill>
          </w14:textFill>
        </w:rPr>
        <w:t>S2</w:t>
      </w:r>
      <w:r>
        <w:rPr>
          <w:rFonts w:cs="Times New Roman"/>
          <w:bCs/>
          <w:color w:val="000000" w:themeColor="text1"/>
          <w:szCs w:val="24"/>
          <w14:textFill>
            <w14:solidFill>
              <w14:schemeClr w14:val="tx1"/>
            </w14:solidFill>
          </w14:textFill>
        </w:rPr>
        <w:t>、</w:t>
      </w:r>
      <w:r>
        <w:rPr>
          <w:rFonts w:hint="eastAsia" w:cs="Times New Roman"/>
          <w:bCs/>
          <w:color w:val="000000" w:themeColor="text1"/>
          <w:szCs w:val="24"/>
          <w14:textFill>
            <w14:solidFill>
              <w14:schemeClr w14:val="tx1"/>
            </w14:solidFill>
          </w14:textFill>
        </w:rPr>
        <w:t>S3</w:t>
      </w:r>
      <w:r>
        <w:rPr>
          <w:rFonts w:cs="Times New Roman"/>
          <w:bCs/>
          <w:color w:val="000000" w:themeColor="text1"/>
          <w:szCs w:val="24"/>
          <w14:textFill>
            <w14:solidFill>
              <w14:schemeClr w14:val="tx1"/>
            </w14:solidFill>
          </w14:textFill>
        </w:rPr>
        <w:t>）位于项目所在地地下水流向侧游，1个监测点（</w:t>
      </w:r>
      <w:r>
        <w:rPr>
          <w:rFonts w:hint="eastAsia" w:cs="Times New Roman"/>
          <w:bCs/>
          <w:color w:val="000000" w:themeColor="text1"/>
          <w:szCs w:val="24"/>
          <w14:textFill>
            <w14:solidFill>
              <w14:schemeClr w14:val="tx1"/>
            </w14:solidFill>
          </w14:textFill>
        </w:rPr>
        <w:t>S1</w:t>
      </w:r>
      <w:r>
        <w:rPr>
          <w:rFonts w:cs="Times New Roman"/>
          <w:bCs/>
          <w:color w:val="000000" w:themeColor="text1"/>
          <w:szCs w:val="24"/>
          <w14:textFill>
            <w14:solidFill>
              <w14:schemeClr w14:val="tx1"/>
            </w14:solidFill>
          </w14:textFill>
        </w:rPr>
        <w:t>）位于地下水流向上游，2个监测点（</w:t>
      </w:r>
      <w:r>
        <w:rPr>
          <w:rFonts w:hint="eastAsia" w:cs="Times New Roman"/>
          <w:bCs/>
          <w:color w:val="000000" w:themeColor="text1"/>
          <w:szCs w:val="24"/>
          <w14:textFill>
            <w14:solidFill>
              <w14:schemeClr w14:val="tx1"/>
            </w14:solidFill>
          </w14:textFill>
        </w:rPr>
        <w:t>S4</w:t>
      </w:r>
      <w:r>
        <w:rPr>
          <w:rFonts w:cs="Times New Roman"/>
          <w:bCs/>
          <w:color w:val="000000" w:themeColor="text1"/>
          <w:szCs w:val="24"/>
          <w14:textFill>
            <w14:solidFill>
              <w14:schemeClr w14:val="tx1"/>
            </w14:solidFill>
          </w14:textFill>
        </w:rPr>
        <w:t>、</w:t>
      </w:r>
      <w:r>
        <w:rPr>
          <w:rFonts w:hint="eastAsia" w:cs="Times New Roman"/>
          <w:bCs/>
          <w:color w:val="000000" w:themeColor="text1"/>
          <w:szCs w:val="24"/>
          <w14:textFill>
            <w14:solidFill>
              <w14:schemeClr w14:val="tx1"/>
            </w14:solidFill>
          </w14:textFill>
        </w:rPr>
        <w:t>S5</w:t>
      </w:r>
      <w:r>
        <w:rPr>
          <w:rFonts w:cs="Times New Roman"/>
          <w:bCs/>
          <w:color w:val="000000" w:themeColor="text1"/>
          <w:szCs w:val="24"/>
          <w14:textFill>
            <w14:solidFill>
              <w14:schemeClr w14:val="tx1"/>
            </w14:solidFill>
          </w14:textFill>
        </w:rPr>
        <w:t>）位于地下水流向下游，该布点符合《环境影响评价导则-地下水环境》（HJ 610-2016）中相关布点原则要求。</w:t>
      </w:r>
    </w:p>
    <w:p>
      <w:pPr>
        <w:spacing w:before="120" w:beforeLines="50"/>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（2）地下水现状监测因子及监测频率</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背景离子（K</w:t>
      </w:r>
      <w:r>
        <w:rPr>
          <w:rFonts w:cs="Times New Roman"/>
          <w:bCs/>
          <w:color w:val="000000" w:themeColor="text1"/>
          <w:szCs w:val="24"/>
          <w:vertAlign w:val="superscript"/>
          <w14:textFill>
            <w14:solidFill>
              <w14:schemeClr w14:val="tx1"/>
            </w14:solidFill>
          </w14:textFill>
        </w:rPr>
        <w:t>+</w:t>
      </w:r>
      <w:r>
        <w:rPr>
          <w:rFonts w:cs="Times New Roman"/>
          <w:bCs/>
          <w:color w:val="000000" w:themeColor="text1"/>
          <w:szCs w:val="24"/>
          <w14:textFill>
            <w14:solidFill>
              <w14:schemeClr w14:val="tx1"/>
            </w14:solidFill>
          </w14:textFill>
        </w:rPr>
        <w:t>、Na</w:t>
      </w:r>
      <w:r>
        <w:rPr>
          <w:rFonts w:cs="Times New Roman"/>
          <w:bCs/>
          <w:color w:val="000000" w:themeColor="text1"/>
          <w:szCs w:val="24"/>
          <w:vertAlign w:val="superscript"/>
          <w14:textFill>
            <w14:solidFill>
              <w14:schemeClr w14:val="tx1"/>
            </w14:solidFill>
          </w14:textFill>
        </w:rPr>
        <w:t>+</w:t>
      </w:r>
      <w:r>
        <w:rPr>
          <w:rFonts w:cs="Times New Roman"/>
          <w:bCs/>
          <w:color w:val="000000" w:themeColor="text1"/>
          <w:szCs w:val="24"/>
          <w14:textFill>
            <w14:solidFill>
              <w14:schemeClr w14:val="tx1"/>
            </w14:solidFill>
          </w14:textFill>
        </w:rPr>
        <w:t>、Ca</w:t>
      </w:r>
      <w:r>
        <w:rPr>
          <w:rFonts w:cs="Times New Roman"/>
          <w:bCs/>
          <w:color w:val="000000" w:themeColor="text1"/>
          <w:szCs w:val="24"/>
          <w:vertAlign w:val="superscript"/>
          <w14:textFill>
            <w14:solidFill>
              <w14:schemeClr w14:val="tx1"/>
            </w14:solidFill>
          </w14:textFill>
        </w:rPr>
        <w:t>2+</w:t>
      </w:r>
      <w:r>
        <w:rPr>
          <w:rFonts w:cs="Times New Roman"/>
          <w:bCs/>
          <w:color w:val="000000" w:themeColor="text1"/>
          <w:szCs w:val="24"/>
          <w14:textFill>
            <w14:solidFill>
              <w14:schemeClr w14:val="tx1"/>
            </w14:solidFill>
          </w14:textFill>
        </w:rPr>
        <w:t>、Mg</w:t>
      </w:r>
      <w:r>
        <w:rPr>
          <w:rFonts w:cs="Times New Roman"/>
          <w:bCs/>
          <w:color w:val="000000" w:themeColor="text1"/>
          <w:szCs w:val="24"/>
          <w:vertAlign w:val="superscript"/>
          <w14:textFill>
            <w14:solidFill>
              <w14:schemeClr w14:val="tx1"/>
            </w14:solidFill>
          </w14:textFill>
        </w:rPr>
        <w:t>2+</w:t>
      </w:r>
      <w:r>
        <w:rPr>
          <w:rFonts w:cs="Times New Roman"/>
          <w:bCs/>
          <w:color w:val="000000" w:themeColor="text1"/>
          <w:szCs w:val="24"/>
          <w14:textFill>
            <w14:solidFill>
              <w14:schemeClr w14:val="tx1"/>
            </w14:solidFill>
          </w14:textFill>
        </w:rPr>
        <w:t>、CO</w:t>
      </w:r>
      <w:r>
        <w:rPr>
          <w:rFonts w:cs="Times New Roman"/>
          <w:bCs/>
          <w:color w:val="000000" w:themeColor="text1"/>
          <w:szCs w:val="24"/>
          <w:vertAlign w:val="subscript"/>
          <w14:textFill>
            <w14:solidFill>
              <w14:schemeClr w14:val="tx1"/>
            </w14:solidFill>
          </w14:textFill>
        </w:rPr>
        <w:t>3</w:t>
      </w:r>
      <w:r>
        <w:rPr>
          <w:rFonts w:cs="Times New Roman"/>
          <w:bCs/>
          <w:color w:val="000000" w:themeColor="text1"/>
          <w:szCs w:val="24"/>
          <w:vertAlign w:val="superscript"/>
          <w14:textFill>
            <w14:solidFill>
              <w14:schemeClr w14:val="tx1"/>
            </w14:solidFill>
          </w14:textFill>
        </w:rPr>
        <w:t>2-</w:t>
      </w:r>
      <w:r>
        <w:rPr>
          <w:rFonts w:cs="Times New Roman"/>
          <w:bCs/>
          <w:color w:val="000000" w:themeColor="text1"/>
          <w:szCs w:val="24"/>
          <w14:textFill>
            <w14:solidFill>
              <w14:schemeClr w14:val="tx1"/>
            </w14:solidFill>
          </w14:textFill>
        </w:rPr>
        <w:t>、HCO</w:t>
      </w:r>
      <w:r>
        <w:rPr>
          <w:rFonts w:cs="Times New Roman"/>
          <w:bCs/>
          <w:color w:val="000000" w:themeColor="text1"/>
          <w:szCs w:val="24"/>
          <w:vertAlign w:val="subscript"/>
          <w14:textFill>
            <w14:solidFill>
              <w14:schemeClr w14:val="tx1"/>
            </w14:solidFill>
          </w14:textFill>
        </w:rPr>
        <w:t>3</w:t>
      </w:r>
      <w:r>
        <w:rPr>
          <w:rFonts w:cs="Times New Roman"/>
          <w:bCs/>
          <w:color w:val="000000" w:themeColor="text1"/>
          <w:szCs w:val="24"/>
          <w:vertAlign w:val="superscript"/>
          <w14:textFill>
            <w14:solidFill>
              <w14:schemeClr w14:val="tx1"/>
            </w14:solidFill>
          </w14:textFill>
        </w:rPr>
        <w:t>-</w:t>
      </w:r>
      <w:r>
        <w:rPr>
          <w:rFonts w:cs="Times New Roman"/>
          <w:bCs/>
          <w:color w:val="000000" w:themeColor="text1"/>
          <w:szCs w:val="24"/>
          <w14:textFill>
            <w14:solidFill>
              <w14:schemeClr w14:val="tx1"/>
            </w14:solidFill>
          </w14:textFill>
        </w:rPr>
        <w:t>、Cl</w:t>
      </w:r>
      <w:r>
        <w:rPr>
          <w:rFonts w:cs="Times New Roman"/>
          <w:bCs/>
          <w:color w:val="000000" w:themeColor="text1"/>
          <w:szCs w:val="24"/>
          <w:vertAlign w:val="superscript"/>
          <w14:textFill>
            <w14:solidFill>
              <w14:schemeClr w14:val="tx1"/>
            </w14:solidFill>
          </w14:textFill>
        </w:rPr>
        <w:t>-</w:t>
      </w:r>
      <w:r>
        <w:rPr>
          <w:rFonts w:cs="Times New Roman"/>
          <w:bCs/>
          <w:color w:val="000000" w:themeColor="text1"/>
          <w:szCs w:val="24"/>
          <w14:textFill>
            <w14:solidFill>
              <w14:schemeClr w14:val="tx1"/>
            </w14:solidFill>
          </w14:textFill>
        </w:rPr>
        <w:t>、SO</w:t>
      </w:r>
      <w:r>
        <w:rPr>
          <w:rFonts w:cs="Times New Roman"/>
          <w:bCs/>
          <w:color w:val="000000" w:themeColor="text1"/>
          <w:szCs w:val="24"/>
          <w:vertAlign w:val="subscript"/>
          <w14:textFill>
            <w14:solidFill>
              <w14:schemeClr w14:val="tx1"/>
            </w14:solidFill>
          </w14:textFill>
        </w:rPr>
        <w:t>4</w:t>
      </w:r>
      <w:r>
        <w:rPr>
          <w:rFonts w:cs="Times New Roman"/>
          <w:bCs/>
          <w:color w:val="000000" w:themeColor="text1"/>
          <w:szCs w:val="24"/>
          <w:vertAlign w:val="superscript"/>
          <w14:textFill>
            <w14:solidFill>
              <w14:schemeClr w14:val="tx1"/>
            </w14:solidFill>
          </w14:textFill>
        </w:rPr>
        <w:t>2-</w:t>
      </w:r>
      <w:r>
        <w:rPr>
          <w:rFonts w:cs="Times New Roman"/>
          <w:bCs/>
          <w:color w:val="000000" w:themeColor="text1"/>
          <w:szCs w:val="24"/>
          <w14:textFill>
            <w14:solidFill>
              <w14:schemeClr w14:val="tx1"/>
            </w14:solidFill>
          </w14:textFill>
        </w:rPr>
        <w:t>）、基本水质因子（pH、氨氮、硝酸盐、亚硝酸盐、挥发性酚类、氰化物、砷、汞、铬（六价）、总硬度、铅、氟、镉、铁、锰、溶解性总固体、耗氧量（</w:t>
      </w:r>
      <w:r>
        <w:rPr>
          <w:rFonts w:cs="Times New Roman"/>
          <w:color w:val="000000" w:themeColor="text1"/>
          <w14:textFill>
            <w14:solidFill>
              <w14:schemeClr w14:val="tx1"/>
            </w14:solidFill>
          </w14:textFill>
        </w:rPr>
        <w:t>COD</w:t>
      </w:r>
      <w:r>
        <w:rPr>
          <w:rFonts w:cs="Times New Roman"/>
          <w:color w:val="000000" w:themeColor="text1"/>
          <w:vertAlign w:val="subscript"/>
          <w14:textFill>
            <w14:solidFill>
              <w14:schemeClr w14:val="tx1"/>
            </w14:solidFill>
          </w14:textFill>
        </w:rPr>
        <w:t>Mn</w:t>
      </w:r>
      <w:r>
        <w:rPr>
          <w:rFonts w:cs="Times New Roman"/>
          <w:bCs/>
          <w:color w:val="000000" w:themeColor="text1"/>
          <w:szCs w:val="24"/>
          <w14:textFill>
            <w14:solidFill>
              <w14:schemeClr w14:val="tx1"/>
            </w14:solidFill>
          </w14:textFill>
        </w:rPr>
        <w:t>）、硫酸盐、氯化物、总大肠菌群、细菌总数），项目特征因子（石油类、</w:t>
      </w:r>
      <w:r>
        <w:rPr>
          <w:rFonts w:cs="Times New Roman"/>
          <w:color w:val="000000" w:themeColor="text1"/>
          <w14:textFill>
            <w14:solidFill>
              <w14:schemeClr w14:val="tx1"/>
            </w14:solidFill>
          </w14:textFill>
        </w:rPr>
        <w:t>硫化物、钡</w:t>
      </w:r>
      <w:r>
        <w:rPr>
          <w:rFonts w:cs="Times New Roman"/>
          <w:bCs/>
          <w:color w:val="000000" w:themeColor="text1"/>
          <w:szCs w:val="24"/>
          <w14:textFill>
            <w14:solidFill>
              <w14:schemeClr w14:val="tx1"/>
            </w14:solidFill>
          </w14:textFill>
        </w:rPr>
        <w:t>）。</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所有指标监测1天，每天一次。</w:t>
      </w:r>
    </w:p>
    <w:p>
      <w:pPr>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（3）评价方法</w:t>
      </w:r>
    </w:p>
    <w:p>
      <w:pPr>
        <w:ind w:firstLine="480"/>
        <w:rPr>
          <w:rFonts w:cs="Times New Roman"/>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①</w:t>
      </w:r>
      <w:r>
        <w:rPr>
          <w:rFonts w:cs="Times New Roman"/>
          <w:bCs/>
          <w:color w:val="000000" w:themeColor="text1"/>
          <w:szCs w:val="24"/>
          <w14:textFill>
            <w14:solidFill>
              <w14:schemeClr w14:val="tx1"/>
            </w14:solidFill>
          </w14:textFill>
        </w:rPr>
        <w:t>按照《地下水质量标准》（GB/T14848-2017）评价方法对基本水质因子和特殊水质因子进行评价。</w:t>
      </w:r>
    </w:p>
    <w:p>
      <w:pPr>
        <w:ind w:firstLine="480"/>
        <w:rPr>
          <w:rFonts w:cs="Times New Roman"/>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②</w:t>
      </w:r>
      <w:r>
        <w:rPr>
          <w:rFonts w:cs="Times New Roman"/>
          <w:bCs/>
          <w:color w:val="000000" w:themeColor="text1"/>
          <w:szCs w:val="24"/>
          <w14:textFill>
            <w14:solidFill>
              <w14:schemeClr w14:val="tx1"/>
            </w14:solidFill>
          </w14:textFill>
        </w:rPr>
        <w:t>用舒卡列夫分类法对本项目所在区域地下水化学类型进行分类。</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地下水化学类型的舒卡列夫分类是根据地下水中6种主要离子（钠、钙、镁、重碳酸根、硫酸根、氯离子、钾合并于钠）及矿化度划分的，具体步骤如下：</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a、根据水质分析结果，将6种主要离子中含量大于25%毫克当量的阴离子和阳离子进行组合；</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 xml:space="preserve"> b、按矿化度（M）的大小分为4组，A组——M≤1.5g/L；B组——1.5＜M≤10g/L；C组——10＜M≤40g/L；D组——M＞40g/L；</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c、矿化度为阴阳离子总和减去重碳酸离子含量的二分之一；</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d、将地下水化学类型用阿拉伯数字（1-49）与字母（A、B、C、D）组合在一起表达的表达式表示。</w:t>
      </w:r>
    </w:p>
    <w:p>
      <w:pPr>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（4）评价结果及分析</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1）基本水质因子和特殊水质因子进行评价地下水现状评价，评价结果见</w:t>
      </w:r>
      <w:r>
        <w:rPr>
          <w:rFonts w:hint="eastAsia" w:cs="Times New Roman"/>
          <w:bCs/>
          <w:color w:val="000000" w:themeColor="text1"/>
          <w:szCs w:val="24"/>
          <w14:textFill>
            <w14:solidFill>
              <w14:schemeClr w14:val="tx1"/>
            </w14:solidFill>
          </w14:textFill>
        </w:rPr>
        <w:t>表 4.2-7</w:t>
      </w:r>
      <w:r>
        <w:rPr>
          <w:rFonts w:cs="Times New Roman"/>
          <w:bCs/>
          <w:color w:val="000000" w:themeColor="text1"/>
          <w:szCs w:val="24"/>
          <w14:textFill>
            <w14:solidFill>
              <w14:schemeClr w14:val="tx1"/>
            </w14:solidFill>
          </w14:textFill>
        </w:rPr>
        <w:t>。</w:t>
      </w:r>
    </w:p>
    <w:p>
      <w:pPr>
        <w:pStyle w:val="95"/>
      </w:pPr>
      <w:r>
        <w:t>表</w:t>
      </w:r>
      <w:r>
        <w:fldChar w:fldCharType="begin"/>
      </w:r>
      <w:r>
        <w:instrText xml:space="preserve"> STYLEREF 2 \s </w:instrText>
      </w:r>
      <w:r>
        <w:fldChar w:fldCharType="separate"/>
      </w:r>
      <w:r>
        <w:t>4.2</w:t>
      </w:r>
      <w:r>
        <w:fldChar w:fldCharType="end"/>
      </w:r>
      <w:r>
        <w:noBreakHyphen/>
      </w:r>
      <w:r>
        <w:rPr>
          <w:rFonts w:hint="eastAsia"/>
        </w:rPr>
        <w:t>7</w:t>
      </w:r>
      <w:r>
        <w:t xml:space="preserve"> 区域地下水质量现状监测结果 单位：mg/L</w:t>
      </w:r>
    </w:p>
    <w:tbl>
      <w:tblPr>
        <w:tblStyle w:val="53"/>
        <w:tblW w:w="852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84"/>
        <w:gridCol w:w="968"/>
        <w:gridCol w:w="968"/>
        <w:gridCol w:w="927"/>
        <w:gridCol w:w="928"/>
        <w:gridCol w:w="1009"/>
        <w:gridCol w:w="886"/>
        <w:gridCol w:w="791"/>
        <w:gridCol w:w="7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4" w:type="dxa"/>
            <w:gridSpan w:val="6"/>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监测结果</w:t>
            </w:r>
          </w:p>
        </w:tc>
        <w:tc>
          <w:tcPr>
            <w:tcW w:w="886" w:type="dxa"/>
            <w:vMerge w:val="restart"/>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标准值</w:t>
            </w:r>
          </w:p>
        </w:tc>
        <w:tc>
          <w:tcPr>
            <w:tcW w:w="1556" w:type="dxa"/>
            <w:gridSpan w:val="2"/>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单项指数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监测时间</w:t>
            </w:r>
          </w:p>
        </w:tc>
        <w:tc>
          <w:tcPr>
            <w:tcW w:w="4800" w:type="dxa"/>
            <w:gridSpan w:val="5"/>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202</w:t>
            </w:r>
            <w:r>
              <w:rPr>
                <w:rFonts w:hint="eastAsia" w:cs="Times New Roman"/>
                <w:color w:val="000000" w:themeColor="text1"/>
                <w:sz w:val="21"/>
                <w:szCs w:val="21"/>
                <w14:textFill>
                  <w14:solidFill>
                    <w14:schemeClr w14:val="tx1"/>
                  </w14:solidFill>
                </w14:textFill>
              </w:rPr>
              <w:t>4.1.17</w:t>
            </w:r>
          </w:p>
        </w:tc>
        <w:tc>
          <w:tcPr>
            <w:tcW w:w="886" w:type="dxa"/>
            <w:vMerge w:val="continue"/>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791" w:type="dxa"/>
            <w:vMerge w:val="restart"/>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最小值</w:t>
            </w:r>
          </w:p>
        </w:tc>
        <w:tc>
          <w:tcPr>
            <w:tcW w:w="765" w:type="dxa"/>
            <w:vMerge w:val="restart"/>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最大值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监测因子</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S1</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S2</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S3</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S4</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S5</w:t>
            </w:r>
          </w:p>
        </w:tc>
        <w:tc>
          <w:tcPr>
            <w:tcW w:w="886" w:type="dxa"/>
            <w:vMerge w:val="continue"/>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791" w:type="dxa"/>
            <w:vMerge w:val="continue"/>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765" w:type="dxa"/>
            <w:vMerge w:val="continue"/>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pH</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7.2</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7.4</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7.4</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7.2</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7.2</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6.5~8.5</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0.13</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w:t>
            </w:r>
            <w:r>
              <w:rPr>
                <w:rFonts w:hint="eastAsia" w:cs="Times New Roman"/>
                <w:color w:val="000000" w:themeColor="text1"/>
                <w:sz w:val="21"/>
                <w:szCs w:val="21"/>
                <w14:textFill>
                  <w14:solidFill>
                    <w14:schemeClr w14:val="tx1"/>
                  </w14:solidFill>
                </w14:textFill>
              </w:rPr>
              <w:t>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镉</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0</w:t>
            </w:r>
            <w:r>
              <w:rPr>
                <w:rFonts w:cs="Times New Roman"/>
                <w:color w:val="000000" w:themeColor="text1"/>
                <w:sz w:val="21"/>
                <w:szCs w:val="21"/>
                <w14:textFill>
                  <w14:solidFill>
                    <w14:schemeClr w14:val="tx1"/>
                  </w14:solidFill>
                </w14:textFill>
              </w:rPr>
              <w:t>1L</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0</w:t>
            </w:r>
            <w:r>
              <w:rPr>
                <w:rFonts w:cs="Times New Roman"/>
                <w:color w:val="000000" w:themeColor="text1"/>
                <w:sz w:val="21"/>
                <w:szCs w:val="21"/>
                <w14:textFill>
                  <w14:solidFill>
                    <w14:schemeClr w14:val="tx1"/>
                  </w14:solidFill>
                </w14:textFill>
              </w:rPr>
              <w:t>1L</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0</w:t>
            </w:r>
            <w:r>
              <w:rPr>
                <w:rFonts w:cs="Times New Roman"/>
                <w:color w:val="000000" w:themeColor="text1"/>
                <w:sz w:val="21"/>
                <w:szCs w:val="21"/>
                <w14:textFill>
                  <w14:solidFill>
                    <w14:schemeClr w14:val="tx1"/>
                  </w14:solidFill>
                </w14:textFill>
              </w:rPr>
              <w:t>1L</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0</w:t>
            </w:r>
            <w:r>
              <w:rPr>
                <w:rFonts w:cs="Times New Roman"/>
                <w:color w:val="000000" w:themeColor="text1"/>
                <w:sz w:val="21"/>
                <w:szCs w:val="21"/>
                <w14:textFill>
                  <w14:solidFill>
                    <w14:schemeClr w14:val="tx1"/>
                  </w14:solidFill>
                </w14:textFill>
              </w:rPr>
              <w:t>1L</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0</w:t>
            </w:r>
            <w:r>
              <w:rPr>
                <w:rFonts w:cs="Times New Roman"/>
                <w:color w:val="000000" w:themeColor="text1"/>
                <w:sz w:val="21"/>
                <w:szCs w:val="21"/>
                <w14:textFill>
                  <w14:solidFill>
                    <w14:schemeClr w14:val="tx1"/>
                  </w14:solidFill>
                </w14:textFill>
              </w:rPr>
              <w:t>1L</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w:t>
            </w:r>
            <w:r>
              <w:rPr>
                <w:rFonts w:hint="eastAsia" w:cs="Times New Roman"/>
                <w:color w:val="000000" w:themeColor="text1"/>
                <w:kern w:val="0"/>
                <w:sz w:val="21"/>
                <w:szCs w:val="21"/>
                <w14:textFill>
                  <w14:solidFill>
                    <w14:schemeClr w14:val="tx1"/>
                  </w14:solidFill>
                </w14:textFill>
              </w:rPr>
              <w:t>0.00</w:t>
            </w:r>
            <w:r>
              <w:rPr>
                <w:rFonts w:cs="Times New Roman"/>
                <w:color w:val="000000" w:themeColor="text1"/>
                <w:kern w:val="0"/>
                <w:sz w:val="21"/>
                <w:szCs w:val="21"/>
                <w:lang w:eastAsia="en-US"/>
                <w14:textFill>
                  <w14:solidFill>
                    <w14:schemeClr w14:val="tx1"/>
                  </w14:solidFill>
                </w14:textFill>
              </w:rPr>
              <w:t>5</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铅</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0.001L</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0.001L</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0.001L</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0.001L</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0.001L</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≤0.01</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溶解性总固体</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234</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224</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174</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180</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176</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≤1000</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0.17</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总硬度</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168</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177</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140</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130</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155</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≤450</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0.29</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0.39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bCs/>
                <w:color w:val="000000" w:themeColor="text1"/>
                <w:kern w:val="0"/>
                <w:sz w:val="21"/>
                <w:szCs w:val="21"/>
                <w14:textFill>
                  <w14:solidFill>
                    <w14:schemeClr w14:val="tx1"/>
                  </w14:solidFill>
                </w14:textFill>
              </w:rPr>
              <w:t>耗氧量</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2.84</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2.68</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2.19</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2.75</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2.42</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≤3.0</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0.73</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铁</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0.02L</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0.02L</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0.02L</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0.02L</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0.02L</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≤0.3</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锰</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4</w:t>
            </w:r>
            <w:r>
              <w:rPr>
                <w:rFonts w:cs="Times New Roman"/>
                <w:color w:val="000000" w:themeColor="text1"/>
                <w:sz w:val="21"/>
                <w:szCs w:val="21"/>
                <w14:textFill>
                  <w14:solidFill>
                    <w14:schemeClr w14:val="tx1"/>
                  </w14:solidFill>
                </w14:textFill>
              </w:rPr>
              <w:t>L</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4</w:t>
            </w:r>
            <w:r>
              <w:rPr>
                <w:rFonts w:cs="Times New Roman"/>
                <w:color w:val="000000" w:themeColor="text1"/>
                <w:sz w:val="21"/>
                <w:szCs w:val="21"/>
                <w14:textFill>
                  <w14:solidFill>
                    <w14:schemeClr w14:val="tx1"/>
                  </w14:solidFill>
                </w14:textFill>
              </w:rPr>
              <w:t>L</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4</w:t>
            </w:r>
            <w:r>
              <w:rPr>
                <w:rFonts w:cs="Times New Roman"/>
                <w:color w:val="000000" w:themeColor="text1"/>
                <w:sz w:val="21"/>
                <w:szCs w:val="21"/>
                <w14:textFill>
                  <w14:solidFill>
                    <w14:schemeClr w14:val="tx1"/>
                  </w14:solidFill>
                </w14:textFill>
              </w:rPr>
              <w:t>L</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4</w:t>
            </w:r>
            <w:r>
              <w:rPr>
                <w:rFonts w:cs="Times New Roman"/>
                <w:color w:val="000000" w:themeColor="text1"/>
                <w:sz w:val="21"/>
                <w:szCs w:val="21"/>
                <w14:textFill>
                  <w14:solidFill>
                    <w14:schemeClr w14:val="tx1"/>
                  </w14:solidFill>
                </w14:textFill>
              </w:rPr>
              <w:t>L</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4</w:t>
            </w:r>
            <w:r>
              <w:rPr>
                <w:rFonts w:cs="Times New Roman"/>
                <w:color w:val="000000" w:themeColor="text1"/>
                <w:sz w:val="21"/>
                <w:szCs w:val="21"/>
                <w14:textFill>
                  <w14:solidFill>
                    <w14:schemeClr w14:val="tx1"/>
                  </w14:solidFill>
                </w14:textFill>
              </w:rPr>
              <w:t>L</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≤0.1</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氟化物</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0.162</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0.112</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0.469</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0.148</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0.138</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≤1.0</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0.11</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w:t>
            </w:r>
            <w:r>
              <w:rPr>
                <w:rFonts w:cs="Times New Roman"/>
                <w:color w:val="000000" w:themeColor="text1"/>
                <w:sz w:val="21"/>
                <w:szCs w:val="21"/>
                <w14:textFill>
                  <w14:solidFill>
                    <w14:schemeClr w14:val="tx1"/>
                  </w14:solidFill>
                </w14:textFill>
              </w:rPr>
              <w:t>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bCs/>
                <w:color w:val="000000" w:themeColor="text1"/>
                <w:kern w:val="0"/>
                <w:sz w:val="21"/>
                <w:szCs w:val="21"/>
                <w14:textFill>
                  <w14:solidFill>
                    <w14:schemeClr w14:val="tx1"/>
                  </w14:solidFill>
                </w14:textFill>
              </w:rPr>
              <w:t>硫酸盐</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6.62</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12.0</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64.0</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19.8</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19.6</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≤250</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0.03</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氯化物</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17.3</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13.2</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23.4</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6.94</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6.80</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≤250</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0.03</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硝酸盐</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0.430</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0.862</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0.186</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1.91</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1.40</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≤20</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0.009</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汞</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0.0000015L</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0.0000015L</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0.0000015L</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0.0000015L</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0.0000015L</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w:t>
            </w:r>
            <w:r>
              <w:rPr>
                <w:rFonts w:hint="eastAsia" w:cs="Times New Roman"/>
                <w:color w:val="000000" w:themeColor="text1"/>
                <w:kern w:val="0"/>
                <w:sz w:val="21"/>
                <w:szCs w:val="21"/>
                <w14:textFill>
                  <w14:solidFill>
                    <w14:schemeClr w14:val="tx1"/>
                  </w14:solidFill>
                </w14:textFill>
              </w:rPr>
              <w:t>0.001</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砷</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03</w:t>
            </w:r>
            <w:r>
              <w:rPr>
                <w:rFonts w:cs="Times New Roman"/>
                <w:color w:val="000000" w:themeColor="text1"/>
                <w:sz w:val="21"/>
                <w:szCs w:val="21"/>
                <w14:textFill>
                  <w14:solidFill>
                    <w14:schemeClr w14:val="tx1"/>
                  </w14:solidFill>
                </w14:textFill>
              </w:rPr>
              <w:t>L</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03</w:t>
            </w:r>
            <w:r>
              <w:rPr>
                <w:rFonts w:cs="Times New Roman"/>
                <w:color w:val="000000" w:themeColor="text1"/>
                <w:sz w:val="21"/>
                <w:szCs w:val="21"/>
                <w14:textFill>
                  <w14:solidFill>
                    <w14:schemeClr w14:val="tx1"/>
                  </w14:solidFill>
                </w14:textFill>
              </w:rPr>
              <w:t>L</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03</w:t>
            </w:r>
            <w:r>
              <w:rPr>
                <w:rFonts w:cs="Times New Roman"/>
                <w:color w:val="000000" w:themeColor="text1"/>
                <w:sz w:val="21"/>
                <w:szCs w:val="21"/>
                <w14:textFill>
                  <w14:solidFill>
                    <w14:schemeClr w14:val="tx1"/>
                  </w14:solidFill>
                </w14:textFill>
              </w:rPr>
              <w:t>L</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03</w:t>
            </w:r>
            <w:r>
              <w:rPr>
                <w:rFonts w:cs="Times New Roman"/>
                <w:color w:val="000000" w:themeColor="text1"/>
                <w:sz w:val="21"/>
                <w:szCs w:val="21"/>
                <w14:textFill>
                  <w14:solidFill>
                    <w14:schemeClr w14:val="tx1"/>
                  </w14:solidFill>
                </w14:textFill>
              </w:rPr>
              <w:t>L</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03</w:t>
            </w:r>
            <w:r>
              <w:rPr>
                <w:rFonts w:cs="Times New Roman"/>
                <w:color w:val="000000" w:themeColor="text1"/>
                <w:sz w:val="21"/>
                <w:szCs w:val="21"/>
                <w14:textFill>
                  <w14:solidFill>
                    <w14:schemeClr w14:val="tx1"/>
                  </w14:solidFill>
                </w14:textFill>
              </w:rPr>
              <w:t>L</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w:t>
            </w:r>
            <w:r>
              <w:rPr>
                <w:rFonts w:hint="eastAsia" w:cs="Times New Roman"/>
                <w:color w:val="000000" w:themeColor="text1"/>
                <w:kern w:val="0"/>
                <w:sz w:val="21"/>
                <w:szCs w:val="21"/>
                <w14:textFill>
                  <w14:solidFill>
                    <w14:schemeClr w14:val="tx1"/>
                  </w14:solidFill>
                </w14:textFill>
              </w:rPr>
              <w:t>0.01</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氨氮</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0.108</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0.120</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0.134</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0.421</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≤0.5</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0.22</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0.84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lang w:eastAsia="en-US"/>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石油类</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0.01L</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0.01L</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0.01L</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0.01L</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0.01L</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≤0.05*</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氰化物</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1</w:t>
            </w:r>
            <w:r>
              <w:rPr>
                <w:rFonts w:cs="Times New Roman"/>
                <w:color w:val="000000" w:themeColor="text1"/>
                <w:sz w:val="21"/>
                <w:szCs w:val="21"/>
                <w14:textFill>
                  <w14:solidFill>
                    <w14:schemeClr w14:val="tx1"/>
                  </w14:solidFill>
                </w14:textFill>
              </w:rPr>
              <w:t>L</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1</w:t>
            </w:r>
            <w:r>
              <w:rPr>
                <w:rFonts w:cs="Times New Roman"/>
                <w:color w:val="000000" w:themeColor="text1"/>
                <w:sz w:val="21"/>
                <w:szCs w:val="21"/>
                <w14:textFill>
                  <w14:solidFill>
                    <w14:schemeClr w14:val="tx1"/>
                  </w14:solidFill>
                </w14:textFill>
              </w:rPr>
              <w:t>L</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1</w:t>
            </w:r>
            <w:r>
              <w:rPr>
                <w:rFonts w:cs="Times New Roman"/>
                <w:color w:val="000000" w:themeColor="text1"/>
                <w:sz w:val="21"/>
                <w:szCs w:val="21"/>
                <w14:textFill>
                  <w14:solidFill>
                    <w14:schemeClr w14:val="tx1"/>
                  </w14:solidFill>
                </w14:textFill>
              </w:rPr>
              <w:t>L</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1</w:t>
            </w:r>
            <w:r>
              <w:rPr>
                <w:rFonts w:cs="Times New Roman"/>
                <w:color w:val="000000" w:themeColor="text1"/>
                <w:sz w:val="21"/>
                <w:szCs w:val="21"/>
                <w14:textFill>
                  <w14:solidFill>
                    <w14:schemeClr w14:val="tx1"/>
                  </w14:solidFill>
                </w14:textFill>
              </w:rPr>
              <w:t>L</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1</w:t>
            </w:r>
            <w:r>
              <w:rPr>
                <w:rFonts w:cs="Times New Roman"/>
                <w:color w:val="000000" w:themeColor="text1"/>
                <w:sz w:val="21"/>
                <w:szCs w:val="21"/>
                <w14:textFill>
                  <w14:solidFill>
                    <w14:schemeClr w14:val="tx1"/>
                  </w14:solidFill>
                </w14:textFill>
              </w:rPr>
              <w:t>L</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≤0.05</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bCs/>
                <w:color w:val="000000" w:themeColor="text1"/>
                <w:kern w:val="0"/>
                <w:sz w:val="21"/>
                <w:szCs w:val="21"/>
                <w14:textFill>
                  <w14:solidFill>
                    <w14:schemeClr w14:val="tx1"/>
                  </w14:solidFill>
                </w14:textFill>
              </w:rPr>
              <w:t>硫化物</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0.003L</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0.003L</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0.003L</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0.003L</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0.003L</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≤0.02</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挥发</w:t>
            </w:r>
            <w:r>
              <w:rPr>
                <w:rFonts w:hint="eastAsia" w:cs="Times New Roman"/>
                <w:bCs/>
                <w:color w:val="000000" w:themeColor="text1"/>
                <w:kern w:val="0"/>
                <w:sz w:val="21"/>
                <w:szCs w:val="21"/>
                <w14:textFill>
                  <w14:solidFill>
                    <w14:schemeClr w14:val="tx1"/>
                  </w14:solidFill>
                </w14:textFill>
              </w:rPr>
              <w:t>性酚类</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03</w:t>
            </w:r>
            <w:r>
              <w:rPr>
                <w:rFonts w:cs="Times New Roman"/>
                <w:color w:val="000000" w:themeColor="text1"/>
                <w:sz w:val="21"/>
                <w:szCs w:val="21"/>
                <w14:textFill>
                  <w14:solidFill>
                    <w14:schemeClr w14:val="tx1"/>
                  </w14:solidFill>
                </w14:textFill>
              </w:rPr>
              <w:t>L</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03</w:t>
            </w:r>
            <w:r>
              <w:rPr>
                <w:rFonts w:cs="Times New Roman"/>
                <w:color w:val="000000" w:themeColor="text1"/>
                <w:sz w:val="21"/>
                <w:szCs w:val="21"/>
                <w14:textFill>
                  <w14:solidFill>
                    <w14:schemeClr w14:val="tx1"/>
                  </w14:solidFill>
                </w14:textFill>
              </w:rPr>
              <w:t>L</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03</w:t>
            </w:r>
            <w:r>
              <w:rPr>
                <w:rFonts w:cs="Times New Roman"/>
                <w:color w:val="000000" w:themeColor="text1"/>
                <w:sz w:val="21"/>
                <w:szCs w:val="21"/>
                <w14:textFill>
                  <w14:solidFill>
                    <w14:schemeClr w14:val="tx1"/>
                  </w14:solidFill>
                </w14:textFill>
              </w:rPr>
              <w:t>L</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03</w:t>
            </w:r>
            <w:r>
              <w:rPr>
                <w:rFonts w:cs="Times New Roman"/>
                <w:color w:val="000000" w:themeColor="text1"/>
                <w:sz w:val="21"/>
                <w:szCs w:val="21"/>
                <w14:textFill>
                  <w14:solidFill>
                    <w14:schemeClr w14:val="tx1"/>
                  </w14:solidFill>
                </w14:textFill>
              </w:rPr>
              <w:t>L</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03</w:t>
            </w:r>
            <w:r>
              <w:rPr>
                <w:rFonts w:cs="Times New Roman"/>
                <w:color w:val="000000" w:themeColor="text1"/>
                <w:sz w:val="21"/>
                <w:szCs w:val="21"/>
                <w14:textFill>
                  <w14:solidFill>
                    <w14:schemeClr w14:val="tx1"/>
                  </w14:solidFill>
                </w14:textFill>
              </w:rPr>
              <w:t>L</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≤0.002</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铬(六价)</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4</w:t>
            </w:r>
            <w:r>
              <w:rPr>
                <w:rFonts w:cs="Times New Roman"/>
                <w:color w:val="000000" w:themeColor="text1"/>
                <w:sz w:val="21"/>
                <w:szCs w:val="21"/>
                <w14:textFill>
                  <w14:solidFill>
                    <w14:schemeClr w14:val="tx1"/>
                  </w14:solidFill>
                </w14:textFill>
              </w:rPr>
              <w:t>L</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4</w:t>
            </w:r>
            <w:r>
              <w:rPr>
                <w:rFonts w:cs="Times New Roman"/>
                <w:color w:val="000000" w:themeColor="text1"/>
                <w:sz w:val="21"/>
                <w:szCs w:val="21"/>
                <w14:textFill>
                  <w14:solidFill>
                    <w14:schemeClr w14:val="tx1"/>
                  </w14:solidFill>
                </w14:textFill>
              </w:rPr>
              <w:t>L</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4</w:t>
            </w:r>
            <w:r>
              <w:rPr>
                <w:rFonts w:cs="Times New Roman"/>
                <w:color w:val="000000" w:themeColor="text1"/>
                <w:sz w:val="21"/>
                <w:szCs w:val="21"/>
                <w14:textFill>
                  <w14:solidFill>
                    <w14:schemeClr w14:val="tx1"/>
                  </w14:solidFill>
                </w14:textFill>
              </w:rPr>
              <w:t>L</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4</w:t>
            </w:r>
            <w:r>
              <w:rPr>
                <w:rFonts w:cs="Times New Roman"/>
                <w:color w:val="000000" w:themeColor="text1"/>
                <w:sz w:val="21"/>
                <w:szCs w:val="21"/>
                <w14:textFill>
                  <w14:solidFill>
                    <w14:schemeClr w14:val="tx1"/>
                  </w14:solidFill>
                </w14:textFill>
              </w:rPr>
              <w:t>L</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0.00</w:t>
            </w:r>
            <w:r>
              <w:rPr>
                <w:rFonts w:hint="eastAsia" w:cs="Times New Roman"/>
                <w:color w:val="000000" w:themeColor="text1"/>
                <w:sz w:val="21"/>
                <w:szCs w:val="21"/>
                <w14:textFill>
                  <w14:solidFill>
                    <w14:schemeClr w14:val="tx1"/>
                  </w14:solidFill>
                </w14:textFill>
              </w:rPr>
              <w:t>4</w:t>
            </w:r>
            <w:r>
              <w:rPr>
                <w:rFonts w:cs="Times New Roman"/>
                <w:color w:val="000000" w:themeColor="text1"/>
                <w:sz w:val="21"/>
                <w:szCs w:val="21"/>
                <w14:textFill>
                  <w14:solidFill>
                    <w14:schemeClr w14:val="tx1"/>
                  </w14:solidFill>
                </w14:textFill>
              </w:rPr>
              <w:t>L</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≤0.05</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亚硝酸盐</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0.039</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0.042</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0.029</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0.024</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0.033</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≤1.0</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0.024</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0.042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细菌总数</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56</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48</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37</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42</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40</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≤100个/L</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0.37</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0.56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bCs/>
                <w:color w:val="000000" w:themeColor="text1"/>
                <w:kern w:val="0"/>
                <w:sz w:val="21"/>
                <w:szCs w:val="21"/>
                <w:lang w:eastAsia="en-US"/>
                <w14:textFill>
                  <w14:solidFill>
                    <w14:schemeClr w14:val="tx1"/>
                  </w14:solidFill>
                </w14:textFill>
              </w:rPr>
              <w:t>总大肠菌群</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2L</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2L</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2L</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2L</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2L</w:t>
            </w:r>
          </w:p>
        </w:tc>
        <w:tc>
          <w:tcPr>
            <w:tcW w:w="886"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&lt;3个/L</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pPr>
              <w:widowControl/>
              <w:spacing w:line="240" w:lineRule="auto"/>
              <w:ind w:firstLine="0" w:firstLineChars="0"/>
              <w:jc w:val="center"/>
              <w:rPr>
                <w:rFonts w:cs="Times New Roman"/>
                <w:bCs/>
                <w:color w:val="000000" w:themeColor="text1"/>
                <w:kern w:val="0"/>
                <w:sz w:val="21"/>
                <w:szCs w:val="21"/>
                <w14:textFill>
                  <w14:solidFill>
                    <w14:schemeClr w14:val="tx1"/>
                  </w14:solidFill>
                </w14:textFill>
              </w:rPr>
            </w:pPr>
            <w:r>
              <w:rPr>
                <w:rFonts w:hint="eastAsia" w:cs="Times New Roman"/>
                <w:bCs/>
                <w:color w:val="000000" w:themeColor="text1"/>
                <w:kern w:val="0"/>
                <w:sz w:val="21"/>
                <w:szCs w:val="21"/>
                <w14:textFill>
                  <w14:solidFill>
                    <w14:schemeClr w14:val="tx1"/>
                  </w14:solidFill>
                </w14:textFill>
              </w:rPr>
              <w:t>钡</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0.669</w:t>
            </w:r>
          </w:p>
        </w:tc>
        <w:tc>
          <w:tcPr>
            <w:tcW w:w="96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0.674</w:t>
            </w:r>
          </w:p>
        </w:tc>
        <w:tc>
          <w:tcPr>
            <w:tcW w:w="927"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0.374</w:t>
            </w:r>
          </w:p>
        </w:tc>
        <w:tc>
          <w:tcPr>
            <w:tcW w:w="928"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0.206</w:t>
            </w:r>
          </w:p>
        </w:tc>
        <w:tc>
          <w:tcPr>
            <w:tcW w:w="1009"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0.213</w:t>
            </w:r>
          </w:p>
        </w:tc>
        <w:tc>
          <w:tcPr>
            <w:tcW w:w="886" w:type="dxa"/>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w:t>
            </w:r>
          </w:p>
        </w:tc>
        <w:tc>
          <w:tcPr>
            <w:tcW w:w="791"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c>
          <w:tcPr>
            <w:tcW w:w="765" w:type="dxa"/>
            <w:vAlign w:val="center"/>
          </w:tcPr>
          <w:p>
            <w:pPr>
              <w:widowControl/>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w:t>
            </w:r>
          </w:p>
        </w:tc>
      </w:tr>
    </w:tbl>
    <w:p>
      <w:pPr>
        <w:pStyle w:val="14"/>
        <w:ind w:firstLine="0" w:firstLineChars="0"/>
        <w:jc w:val="left"/>
        <w:rPr>
          <w:rFonts w:ascii="Times New Roman" w:hAnsi="Times New Roman" w:eastAsia="仿宋"/>
          <w:color w:val="000000" w:themeColor="text1"/>
          <w:sz w:val="21"/>
          <w:szCs w:val="18"/>
          <w14:textFill>
            <w14:solidFill>
              <w14:schemeClr w14:val="tx1"/>
            </w14:solidFill>
          </w14:textFill>
        </w:rPr>
      </w:pPr>
      <w:r>
        <w:rPr>
          <w:rFonts w:ascii="Times New Roman" w:hAnsi="Times New Roman" w:eastAsia="仿宋"/>
          <w:color w:val="000000" w:themeColor="text1"/>
          <w:sz w:val="21"/>
          <w:szCs w:val="18"/>
          <w14:textFill>
            <w14:solidFill>
              <w14:schemeClr w14:val="tx1"/>
            </w14:solidFill>
          </w14:textFill>
        </w:rPr>
        <w:t>注：“</w:t>
      </w:r>
      <w:r>
        <w:rPr>
          <w:rFonts w:hint="eastAsia" w:ascii="Times New Roman" w:hAnsi="Times New Roman" w:eastAsia="仿宋"/>
          <w:color w:val="000000" w:themeColor="text1"/>
          <w:sz w:val="21"/>
          <w:szCs w:val="18"/>
          <w14:textFill>
            <w14:solidFill>
              <w14:schemeClr w14:val="tx1"/>
            </w14:solidFill>
          </w14:textFill>
        </w:rPr>
        <w:t>L</w:t>
      </w:r>
      <w:r>
        <w:rPr>
          <w:rFonts w:ascii="Times New Roman" w:hAnsi="Times New Roman" w:eastAsia="仿宋"/>
          <w:color w:val="000000" w:themeColor="text1"/>
          <w:sz w:val="21"/>
          <w:szCs w:val="18"/>
          <w14:textFill>
            <w14:solidFill>
              <w14:schemeClr w14:val="tx1"/>
            </w14:solidFill>
          </w14:textFill>
        </w:rPr>
        <w:t>”标识</w:t>
      </w:r>
      <w:r>
        <w:rPr>
          <w:rFonts w:hint="eastAsia" w:ascii="Times New Roman" w:hAnsi="Times New Roman" w:eastAsia="仿宋"/>
          <w:color w:val="000000" w:themeColor="text1"/>
          <w:sz w:val="21"/>
          <w:szCs w:val="18"/>
          <w14:textFill>
            <w14:solidFill>
              <w14:schemeClr w14:val="tx1"/>
            </w14:solidFill>
          </w14:textFill>
        </w:rPr>
        <w:t>低于检出限</w:t>
      </w:r>
      <w:r>
        <w:rPr>
          <w:rFonts w:ascii="Times New Roman" w:hAnsi="Times New Roman" w:eastAsia="仿宋"/>
          <w:color w:val="000000" w:themeColor="text1"/>
          <w:sz w:val="21"/>
          <w:szCs w:val="18"/>
          <w14:textFill>
            <w14:solidFill>
              <w14:schemeClr w14:val="tx1"/>
            </w14:solidFill>
          </w14:textFill>
        </w:rPr>
        <w:t>，“*”为参考地表水标准。</w:t>
      </w:r>
    </w:p>
    <w:p>
      <w:pPr>
        <w:pStyle w:val="14"/>
        <w:ind w:firstLine="480"/>
        <w:jc w:val="left"/>
        <w:rPr>
          <w:rFonts w:ascii="Times New Roman" w:hAnsi="Times New Roman"/>
          <w:bCs/>
          <w:color w:val="000000" w:themeColor="text1"/>
          <w14:textFill>
            <w14:solidFill>
              <w14:schemeClr w14:val="tx1"/>
            </w14:solidFill>
          </w14:textFill>
        </w:rPr>
      </w:pPr>
      <w:r>
        <w:rPr>
          <w:rFonts w:ascii="Times New Roman" w:hAnsi="Times New Roman"/>
          <w:bCs/>
          <w:color w:val="000000" w:themeColor="text1"/>
          <w14:textFill>
            <w14:solidFill>
              <w14:schemeClr w14:val="tx1"/>
            </w14:solidFill>
          </w14:textFill>
        </w:rPr>
        <w:t>由上表可见，项目区域地下水现状监测指标均未超过《地下水质量标准》（GB/T14848-2017）中的</w:t>
      </w:r>
      <w:r>
        <w:rPr>
          <w:rFonts w:hint="eastAsia" w:ascii="宋体" w:hAnsi="宋体" w:cs="宋体"/>
          <w:bCs/>
          <w:color w:val="000000" w:themeColor="text1"/>
          <w14:textFill>
            <w14:solidFill>
              <w14:schemeClr w14:val="tx1"/>
            </w14:solidFill>
          </w14:textFill>
        </w:rPr>
        <w:t>Ⅲ</w:t>
      </w:r>
      <w:r>
        <w:rPr>
          <w:rFonts w:ascii="Times New Roman" w:hAnsi="Times New Roman"/>
          <w:bCs/>
          <w:color w:val="000000" w:themeColor="text1"/>
          <w14:textFill>
            <w14:solidFill>
              <w14:schemeClr w14:val="tx1"/>
            </w14:solidFill>
          </w14:textFill>
        </w:rPr>
        <w:t>类标准限值要求，可知项目建设未对区域地下水环境造成不利影响。本项目所在地区地下水质量总体上良好，施工期间应加强项目建设期间的水污染管理工作，杜绝跑冒滴漏和做好防渗，避免对项目周围地下水的污染。</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2）地下水化学类型分类</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根据评价方法中介绍的使用舒卡列夫法对地下水类型进行分类，需要找到主要离子中含量大于25%毫克当量的阴离子及阳离子进行组合，计算各水样的矿化度，计算结果见</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REF _Ref142600232 \h  \* MERGEFORMAT </w:instrText>
      </w:r>
      <w:r>
        <w:rPr>
          <w:rFonts w:cs="Times New Roman"/>
          <w:bCs/>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表4.2</w:t>
      </w:r>
      <w:r>
        <w:rPr>
          <w:rFonts w:cs="Times New Roman"/>
          <w:color w:val="000000" w:themeColor="text1"/>
          <w14:textFill>
            <w14:solidFill>
              <w14:schemeClr w14:val="tx1"/>
            </w14:solidFill>
          </w14:textFill>
        </w:rPr>
        <w:noBreakHyphen/>
      </w:r>
      <w:r>
        <w:rPr>
          <w:rFonts w:hint="eastAsia" w:cs="Times New Roman"/>
          <w:color w:val="000000" w:themeColor="text1"/>
          <w14:textFill>
            <w14:solidFill>
              <w14:schemeClr w14:val="tx1"/>
            </w14:solidFill>
          </w14:textFill>
        </w:rPr>
        <w:t>8</w:t>
      </w:r>
      <w:r>
        <w:rPr>
          <w:rFonts w:cs="Times New Roman"/>
          <w:bCs/>
          <w:color w:val="000000" w:themeColor="text1"/>
          <w:szCs w:val="24"/>
          <w14:textFill>
            <w14:solidFill>
              <w14:schemeClr w14:val="tx1"/>
            </w14:solidFill>
          </w14:textFill>
        </w:rPr>
        <w:fldChar w:fldCharType="end"/>
      </w:r>
      <w:r>
        <w:rPr>
          <w:rFonts w:cs="Times New Roman"/>
          <w:bCs/>
          <w:color w:val="000000" w:themeColor="text1"/>
          <w:szCs w:val="24"/>
          <w14:textFill>
            <w14:solidFill>
              <w14:schemeClr w14:val="tx1"/>
            </w14:solidFill>
          </w14:textFill>
        </w:rPr>
        <w:t>。</w:t>
      </w:r>
    </w:p>
    <w:p>
      <w:pPr>
        <w:pStyle w:val="95"/>
      </w:pPr>
      <w:bookmarkStart w:id="222" w:name="_Ref142600232"/>
      <w:r>
        <w:t>表</w:t>
      </w:r>
      <w:r>
        <w:fldChar w:fldCharType="begin"/>
      </w:r>
      <w:r>
        <w:instrText xml:space="preserve"> STYLEREF 2 \s </w:instrText>
      </w:r>
      <w:r>
        <w:fldChar w:fldCharType="separate"/>
      </w:r>
      <w:r>
        <w:t>4.2</w:t>
      </w:r>
      <w:r>
        <w:fldChar w:fldCharType="end"/>
      </w:r>
      <w:r>
        <w:noBreakHyphen/>
      </w:r>
      <w:bookmarkEnd w:id="222"/>
      <w:r>
        <w:rPr>
          <w:rFonts w:hint="eastAsia"/>
        </w:rPr>
        <w:t>8</w:t>
      </w:r>
      <w:r>
        <w:t xml:space="preserve"> 区域地下水阴阳离子含量比例及各水样矿化度一览表</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28" w:type="dxa"/>
          <w:bottom w:w="0" w:type="dxa"/>
          <w:right w:w="28" w:type="dxa"/>
        </w:tblCellMar>
      </w:tblPr>
      <w:tblGrid>
        <w:gridCol w:w="2156"/>
        <w:gridCol w:w="1226"/>
        <w:gridCol w:w="1172"/>
        <w:gridCol w:w="1200"/>
        <w:gridCol w:w="1255"/>
        <w:gridCol w:w="1357"/>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Merge w:val="restar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监测因子</w:t>
            </w:r>
          </w:p>
        </w:tc>
        <w:tc>
          <w:tcPr>
            <w:tcW w:w="3710" w:type="pct"/>
            <w:gridSpan w:val="5"/>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监测点位及时间、监测结果</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Merge w:val="continue"/>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733" w:type="pct"/>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S1</w:t>
            </w:r>
          </w:p>
        </w:tc>
        <w:tc>
          <w:tcPr>
            <w:tcW w:w="700" w:type="pct"/>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S2</w:t>
            </w:r>
          </w:p>
        </w:tc>
        <w:tc>
          <w:tcPr>
            <w:tcW w:w="717" w:type="pct"/>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S3</w:t>
            </w:r>
          </w:p>
        </w:tc>
        <w:tc>
          <w:tcPr>
            <w:tcW w:w="750" w:type="pct"/>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S4</w:t>
            </w:r>
          </w:p>
        </w:tc>
        <w:tc>
          <w:tcPr>
            <w:tcW w:w="808" w:type="pct"/>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S5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Merge w:val="continue"/>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3710" w:type="pct"/>
            <w:gridSpan w:val="5"/>
            <w:vAlign w:val="center"/>
          </w:tcPr>
          <w:p>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202</w:t>
            </w:r>
            <w:r>
              <w:rPr>
                <w:rFonts w:hint="eastAsia" w:cs="Times New Roman"/>
                <w:color w:val="000000" w:themeColor="text1"/>
                <w:kern w:val="0"/>
                <w:sz w:val="21"/>
                <w:szCs w:val="21"/>
                <w14:textFill>
                  <w14:solidFill>
                    <w14:schemeClr w14:val="tx1"/>
                  </w14:solidFill>
                </w14:textFill>
              </w:rPr>
              <w:t>4.1.17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5000" w:type="pct"/>
            <w:gridSpan w:val="6"/>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监测结果（mg/l）</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钾</w:t>
            </w:r>
          </w:p>
        </w:tc>
        <w:tc>
          <w:tcPr>
            <w:tcW w:w="733"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0.99</w:t>
            </w:r>
          </w:p>
        </w:tc>
        <w:tc>
          <w:tcPr>
            <w:tcW w:w="70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1.39</w:t>
            </w:r>
          </w:p>
        </w:tc>
        <w:tc>
          <w:tcPr>
            <w:tcW w:w="717"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15.9</w:t>
            </w:r>
          </w:p>
        </w:tc>
        <w:tc>
          <w:tcPr>
            <w:tcW w:w="75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0.91</w:t>
            </w:r>
          </w:p>
        </w:tc>
        <w:tc>
          <w:tcPr>
            <w:tcW w:w="808"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0.85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钠</w:t>
            </w:r>
          </w:p>
        </w:tc>
        <w:tc>
          <w:tcPr>
            <w:tcW w:w="733"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7.86</w:t>
            </w:r>
          </w:p>
        </w:tc>
        <w:tc>
          <w:tcPr>
            <w:tcW w:w="70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3.08</w:t>
            </w:r>
          </w:p>
        </w:tc>
        <w:tc>
          <w:tcPr>
            <w:tcW w:w="717"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18.4</w:t>
            </w:r>
          </w:p>
        </w:tc>
        <w:tc>
          <w:tcPr>
            <w:tcW w:w="75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4.72</w:t>
            </w:r>
          </w:p>
        </w:tc>
        <w:tc>
          <w:tcPr>
            <w:tcW w:w="808"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4.67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钙</w:t>
            </w:r>
          </w:p>
        </w:tc>
        <w:tc>
          <w:tcPr>
            <w:tcW w:w="733"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160</w:t>
            </w:r>
          </w:p>
        </w:tc>
        <w:tc>
          <w:tcPr>
            <w:tcW w:w="70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149</w:t>
            </w:r>
          </w:p>
        </w:tc>
        <w:tc>
          <w:tcPr>
            <w:tcW w:w="717"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78.6</w:t>
            </w:r>
          </w:p>
        </w:tc>
        <w:tc>
          <w:tcPr>
            <w:tcW w:w="75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113</w:t>
            </w:r>
          </w:p>
        </w:tc>
        <w:tc>
          <w:tcPr>
            <w:tcW w:w="808"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122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镁</w:t>
            </w:r>
          </w:p>
        </w:tc>
        <w:tc>
          <w:tcPr>
            <w:tcW w:w="733"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13.2</w:t>
            </w:r>
          </w:p>
        </w:tc>
        <w:tc>
          <w:tcPr>
            <w:tcW w:w="70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8.23</w:t>
            </w:r>
          </w:p>
        </w:tc>
        <w:tc>
          <w:tcPr>
            <w:tcW w:w="717"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0.50</w:t>
            </w:r>
          </w:p>
        </w:tc>
        <w:tc>
          <w:tcPr>
            <w:tcW w:w="75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14.0</w:t>
            </w:r>
          </w:p>
        </w:tc>
        <w:tc>
          <w:tcPr>
            <w:tcW w:w="808"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13.8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碳酸根</w:t>
            </w:r>
          </w:p>
        </w:tc>
        <w:tc>
          <w:tcPr>
            <w:tcW w:w="733"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5L</w:t>
            </w:r>
          </w:p>
        </w:tc>
        <w:tc>
          <w:tcPr>
            <w:tcW w:w="70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5L</w:t>
            </w:r>
          </w:p>
        </w:tc>
        <w:tc>
          <w:tcPr>
            <w:tcW w:w="717"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5L</w:t>
            </w:r>
          </w:p>
        </w:tc>
        <w:tc>
          <w:tcPr>
            <w:tcW w:w="75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5L</w:t>
            </w:r>
          </w:p>
        </w:tc>
        <w:tc>
          <w:tcPr>
            <w:tcW w:w="808"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5L</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重碳酸根</w:t>
            </w:r>
          </w:p>
        </w:tc>
        <w:tc>
          <w:tcPr>
            <w:tcW w:w="733"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263</w:t>
            </w:r>
          </w:p>
        </w:tc>
        <w:tc>
          <w:tcPr>
            <w:tcW w:w="70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304</w:t>
            </w:r>
          </w:p>
        </w:tc>
        <w:tc>
          <w:tcPr>
            <w:tcW w:w="717"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474</w:t>
            </w:r>
          </w:p>
        </w:tc>
        <w:tc>
          <w:tcPr>
            <w:tcW w:w="75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278</w:t>
            </w:r>
          </w:p>
        </w:tc>
        <w:tc>
          <w:tcPr>
            <w:tcW w:w="808"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276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氯化物</w:t>
            </w:r>
          </w:p>
        </w:tc>
        <w:tc>
          <w:tcPr>
            <w:tcW w:w="733"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17.3</w:t>
            </w:r>
          </w:p>
        </w:tc>
        <w:tc>
          <w:tcPr>
            <w:tcW w:w="70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13.2</w:t>
            </w:r>
          </w:p>
        </w:tc>
        <w:tc>
          <w:tcPr>
            <w:tcW w:w="717"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23.4</w:t>
            </w:r>
          </w:p>
        </w:tc>
        <w:tc>
          <w:tcPr>
            <w:tcW w:w="75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6.94</w:t>
            </w:r>
          </w:p>
        </w:tc>
        <w:tc>
          <w:tcPr>
            <w:tcW w:w="808"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6.80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硫酸盐</w:t>
            </w:r>
          </w:p>
        </w:tc>
        <w:tc>
          <w:tcPr>
            <w:tcW w:w="733"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6.62</w:t>
            </w:r>
          </w:p>
        </w:tc>
        <w:tc>
          <w:tcPr>
            <w:tcW w:w="70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12.0</w:t>
            </w:r>
          </w:p>
        </w:tc>
        <w:tc>
          <w:tcPr>
            <w:tcW w:w="717"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64.0</w:t>
            </w:r>
          </w:p>
        </w:tc>
        <w:tc>
          <w:tcPr>
            <w:tcW w:w="75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19.8</w:t>
            </w:r>
          </w:p>
        </w:tc>
        <w:tc>
          <w:tcPr>
            <w:tcW w:w="808"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19.6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矿化度mg/L</w:t>
            </w:r>
          </w:p>
        </w:tc>
        <w:tc>
          <w:tcPr>
            <w:tcW w:w="1228"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337.47</w:t>
            </w:r>
          </w:p>
        </w:tc>
        <w:tc>
          <w:tcPr>
            <w:tcW w:w="1172"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338.9</w:t>
            </w:r>
          </w:p>
        </w:tc>
        <w:tc>
          <w:tcPr>
            <w:tcW w:w="1200"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437.8</w:t>
            </w:r>
          </w:p>
        </w:tc>
        <w:tc>
          <w:tcPr>
            <w:tcW w:w="1255"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298.37</w:t>
            </w:r>
          </w:p>
        </w:tc>
        <w:tc>
          <w:tcPr>
            <w:tcW w:w="1353"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305.72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5000" w:type="pct"/>
            <w:gridSpan w:val="6"/>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当量浓度（meq/L）</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钠+钾</w:t>
            </w:r>
          </w:p>
        </w:tc>
        <w:tc>
          <w:tcPr>
            <w:tcW w:w="733"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0.14 </w:t>
            </w:r>
          </w:p>
        </w:tc>
        <w:tc>
          <w:tcPr>
            <w:tcW w:w="70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0.07 </w:t>
            </w:r>
          </w:p>
        </w:tc>
        <w:tc>
          <w:tcPr>
            <w:tcW w:w="717"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0.55 </w:t>
            </w:r>
          </w:p>
        </w:tc>
        <w:tc>
          <w:tcPr>
            <w:tcW w:w="75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0.09 </w:t>
            </w:r>
          </w:p>
        </w:tc>
        <w:tc>
          <w:tcPr>
            <w:tcW w:w="808"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0.09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1289"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钙</w:t>
            </w:r>
          </w:p>
        </w:tc>
        <w:tc>
          <w:tcPr>
            <w:tcW w:w="733"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8.00 </w:t>
            </w:r>
          </w:p>
        </w:tc>
        <w:tc>
          <w:tcPr>
            <w:tcW w:w="70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7.45 </w:t>
            </w:r>
          </w:p>
        </w:tc>
        <w:tc>
          <w:tcPr>
            <w:tcW w:w="717"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3.93 </w:t>
            </w:r>
          </w:p>
        </w:tc>
        <w:tc>
          <w:tcPr>
            <w:tcW w:w="75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5.65 </w:t>
            </w:r>
          </w:p>
        </w:tc>
        <w:tc>
          <w:tcPr>
            <w:tcW w:w="808"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6.10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镁</w:t>
            </w:r>
          </w:p>
        </w:tc>
        <w:tc>
          <w:tcPr>
            <w:tcW w:w="733"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1.10 </w:t>
            </w:r>
          </w:p>
        </w:tc>
        <w:tc>
          <w:tcPr>
            <w:tcW w:w="70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0.69 </w:t>
            </w:r>
          </w:p>
        </w:tc>
        <w:tc>
          <w:tcPr>
            <w:tcW w:w="717"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0.04 </w:t>
            </w:r>
          </w:p>
        </w:tc>
        <w:tc>
          <w:tcPr>
            <w:tcW w:w="75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1.17 </w:t>
            </w:r>
          </w:p>
        </w:tc>
        <w:tc>
          <w:tcPr>
            <w:tcW w:w="808"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1.15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碳酸根</w:t>
            </w:r>
          </w:p>
        </w:tc>
        <w:tc>
          <w:tcPr>
            <w:tcW w:w="733"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 xml:space="preserve">0.00 </w:t>
            </w:r>
          </w:p>
        </w:tc>
        <w:tc>
          <w:tcPr>
            <w:tcW w:w="70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 xml:space="preserve">0.00 </w:t>
            </w:r>
          </w:p>
        </w:tc>
        <w:tc>
          <w:tcPr>
            <w:tcW w:w="717"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 xml:space="preserve">0.00 </w:t>
            </w:r>
          </w:p>
        </w:tc>
        <w:tc>
          <w:tcPr>
            <w:tcW w:w="75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 xml:space="preserve">0.00 </w:t>
            </w:r>
          </w:p>
        </w:tc>
        <w:tc>
          <w:tcPr>
            <w:tcW w:w="808"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 xml:space="preserve">0.00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重碳酸根</w:t>
            </w:r>
          </w:p>
        </w:tc>
        <w:tc>
          <w:tcPr>
            <w:tcW w:w="733"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4.31 </w:t>
            </w:r>
          </w:p>
        </w:tc>
        <w:tc>
          <w:tcPr>
            <w:tcW w:w="70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4.98 </w:t>
            </w:r>
          </w:p>
        </w:tc>
        <w:tc>
          <w:tcPr>
            <w:tcW w:w="717"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7.77 </w:t>
            </w:r>
          </w:p>
        </w:tc>
        <w:tc>
          <w:tcPr>
            <w:tcW w:w="75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4.56 </w:t>
            </w:r>
          </w:p>
        </w:tc>
        <w:tc>
          <w:tcPr>
            <w:tcW w:w="808"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4.52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氯化物</w:t>
            </w:r>
          </w:p>
        </w:tc>
        <w:tc>
          <w:tcPr>
            <w:tcW w:w="733"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0.49 </w:t>
            </w:r>
          </w:p>
        </w:tc>
        <w:tc>
          <w:tcPr>
            <w:tcW w:w="70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0.38 </w:t>
            </w:r>
          </w:p>
        </w:tc>
        <w:tc>
          <w:tcPr>
            <w:tcW w:w="717"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0.67 </w:t>
            </w:r>
          </w:p>
        </w:tc>
        <w:tc>
          <w:tcPr>
            <w:tcW w:w="75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0.20 </w:t>
            </w:r>
          </w:p>
        </w:tc>
        <w:tc>
          <w:tcPr>
            <w:tcW w:w="808"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0.19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硫酸盐</w:t>
            </w:r>
          </w:p>
        </w:tc>
        <w:tc>
          <w:tcPr>
            <w:tcW w:w="733"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0.14 </w:t>
            </w:r>
          </w:p>
        </w:tc>
        <w:tc>
          <w:tcPr>
            <w:tcW w:w="70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0.25 </w:t>
            </w:r>
          </w:p>
        </w:tc>
        <w:tc>
          <w:tcPr>
            <w:tcW w:w="717"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1.33 </w:t>
            </w:r>
          </w:p>
        </w:tc>
        <w:tc>
          <w:tcPr>
            <w:tcW w:w="75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0.41 </w:t>
            </w:r>
          </w:p>
        </w:tc>
        <w:tc>
          <w:tcPr>
            <w:tcW w:w="808"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0.41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5000" w:type="pct"/>
            <w:gridSpan w:val="6"/>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当量浓度比例（meq%）</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钠+钾</w:t>
            </w:r>
          </w:p>
        </w:tc>
        <w:tc>
          <w:tcPr>
            <w:tcW w:w="1228"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1.01 </w:t>
            </w:r>
          </w:p>
        </w:tc>
        <w:tc>
          <w:tcPr>
            <w:tcW w:w="1172"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0.52 </w:t>
            </w:r>
          </w:p>
        </w:tc>
        <w:tc>
          <w:tcPr>
            <w:tcW w:w="1200"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3.87 </w:t>
            </w:r>
          </w:p>
        </w:tc>
        <w:tc>
          <w:tcPr>
            <w:tcW w:w="1255"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0.75 </w:t>
            </w:r>
          </w:p>
        </w:tc>
        <w:tc>
          <w:tcPr>
            <w:tcW w:w="1353"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0.71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spacing w:line="240" w:lineRule="auto"/>
              <w:ind w:firstLine="0" w:firstLineChars="0"/>
              <w:jc w:val="center"/>
              <w:rPr>
                <w:rFonts w:cs="Times New Roman"/>
                <w:color w:val="000000" w:themeColor="text1"/>
                <w:kern w:val="0"/>
                <w:sz w:val="21"/>
                <w:szCs w:val="21"/>
                <w:shd w:val="pct10" w:color="auto" w:fill="FFFFFF"/>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钙</w:t>
            </w:r>
          </w:p>
        </w:tc>
        <w:tc>
          <w:tcPr>
            <w:tcW w:w="1228"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56.39 </w:t>
            </w:r>
          </w:p>
        </w:tc>
        <w:tc>
          <w:tcPr>
            <w:tcW w:w="1172"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53.91 </w:t>
            </w:r>
          </w:p>
        </w:tc>
        <w:tc>
          <w:tcPr>
            <w:tcW w:w="1200"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27.49 </w:t>
            </w:r>
          </w:p>
        </w:tc>
        <w:tc>
          <w:tcPr>
            <w:tcW w:w="1255"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46.79 </w:t>
            </w:r>
          </w:p>
        </w:tc>
        <w:tc>
          <w:tcPr>
            <w:tcW w:w="1353"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48.93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镁</w:t>
            </w:r>
          </w:p>
        </w:tc>
        <w:tc>
          <w:tcPr>
            <w:tcW w:w="1228"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7.75 </w:t>
            </w:r>
          </w:p>
        </w:tc>
        <w:tc>
          <w:tcPr>
            <w:tcW w:w="1172"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4.96 </w:t>
            </w:r>
          </w:p>
        </w:tc>
        <w:tc>
          <w:tcPr>
            <w:tcW w:w="1200"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0.29 </w:t>
            </w:r>
          </w:p>
        </w:tc>
        <w:tc>
          <w:tcPr>
            <w:tcW w:w="1255"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9.66 </w:t>
            </w:r>
          </w:p>
        </w:tc>
        <w:tc>
          <w:tcPr>
            <w:tcW w:w="1353"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9.22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碳酸根</w:t>
            </w:r>
          </w:p>
        </w:tc>
        <w:tc>
          <w:tcPr>
            <w:tcW w:w="733"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 xml:space="preserve">0.00 </w:t>
            </w:r>
          </w:p>
        </w:tc>
        <w:tc>
          <w:tcPr>
            <w:tcW w:w="70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 xml:space="preserve">0.00 </w:t>
            </w:r>
          </w:p>
        </w:tc>
        <w:tc>
          <w:tcPr>
            <w:tcW w:w="717"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 xml:space="preserve">0.00 </w:t>
            </w:r>
          </w:p>
        </w:tc>
        <w:tc>
          <w:tcPr>
            <w:tcW w:w="750"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 xml:space="preserve">0.00 </w:t>
            </w:r>
          </w:p>
        </w:tc>
        <w:tc>
          <w:tcPr>
            <w:tcW w:w="808" w:type="pc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 xml:space="preserve">0.00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spacing w:line="240" w:lineRule="auto"/>
              <w:ind w:firstLine="0" w:firstLineChars="0"/>
              <w:jc w:val="center"/>
              <w:rPr>
                <w:rFonts w:cs="Times New Roman"/>
                <w:color w:val="000000" w:themeColor="text1"/>
                <w:kern w:val="0"/>
                <w:sz w:val="21"/>
                <w:szCs w:val="21"/>
                <w:shd w:val="pct10" w:color="auto" w:fill="FFFFFF"/>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重碳酸根</w:t>
            </w:r>
          </w:p>
        </w:tc>
        <w:tc>
          <w:tcPr>
            <w:tcW w:w="1228"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30.39 </w:t>
            </w:r>
          </w:p>
        </w:tc>
        <w:tc>
          <w:tcPr>
            <w:tcW w:w="1172"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36.06 </w:t>
            </w:r>
          </w:p>
        </w:tc>
        <w:tc>
          <w:tcPr>
            <w:tcW w:w="1200"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54.35 </w:t>
            </w:r>
          </w:p>
        </w:tc>
        <w:tc>
          <w:tcPr>
            <w:tcW w:w="1255"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37.74 </w:t>
            </w:r>
          </w:p>
        </w:tc>
        <w:tc>
          <w:tcPr>
            <w:tcW w:w="1353"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36.29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jc w:val="center"/>
        </w:trPr>
        <w:tc>
          <w:tcPr>
            <w:tcW w:w="1289"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氯化物</w:t>
            </w:r>
          </w:p>
        </w:tc>
        <w:tc>
          <w:tcPr>
            <w:tcW w:w="1228"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3.48 </w:t>
            </w:r>
          </w:p>
        </w:tc>
        <w:tc>
          <w:tcPr>
            <w:tcW w:w="1172"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2.73 </w:t>
            </w:r>
          </w:p>
        </w:tc>
        <w:tc>
          <w:tcPr>
            <w:tcW w:w="1200"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4.68 </w:t>
            </w:r>
          </w:p>
        </w:tc>
        <w:tc>
          <w:tcPr>
            <w:tcW w:w="1255"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1.64 </w:t>
            </w:r>
          </w:p>
        </w:tc>
        <w:tc>
          <w:tcPr>
            <w:tcW w:w="1353"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1.56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141" w:hRule="atLeast"/>
          <w:jc w:val="center"/>
        </w:trPr>
        <w:tc>
          <w:tcPr>
            <w:tcW w:w="1289" w:type="pct"/>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硫酸盐</w:t>
            </w:r>
          </w:p>
        </w:tc>
        <w:tc>
          <w:tcPr>
            <w:tcW w:w="1228"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0.97 </w:t>
            </w:r>
          </w:p>
        </w:tc>
        <w:tc>
          <w:tcPr>
            <w:tcW w:w="1172"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1.81 </w:t>
            </w:r>
          </w:p>
        </w:tc>
        <w:tc>
          <w:tcPr>
            <w:tcW w:w="1200"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9.33 </w:t>
            </w:r>
          </w:p>
        </w:tc>
        <w:tc>
          <w:tcPr>
            <w:tcW w:w="1255"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3.42 </w:t>
            </w:r>
          </w:p>
        </w:tc>
        <w:tc>
          <w:tcPr>
            <w:tcW w:w="1353"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3.28 </w:t>
            </w:r>
          </w:p>
        </w:tc>
      </w:tr>
    </w:tbl>
    <w:p>
      <w:pPr>
        <w:spacing w:before="120" w:beforeLines="5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由表4.2-</w:t>
      </w:r>
      <w:r>
        <w:rPr>
          <w:rFonts w:hint="eastAsia" w:cs="Times New Roman"/>
          <w:bCs/>
          <w:color w:val="000000" w:themeColor="text1"/>
          <w:szCs w:val="24"/>
          <w14:textFill>
            <w14:solidFill>
              <w14:schemeClr w14:val="tx1"/>
            </w14:solidFill>
          </w14:textFill>
        </w:rPr>
        <w:t>8</w:t>
      </w:r>
      <w:r>
        <w:rPr>
          <w:rFonts w:cs="Times New Roman"/>
          <w:bCs/>
          <w:color w:val="000000" w:themeColor="text1"/>
          <w:szCs w:val="24"/>
          <w14:textFill>
            <w14:solidFill>
              <w14:schemeClr w14:val="tx1"/>
            </w14:solidFill>
          </w14:textFill>
        </w:rPr>
        <w:t>可以看出，本次评价各水样监测结果各水样的矿化度范围在</w:t>
      </w:r>
      <w:r>
        <w:rPr>
          <w:rFonts w:hint="eastAsia" w:cs="Times New Roman"/>
          <w:bCs/>
          <w:color w:val="000000" w:themeColor="text1"/>
          <w:szCs w:val="24"/>
          <w14:textFill>
            <w14:solidFill>
              <w14:schemeClr w14:val="tx1"/>
            </w14:solidFill>
          </w14:textFill>
        </w:rPr>
        <w:t>298.37</w:t>
      </w:r>
      <w:r>
        <w:rPr>
          <w:rFonts w:cs="Times New Roman"/>
          <w:bCs/>
          <w:color w:val="000000" w:themeColor="text1"/>
          <w:szCs w:val="24"/>
          <w14:textFill>
            <w14:solidFill>
              <w14:schemeClr w14:val="tx1"/>
            </w14:solidFill>
          </w14:textFill>
        </w:rPr>
        <w:t>mg/L-</w:t>
      </w:r>
      <w:r>
        <w:rPr>
          <w:rFonts w:hint="eastAsia" w:cs="Times New Roman"/>
          <w:bCs/>
          <w:color w:val="000000" w:themeColor="text1"/>
          <w:szCs w:val="24"/>
          <w14:textFill>
            <w14:solidFill>
              <w14:schemeClr w14:val="tx1"/>
            </w14:solidFill>
          </w14:textFill>
        </w:rPr>
        <w:t>437.8</w:t>
      </w:r>
      <w:r>
        <w:rPr>
          <w:rFonts w:cs="Times New Roman"/>
          <w:bCs/>
          <w:color w:val="000000" w:themeColor="text1"/>
          <w:szCs w:val="24"/>
          <w14:textFill>
            <w14:solidFill>
              <w14:schemeClr w14:val="tx1"/>
            </w14:solidFill>
          </w14:textFill>
        </w:rPr>
        <w:t>mg/L，小于1500mg/L，主要离子的阴离子及阳离子分别为</w:t>
      </w:r>
      <w:r>
        <w:rPr>
          <w:rFonts w:hint="eastAsia" w:cs="Times New Roman"/>
          <w:bCs/>
          <w:color w:val="000000" w:themeColor="text1"/>
          <w:szCs w:val="24"/>
          <w14:textFill>
            <w14:solidFill>
              <w14:schemeClr w14:val="tx1"/>
            </w14:solidFill>
          </w14:textFill>
        </w:rPr>
        <w:t>重碳酸根</w:t>
      </w:r>
      <w:r>
        <w:rPr>
          <w:rFonts w:cs="Times New Roman"/>
          <w:bCs/>
          <w:color w:val="000000" w:themeColor="text1"/>
          <w:szCs w:val="24"/>
          <w14:textFill>
            <w14:solidFill>
              <w14:schemeClr w14:val="tx1"/>
            </w14:solidFill>
          </w14:textFill>
        </w:rPr>
        <w:t>和</w:t>
      </w:r>
      <w:r>
        <w:rPr>
          <w:rFonts w:hint="eastAsia" w:cs="Times New Roman"/>
          <w:bCs/>
          <w:color w:val="000000" w:themeColor="text1"/>
          <w:szCs w:val="24"/>
          <w14:textFill>
            <w14:solidFill>
              <w14:schemeClr w14:val="tx1"/>
            </w14:solidFill>
          </w14:textFill>
        </w:rPr>
        <w:t>钙</w:t>
      </w:r>
      <w:r>
        <w:rPr>
          <w:rFonts w:cs="Times New Roman"/>
          <w:bCs/>
          <w:color w:val="000000" w:themeColor="text1"/>
          <w:szCs w:val="24"/>
          <w14:textFill>
            <w14:solidFill>
              <w14:schemeClr w14:val="tx1"/>
            </w14:solidFill>
          </w14:textFill>
        </w:rPr>
        <w:t>离子，因此，本项目所在区域地下水化学类型为矿化度不大于1.5g/L的</w:t>
      </w:r>
      <w:r>
        <w:rPr>
          <w:rFonts w:hint="eastAsia" w:cs="Times New Roman"/>
          <w:bCs/>
          <w:color w:val="000000" w:themeColor="text1"/>
          <w:szCs w:val="24"/>
          <w14:textFill>
            <w14:solidFill>
              <w14:schemeClr w14:val="tx1"/>
            </w14:solidFill>
          </w14:textFill>
        </w:rPr>
        <w:t>HCO</w:t>
      </w:r>
      <w:r>
        <w:rPr>
          <w:rFonts w:hint="eastAsia" w:cs="Times New Roman"/>
          <w:bCs/>
          <w:color w:val="000000" w:themeColor="text1"/>
          <w:szCs w:val="24"/>
          <w:vertAlign w:val="subscript"/>
          <w14:textFill>
            <w14:solidFill>
              <w14:schemeClr w14:val="tx1"/>
            </w14:solidFill>
          </w14:textFill>
        </w:rPr>
        <w:t>3</w:t>
      </w:r>
      <w:r>
        <w:rPr>
          <w:rFonts w:cs="Times New Roman"/>
          <w:bCs/>
          <w:color w:val="000000" w:themeColor="text1"/>
          <w:szCs w:val="24"/>
          <w14:textFill>
            <w14:solidFill>
              <w14:schemeClr w14:val="tx1"/>
            </w14:solidFill>
          </w14:textFill>
        </w:rPr>
        <w:t>-</w:t>
      </w:r>
      <w:r>
        <w:rPr>
          <w:rFonts w:hint="eastAsia" w:cs="Times New Roman"/>
          <w:bCs/>
          <w:color w:val="000000" w:themeColor="text1"/>
          <w:szCs w:val="24"/>
          <w14:textFill>
            <w14:solidFill>
              <w14:schemeClr w14:val="tx1"/>
            </w14:solidFill>
          </w14:textFill>
        </w:rPr>
        <w:t>Ca</w:t>
      </w:r>
      <w:r>
        <w:rPr>
          <w:rFonts w:cs="Times New Roman"/>
          <w:bCs/>
          <w:color w:val="000000" w:themeColor="text1"/>
          <w:szCs w:val="24"/>
          <w14:textFill>
            <w14:solidFill>
              <w14:schemeClr w14:val="tx1"/>
            </w14:solidFill>
          </w14:textFill>
        </w:rPr>
        <w:t>型水。</w:t>
      </w:r>
    </w:p>
    <w:p>
      <w:pPr>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（5）地下水动态变化特征</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工程区内地下水主要接受大气降水补给，地下水的动态变化同大气降水密切相关，一般随着降雨量的变化而变化，雨季时地下水水位上升，雨季之后地下水水位逐渐下降。同时受地形地貌和河流等蓄水体的蓄水补给影响，靠近丘谷和河流边上水井水位埋深普遍较浅。本项目区域地下水水位统计见</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REF _Ref142600224 \h  \* MERGEFORMAT </w:instrText>
      </w:r>
      <w:r>
        <w:rPr>
          <w:rFonts w:cs="Times New Roman"/>
          <w:bCs/>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表4.2</w:t>
      </w:r>
      <w:r>
        <w:rPr>
          <w:rFonts w:cs="Times New Roman"/>
          <w:color w:val="000000" w:themeColor="text1"/>
          <w14:textFill>
            <w14:solidFill>
              <w14:schemeClr w14:val="tx1"/>
            </w14:solidFill>
          </w14:textFill>
        </w:rPr>
        <w:noBreakHyphen/>
      </w:r>
      <w:r>
        <w:rPr>
          <w:rFonts w:hint="eastAsia" w:cs="Times New Roman"/>
          <w:color w:val="000000" w:themeColor="text1"/>
          <w14:textFill>
            <w14:solidFill>
              <w14:schemeClr w14:val="tx1"/>
            </w14:solidFill>
          </w14:textFill>
        </w:rPr>
        <w:t>9</w:t>
      </w:r>
      <w:r>
        <w:rPr>
          <w:rFonts w:cs="Times New Roman"/>
          <w:bCs/>
          <w:color w:val="000000" w:themeColor="text1"/>
          <w:szCs w:val="24"/>
          <w14:textFill>
            <w14:solidFill>
              <w14:schemeClr w14:val="tx1"/>
            </w14:solidFill>
          </w14:textFill>
        </w:rPr>
        <w:fldChar w:fldCharType="end"/>
      </w:r>
      <w:r>
        <w:rPr>
          <w:rFonts w:cs="Times New Roman"/>
          <w:bCs/>
          <w:color w:val="000000" w:themeColor="text1"/>
          <w:szCs w:val="24"/>
          <w14:textFill>
            <w14:solidFill>
              <w14:schemeClr w14:val="tx1"/>
            </w14:solidFill>
          </w14:textFill>
        </w:rPr>
        <w:t>，点位分布见图附图2。</w:t>
      </w:r>
    </w:p>
    <w:p>
      <w:pPr>
        <w:pStyle w:val="95"/>
      </w:pPr>
      <w:bookmarkStart w:id="223" w:name="_Ref142600224"/>
      <w:r>
        <w:t>表</w:t>
      </w:r>
      <w:r>
        <w:fldChar w:fldCharType="begin"/>
      </w:r>
      <w:r>
        <w:instrText xml:space="preserve"> STYLEREF 2 \s </w:instrText>
      </w:r>
      <w:r>
        <w:fldChar w:fldCharType="separate"/>
      </w:r>
      <w:r>
        <w:t>4.2</w:t>
      </w:r>
      <w:r>
        <w:fldChar w:fldCharType="end"/>
      </w:r>
      <w:r>
        <w:noBreakHyphen/>
      </w:r>
      <w:bookmarkEnd w:id="223"/>
      <w:r>
        <w:rPr>
          <w:rFonts w:hint="eastAsia"/>
        </w:rPr>
        <w:t>9</w:t>
      </w:r>
      <w:r>
        <w:t xml:space="preserve"> 本项目区域地下水水位统计一览表</w:t>
      </w:r>
    </w:p>
    <w:tbl>
      <w:tblPr>
        <w:tblStyle w:val="52"/>
        <w:tblW w:w="825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894"/>
        <w:gridCol w:w="1908"/>
        <w:gridCol w:w="2148"/>
        <w:gridCol w:w="1155"/>
        <w:gridCol w:w="826"/>
        <w:gridCol w:w="132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71" w:hRule="atLeast"/>
          <w:jc w:val="center"/>
        </w:trPr>
        <w:tc>
          <w:tcPr>
            <w:tcW w:w="894"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bookmarkStart w:id="224" w:name="_Toc120173132"/>
            <w:r>
              <w:rPr>
                <w:rFonts w:cs="Times New Roman"/>
                <w:color w:val="000000" w:themeColor="text1"/>
                <w:kern w:val="0"/>
                <w:sz w:val="21"/>
                <w:szCs w:val="21"/>
                <w:lang w:eastAsia="en-US"/>
                <w14:textFill>
                  <w14:solidFill>
                    <w14:schemeClr w14:val="tx1"/>
                  </w14:solidFill>
                </w14:textFill>
              </w:rPr>
              <w:t>编号</w:t>
            </w:r>
          </w:p>
        </w:tc>
        <w:tc>
          <w:tcPr>
            <w:tcW w:w="1908"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地下水点位信息</w:t>
            </w:r>
          </w:p>
        </w:tc>
        <w:tc>
          <w:tcPr>
            <w:tcW w:w="2148"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位置</w:t>
            </w:r>
          </w:p>
        </w:tc>
        <w:tc>
          <w:tcPr>
            <w:tcW w:w="1155"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水位标高（m）</w:t>
            </w:r>
          </w:p>
        </w:tc>
        <w:tc>
          <w:tcPr>
            <w:tcW w:w="826" w:type="dxa"/>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埋深（m）</w:t>
            </w:r>
          </w:p>
        </w:tc>
        <w:tc>
          <w:tcPr>
            <w:tcW w:w="1327" w:type="dxa"/>
            <w:vAlign w:val="center"/>
          </w:tcPr>
          <w:p>
            <w:pPr>
              <w:widowControl/>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调查点类型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10" w:hRule="atLeast"/>
          <w:jc w:val="center"/>
        </w:trPr>
        <w:tc>
          <w:tcPr>
            <w:tcW w:w="894"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S1</w:t>
            </w:r>
          </w:p>
        </w:tc>
        <w:tc>
          <w:tcPr>
            <w:tcW w:w="1908"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项目南方</w:t>
            </w:r>
          </w:p>
        </w:tc>
        <w:tc>
          <w:tcPr>
            <w:tcW w:w="2148"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107.759450°E</w:t>
            </w:r>
          </w:p>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31.524779°N</w:t>
            </w:r>
          </w:p>
        </w:tc>
        <w:tc>
          <w:tcPr>
            <w:tcW w:w="1155"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638.5</w:t>
            </w:r>
          </w:p>
        </w:tc>
        <w:tc>
          <w:tcPr>
            <w:tcW w:w="826"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1327"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泉水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10" w:hRule="atLeast"/>
          <w:jc w:val="center"/>
        </w:trPr>
        <w:tc>
          <w:tcPr>
            <w:tcW w:w="894"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S2</w:t>
            </w:r>
          </w:p>
        </w:tc>
        <w:tc>
          <w:tcPr>
            <w:tcW w:w="1908"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项目西方</w:t>
            </w:r>
          </w:p>
        </w:tc>
        <w:tc>
          <w:tcPr>
            <w:tcW w:w="2148"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107.759267°E</w:t>
            </w:r>
          </w:p>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31.528437°N</w:t>
            </w:r>
          </w:p>
        </w:tc>
        <w:tc>
          <w:tcPr>
            <w:tcW w:w="1155"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486.6</w:t>
            </w:r>
          </w:p>
        </w:tc>
        <w:tc>
          <w:tcPr>
            <w:tcW w:w="826"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1327"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泉水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10" w:hRule="atLeast"/>
          <w:jc w:val="center"/>
        </w:trPr>
        <w:tc>
          <w:tcPr>
            <w:tcW w:w="894"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S3</w:t>
            </w:r>
          </w:p>
        </w:tc>
        <w:tc>
          <w:tcPr>
            <w:tcW w:w="1908"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项目东方</w:t>
            </w:r>
          </w:p>
        </w:tc>
        <w:tc>
          <w:tcPr>
            <w:tcW w:w="2148"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107.765072°E</w:t>
            </w:r>
          </w:p>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31.527971°N</w:t>
            </w:r>
          </w:p>
        </w:tc>
        <w:tc>
          <w:tcPr>
            <w:tcW w:w="1155"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437.4</w:t>
            </w:r>
          </w:p>
        </w:tc>
        <w:tc>
          <w:tcPr>
            <w:tcW w:w="826"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1327"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泉水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71" w:hRule="atLeast"/>
          <w:jc w:val="center"/>
        </w:trPr>
        <w:tc>
          <w:tcPr>
            <w:tcW w:w="894"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S4</w:t>
            </w:r>
          </w:p>
        </w:tc>
        <w:tc>
          <w:tcPr>
            <w:tcW w:w="1908"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项目西北方向</w:t>
            </w:r>
          </w:p>
        </w:tc>
        <w:tc>
          <w:tcPr>
            <w:tcW w:w="2148"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107.760737°E</w:t>
            </w:r>
          </w:p>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31.530797°N</w:t>
            </w:r>
          </w:p>
        </w:tc>
        <w:tc>
          <w:tcPr>
            <w:tcW w:w="1155"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353.2</w:t>
            </w:r>
          </w:p>
        </w:tc>
        <w:tc>
          <w:tcPr>
            <w:tcW w:w="826"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1327"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泉水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609" w:hRule="atLeast"/>
          <w:jc w:val="center"/>
        </w:trPr>
        <w:tc>
          <w:tcPr>
            <w:tcW w:w="894"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S5</w:t>
            </w:r>
          </w:p>
        </w:tc>
        <w:tc>
          <w:tcPr>
            <w:tcW w:w="1908"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项目东北方向</w:t>
            </w:r>
          </w:p>
        </w:tc>
        <w:tc>
          <w:tcPr>
            <w:tcW w:w="2148"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107.764063°E</w:t>
            </w:r>
          </w:p>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31.530477°N</w:t>
            </w:r>
          </w:p>
        </w:tc>
        <w:tc>
          <w:tcPr>
            <w:tcW w:w="1155"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362.5</w:t>
            </w:r>
          </w:p>
        </w:tc>
        <w:tc>
          <w:tcPr>
            <w:tcW w:w="826"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w:t>
            </w:r>
          </w:p>
        </w:tc>
        <w:tc>
          <w:tcPr>
            <w:tcW w:w="1327"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泉水</w:t>
            </w:r>
          </w:p>
        </w:tc>
      </w:tr>
    </w:tbl>
    <w:p>
      <w:pPr>
        <w:pStyle w:val="5"/>
      </w:pPr>
      <w:r>
        <w:rPr>
          <w:rFonts w:hint="eastAsia"/>
        </w:rPr>
        <w:t>4.2.4.2</w:t>
      </w:r>
      <w:r>
        <w:t xml:space="preserve"> </w:t>
      </w:r>
      <w:r>
        <w:rPr>
          <w:rFonts w:hint="eastAsia"/>
        </w:rPr>
        <w:t>包气带</w:t>
      </w:r>
      <w:r>
        <w:t>调查情况</w:t>
      </w:r>
    </w:p>
    <w:p>
      <w:pPr>
        <w:ind w:firstLine="480"/>
      </w:pPr>
      <w:r>
        <w:rPr>
          <w:rFonts w:hint="eastAsia"/>
        </w:rPr>
        <w:t>根据《环境</w:t>
      </w:r>
      <w:r>
        <w:t>影响评价技术导则</w:t>
      </w:r>
      <w:r>
        <w:rPr>
          <w:rFonts w:hint="eastAsia"/>
        </w:rPr>
        <w:t>》（HJ610-2016），地下水</w:t>
      </w:r>
      <w:r>
        <w:t>二级评价的</w:t>
      </w:r>
      <w:r>
        <w:rPr>
          <w:rFonts w:hint="eastAsia"/>
        </w:rPr>
        <w:t>改扩建</w:t>
      </w:r>
      <w:r>
        <w:t>类</w:t>
      </w:r>
      <w:r>
        <w:rPr>
          <w:rFonts w:hint="eastAsia"/>
        </w:rPr>
        <w:t>建设</w:t>
      </w:r>
      <w:r>
        <w:t>项目应开展现有工业场地的包气带污染物现状调查。</w:t>
      </w:r>
    </w:p>
    <w:p>
      <w:pPr>
        <w:ind w:firstLine="480"/>
      </w:pPr>
      <w:r>
        <w:rPr>
          <w:rFonts w:hint="eastAsia"/>
        </w:rPr>
        <w:t>现有</w:t>
      </w:r>
      <w:r>
        <w:t>项目</w:t>
      </w:r>
      <w:r>
        <w:rPr>
          <w:rFonts w:hint="eastAsia"/>
        </w:rPr>
        <w:t>可能</w:t>
      </w:r>
      <w:r>
        <w:t>造成地下水污染的主要装置或设施</w:t>
      </w:r>
      <w:r>
        <w:rPr>
          <w:rFonts w:hint="eastAsia"/>
        </w:rPr>
        <w:t>主要为施工期储存液体物料</w:t>
      </w:r>
      <w:r>
        <w:t>、废</w:t>
      </w:r>
      <w:r>
        <w:rPr>
          <w:rFonts w:hint="eastAsia"/>
        </w:rPr>
        <w:t>水</w:t>
      </w:r>
      <w:r>
        <w:t>的罐体和放喷池，运营期</w:t>
      </w:r>
      <w:r>
        <w:rPr>
          <w:rFonts w:hint="eastAsia"/>
        </w:rPr>
        <w:t>使用</w:t>
      </w:r>
      <w:r>
        <w:t>的分酸分离罐</w:t>
      </w:r>
      <w:r>
        <w:rPr>
          <w:rFonts w:hint="eastAsia"/>
        </w:rPr>
        <w:t>。项目现有</w:t>
      </w:r>
      <w:r>
        <w:t>工程于</w:t>
      </w:r>
      <w:r>
        <w:rPr>
          <w:rFonts w:hint="eastAsia"/>
        </w:rPr>
        <w:t>20</w:t>
      </w:r>
      <w:r>
        <w:t>13</w:t>
      </w:r>
      <w:r>
        <w:rPr>
          <w:rFonts w:hint="eastAsia"/>
        </w:rPr>
        <w:t>年</w:t>
      </w:r>
      <w:r>
        <w:t>前</w:t>
      </w:r>
      <w:r>
        <w:rPr>
          <w:rFonts w:hint="eastAsia"/>
        </w:rPr>
        <w:t>建设完成并进行</w:t>
      </w:r>
      <w:r>
        <w:t>了验收，</w:t>
      </w:r>
      <w:r>
        <w:rPr>
          <w:rFonts w:hint="eastAsia"/>
        </w:rPr>
        <w:t>现有</w:t>
      </w:r>
      <w:r>
        <w:t>项目施工期未出现</w:t>
      </w:r>
      <w:r>
        <w:rPr>
          <w:rFonts w:hint="eastAsia"/>
        </w:rPr>
        <w:t>物料</w:t>
      </w:r>
      <w:r>
        <w:t>泄漏</w:t>
      </w:r>
      <w:r>
        <w:rPr>
          <w:rFonts w:hint="eastAsia"/>
        </w:rPr>
        <w:t>污染土壤</w:t>
      </w:r>
      <w:r>
        <w:t>及地下水的情况</w:t>
      </w:r>
      <w:r>
        <w:rPr>
          <w:rFonts w:hint="eastAsia"/>
        </w:rPr>
        <w:t>；</w:t>
      </w:r>
      <w:r>
        <w:t>运行期</w:t>
      </w:r>
      <w:r>
        <w:rPr>
          <w:rFonts w:hint="eastAsia"/>
        </w:rPr>
        <w:t>的分酸</w:t>
      </w:r>
      <w:r>
        <w:t>分离的废液暂存罐置于已防渗处理的围堰区域</w:t>
      </w:r>
      <w:r>
        <w:rPr>
          <w:rFonts w:hint="eastAsia"/>
        </w:rPr>
        <w:t>内</w:t>
      </w:r>
      <w:r>
        <w:t>，</w:t>
      </w:r>
      <w:r>
        <w:rPr>
          <w:rFonts w:hint="eastAsia"/>
        </w:rPr>
        <w:t>并</w:t>
      </w:r>
      <w:r>
        <w:t>定期维护检查，经调查</w:t>
      </w:r>
      <w:r>
        <w:rPr>
          <w:rFonts w:hint="eastAsia"/>
        </w:rPr>
        <w:t>运营</w:t>
      </w:r>
      <w:r>
        <w:t>期未发生物料泄漏</w:t>
      </w:r>
      <w:r>
        <w:rPr>
          <w:rFonts w:hint="eastAsia"/>
        </w:rPr>
        <w:t>事故</w:t>
      </w:r>
      <w:r>
        <w:t>。</w:t>
      </w:r>
    </w:p>
    <w:p>
      <w:pPr>
        <w:ind w:firstLine="480"/>
      </w:pPr>
      <w:r>
        <w:rPr>
          <w:rFonts w:hint="eastAsia"/>
        </w:rPr>
        <w:t>运营期的分酸</w:t>
      </w:r>
      <w:r>
        <w:t>分离罐</w:t>
      </w:r>
      <w:r>
        <w:rPr>
          <w:rFonts w:hint="eastAsia"/>
        </w:rPr>
        <w:t>位于井场</w:t>
      </w:r>
      <w:r>
        <w:t>内，</w:t>
      </w:r>
      <w:r>
        <w:rPr>
          <w:rFonts w:hint="eastAsia"/>
        </w:rPr>
        <w:t>出入井</w:t>
      </w:r>
      <w:r>
        <w:t>场</w:t>
      </w:r>
      <w:r>
        <w:rPr>
          <w:rFonts w:hint="eastAsia"/>
        </w:rPr>
        <w:t>需要</w:t>
      </w:r>
      <w:r>
        <w:t>进行一</w:t>
      </w:r>
      <w:r>
        <w:rPr>
          <w:rFonts w:hint="eastAsia"/>
        </w:rPr>
        <w:t>系列</w:t>
      </w:r>
      <w:r>
        <w:t>的安全和应急</w:t>
      </w:r>
      <w:r>
        <w:rPr>
          <w:rFonts w:hint="eastAsia"/>
        </w:rPr>
        <w:t>处置</w:t>
      </w:r>
      <w:r>
        <w:t>培训</w:t>
      </w:r>
      <w:r>
        <w:rPr>
          <w:rFonts w:hint="eastAsia"/>
        </w:rPr>
        <w:t>，监测</w:t>
      </w:r>
      <w:r>
        <w:t>单位的采样人员</w:t>
      </w:r>
      <w:r>
        <w:rPr>
          <w:rFonts w:hint="eastAsia"/>
        </w:rPr>
        <w:t>短</w:t>
      </w:r>
      <w:r>
        <w:t>时间内无法</w:t>
      </w:r>
      <w:r>
        <w:rPr>
          <w:rFonts w:hint="eastAsia"/>
        </w:rPr>
        <w:t>满足</w:t>
      </w:r>
      <w:r>
        <w:t>相关</w:t>
      </w:r>
      <w:r>
        <w:rPr>
          <w:rFonts w:hint="eastAsia"/>
        </w:rPr>
        <w:t>制度</w:t>
      </w:r>
      <w:r>
        <w:t>要求，</w:t>
      </w:r>
      <w:r>
        <w:rPr>
          <w:rFonts w:hint="eastAsia"/>
        </w:rPr>
        <w:t>出于</w:t>
      </w:r>
      <w:r>
        <w:t>安全考虑，本次评价未进行现有项目场地内的</w:t>
      </w:r>
      <w:r>
        <w:rPr>
          <w:rFonts w:hint="eastAsia"/>
        </w:rPr>
        <w:t>包气带</w:t>
      </w:r>
      <w:r>
        <w:t>监测调查，包气带的污染状况采用</w:t>
      </w:r>
      <w:r>
        <w:rPr>
          <w:rFonts w:hint="eastAsia"/>
        </w:rPr>
        <w:t>资料</w:t>
      </w:r>
      <w:r>
        <w:t>分析的方法进行判断</w:t>
      </w:r>
      <w:r>
        <w:rPr>
          <w:rFonts w:hint="eastAsia"/>
        </w:rPr>
        <w:t>，</w:t>
      </w:r>
      <w:r>
        <w:t>现有项目</w:t>
      </w:r>
      <w:r>
        <w:rPr>
          <w:rFonts w:hint="eastAsia"/>
        </w:rPr>
        <w:t>从</w:t>
      </w:r>
      <w:r>
        <w:t>建设到投入</w:t>
      </w:r>
      <w:r>
        <w:rPr>
          <w:rFonts w:hint="eastAsia"/>
        </w:rPr>
        <w:t>运营未</w:t>
      </w:r>
      <w:r>
        <w:t>发生泄露等事故，未出现污水或废液地面漫流的情况，</w:t>
      </w:r>
      <w:r>
        <w:rPr>
          <w:rFonts w:hint="eastAsia"/>
        </w:rPr>
        <w:t>由此判断</w:t>
      </w:r>
      <w:r>
        <w:t>现有项目场地内包气带未</w:t>
      </w:r>
      <w:r>
        <w:rPr>
          <w:rFonts w:hint="eastAsia"/>
        </w:rPr>
        <w:t>受到</w:t>
      </w:r>
      <w:r>
        <w:t>项目的污染。</w:t>
      </w:r>
    </w:p>
    <w:p>
      <w:pPr>
        <w:pStyle w:val="4"/>
        <w:ind w:firstLine="241"/>
        <w:rPr>
          <w:b w:val="0"/>
        </w:rPr>
      </w:pPr>
      <w:r>
        <w:rPr>
          <w:rFonts w:hint="eastAsia"/>
        </w:rPr>
        <w:t>4.2.5</w:t>
      </w:r>
      <w:r>
        <w:t>土壤环境质量现状</w:t>
      </w:r>
      <w:bookmarkEnd w:id="224"/>
    </w:p>
    <w:p>
      <w:pPr>
        <w:pStyle w:val="5"/>
      </w:pPr>
      <w:r>
        <w:rPr>
          <w:rFonts w:hint="eastAsia"/>
        </w:rPr>
        <w:t>4.2.5.1</w:t>
      </w:r>
      <w:r>
        <w:t>土壤理化性质调查、利用状况调查</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次评价重点针对平台周边200m范围进行调查，通过调查相关资料，并结合国家土壤信息服务平台（中国1km土壤类型图），本项目周边土壤类型属棕色壤土。为了解项目所在区域的环境质量现状，本次评价委托四川省允诺信检测技术有限公司对项目所在区域进行了土壤环境现状监测与调查。周边土壤理化特性见</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REF _Ref142600216 \h  \* MERGEFORMAT </w:instrText>
      </w:r>
      <w:r>
        <w:rPr>
          <w:rFonts w:cs="Times New Roman"/>
          <w:bCs/>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表4.2</w:t>
      </w:r>
      <w:r>
        <w:rPr>
          <w:rFonts w:cs="Times New Roman"/>
          <w:color w:val="000000" w:themeColor="text1"/>
          <w14:textFill>
            <w14:solidFill>
              <w14:schemeClr w14:val="tx1"/>
            </w14:solidFill>
          </w14:textFill>
        </w:rPr>
        <w:noBreakHyphen/>
      </w:r>
      <w:r>
        <w:rPr>
          <w:rFonts w:hint="eastAsia" w:cs="Times New Roman"/>
          <w:color w:val="000000" w:themeColor="text1"/>
          <w14:textFill>
            <w14:solidFill>
              <w14:schemeClr w14:val="tx1"/>
            </w14:solidFill>
          </w14:textFill>
        </w:rPr>
        <w:t>1</w:t>
      </w:r>
      <w:r>
        <w:rPr>
          <w:rFonts w:cs="Times New Roman"/>
          <w:bCs/>
          <w:color w:val="000000" w:themeColor="text1"/>
          <w:szCs w:val="24"/>
          <w14:textFill>
            <w14:solidFill>
              <w14:schemeClr w14:val="tx1"/>
            </w14:solidFill>
          </w14:textFill>
        </w:rPr>
        <w:fldChar w:fldCharType="end"/>
      </w:r>
      <w:r>
        <w:rPr>
          <w:rFonts w:hint="eastAsia" w:cs="Times New Roman"/>
          <w:bCs/>
          <w:color w:val="000000" w:themeColor="text1"/>
          <w:szCs w:val="24"/>
          <w14:textFill>
            <w14:solidFill>
              <w14:schemeClr w14:val="tx1"/>
            </w14:solidFill>
          </w14:textFill>
        </w:rPr>
        <w:t>0</w:t>
      </w:r>
      <w:r>
        <w:rPr>
          <w:rFonts w:cs="Times New Roman"/>
          <w:bCs/>
          <w:color w:val="000000" w:themeColor="text1"/>
          <w:szCs w:val="24"/>
          <w14:textFill>
            <w14:solidFill>
              <w14:schemeClr w14:val="tx1"/>
            </w14:solidFill>
          </w14:textFill>
        </w:rPr>
        <w:t>。</w:t>
      </w:r>
    </w:p>
    <w:p>
      <w:pPr>
        <w:pStyle w:val="95"/>
      </w:pPr>
      <w:bookmarkStart w:id="225" w:name="_Ref142600216"/>
      <w:r>
        <w:t>表</w:t>
      </w:r>
      <w:r>
        <w:fldChar w:fldCharType="begin"/>
      </w:r>
      <w:r>
        <w:instrText xml:space="preserve"> STYLEREF 2 \s </w:instrText>
      </w:r>
      <w:r>
        <w:fldChar w:fldCharType="separate"/>
      </w:r>
      <w:r>
        <w:t>4.2</w:t>
      </w:r>
      <w:r>
        <w:fldChar w:fldCharType="end"/>
      </w:r>
      <w:r>
        <w:noBreakHyphen/>
      </w:r>
      <w:bookmarkEnd w:id="225"/>
      <w:r>
        <w:rPr>
          <w:rFonts w:hint="eastAsia"/>
        </w:rPr>
        <w:t>10</w:t>
      </w:r>
      <w:r>
        <w:t>土壤理化特性调查表</w:t>
      </w:r>
    </w:p>
    <w:tbl>
      <w:tblPr>
        <w:tblStyle w:val="52"/>
        <w:tblW w:w="513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4"/>
        <w:gridCol w:w="2949"/>
        <w:gridCol w:w="45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695" w:type="pct"/>
            <w:vMerge w:val="restart"/>
            <w:tcBorders>
              <w:top w:val="single" w:color="auto" w:sz="8" w:space="0"/>
              <w:left w:val="single" w:color="auto" w:sz="8" w:space="0"/>
            </w:tcBorders>
            <w:tcMar>
              <w:top w:w="57" w:type="dxa"/>
              <w:left w:w="0" w:type="dxa"/>
              <w:bottom w:w="57" w:type="dxa"/>
              <w:right w:w="0" w:type="dxa"/>
            </w:tcMar>
            <w:vAlign w:val="center"/>
          </w:tcPr>
          <w:p>
            <w:pPr>
              <w:pStyle w:val="294"/>
            </w:pPr>
            <w:r>
              <w:t>采样日期</w:t>
            </w:r>
          </w:p>
        </w:tc>
        <w:tc>
          <w:tcPr>
            <w:tcW w:w="1703" w:type="pct"/>
            <w:vMerge w:val="restart"/>
            <w:tcBorders>
              <w:top w:val="single" w:color="auto" w:sz="8" w:space="0"/>
              <w:tl2br w:val="single" w:color="auto" w:sz="4" w:space="0"/>
            </w:tcBorders>
            <w:tcMar>
              <w:top w:w="57" w:type="dxa"/>
              <w:left w:w="0" w:type="dxa"/>
              <w:bottom w:w="57" w:type="dxa"/>
              <w:right w:w="0" w:type="dxa"/>
            </w:tcMar>
            <w:vAlign w:val="center"/>
          </w:tcPr>
          <w:p>
            <w:pPr>
              <w:pStyle w:val="294"/>
              <w:rPr>
                <w:szCs w:val="24"/>
              </w:rPr>
            </w:pPr>
            <w:r>
              <w:t>检测点位</w:t>
            </w:r>
          </w:p>
          <w:p>
            <w:pPr>
              <w:pStyle w:val="294"/>
              <w:rPr>
                <w:szCs w:val="24"/>
              </w:rPr>
            </w:pPr>
            <w:r>
              <w:t>检测项目</w:t>
            </w:r>
          </w:p>
        </w:tc>
        <w:tc>
          <w:tcPr>
            <w:tcW w:w="2600" w:type="pct"/>
            <w:tcBorders>
              <w:top w:val="single" w:color="auto" w:sz="8" w:space="0"/>
              <w:right w:val="single" w:color="auto" w:sz="8" w:space="0"/>
            </w:tcBorders>
            <w:vAlign w:val="center"/>
          </w:tcPr>
          <w:p>
            <w:pPr>
              <w:pStyle w:val="294"/>
            </w:pPr>
            <w:r>
              <w:rPr>
                <w:rFonts w:hint="eastAsia"/>
              </w:rPr>
              <w:t>T3，项目区域内</w:t>
            </w:r>
          </w:p>
          <w:p>
            <w:pPr>
              <w:pStyle w:val="294"/>
            </w:pPr>
            <w:r>
              <w:rPr>
                <w:rFonts w:hint="eastAsia"/>
              </w:rPr>
              <w:t>（107.755941°E，31.535450°N）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695" w:type="pct"/>
            <w:vMerge w:val="continue"/>
            <w:tcBorders>
              <w:left w:val="single" w:color="auto" w:sz="8" w:space="0"/>
            </w:tcBorders>
            <w:vAlign w:val="center"/>
          </w:tcPr>
          <w:p>
            <w:pPr>
              <w:pStyle w:val="294"/>
            </w:pPr>
          </w:p>
        </w:tc>
        <w:tc>
          <w:tcPr>
            <w:tcW w:w="1703" w:type="pct"/>
            <w:vMerge w:val="continue"/>
            <w:tcBorders>
              <w:tl2br w:val="single" w:color="auto" w:sz="4" w:space="0"/>
            </w:tcBorders>
            <w:vAlign w:val="center"/>
          </w:tcPr>
          <w:p>
            <w:pPr>
              <w:pStyle w:val="294"/>
            </w:pPr>
          </w:p>
        </w:tc>
        <w:tc>
          <w:tcPr>
            <w:tcW w:w="2600" w:type="pct"/>
            <w:tcBorders>
              <w:right w:val="single" w:color="auto" w:sz="8" w:space="0"/>
            </w:tcBorders>
          </w:tcPr>
          <w:p>
            <w:pPr>
              <w:pStyle w:val="294"/>
            </w:pPr>
            <w:r>
              <w:t>0-0.</w:t>
            </w:r>
            <w:r>
              <w:rPr>
                <w:rFonts w:hint="eastAsia"/>
              </w:rPr>
              <w:t>2</w:t>
            </w:r>
            <w: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5" w:type="pct"/>
            <w:vMerge w:val="restart"/>
            <w:tcBorders>
              <w:left w:val="single" w:color="auto" w:sz="8" w:space="0"/>
            </w:tcBorders>
            <w:tcMar>
              <w:top w:w="57" w:type="dxa"/>
              <w:left w:w="0" w:type="dxa"/>
              <w:bottom w:w="57" w:type="dxa"/>
              <w:right w:w="0" w:type="dxa"/>
            </w:tcMar>
            <w:vAlign w:val="center"/>
          </w:tcPr>
          <w:p>
            <w:pPr>
              <w:pStyle w:val="294"/>
            </w:pPr>
            <w:r>
              <w:rPr>
                <w:rFonts w:hint="eastAsia"/>
              </w:rPr>
              <w:t>2024.1.17</w:t>
            </w:r>
          </w:p>
        </w:tc>
        <w:tc>
          <w:tcPr>
            <w:tcW w:w="1703" w:type="pct"/>
            <w:tcMar>
              <w:top w:w="57" w:type="dxa"/>
              <w:left w:w="0" w:type="dxa"/>
              <w:bottom w:w="57" w:type="dxa"/>
              <w:right w:w="0" w:type="dxa"/>
            </w:tcMar>
            <w:vAlign w:val="center"/>
          </w:tcPr>
          <w:p>
            <w:pPr>
              <w:pStyle w:val="294"/>
            </w:pPr>
            <w:r>
              <w:t>颜色</w:t>
            </w:r>
          </w:p>
        </w:tc>
        <w:tc>
          <w:tcPr>
            <w:tcW w:w="2600" w:type="pct"/>
            <w:tcBorders>
              <w:right w:val="single" w:color="auto" w:sz="8" w:space="0"/>
            </w:tcBorders>
            <w:vAlign w:val="center"/>
          </w:tcPr>
          <w:p>
            <w:pPr>
              <w:pStyle w:val="294"/>
            </w:pPr>
            <w:r>
              <w:rPr>
                <w:rFonts w:hint="eastAsia"/>
              </w:rPr>
              <w:t>红</w:t>
            </w:r>
            <w:r>
              <w:t>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5" w:type="pct"/>
            <w:vMerge w:val="continue"/>
            <w:tcBorders>
              <w:left w:val="single" w:color="auto" w:sz="8" w:space="0"/>
            </w:tcBorders>
            <w:vAlign w:val="center"/>
          </w:tcPr>
          <w:p>
            <w:pPr>
              <w:pStyle w:val="294"/>
            </w:pPr>
          </w:p>
        </w:tc>
        <w:tc>
          <w:tcPr>
            <w:tcW w:w="1703" w:type="pct"/>
            <w:tcMar>
              <w:top w:w="57" w:type="dxa"/>
              <w:left w:w="0" w:type="dxa"/>
              <w:bottom w:w="57" w:type="dxa"/>
              <w:right w:w="0" w:type="dxa"/>
            </w:tcMar>
            <w:vAlign w:val="center"/>
          </w:tcPr>
          <w:p>
            <w:pPr>
              <w:pStyle w:val="294"/>
            </w:pPr>
            <w:r>
              <w:t>结构</w:t>
            </w:r>
          </w:p>
        </w:tc>
        <w:tc>
          <w:tcPr>
            <w:tcW w:w="2600" w:type="pct"/>
            <w:tcBorders>
              <w:right w:val="single" w:color="auto" w:sz="8" w:space="0"/>
            </w:tcBorders>
            <w:vAlign w:val="center"/>
          </w:tcPr>
          <w:p>
            <w:pPr>
              <w:pStyle w:val="294"/>
            </w:pPr>
            <w:r>
              <w:rPr>
                <w:rFonts w:hint="eastAsia"/>
              </w:rPr>
              <w:t>团块</w:t>
            </w:r>
            <w:r>
              <w:t>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5" w:type="pct"/>
            <w:vMerge w:val="continue"/>
            <w:tcBorders>
              <w:left w:val="single" w:color="auto" w:sz="8" w:space="0"/>
            </w:tcBorders>
            <w:vAlign w:val="center"/>
          </w:tcPr>
          <w:p>
            <w:pPr>
              <w:pStyle w:val="294"/>
            </w:pPr>
          </w:p>
        </w:tc>
        <w:tc>
          <w:tcPr>
            <w:tcW w:w="1703" w:type="pct"/>
            <w:tcMar>
              <w:top w:w="57" w:type="dxa"/>
              <w:left w:w="0" w:type="dxa"/>
              <w:bottom w:w="57" w:type="dxa"/>
              <w:right w:w="0" w:type="dxa"/>
            </w:tcMar>
            <w:vAlign w:val="center"/>
          </w:tcPr>
          <w:p>
            <w:pPr>
              <w:pStyle w:val="294"/>
            </w:pPr>
            <w:r>
              <w:t>质地</w:t>
            </w:r>
          </w:p>
        </w:tc>
        <w:tc>
          <w:tcPr>
            <w:tcW w:w="2600" w:type="pct"/>
            <w:tcBorders>
              <w:right w:val="single" w:color="auto" w:sz="8" w:space="0"/>
            </w:tcBorders>
            <w:vAlign w:val="center"/>
          </w:tcPr>
          <w:p>
            <w:pPr>
              <w:pStyle w:val="294"/>
            </w:pPr>
            <w:r>
              <w:rPr>
                <w:rFonts w:hint="eastAsia"/>
              </w:rPr>
              <w:t>中</w:t>
            </w:r>
            <w:r>
              <w:t>壤土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5" w:type="pct"/>
            <w:vMerge w:val="continue"/>
            <w:tcBorders>
              <w:left w:val="single" w:color="auto" w:sz="8" w:space="0"/>
            </w:tcBorders>
            <w:vAlign w:val="center"/>
          </w:tcPr>
          <w:p>
            <w:pPr>
              <w:pStyle w:val="294"/>
            </w:pPr>
          </w:p>
        </w:tc>
        <w:tc>
          <w:tcPr>
            <w:tcW w:w="1703" w:type="pct"/>
            <w:tcMar>
              <w:top w:w="57" w:type="dxa"/>
              <w:left w:w="0" w:type="dxa"/>
              <w:bottom w:w="57" w:type="dxa"/>
              <w:right w:w="0" w:type="dxa"/>
            </w:tcMar>
            <w:vAlign w:val="center"/>
          </w:tcPr>
          <w:p>
            <w:pPr>
              <w:pStyle w:val="294"/>
            </w:pPr>
            <w:r>
              <w:t>其他异物</w:t>
            </w:r>
          </w:p>
        </w:tc>
        <w:tc>
          <w:tcPr>
            <w:tcW w:w="2600" w:type="pct"/>
            <w:tcBorders>
              <w:right w:val="single" w:color="auto" w:sz="8" w:space="0"/>
            </w:tcBorders>
            <w:vAlign w:val="center"/>
          </w:tcPr>
          <w:p>
            <w:pPr>
              <w:pStyle w:val="294"/>
            </w:pPr>
            <w:r>
              <w:rPr>
                <w:rFonts w:hint="eastAsia"/>
              </w:rPr>
              <w:t>少量草根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5" w:type="pct"/>
            <w:vMerge w:val="continue"/>
            <w:tcBorders>
              <w:left w:val="single" w:color="auto" w:sz="8" w:space="0"/>
            </w:tcBorders>
            <w:tcMar>
              <w:top w:w="57" w:type="dxa"/>
              <w:left w:w="0" w:type="dxa"/>
              <w:bottom w:w="57" w:type="dxa"/>
              <w:right w:w="0" w:type="dxa"/>
            </w:tcMar>
            <w:vAlign w:val="center"/>
          </w:tcPr>
          <w:p>
            <w:pPr>
              <w:pStyle w:val="294"/>
            </w:pPr>
          </w:p>
        </w:tc>
        <w:tc>
          <w:tcPr>
            <w:tcW w:w="1703" w:type="pct"/>
            <w:tcMar>
              <w:top w:w="57" w:type="dxa"/>
              <w:left w:w="0" w:type="dxa"/>
              <w:bottom w:w="57" w:type="dxa"/>
              <w:right w:w="0" w:type="dxa"/>
            </w:tcMar>
            <w:vAlign w:val="center"/>
          </w:tcPr>
          <w:p>
            <w:pPr>
              <w:pStyle w:val="294"/>
            </w:pPr>
            <w:r>
              <w:t>砂砾含量（%）</w:t>
            </w:r>
          </w:p>
        </w:tc>
        <w:tc>
          <w:tcPr>
            <w:tcW w:w="2600" w:type="pct"/>
            <w:tcBorders>
              <w:right w:val="single" w:color="auto" w:sz="8" w:space="0"/>
            </w:tcBorders>
            <w:vAlign w:val="center"/>
          </w:tcPr>
          <w:p>
            <w:pPr>
              <w:pStyle w:val="294"/>
            </w:pPr>
            <w:r>
              <w:rPr>
                <w:rFonts w:hint="eastAsia"/>
              </w:rPr>
              <w:t>1</w:t>
            </w:r>
            <w:r>
              <w:t>%~</w:t>
            </w:r>
            <w:r>
              <w:rPr>
                <w:rFonts w:hint="eastAsia"/>
              </w:rPr>
              <w:t>4</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5" w:type="pct"/>
            <w:vMerge w:val="continue"/>
            <w:tcBorders>
              <w:left w:val="single" w:color="auto" w:sz="8" w:space="0"/>
            </w:tcBorders>
            <w:tcMar>
              <w:top w:w="57" w:type="dxa"/>
              <w:left w:w="0" w:type="dxa"/>
              <w:bottom w:w="57" w:type="dxa"/>
              <w:right w:w="0" w:type="dxa"/>
            </w:tcMar>
            <w:vAlign w:val="center"/>
          </w:tcPr>
          <w:p>
            <w:pPr>
              <w:pStyle w:val="294"/>
            </w:pPr>
          </w:p>
        </w:tc>
        <w:tc>
          <w:tcPr>
            <w:tcW w:w="1703" w:type="pct"/>
            <w:tcMar>
              <w:top w:w="57" w:type="dxa"/>
              <w:left w:w="0" w:type="dxa"/>
              <w:bottom w:w="57" w:type="dxa"/>
              <w:right w:w="0" w:type="dxa"/>
            </w:tcMar>
            <w:vAlign w:val="center"/>
          </w:tcPr>
          <w:p>
            <w:pPr>
              <w:pStyle w:val="294"/>
            </w:pPr>
            <w:r>
              <w:t>pH（无量纲）</w:t>
            </w:r>
          </w:p>
        </w:tc>
        <w:tc>
          <w:tcPr>
            <w:tcW w:w="2600" w:type="pct"/>
            <w:tcBorders>
              <w:right w:val="single" w:color="auto" w:sz="8" w:space="0"/>
            </w:tcBorders>
            <w:vAlign w:val="center"/>
          </w:tcPr>
          <w:p>
            <w:pPr>
              <w:pStyle w:val="294"/>
            </w:pPr>
            <w:r>
              <w:rPr>
                <w:rFonts w:hint="eastAsia"/>
              </w:rPr>
              <w:t>6.74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5" w:type="pct"/>
            <w:vMerge w:val="continue"/>
            <w:tcBorders>
              <w:left w:val="single" w:color="auto" w:sz="8" w:space="0"/>
            </w:tcBorders>
            <w:tcMar>
              <w:top w:w="57" w:type="dxa"/>
              <w:left w:w="0" w:type="dxa"/>
              <w:bottom w:w="57" w:type="dxa"/>
              <w:right w:w="0" w:type="dxa"/>
            </w:tcMar>
            <w:vAlign w:val="center"/>
          </w:tcPr>
          <w:p>
            <w:pPr>
              <w:pStyle w:val="294"/>
            </w:pPr>
          </w:p>
        </w:tc>
        <w:tc>
          <w:tcPr>
            <w:tcW w:w="1703" w:type="pct"/>
            <w:tcMar>
              <w:top w:w="57" w:type="dxa"/>
              <w:left w:w="0" w:type="dxa"/>
              <w:bottom w:w="57" w:type="dxa"/>
              <w:right w:w="0" w:type="dxa"/>
            </w:tcMar>
            <w:vAlign w:val="center"/>
          </w:tcPr>
          <w:p>
            <w:pPr>
              <w:pStyle w:val="294"/>
            </w:pPr>
            <w:r>
              <w:t>阳离子交换量*（cmol+/kg）</w:t>
            </w:r>
          </w:p>
        </w:tc>
        <w:tc>
          <w:tcPr>
            <w:tcW w:w="2600" w:type="pct"/>
            <w:tcBorders>
              <w:right w:val="single" w:color="auto" w:sz="8" w:space="0"/>
            </w:tcBorders>
            <w:vAlign w:val="center"/>
          </w:tcPr>
          <w:p>
            <w:pPr>
              <w:pStyle w:val="294"/>
            </w:pPr>
            <w:r>
              <w:rPr>
                <w:rFonts w:hint="eastAsia"/>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5" w:type="pct"/>
            <w:vMerge w:val="continue"/>
            <w:tcBorders>
              <w:left w:val="single" w:color="auto" w:sz="8" w:space="0"/>
            </w:tcBorders>
            <w:tcMar>
              <w:top w:w="57" w:type="dxa"/>
              <w:left w:w="0" w:type="dxa"/>
              <w:bottom w:w="57" w:type="dxa"/>
              <w:right w:w="0" w:type="dxa"/>
            </w:tcMar>
            <w:vAlign w:val="center"/>
          </w:tcPr>
          <w:p>
            <w:pPr>
              <w:pStyle w:val="294"/>
            </w:pPr>
          </w:p>
        </w:tc>
        <w:tc>
          <w:tcPr>
            <w:tcW w:w="1703" w:type="pct"/>
            <w:tcMar>
              <w:top w:w="57" w:type="dxa"/>
              <w:left w:w="0" w:type="dxa"/>
              <w:bottom w:w="57" w:type="dxa"/>
              <w:right w:w="0" w:type="dxa"/>
            </w:tcMar>
            <w:vAlign w:val="center"/>
          </w:tcPr>
          <w:p>
            <w:pPr>
              <w:pStyle w:val="294"/>
            </w:pPr>
            <w:r>
              <w:t>氧化还原电位（mV）</w:t>
            </w:r>
          </w:p>
        </w:tc>
        <w:tc>
          <w:tcPr>
            <w:tcW w:w="2600" w:type="pct"/>
            <w:tcBorders>
              <w:right w:val="single" w:color="auto" w:sz="8" w:space="0"/>
            </w:tcBorders>
            <w:vAlign w:val="center"/>
          </w:tcPr>
          <w:p>
            <w:pPr>
              <w:pStyle w:val="294"/>
            </w:pPr>
            <w:r>
              <w:rPr>
                <w:rFonts w:hint="eastAsia"/>
              </w:rPr>
              <w:t>265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5" w:type="pct"/>
            <w:vMerge w:val="continue"/>
            <w:tcBorders>
              <w:left w:val="single" w:color="auto" w:sz="8" w:space="0"/>
            </w:tcBorders>
            <w:tcMar>
              <w:top w:w="57" w:type="dxa"/>
              <w:left w:w="0" w:type="dxa"/>
              <w:bottom w:w="57" w:type="dxa"/>
              <w:right w:w="0" w:type="dxa"/>
            </w:tcMar>
            <w:vAlign w:val="center"/>
          </w:tcPr>
          <w:p>
            <w:pPr>
              <w:pStyle w:val="294"/>
            </w:pPr>
          </w:p>
        </w:tc>
        <w:tc>
          <w:tcPr>
            <w:tcW w:w="1703" w:type="pct"/>
            <w:tcMar>
              <w:top w:w="57" w:type="dxa"/>
              <w:left w:w="0" w:type="dxa"/>
              <w:bottom w:w="57" w:type="dxa"/>
              <w:right w:w="0" w:type="dxa"/>
            </w:tcMar>
            <w:vAlign w:val="center"/>
          </w:tcPr>
          <w:p>
            <w:pPr>
              <w:pStyle w:val="294"/>
            </w:pPr>
            <w:r>
              <w:t>饱和导水率*（cm/s）</w:t>
            </w:r>
          </w:p>
        </w:tc>
        <w:tc>
          <w:tcPr>
            <w:tcW w:w="2600" w:type="pct"/>
            <w:tcBorders>
              <w:right w:val="single" w:color="auto" w:sz="8" w:space="0"/>
            </w:tcBorders>
            <w:vAlign w:val="center"/>
          </w:tcPr>
          <w:p>
            <w:pPr>
              <w:pStyle w:val="294"/>
            </w:pPr>
            <w:r>
              <w:rPr>
                <w:rFonts w:hint="eastAsia"/>
              </w:rPr>
              <w:t>3.07</w:t>
            </w:r>
            <w:r>
              <w:t>×</w:t>
            </w:r>
            <w:r>
              <w:rPr>
                <w:rFonts w:hint="eastAsia"/>
              </w:rPr>
              <w:t>10</w:t>
            </w:r>
            <w:r>
              <w:rPr>
                <w:rFonts w:hint="eastAsia"/>
                <w:vertAlign w:val="superscript"/>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5" w:type="pct"/>
            <w:vMerge w:val="continue"/>
            <w:tcBorders>
              <w:left w:val="single" w:color="auto" w:sz="8" w:space="0"/>
            </w:tcBorders>
            <w:vAlign w:val="center"/>
          </w:tcPr>
          <w:p>
            <w:pPr>
              <w:pStyle w:val="294"/>
            </w:pPr>
          </w:p>
        </w:tc>
        <w:tc>
          <w:tcPr>
            <w:tcW w:w="1703" w:type="pct"/>
            <w:tcMar>
              <w:top w:w="57" w:type="dxa"/>
              <w:left w:w="0" w:type="dxa"/>
              <w:bottom w:w="57" w:type="dxa"/>
              <w:right w:w="0" w:type="dxa"/>
            </w:tcMar>
            <w:vAlign w:val="center"/>
          </w:tcPr>
          <w:p>
            <w:pPr>
              <w:pStyle w:val="294"/>
            </w:pPr>
            <w:r>
              <w:t>土壤容重*（kg/m</w:t>
            </w:r>
            <w:r>
              <w:rPr>
                <w:vertAlign w:val="superscript"/>
              </w:rPr>
              <w:t>3</w:t>
            </w:r>
            <w:r>
              <w:t>）</w:t>
            </w:r>
          </w:p>
        </w:tc>
        <w:tc>
          <w:tcPr>
            <w:tcW w:w="2600" w:type="pct"/>
            <w:tcBorders>
              <w:right w:val="single" w:color="auto" w:sz="8" w:space="0"/>
            </w:tcBorders>
            <w:vAlign w:val="center"/>
          </w:tcPr>
          <w:p>
            <w:pPr>
              <w:pStyle w:val="294"/>
            </w:pPr>
            <w:r>
              <w:rPr>
                <w:rFonts w:hint="eastAsia"/>
              </w:rPr>
              <w:t>1.51</w:t>
            </w:r>
            <w:r>
              <w:t>×</w:t>
            </w:r>
            <w:r>
              <w:rPr>
                <w:rFonts w:hint="eastAsia"/>
              </w:rPr>
              <w:t>10</w:t>
            </w:r>
            <w:r>
              <w:rPr>
                <w:rFonts w:hint="eastAsia"/>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5" w:type="pct"/>
            <w:vMerge w:val="continue"/>
            <w:tcBorders>
              <w:left w:val="single" w:color="auto" w:sz="8" w:space="0"/>
              <w:bottom w:val="single" w:color="auto" w:sz="8" w:space="0"/>
            </w:tcBorders>
            <w:vAlign w:val="center"/>
          </w:tcPr>
          <w:p>
            <w:pPr>
              <w:pStyle w:val="294"/>
            </w:pPr>
          </w:p>
        </w:tc>
        <w:tc>
          <w:tcPr>
            <w:tcW w:w="1703" w:type="pct"/>
            <w:tcBorders>
              <w:bottom w:val="single" w:color="auto" w:sz="8" w:space="0"/>
            </w:tcBorders>
            <w:tcMar>
              <w:top w:w="57" w:type="dxa"/>
              <w:left w:w="0" w:type="dxa"/>
              <w:bottom w:w="57" w:type="dxa"/>
              <w:right w:w="0" w:type="dxa"/>
            </w:tcMar>
            <w:vAlign w:val="center"/>
          </w:tcPr>
          <w:p>
            <w:pPr>
              <w:pStyle w:val="294"/>
            </w:pPr>
            <w:r>
              <w:t>孔隙度*（%）</w:t>
            </w:r>
          </w:p>
        </w:tc>
        <w:tc>
          <w:tcPr>
            <w:tcW w:w="2600" w:type="pct"/>
            <w:tcBorders>
              <w:bottom w:val="single" w:color="auto" w:sz="8" w:space="0"/>
              <w:right w:val="single" w:color="auto" w:sz="8" w:space="0"/>
            </w:tcBorders>
            <w:vAlign w:val="center"/>
          </w:tcPr>
          <w:p>
            <w:pPr>
              <w:pStyle w:val="294"/>
            </w:pPr>
            <w:r>
              <w:rPr>
                <w:rFonts w:hint="eastAsia"/>
              </w:rPr>
              <w:t>42.4</w:t>
            </w:r>
          </w:p>
        </w:tc>
      </w:tr>
    </w:tbl>
    <w:p>
      <w:pPr>
        <w:pStyle w:val="5"/>
      </w:pPr>
      <w:r>
        <w:rPr>
          <w:rFonts w:hint="eastAsia"/>
        </w:rPr>
        <w:t>4.2.5.2</w:t>
      </w:r>
      <w:r>
        <w:t>土壤环境质量现状调查</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本次评价委托四川省允诺信检测技术有限公司于202</w:t>
      </w:r>
      <w:r>
        <w:rPr>
          <w:rFonts w:hint="eastAsia" w:cs="Times New Roman"/>
          <w:bCs/>
          <w:color w:val="000000" w:themeColor="text1"/>
          <w:szCs w:val="24"/>
          <w14:textFill>
            <w14:solidFill>
              <w14:schemeClr w14:val="tx1"/>
            </w14:solidFill>
          </w14:textFill>
        </w:rPr>
        <w:t>4</w:t>
      </w:r>
      <w:r>
        <w:rPr>
          <w:rFonts w:cs="Times New Roman"/>
          <w:bCs/>
          <w:color w:val="000000" w:themeColor="text1"/>
          <w:szCs w:val="24"/>
          <w14:textFill>
            <w14:solidFill>
              <w14:schemeClr w14:val="tx1"/>
            </w14:solidFill>
          </w14:textFill>
        </w:rPr>
        <w:t>年</w:t>
      </w:r>
      <w:r>
        <w:rPr>
          <w:rFonts w:hint="eastAsia" w:cs="Times New Roman"/>
          <w:bCs/>
          <w:color w:val="000000" w:themeColor="text1"/>
          <w:szCs w:val="24"/>
          <w14:textFill>
            <w14:solidFill>
              <w14:schemeClr w14:val="tx1"/>
            </w14:solidFill>
          </w14:textFill>
        </w:rPr>
        <w:t>1</w:t>
      </w:r>
      <w:r>
        <w:rPr>
          <w:rFonts w:cs="Times New Roman"/>
          <w:bCs/>
          <w:color w:val="000000" w:themeColor="text1"/>
          <w:szCs w:val="24"/>
          <w14:textFill>
            <w14:solidFill>
              <w14:schemeClr w14:val="tx1"/>
            </w14:solidFill>
          </w14:textFill>
        </w:rPr>
        <w:t>月</w:t>
      </w:r>
      <w:r>
        <w:rPr>
          <w:rFonts w:hint="eastAsia" w:cs="Times New Roman"/>
          <w:bCs/>
          <w:color w:val="000000" w:themeColor="text1"/>
          <w:szCs w:val="24"/>
          <w14:textFill>
            <w14:solidFill>
              <w14:schemeClr w14:val="tx1"/>
            </w14:solidFill>
          </w14:textFill>
        </w:rPr>
        <w:t>17</w:t>
      </w:r>
      <w:r>
        <w:rPr>
          <w:rFonts w:cs="Times New Roman"/>
          <w:bCs/>
          <w:color w:val="000000" w:themeColor="text1"/>
          <w:szCs w:val="24"/>
          <w14:textFill>
            <w14:solidFill>
              <w14:schemeClr w14:val="tx1"/>
            </w14:solidFill>
          </w14:textFill>
        </w:rPr>
        <w:t>日对平台厂界内外的6处土壤进行了取样监测，平台占地范围内布置3个柱状样，1个表层样；场地外布置布置2个表层样，监测点位设置符合《环境影响评价技术导则 土壤环境（试行）》（HJ 964-2018）中的布点原则和现状监测点数量要求，监测布点见附图2。</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（1）监测点位及监测因子</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本次评价土壤监测布点情况见</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REF _Ref142600210 \h  \* MERGEFORMAT </w:instrText>
      </w:r>
      <w:r>
        <w:rPr>
          <w:rFonts w:cs="Times New Roman"/>
          <w:bCs/>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表4.2</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1</w:t>
      </w:r>
      <w:r>
        <w:rPr>
          <w:rFonts w:hint="eastAsia" w:cs="Times New Roman"/>
          <w:color w:val="000000" w:themeColor="text1"/>
          <w14:textFill>
            <w14:solidFill>
              <w14:schemeClr w14:val="tx1"/>
            </w14:solidFill>
          </w14:textFill>
        </w:rPr>
        <w:t>1</w:t>
      </w:r>
      <w:r>
        <w:rPr>
          <w:rFonts w:cs="Times New Roman"/>
          <w:bCs/>
          <w:color w:val="000000" w:themeColor="text1"/>
          <w:szCs w:val="24"/>
          <w14:textFill>
            <w14:solidFill>
              <w14:schemeClr w14:val="tx1"/>
            </w14:solidFill>
          </w14:textFill>
        </w:rPr>
        <w:fldChar w:fldCharType="end"/>
      </w:r>
      <w:r>
        <w:rPr>
          <w:rFonts w:cs="Times New Roman"/>
          <w:bCs/>
          <w:color w:val="000000" w:themeColor="text1"/>
          <w:szCs w:val="24"/>
          <w14:textFill>
            <w14:solidFill>
              <w14:schemeClr w14:val="tx1"/>
            </w14:solidFill>
          </w14:textFill>
        </w:rPr>
        <w:t>。</w:t>
      </w:r>
    </w:p>
    <w:p>
      <w:pPr>
        <w:pStyle w:val="95"/>
      </w:pPr>
      <w:bookmarkStart w:id="226" w:name="_Ref142600210"/>
      <w:r>
        <w:t>表</w:t>
      </w:r>
      <w:r>
        <w:fldChar w:fldCharType="begin"/>
      </w:r>
      <w:r>
        <w:instrText xml:space="preserve"> STYLEREF 2 \s </w:instrText>
      </w:r>
      <w:r>
        <w:fldChar w:fldCharType="separate"/>
      </w:r>
      <w:r>
        <w:t>4.2</w:t>
      </w:r>
      <w:r>
        <w:fldChar w:fldCharType="end"/>
      </w:r>
      <w:r>
        <w:noBreakHyphen/>
      </w:r>
      <w:r>
        <w:fldChar w:fldCharType="begin"/>
      </w:r>
      <w:r>
        <w:instrText xml:space="preserve"> SEQ 表 \* ARABIC \s 2 </w:instrText>
      </w:r>
      <w:r>
        <w:fldChar w:fldCharType="separate"/>
      </w:r>
      <w:r>
        <w:t>1</w:t>
      </w:r>
      <w:r>
        <w:rPr>
          <w:rFonts w:hint="eastAsia"/>
        </w:rPr>
        <w:t>1</w:t>
      </w:r>
      <w:r>
        <w:fldChar w:fldCharType="end"/>
      </w:r>
      <w:bookmarkEnd w:id="226"/>
      <w:r>
        <w:t xml:space="preserve"> 本项目土壤环境监测布点情况</w:t>
      </w:r>
    </w:p>
    <w:tbl>
      <w:tblPr>
        <w:tblStyle w:val="52"/>
        <w:tblpPr w:leftFromText="180" w:rightFromText="180" w:vertAnchor="text" w:tblpY="1"/>
        <w:tblOverlap w:val="never"/>
        <w:tblW w:w="4981"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45"/>
        <w:gridCol w:w="1719"/>
        <w:gridCol w:w="1308"/>
        <w:gridCol w:w="4093"/>
        <w:gridCol w:w="72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79" w:type="pct"/>
            <w:tcBorders>
              <w:top w:val="single" w:color="auto" w:sz="8" w:space="0"/>
              <w:left w:val="single" w:color="auto" w:sz="8" w:space="0"/>
              <w:right w:val="single" w:color="auto" w:sz="4"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编号</w:t>
            </w:r>
          </w:p>
        </w:tc>
        <w:tc>
          <w:tcPr>
            <w:tcW w:w="1012" w:type="pct"/>
            <w:tcBorders>
              <w:top w:val="single" w:color="auto" w:sz="8"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坐标</w:t>
            </w:r>
          </w:p>
        </w:tc>
        <w:tc>
          <w:tcPr>
            <w:tcW w:w="770" w:type="pct"/>
            <w:tcBorders>
              <w:top w:val="single" w:color="auto" w:sz="8"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方位距离</w:t>
            </w:r>
          </w:p>
        </w:tc>
        <w:tc>
          <w:tcPr>
            <w:tcW w:w="2408" w:type="pct"/>
            <w:tcBorders>
              <w:top w:val="single" w:color="auto" w:sz="8"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监测指标</w:t>
            </w:r>
          </w:p>
        </w:tc>
        <w:tc>
          <w:tcPr>
            <w:tcW w:w="429" w:type="pct"/>
            <w:tcBorders>
              <w:top w:val="single" w:color="auto" w:sz="8" w:space="0"/>
              <w:right w:val="single" w:color="auto" w:sz="8"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79" w:type="pct"/>
            <w:tcBorders>
              <w:left w:val="single" w:color="auto" w:sz="8" w:space="0"/>
              <w:right w:val="single" w:color="auto" w:sz="4"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T1</w:t>
            </w:r>
          </w:p>
        </w:tc>
        <w:tc>
          <w:tcPr>
            <w:tcW w:w="1012" w:type="pct"/>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E107.761187</w:t>
            </w:r>
            <w:r>
              <w:rPr>
                <w:rFonts w:cs="Times New Roman"/>
                <w:color w:val="000000" w:themeColor="text1"/>
                <w:sz w:val="21"/>
                <w:szCs w:val="21"/>
                <w14:textFill>
                  <w14:solidFill>
                    <w14:schemeClr w14:val="tx1"/>
                  </w14:solidFill>
                </w14:textFill>
              </w:rPr>
              <w:t>°</w:t>
            </w:r>
            <w:r>
              <w:rPr>
                <w:rFonts w:hint="eastAsia" w:cs="Times New Roman"/>
                <w:color w:val="000000" w:themeColor="text1"/>
                <w:sz w:val="21"/>
                <w:szCs w:val="21"/>
                <w14:textFill>
                  <w14:solidFill>
                    <w14:schemeClr w14:val="tx1"/>
                  </w14:solidFill>
                </w14:textFill>
              </w:rPr>
              <w:t>，</w:t>
            </w:r>
          </w:p>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N31.527892</w:t>
            </w:r>
            <w:r>
              <w:rPr>
                <w:rFonts w:cs="Times New Roman"/>
                <w:color w:val="000000" w:themeColor="text1"/>
                <w:sz w:val="21"/>
                <w:szCs w:val="21"/>
                <w14:textFill>
                  <w14:solidFill>
                    <w14:schemeClr w14:val="tx1"/>
                  </w14:solidFill>
                </w14:textFill>
              </w:rPr>
              <w:t>°</w:t>
            </w:r>
          </w:p>
        </w:tc>
        <w:tc>
          <w:tcPr>
            <w:tcW w:w="770" w:type="pct"/>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项目厂界外西侧</w:t>
            </w:r>
          </w:p>
        </w:tc>
        <w:tc>
          <w:tcPr>
            <w:tcW w:w="2408" w:type="pct"/>
            <w:vAlign w:val="center"/>
          </w:tcPr>
          <w:p>
            <w:pPr>
              <w:adjustRightInd/>
              <w:snapToGrid/>
              <w:spacing w:line="240" w:lineRule="auto"/>
              <w:ind w:firstLine="0" w:firstLineChars="0"/>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理化性质：pH</w:t>
            </w:r>
          </w:p>
          <w:p>
            <w:pPr>
              <w:adjustRightInd/>
              <w:snapToGrid/>
              <w:spacing w:line="240" w:lineRule="auto"/>
              <w:ind w:firstLine="0" w:firstLineChars="0"/>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基本因子：《土壤环境质量 农用地土壤污染风险管控标准（试行）(GB15618—2018)》中表1基本项目，共8个；</w:t>
            </w:r>
          </w:p>
          <w:p>
            <w:pPr>
              <w:adjustRightInd/>
              <w:snapToGrid/>
              <w:spacing w:line="240" w:lineRule="auto"/>
              <w:ind w:firstLine="0" w:firstLineChars="0"/>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特征因子：石油烃、氯离子、硫酸根、钡、全盐量</w:t>
            </w:r>
          </w:p>
        </w:tc>
        <w:tc>
          <w:tcPr>
            <w:tcW w:w="429" w:type="pct"/>
            <w:tcBorders>
              <w:right w:val="single" w:color="auto" w:sz="8"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表层样点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79" w:type="pct"/>
            <w:tcBorders>
              <w:left w:val="single" w:color="auto" w:sz="8" w:space="0"/>
              <w:right w:val="single" w:color="auto" w:sz="4"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T2</w:t>
            </w:r>
          </w:p>
        </w:tc>
        <w:tc>
          <w:tcPr>
            <w:tcW w:w="1012" w:type="pct"/>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E107.762637</w:t>
            </w:r>
            <w:r>
              <w:rPr>
                <w:rFonts w:cs="Times New Roman"/>
                <w:color w:val="000000" w:themeColor="text1"/>
                <w:sz w:val="21"/>
                <w:szCs w:val="21"/>
                <w14:textFill>
                  <w14:solidFill>
                    <w14:schemeClr w14:val="tx1"/>
                  </w14:solidFill>
                </w14:textFill>
              </w:rPr>
              <w:t>°</w:t>
            </w:r>
            <w:r>
              <w:rPr>
                <w:rFonts w:hint="eastAsia" w:cs="Times New Roman"/>
                <w:color w:val="000000" w:themeColor="text1"/>
                <w:sz w:val="21"/>
                <w:szCs w:val="21"/>
                <w14:textFill>
                  <w14:solidFill>
                    <w14:schemeClr w14:val="tx1"/>
                  </w14:solidFill>
                </w14:textFill>
              </w:rPr>
              <w:t>，</w:t>
            </w:r>
          </w:p>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N31.527973</w:t>
            </w:r>
            <w:r>
              <w:rPr>
                <w:rFonts w:cs="Times New Roman"/>
                <w:color w:val="000000" w:themeColor="text1"/>
                <w:sz w:val="21"/>
                <w:szCs w:val="21"/>
                <w14:textFill>
                  <w14:solidFill>
                    <w14:schemeClr w14:val="tx1"/>
                  </w14:solidFill>
                </w14:textFill>
              </w:rPr>
              <w:t>°</w:t>
            </w:r>
          </w:p>
        </w:tc>
        <w:tc>
          <w:tcPr>
            <w:tcW w:w="770" w:type="pct"/>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项目厂界外东侧</w:t>
            </w:r>
          </w:p>
        </w:tc>
        <w:tc>
          <w:tcPr>
            <w:tcW w:w="2408" w:type="pct"/>
            <w:vAlign w:val="center"/>
          </w:tcPr>
          <w:p>
            <w:pPr>
              <w:adjustRightInd/>
              <w:snapToGrid/>
              <w:spacing w:line="240" w:lineRule="auto"/>
              <w:ind w:firstLine="0" w:firstLineChars="0"/>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理化性质：pH；</w:t>
            </w:r>
          </w:p>
          <w:p>
            <w:pPr>
              <w:adjustRightInd/>
              <w:snapToGrid/>
              <w:spacing w:line="240" w:lineRule="auto"/>
              <w:ind w:firstLine="0" w:firstLineChars="0"/>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特征因子：石油烃、氯离子、硫酸根、钡、全盐量</w:t>
            </w:r>
          </w:p>
        </w:tc>
        <w:tc>
          <w:tcPr>
            <w:tcW w:w="429" w:type="pct"/>
            <w:tcBorders>
              <w:right w:val="single" w:color="auto" w:sz="8"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表层样点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79" w:type="pct"/>
            <w:tcBorders>
              <w:left w:val="single" w:color="auto" w:sz="8" w:space="0"/>
              <w:right w:val="single" w:color="auto" w:sz="4"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T3</w:t>
            </w:r>
          </w:p>
        </w:tc>
        <w:tc>
          <w:tcPr>
            <w:tcW w:w="1012" w:type="pct"/>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E107.7</w:t>
            </w:r>
            <w:r>
              <w:rPr>
                <w:rFonts w:cs="Times New Roman"/>
                <w:color w:val="000000" w:themeColor="text1"/>
                <w:sz w:val="21"/>
                <w:szCs w:val="21"/>
                <w14:textFill>
                  <w14:solidFill>
                    <w14:schemeClr w14:val="tx1"/>
                  </w14:solidFill>
                </w14:textFill>
              </w:rPr>
              <w:t>55941°</w:t>
            </w:r>
            <w:r>
              <w:rPr>
                <w:rFonts w:hint="eastAsia" w:cs="Times New Roman"/>
                <w:color w:val="000000" w:themeColor="text1"/>
                <w:sz w:val="21"/>
                <w:szCs w:val="21"/>
                <w14:textFill>
                  <w14:solidFill>
                    <w14:schemeClr w14:val="tx1"/>
                  </w14:solidFill>
                </w14:textFill>
              </w:rPr>
              <w:t>，</w:t>
            </w:r>
          </w:p>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N31.</w:t>
            </w:r>
            <w:r>
              <w:rPr>
                <w:rFonts w:cs="Times New Roman"/>
                <w:color w:val="000000" w:themeColor="text1"/>
                <w:sz w:val="21"/>
                <w:szCs w:val="21"/>
                <w14:textFill>
                  <w14:solidFill>
                    <w14:schemeClr w14:val="tx1"/>
                  </w14:solidFill>
                </w14:textFill>
              </w:rPr>
              <w:t>535450°</w:t>
            </w:r>
          </w:p>
        </w:tc>
        <w:tc>
          <w:tcPr>
            <w:tcW w:w="770" w:type="pct"/>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项目区域内</w:t>
            </w:r>
          </w:p>
        </w:tc>
        <w:tc>
          <w:tcPr>
            <w:tcW w:w="2408" w:type="pct"/>
            <w:vAlign w:val="center"/>
          </w:tcPr>
          <w:p>
            <w:pPr>
              <w:adjustRightInd/>
              <w:snapToGrid/>
              <w:spacing w:line="240" w:lineRule="auto"/>
              <w:ind w:firstLine="0" w:firstLineChars="0"/>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理化性质：颜色、结构、质地、砂砾含量、pH、阳离子交换量、土壤容重；</w:t>
            </w:r>
          </w:p>
          <w:p>
            <w:pPr>
              <w:adjustRightInd/>
              <w:snapToGrid/>
              <w:spacing w:line="240" w:lineRule="auto"/>
              <w:ind w:firstLine="0" w:firstLineChars="0"/>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基本因子：《土壤环境质量 建设用地土壤污染风险管控标准（试行）(GB36600—2018)》中表1基本项目，共45个；特征因子：石油烃、氯离子、硫酸根、钡、全盐量</w:t>
            </w:r>
          </w:p>
        </w:tc>
        <w:tc>
          <w:tcPr>
            <w:tcW w:w="429" w:type="pct"/>
            <w:tcBorders>
              <w:right w:val="single" w:color="auto" w:sz="8"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表层样点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79" w:type="pct"/>
            <w:tcBorders>
              <w:left w:val="single" w:color="auto" w:sz="8" w:space="0"/>
              <w:right w:val="single" w:color="auto" w:sz="4"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T4</w:t>
            </w:r>
          </w:p>
        </w:tc>
        <w:tc>
          <w:tcPr>
            <w:tcW w:w="1012" w:type="pct"/>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E107.761250</w:t>
            </w:r>
            <w:r>
              <w:rPr>
                <w:rFonts w:cs="Times New Roman"/>
                <w:color w:val="000000" w:themeColor="text1"/>
                <w:sz w:val="21"/>
                <w:szCs w:val="21"/>
                <w14:textFill>
                  <w14:solidFill>
                    <w14:schemeClr w14:val="tx1"/>
                  </w14:solidFill>
                </w14:textFill>
              </w:rPr>
              <w:t>°</w:t>
            </w:r>
            <w:r>
              <w:rPr>
                <w:rFonts w:hint="eastAsia" w:cs="Times New Roman"/>
                <w:color w:val="000000" w:themeColor="text1"/>
                <w:sz w:val="21"/>
                <w:szCs w:val="21"/>
                <w14:textFill>
                  <w14:solidFill>
                    <w14:schemeClr w14:val="tx1"/>
                  </w14:solidFill>
                </w14:textFill>
              </w:rPr>
              <w:t>，</w:t>
            </w:r>
          </w:p>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N31.527952</w:t>
            </w:r>
            <w:r>
              <w:rPr>
                <w:rFonts w:cs="Times New Roman"/>
                <w:color w:val="000000" w:themeColor="text1"/>
                <w:sz w:val="21"/>
                <w:szCs w:val="21"/>
                <w14:textFill>
                  <w14:solidFill>
                    <w14:schemeClr w14:val="tx1"/>
                  </w14:solidFill>
                </w14:textFill>
              </w:rPr>
              <w:t>°</w:t>
            </w:r>
          </w:p>
        </w:tc>
        <w:tc>
          <w:tcPr>
            <w:tcW w:w="770" w:type="pct"/>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项目区域内西北侧</w:t>
            </w:r>
          </w:p>
        </w:tc>
        <w:tc>
          <w:tcPr>
            <w:tcW w:w="2408" w:type="pct"/>
            <w:vAlign w:val="center"/>
          </w:tcPr>
          <w:p>
            <w:pPr>
              <w:adjustRightInd/>
              <w:snapToGrid/>
              <w:spacing w:line="240" w:lineRule="auto"/>
              <w:ind w:firstLine="0" w:firstLineChars="0"/>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理化性质：pH；</w:t>
            </w:r>
          </w:p>
          <w:p>
            <w:pPr>
              <w:adjustRightInd/>
              <w:snapToGrid/>
              <w:spacing w:line="240" w:lineRule="auto"/>
              <w:ind w:firstLine="0" w:firstLineChars="0"/>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特征因子：石油烃、氯离子、硫酸根、钡、全盐量（0~0.5m、0.5~1.5m、1.5~3m分别取样）</w:t>
            </w:r>
          </w:p>
        </w:tc>
        <w:tc>
          <w:tcPr>
            <w:tcW w:w="429" w:type="pct"/>
            <w:tcBorders>
              <w:right w:val="single" w:color="auto" w:sz="8"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柱状样点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79" w:type="pct"/>
            <w:tcBorders>
              <w:left w:val="single" w:color="auto" w:sz="8" w:space="0"/>
              <w:right w:val="single" w:color="auto" w:sz="4"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T5</w:t>
            </w:r>
          </w:p>
        </w:tc>
        <w:tc>
          <w:tcPr>
            <w:tcW w:w="1012" w:type="pct"/>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E107.747290</w:t>
            </w:r>
            <w:r>
              <w:rPr>
                <w:rFonts w:cs="Times New Roman"/>
                <w:color w:val="000000" w:themeColor="text1"/>
                <w:sz w:val="21"/>
                <w:szCs w:val="21"/>
                <w14:textFill>
                  <w14:solidFill>
                    <w14:schemeClr w14:val="tx1"/>
                  </w14:solidFill>
                </w14:textFill>
              </w:rPr>
              <w:t>°</w:t>
            </w:r>
            <w:r>
              <w:rPr>
                <w:rFonts w:hint="eastAsia" w:cs="Times New Roman"/>
                <w:color w:val="000000" w:themeColor="text1"/>
                <w:sz w:val="21"/>
                <w:szCs w:val="21"/>
                <w14:textFill>
                  <w14:solidFill>
                    <w14:schemeClr w14:val="tx1"/>
                  </w14:solidFill>
                </w14:textFill>
              </w:rPr>
              <w:t>，</w:t>
            </w:r>
          </w:p>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N31.537590</w:t>
            </w:r>
            <w:r>
              <w:rPr>
                <w:rFonts w:cs="Times New Roman"/>
                <w:color w:val="000000" w:themeColor="text1"/>
                <w:sz w:val="21"/>
                <w:szCs w:val="21"/>
                <w14:textFill>
                  <w14:solidFill>
                    <w14:schemeClr w14:val="tx1"/>
                  </w14:solidFill>
                </w14:textFill>
              </w:rPr>
              <w:t>°</w:t>
            </w:r>
          </w:p>
        </w:tc>
        <w:tc>
          <w:tcPr>
            <w:tcW w:w="770" w:type="pct"/>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项目区域内西南侧</w:t>
            </w:r>
          </w:p>
        </w:tc>
        <w:tc>
          <w:tcPr>
            <w:tcW w:w="2408" w:type="pct"/>
            <w:vAlign w:val="center"/>
          </w:tcPr>
          <w:p>
            <w:pPr>
              <w:adjustRightInd/>
              <w:snapToGrid/>
              <w:spacing w:line="240" w:lineRule="auto"/>
              <w:ind w:firstLine="0" w:firstLineChars="0"/>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理化性质：pH；</w:t>
            </w:r>
          </w:p>
          <w:p>
            <w:pPr>
              <w:adjustRightInd/>
              <w:snapToGrid/>
              <w:spacing w:line="240" w:lineRule="auto"/>
              <w:ind w:firstLine="0" w:firstLineChars="0"/>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特征因子：石油烃、氯离子、硫酸根、钡、全盐量（0~0.5m、0.5~1.5m、1.5~3m分别取样）</w:t>
            </w:r>
          </w:p>
        </w:tc>
        <w:tc>
          <w:tcPr>
            <w:tcW w:w="429" w:type="pct"/>
            <w:tcBorders>
              <w:right w:val="single" w:color="auto" w:sz="8"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柱状样点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79" w:type="pct"/>
            <w:tcBorders>
              <w:left w:val="single" w:color="auto" w:sz="8" w:space="0"/>
              <w:bottom w:val="single" w:color="auto" w:sz="8" w:space="0"/>
              <w:right w:val="single" w:color="auto" w:sz="4"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T6</w:t>
            </w:r>
          </w:p>
        </w:tc>
        <w:tc>
          <w:tcPr>
            <w:tcW w:w="1012" w:type="pct"/>
            <w:tcBorders>
              <w:bottom w:val="single" w:color="auto" w:sz="8"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E107.762027</w:t>
            </w:r>
            <w:r>
              <w:rPr>
                <w:rFonts w:cs="Times New Roman"/>
                <w:color w:val="000000" w:themeColor="text1"/>
                <w:sz w:val="21"/>
                <w:szCs w:val="21"/>
                <w14:textFill>
                  <w14:solidFill>
                    <w14:schemeClr w14:val="tx1"/>
                  </w14:solidFill>
                </w14:textFill>
              </w:rPr>
              <w:t>°</w:t>
            </w:r>
            <w:r>
              <w:rPr>
                <w:rFonts w:hint="eastAsia" w:cs="Times New Roman"/>
                <w:color w:val="000000" w:themeColor="text1"/>
                <w:sz w:val="21"/>
                <w:szCs w:val="21"/>
                <w14:textFill>
                  <w14:solidFill>
                    <w14:schemeClr w14:val="tx1"/>
                  </w14:solidFill>
                </w14:textFill>
              </w:rPr>
              <w:t>，</w:t>
            </w:r>
          </w:p>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N31.528091</w:t>
            </w:r>
            <w:r>
              <w:rPr>
                <w:rFonts w:cs="Times New Roman"/>
                <w:color w:val="000000" w:themeColor="text1"/>
                <w:sz w:val="21"/>
                <w:szCs w:val="21"/>
                <w14:textFill>
                  <w14:solidFill>
                    <w14:schemeClr w14:val="tx1"/>
                  </w14:solidFill>
                </w14:textFill>
              </w:rPr>
              <w:t>°</w:t>
            </w:r>
          </w:p>
        </w:tc>
        <w:tc>
          <w:tcPr>
            <w:tcW w:w="770" w:type="pct"/>
            <w:tcBorders>
              <w:bottom w:val="single" w:color="auto" w:sz="8"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项目区域内东侧</w:t>
            </w:r>
          </w:p>
        </w:tc>
        <w:tc>
          <w:tcPr>
            <w:tcW w:w="2408" w:type="pct"/>
            <w:tcBorders>
              <w:bottom w:val="single" w:color="auto" w:sz="8" w:space="0"/>
            </w:tcBorders>
            <w:vAlign w:val="center"/>
          </w:tcPr>
          <w:p>
            <w:pPr>
              <w:adjustRightInd/>
              <w:snapToGrid/>
              <w:spacing w:line="240" w:lineRule="auto"/>
              <w:ind w:firstLine="0" w:firstLineChars="0"/>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理化性质：pH；</w:t>
            </w:r>
          </w:p>
          <w:p>
            <w:pPr>
              <w:adjustRightInd/>
              <w:snapToGrid/>
              <w:spacing w:line="240" w:lineRule="auto"/>
              <w:ind w:firstLine="0" w:firstLineChars="0"/>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特征因子：石油烃、氯离子、硫酸根、钡、全盐量（0~0.5m、0.5~1.5m、1.5~3m分别取样）</w:t>
            </w:r>
          </w:p>
        </w:tc>
        <w:tc>
          <w:tcPr>
            <w:tcW w:w="429" w:type="pct"/>
            <w:tcBorders>
              <w:bottom w:val="single" w:color="auto" w:sz="8" w:space="0"/>
              <w:right w:val="single" w:color="auto" w:sz="8" w:space="0"/>
            </w:tcBorders>
            <w:vAlign w:val="center"/>
          </w:tcPr>
          <w:p>
            <w:pPr>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柱状样点</w:t>
            </w:r>
          </w:p>
        </w:tc>
      </w:tr>
    </w:tbl>
    <w:p>
      <w:pPr>
        <w:spacing w:before="120" w:beforeLines="5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（2）评价标准</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占地范围内执行《土壤环境质量 建设用地土壤污染风险管控标准（试行）》（GB36600-2018）中的第二类用地筛选值标准，用地范围外执行《土壤环境质量 农用地土壤污染风险管控标准》（GB15618-2018）中土壤污染风险筛选值标准。</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（3）土壤环境现状监测统计</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土壤环境现状监测及评价结果见</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REF _Ref142600179 \h  \* MERGEFORMAT </w:instrText>
      </w:r>
      <w:r>
        <w:rPr>
          <w:rFonts w:cs="Times New Roman"/>
          <w:bCs/>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表4.2</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1</w:t>
      </w:r>
      <w:r>
        <w:rPr>
          <w:rFonts w:hint="eastAsia" w:cs="Times New Roman"/>
          <w:color w:val="000000" w:themeColor="text1"/>
          <w14:textFill>
            <w14:solidFill>
              <w14:schemeClr w14:val="tx1"/>
            </w14:solidFill>
          </w14:textFill>
        </w:rPr>
        <w:t>2</w:t>
      </w:r>
      <w:r>
        <w:rPr>
          <w:rFonts w:cs="Times New Roman"/>
          <w:bCs/>
          <w:color w:val="000000" w:themeColor="text1"/>
          <w:szCs w:val="24"/>
          <w14:textFill>
            <w14:solidFill>
              <w14:schemeClr w14:val="tx1"/>
            </w14:solidFill>
          </w14:textFill>
        </w:rPr>
        <w:fldChar w:fldCharType="end"/>
      </w:r>
      <w:r>
        <w:rPr>
          <w:rFonts w:cs="Times New Roman"/>
          <w:bCs/>
          <w:color w:val="000000" w:themeColor="text1"/>
          <w:szCs w:val="24"/>
          <w14:textFill>
            <w14:solidFill>
              <w14:schemeClr w14:val="tx1"/>
            </w14:solidFill>
          </w14:textFill>
        </w:rPr>
        <w:t>、</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REF _Ref142600183 \h  \* MERGEFORMAT </w:instrText>
      </w:r>
      <w:r>
        <w:rPr>
          <w:rFonts w:cs="Times New Roman"/>
          <w:bCs/>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表4.2</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1</w:t>
      </w:r>
      <w:r>
        <w:rPr>
          <w:rFonts w:hint="eastAsia" w:cs="Times New Roman"/>
          <w:color w:val="000000" w:themeColor="text1"/>
          <w14:textFill>
            <w14:solidFill>
              <w14:schemeClr w14:val="tx1"/>
            </w14:solidFill>
          </w14:textFill>
        </w:rPr>
        <w:t>3</w:t>
      </w:r>
      <w:r>
        <w:rPr>
          <w:rFonts w:cs="Times New Roman"/>
          <w:bCs/>
          <w:color w:val="000000" w:themeColor="text1"/>
          <w:szCs w:val="24"/>
          <w14:textFill>
            <w14:solidFill>
              <w14:schemeClr w14:val="tx1"/>
            </w14:solidFill>
          </w14:textFill>
        </w:rPr>
        <w:fldChar w:fldCharType="end"/>
      </w:r>
      <w:r>
        <w:rPr>
          <w:rFonts w:cs="Times New Roman"/>
          <w:bCs/>
          <w:color w:val="000000" w:themeColor="text1"/>
          <w:szCs w:val="24"/>
          <w14:textFill>
            <w14:solidFill>
              <w14:schemeClr w14:val="tx1"/>
            </w14:solidFill>
          </w14:textFill>
        </w:rPr>
        <w:t>、</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REF _Ref142600187 \h  \* MERGEFORMAT </w:instrText>
      </w:r>
      <w:r>
        <w:rPr>
          <w:rFonts w:cs="Times New Roman"/>
          <w:bCs/>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表4.2</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1</w:t>
      </w:r>
      <w:r>
        <w:rPr>
          <w:rFonts w:hint="eastAsia" w:cs="Times New Roman"/>
          <w:color w:val="000000" w:themeColor="text1"/>
          <w14:textFill>
            <w14:solidFill>
              <w14:schemeClr w14:val="tx1"/>
            </w14:solidFill>
          </w14:textFill>
        </w:rPr>
        <w:t>4</w:t>
      </w:r>
      <w:r>
        <w:rPr>
          <w:rFonts w:cs="Times New Roman"/>
          <w:bCs/>
          <w:color w:val="000000" w:themeColor="text1"/>
          <w:szCs w:val="24"/>
          <w14:textFill>
            <w14:solidFill>
              <w14:schemeClr w14:val="tx1"/>
            </w14:solidFill>
          </w14:textFill>
        </w:rPr>
        <w:fldChar w:fldCharType="end"/>
      </w:r>
      <w:r>
        <w:rPr>
          <w:rFonts w:cs="Times New Roman"/>
          <w:bCs/>
          <w:color w:val="000000" w:themeColor="text1"/>
          <w:szCs w:val="24"/>
          <w14:textFill>
            <w14:solidFill>
              <w14:schemeClr w14:val="tx1"/>
            </w14:solidFill>
          </w14:textFill>
        </w:rPr>
        <w:t>。</w:t>
      </w:r>
    </w:p>
    <w:p>
      <w:pPr>
        <w:pStyle w:val="95"/>
      </w:pPr>
      <w:bookmarkStart w:id="227" w:name="_Ref142600179"/>
      <w:r>
        <w:t>表</w:t>
      </w:r>
      <w:r>
        <w:fldChar w:fldCharType="begin"/>
      </w:r>
      <w:r>
        <w:instrText xml:space="preserve"> STYLEREF 2 \s </w:instrText>
      </w:r>
      <w:r>
        <w:fldChar w:fldCharType="separate"/>
      </w:r>
      <w:r>
        <w:t>4.2</w:t>
      </w:r>
      <w:r>
        <w:fldChar w:fldCharType="end"/>
      </w:r>
      <w:r>
        <w:noBreakHyphen/>
      </w:r>
      <w:r>
        <w:fldChar w:fldCharType="begin"/>
      </w:r>
      <w:r>
        <w:instrText xml:space="preserve"> SEQ 表 \* ARABIC \s 2 </w:instrText>
      </w:r>
      <w:r>
        <w:fldChar w:fldCharType="separate"/>
      </w:r>
      <w:r>
        <w:t>1</w:t>
      </w:r>
      <w:r>
        <w:rPr>
          <w:rFonts w:hint="eastAsia"/>
        </w:rPr>
        <w:t>2</w:t>
      </w:r>
      <w:r>
        <w:fldChar w:fldCharType="end"/>
      </w:r>
      <w:bookmarkEnd w:id="227"/>
      <w:r>
        <w:t xml:space="preserve"> 本项目场外土壤环境现状监测及评价表  单位：mg/kg，pH无量纲</w:t>
      </w:r>
    </w:p>
    <w:tbl>
      <w:tblPr>
        <w:tblStyle w:val="52"/>
        <w:tblW w:w="5000" w:type="pct"/>
        <w:jc w:val="center"/>
        <w:tblLayout w:type="autofit"/>
        <w:tblCellMar>
          <w:top w:w="15" w:type="dxa"/>
          <w:left w:w="15" w:type="dxa"/>
          <w:bottom w:w="15" w:type="dxa"/>
          <w:right w:w="15" w:type="dxa"/>
        </w:tblCellMar>
      </w:tblPr>
      <w:tblGrid>
        <w:gridCol w:w="660"/>
        <w:gridCol w:w="1103"/>
        <w:gridCol w:w="461"/>
        <w:gridCol w:w="558"/>
        <w:gridCol w:w="516"/>
        <w:gridCol w:w="516"/>
        <w:gridCol w:w="505"/>
        <w:gridCol w:w="503"/>
        <w:gridCol w:w="450"/>
        <w:gridCol w:w="450"/>
        <w:gridCol w:w="450"/>
        <w:gridCol w:w="406"/>
        <w:gridCol w:w="660"/>
        <w:gridCol w:w="557"/>
        <w:gridCol w:w="545"/>
      </w:tblGrid>
      <w:tr>
        <w:tblPrEx>
          <w:tblCellMar>
            <w:top w:w="15" w:type="dxa"/>
            <w:left w:w="15" w:type="dxa"/>
            <w:bottom w:w="15" w:type="dxa"/>
            <w:right w:w="15" w:type="dxa"/>
          </w:tblCellMar>
        </w:tblPrEx>
        <w:trPr>
          <w:trHeight w:val="454" w:hRule="atLeast"/>
          <w:jc w:val="center"/>
        </w:trPr>
        <w:tc>
          <w:tcPr>
            <w:tcW w:w="1036" w:type="pct"/>
            <w:gridSpan w:val="2"/>
            <w:tcBorders>
              <w:top w:val="single" w:color="auto" w:sz="8" w:space="0"/>
              <w:left w:val="single" w:color="auto" w:sz="8" w:space="0"/>
              <w:bottom w:val="single" w:color="auto" w:sz="4" w:space="0"/>
              <w:right w:val="single" w:color="auto" w:sz="4" w:space="0"/>
              <w:tl2br w:val="single" w:color="auto" w:sz="4" w:space="0"/>
            </w:tcBorders>
            <w:noWrap/>
            <w:vAlign w:val="center"/>
          </w:tcPr>
          <w:p>
            <w:pPr>
              <w:pStyle w:val="294"/>
            </w:pPr>
            <w:r>
              <w:t>监测项目</w:t>
            </w:r>
          </w:p>
          <w:p>
            <w:pPr>
              <w:pStyle w:val="294"/>
            </w:pPr>
            <w:r>
              <w:t>监测点</w:t>
            </w:r>
          </w:p>
        </w:tc>
        <w:tc>
          <w:tcPr>
            <w:tcW w:w="286" w:type="pct"/>
            <w:tcBorders>
              <w:top w:val="single" w:color="auto" w:sz="8" w:space="0"/>
              <w:left w:val="single" w:color="auto" w:sz="4" w:space="0"/>
              <w:bottom w:val="single" w:color="auto" w:sz="4" w:space="0"/>
              <w:right w:val="single" w:color="auto" w:sz="4" w:space="0"/>
            </w:tcBorders>
            <w:noWrap/>
            <w:vAlign w:val="center"/>
          </w:tcPr>
          <w:p>
            <w:pPr>
              <w:pStyle w:val="294"/>
            </w:pPr>
            <w:r>
              <w:t>pH</w:t>
            </w:r>
          </w:p>
        </w:tc>
        <w:tc>
          <w:tcPr>
            <w:tcW w:w="344" w:type="pct"/>
            <w:tcBorders>
              <w:top w:val="single" w:color="auto" w:sz="8" w:space="0"/>
              <w:left w:val="single" w:color="auto" w:sz="4" w:space="0"/>
              <w:bottom w:val="single" w:color="auto" w:sz="4" w:space="0"/>
              <w:right w:val="single" w:color="auto" w:sz="4" w:space="0"/>
            </w:tcBorders>
            <w:noWrap/>
            <w:vAlign w:val="center"/>
          </w:tcPr>
          <w:p>
            <w:pPr>
              <w:pStyle w:val="294"/>
            </w:pPr>
            <w:r>
              <w:t>砷</w:t>
            </w:r>
          </w:p>
        </w:tc>
        <w:tc>
          <w:tcPr>
            <w:tcW w:w="319" w:type="pct"/>
            <w:tcBorders>
              <w:top w:val="single" w:color="auto" w:sz="8" w:space="0"/>
              <w:left w:val="single" w:color="auto" w:sz="4" w:space="0"/>
              <w:bottom w:val="single" w:color="auto" w:sz="4" w:space="0"/>
              <w:right w:val="single" w:color="auto" w:sz="4" w:space="0"/>
            </w:tcBorders>
            <w:noWrap/>
            <w:vAlign w:val="center"/>
          </w:tcPr>
          <w:p>
            <w:pPr>
              <w:pStyle w:val="294"/>
            </w:pPr>
            <w:r>
              <w:t>镉</w:t>
            </w:r>
          </w:p>
        </w:tc>
        <w:tc>
          <w:tcPr>
            <w:tcW w:w="319" w:type="pct"/>
            <w:tcBorders>
              <w:top w:val="single" w:color="auto" w:sz="8" w:space="0"/>
              <w:left w:val="single" w:color="auto" w:sz="4" w:space="0"/>
              <w:bottom w:val="single" w:color="auto" w:sz="4" w:space="0"/>
              <w:right w:val="single" w:color="auto" w:sz="4" w:space="0"/>
            </w:tcBorders>
            <w:noWrap/>
            <w:vAlign w:val="center"/>
          </w:tcPr>
          <w:p>
            <w:pPr>
              <w:pStyle w:val="294"/>
            </w:pPr>
            <w:r>
              <w:t>铜</w:t>
            </w:r>
          </w:p>
        </w:tc>
        <w:tc>
          <w:tcPr>
            <w:tcW w:w="312" w:type="pct"/>
            <w:tcBorders>
              <w:top w:val="single" w:color="auto" w:sz="8" w:space="0"/>
              <w:left w:val="single" w:color="auto" w:sz="4" w:space="0"/>
              <w:bottom w:val="single" w:color="auto" w:sz="4" w:space="0"/>
              <w:right w:val="single" w:color="auto" w:sz="4" w:space="0"/>
            </w:tcBorders>
            <w:noWrap/>
            <w:vAlign w:val="center"/>
          </w:tcPr>
          <w:p>
            <w:pPr>
              <w:pStyle w:val="294"/>
            </w:pPr>
            <w:r>
              <w:t>铅</w:t>
            </w:r>
          </w:p>
        </w:tc>
        <w:tc>
          <w:tcPr>
            <w:tcW w:w="272" w:type="pct"/>
            <w:tcBorders>
              <w:top w:val="single" w:color="auto" w:sz="8" w:space="0"/>
              <w:left w:val="single" w:color="auto" w:sz="4" w:space="0"/>
              <w:bottom w:val="single" w:color="auto" w:sz="4" w:space="0"/>
              <w:right w:val="single" w:color="auto" w:sz="4" w:space="0"/>
            </w:tcBorders>
            <w:noWrap/>
            <w:vAlign w:val="center"/>
          </w:tcPr>
          <w:p>
            <w:pPr>
              <w:pStyle w:val="294"/>
            </w:pPr>
            <w:r>
              <w:t>汞</w:t>
            </w:r>
          </w:p>
        </w:tc>
        <w:tc>
          <w:tcPr>
            <w:tcW w:w="272" w:type="pct"/>
            <w:tcBorders>
              <w:top w:val="single" w:color="auto" w:sz="8" w:space="0"/>
              <w:left w:val="single" w:color="auto" w:sz="4" w:space="0"/>
              <w:bottom w:val="single" w:color="auto" w:sz="4" w:space="0"/>
              <w:right w:val="single" w:color="auto" w:sz="4" w:space="0"/>
            </w:tcBorders>
            <w:noWrap/>
            <w:vAlign w:val="center"/>
          </w:tcPr>
          <w:p>
            <w:pPr>
              <w:pStyle w:val="294"/>
            </w:pPr>
            <w:r>
              <w:t>镍</w:t>
            </w:r>
          </w:p>
        </w:tc>
        <w:tc>
          <w:tcPr>
            <w:tcW w:w="272" w:type="pct"/>
            <w:tcBorders>
              <w:top w:val="single" w:color="auto" w:sz="8" w:space="0"/>
              <w:left w:val="single" w:color="auto" w:sz="4" w:space="0"/>
              <w:bottom w:val="single" w:color="auto" w:sz="4" w:space="0"/>
              <w:right w:val="single" w:color="auto" w:sz="4" w:space="0"/>
            </w:tcBorders>
            <w:noWrap/>
            <w:vAlign w:val="center"/>
          </w:tcPr>
          <w:p>
            <w:pPr>
              <w:pStyle w:val="294"/>
            </w:pPr>
            <w:r>
              <w:t>铬</w:t>
            </w:r>
          </w:p>
        </w:tc>
        <w:tc>
          <w:tcPr>
            <w:tcW w:w="272" w:type="pct"/>
            <w:tcBorders>
              <w:top w:val="single" w:color="auto" w:sz="8" w:space="0"/>
              <w:left w:val="single" w:color="auto" w:sz="4" w:space="0"/>
              <w:bottom w:val="single" w:color="auto" w:sz="4" w:space="0"/>
              <w:right w:val="single" w:color="auto" w:sz="4" w:space="0"/>
            </w:tcBorders>
            <w:noWrap/>
            <w:vAlign w:val="center"/>
          </w:tcPr>
          <w:p>
            <w:pPr>
              <w:pStyle w:val="294"/>
            </w:pPr>
            <w:r>
              <w:t>锌</w:t>
            </w:r>
          </w:p>
        </w:tc>
        <w:tc>
          <w:tcPr>
            <w:tcW w:w="272" w:type="pct"/>
            <w:tcBorders>
              <w:top w:val="single" w:color="auto" w:sz="8" w:space="0"/>
              <w:left w:val="single" w:color="auto" w:sz="4" w:space="0"/>
              <w:bottom w:val="single" w:color="auto" w:sz="4" w:space="0"/>
              <w:right w:val="single" w:color="auto" w:sz="4" w:space="0"/>
            </w:tcBorders>
            <w:vAlign w:val="center"/>
          </w:tcPr>
          <w:p>
            <w:pPr>
              <w:pStyle w:val="294"/>
            </w:pPr>
            <w:r>
              <w:t>石油烃</w:t>
            </w:r>
          </w:p>
        </w:tc>
        <w:tc>
          <w:tcPr>
            <w:tcW w:w="345" w:type="pct"/>
            <w:tcBorders>
              <w:top w:val="single" w:color="auto" w:sz="8" w:space="0"/>
              <w:left w:val="single" w:color="auto" w:sz="4" w:space="0"/>
              <w:bottom w:val="single" w:color="auto" w:sz="4" w:space="0"/>
              <w:right w:val="single" w:color="auto" w:sz="4" w:space="0"/>
            </w:tcBorders>
            <w:noWrap/>
            <w:vAlign w:val="center"/>
          </w:tcPr>
          <w:p>
            <w:pPr>
              <w:pStyle w:val="294"/>
            </w:pPr>
            <w:r>
              <w:t>全盐量</w:t>
            </w:r>
          </w:p>
        </w:tc>
        <w:tc>
          <w:tcPr>
            <w:tcW w:w="343" w:type="pct"/>
            <w:tcBorders>
              <w:top w:val="single" w:color="auto" w:sz="8" w:space="0"/>
              <w:left w:val="single" w:color="auto" w:sz="4" w:space="0"/>
              <w:bottom w:val="single" w:color="auto" w:sz="4" w:space="0"/>
              <w:right w:val="single" w:color="auto" w:sz="4" w:space="0"/>
            </w:tcBorders>
            <w:vAlign w:val="center"/>
          </w:tcPr>
          <w:p>
            <w:pPr>
              <w:pStyle w:val="294"/>
            </w:pPr>
            <w:r>
              <w:t>钡</w:t>
            </w:r>
          </w:p>
        </w:tc>
        <w:tc>
          <w:tcPr>
            <w:tcW w:w="337" w:type="pct"/>
            <w:tcBorders>
              <w:top w:val="single" w:color="auto" w:sz="8" w:space="0"/>
              <w:left w:val="single" w:color="auto" w:sz="4" w:space="0"/>
              <w:bottom w:val="single" w:color="auto" w:sz="4" w:space="0"/>
              <w:right w:val="single" w:color="auto" w:sz="8" w:space="0"/>
            </w:tcBorders>
            <w:vAlign w:val="center"/>
          </w:tcPr>
          <w:p>
            <w:pPr>
              <w:pStyle w:val="294"/>
            </w:pPr>
            <w:r>
              <w:t>水溶性硫酸盐</w:t>
            </w:r>
          </w:p>
        </w:tc>
      </w:tr>
      <w:tr>
        <w:tblPrEx>
          <w:tblCellMar>
            <w:top w:w="15" w:type="dxa"/>
            <w:left w:w="15" w:type="dxa"/>
            <w:bottom w:w="15" w:type="dxa"/>
            <w:right w:w="15" w:type="dxa"/>
          </w:tblCellMar>
        </w:tblPrEx>
        <w:trPr>
          <w:trHeight w:val="454" w:hRule="atLeast"/>
          <w:jc w:val="center"/>
        </w:trPr>
        <w:tc>
          <w:tcPr>
            <w:tcW w:w="365" w:type="pct"/>
            <w:tcBorders>
              <w:top w:val="single" w:color="auto" w:sz="4" w:space="0"/>
              <w:left w:val="single" w:color="auto" w:sz="8" w:space="0"/>
              <w:bottom w:val="single" w:color="auto" w:sz="4" w:space="0"/>
              <w:right w:val="single" w:color="auto" w:sz="4" w:space="0"/>
            </w:tcBorders>
            <w:noWrap/>
            <w:vAlign w:val="center"/>
          </w:tcPr>
          <w:p>
            <w:pPr>
              <w:pStyle w:val="294"/>
            </w:pPr>
            <w:r>
              <w:t>监测值</w:t>
            </w:r>
          </w:p>
        </w:tc>
        <w:tc>
          <w:tcPr>
            <w:tcW w:w="671" w:type="pct"/>
            <w:tcBorders>
              <w:top w:val="single" w:color="auto" w:sz="4" w:space="0"/>
              <w:left w:val="single" w:color="auto" w:sz="4" w:space="0"/>
              <w:bottom w:val="single" w:color="auto" w:sz="4" w:space="0"/>
              <w:right w:val="single" w:color="auto" w:sz="4" w:space="0"/>
            </w:tcBorders>
            <w:noWrap/>
            <w:vAlign w:val="center"/>
          </w:tcPr>
          <w:p>
            <w:pPr>
              <w:pStyle w:val="294"/>
            </w:pPr>
            <w:r>
              <w:rPr>
                <w:rFonts w:hint="eastAsia"/>
              </w:rPr>
              <w:t>T1</w:t>
            </w:r>
          </w:p>
        </w:tc>
        <w:tc>
          <w:tcPr>
            <w:tcW w:w="286" w:type="pct"/>
            <w:tcBorders>
              <w:top w:val="single" w:color="auto" w:sz="4" w:space="0"/>
              <w:left w:val="single" w:color="auto" w:sz="4" w:space="0"/>
              <w:bottom w:val="single" w:color="auto" w:sz="4" w:space="0"/>
              <w:right w:val="single" w:color="auto" w:sz="4" w:space="0"/>
            </w:tcBorders>
            <w:noWrap/>
            <w:vAlign w:val="center"/>
          </w:tcPr>
          <w:p>
            <w:pPr>
              <w:pStyle w:val="294"/>
            </w:pPr>
            <w:r>
              <w:rPr>
                <w:rFonts w:hint="eastAsia"/>
              </w:rPr>
              <w:t>6.97</w:t>
            </w:r>
          </w:p>
        </w:tc>
        <w:tc>
          <w:tcPr>
            <w:tcW w:w="344" w:type="pct"/>
            <w:tcBorders>
              <w:top w:val="single" w:color="auto" w:sz="4" w:space="0"/>
              <w:left w:val="single" w:color="auto" w:sz="4" w:space="0"/>
              <w:bottom w:val="single" w:color="auto" w:sz="4" w:space="0"/>
              <w:right w:val="single" w:color="auto" w:sz="4" w:space="0"/>
            </w:tcBorders>
            <w:noWrap/>
            <w:vAlign w:val="center"/>
          </w:tcPr>
          <w:p>
            <w:pPr>
              <w:pStyle w:val="294"/>
            </w:pPr>
            <w:r>
              <w:rPr>
                <w:rFonts w:hint="eastAsia"/>
              </w:rPr>
              <w:t>4.83</w:t>
            </w:r>
          </w:p>
        </w:tc>
        <w:tc>
          <w:tcPr>
            <w:tcW w:w="319" w:type="pct"/>
            <w:tcBorders>
              <w:top w:val="single" w:color="auto" w:sz="4" w:space="0"/>
              <w:left w:val="single" w:color="auto" w:sz="4" w:space="0"/>
              <w:bottom w:val="single" w:color="auto" w:sz="4" w:space="0"/>
              <w:right w:val="single" w:color="auto" w:sz="4" w:space="0"/>
            </w:tcBorders>
            <w:noWrap/>
            <w:vAlign w:val="center"/>
          </w:tcPr>
          <w:p>
            <w:pPr>
              <w:pStyle w:val="294"/>
            </w:pPr>
            <w:r>
              <w:rPr>
                <w:rFonts w:hint="eastAsia"/>
              </w:rPr>
              <w:t>0.22</w:t>
            </w:r>
          </w:p>
        </w:tc>
        <w:tc>
          <w:tcPr>
            <w:tcW w:w="319" w:type="pct"/>
            <w:tcBorders>
              <w:top w:val="single" w:color="auto" w:sz="4" w:space="0"/>
              <w:left w:val="single" w:color="auto" w:sz="4" w:space="0"/>
              <w:bottom w:val="single" w:color="auto" w:sz="4" w:space="0"/>
              <w:right w:val="single" w:color="auto" w:sz="4" w:space="0"/>
            </w:tcBorders>
            <w:noWrap/>
            <w:vAlign w:val="center"/>
          </w:tcPr>
          <w:p>
            <w:pPr>
              <w:pStyle w:val="294"/>
            </w:pPr>
            <w:r>
              <w:rPr>
                <w:rFonts w:hint="eastAsia"/>
              </w:rPr>
              <w:t>53</w:t>
            </w:r>
          </w:p>
        </w:tc>
        <w:tc>
          <w:tcPr>
            <w:tcW w:w="312" w:type="pct"/>
            <w:tcBorders>
              <w:top w:val="single" w:color="auto" w:sz="4" w:space="0"/>
              <w:left w:val="single" w:color="auto" w:sz="4" w:space="0"/>
              <w:bottom w:val="single" w:color="auto" w:sz="4" w:space="0"/>
              <w:right w:val="single" w:color="auto" w:sz="4" w:space="0"/>
            </w:tcBorders>
            <w:noWrap/>
            <w:vAlign w:val="center"/>
          </w:tcPr>
          <w:p>
            <w:pPr>
              <w:pStyle w:val="294"/>
            </w:pPr>
            <w:r>
              <w:rPr>
                <w:rFonts w:hint="eastAsia"/>
              </w:rPr>
              <w:t>54</w:t>
            </w:r>
          </w:p>
        </w:tc>
        <w:tc>
          <w:tcPr>
            <w:tcW w:w="272" w:type="pct"/>
            <w:tcBorders>
              <w:top w:val="single" w:color="auto" w:sz="4" w:space="0"/>
              <w:left w:val="single" w:color="auto" w:sz="4" w:space="0"/>
              <w:bottom w:val="single" w:color="auto" w:sz="4" w:space="0"/>
              <w:right w:val="single" w:color="auto" w:sz="4" w:space="0"/>
            </w:tcBorders>
            <w:noWrap/>
            <w:vAlign w:val="center"/>
          </w:tcPr>
          <w:p>
            <w:pPr>
              <w:pStyle w:val="294"/>
            </w:pPr>
            <w:r>
              <w:rPr>
                <w:rFonts w:hint="eastAsia"/>
              </w:rPr>
              <w:t>0.059</w:t>
            </w:r>
          </w:p>
        </w:tc>
        <w:tc>
          <w:tcPr>
            <w:tcW w:w="272" w:type="pct"/>
            <w:tcBorders>
              <w:top w:val="single" w:color="auto" w:sz="4" w:space="0"/>
              <w:left w:val="single" w:color="auto" w:sz="4" w:space="0"/>
              <w:bottom w:val="single" w:color="auto" w:sz="4" w:space="0"/>
              <w:right w:val="single" w:color="auto" w:sz="4" w:space="0"/>
            </w:tcBorders>
            <w:noWrap/>
            <w:vAlign w:val="center"/>
          </w:tcPr>
          <w:p>
            <w:pPr>
              <w:pStyle w:val="294"/>
            </w:pPr>
            <w:r>
              <w:rPr>
                <w:rFonts w:hint="eastAsia"/>
              </w:rPr>
              <w:t>49</w:t>
            </w:r>
          </w:p>
        </w:tc>
        <w:tc>
          <w:tcPr>
            <w:tcW w:w="272" w:type="pct"/>
            <w:tcBorders>
              <w:top w:val="single" w:color="auto" w:sz="4" w:space="0"/>
              <w:left w:val="single" w:color="auto" w:sz="4" w:space="0"/>
              <w:bottom w:val="single" w:color="auto" w:sz="4" w:space="0"/>
              <w:right w:val="single" w:color="auto" w:sz="4" w:space="0"/>
            </w:tcBorders>
            <w:noWrap/>
            <w:vAlign w:val="center"/>
          </w:tcPr>
          <w:p>
            <w:pPr>
              <w:pStyle w:val="294"/>
            </w:pPr>
            <w:r>
              <w:rPr>
                <w:rFonts w:hint="eastAsia"/>
              </w:rPr>
              <w:t>78</w:t>
            </w:r>
          </w:p>
        </w:tc>
        <w:tc>
          <w:tcPr>
            <w:tcW w:w="272" w:type="pct"/>
            <w:tcBorders>
              <w:top w:val="single" w:color="auto" w:sz="4" w:space="0"/>
              <w:left w:val="single" w:color="auto" w:sz="4" w:space="0"/>
              <w:bottom w:val="single" w:color="auto" w:sz="4" w:space="0"/>
              <w:right w:val="single" w:color="auto" w:sz="4" w:space="0"/>
            </w:tcBorders>
            <w:noWrap/>
            <w:vAlign w:val="center"/>
          </w:tcPr>
          <w:p>
            <w:pPr>
              <w:pStyle w:val="294"/>
            </w:pPr>
            <w:r>
              <w:rPr>
                <w:rFonts w:hint="eastAsia"/>
              </w:rPr>
              <w:t>105</w:t>
            </w:r>
          </w:p>
        </w:tc>
        <w:tc>
          <w:tcPr>
            <w:tcW w:w="272" w:type="pct"/>
            <w:tcBorders>
              <w:top w:val="single" w:color="auto" w:sz="4" w:space="0"/>
              <w:left w:val="single" w:color="auto" w:sz="4" w:space="0"/>
              <w:bottom w:val="single" w:color="auto" w:sz="4" w:space="0"/>
              <w:right w:val="single" w:color="auto" w:sz="4" w:space="0"/>
            </w:tcBorders>
            <w:vAlign w:val="center"/>
          </w:tcPr>
          <w:p>
            <w:pPr>
              <w:pStyle w:val="294"/>
            </w:pPr>
            <w:r>
              <w:rPr>
                <w:rFonts w:hint="eastAsia"/>
              </w:rPr>
              <w:t>ND</w:t>
            </w:r>
          </w:p>
        </w:tc>
        <w:tc>
          <w:tcPr>
            <w:tcW w:w="345" w:type="pct"/>
            <w:tcBorders>
              <w:top w:val="single" w:color="auto" w:sz="4" w:space="0"/>
              <w:left w:val="single" w:color="auto" w:sz="4" w:space="0"/>
              <w:bottom w:val="single" w:color="auto" w:sz="4" w:space="0"/>
              <w:right w:val="single" w:color="auto" w:sz="4" w:space="0"/>
            </w:tcBorders>
            <w:noWrap/>
            <w:vAlign w:val="center"/>
          </w:tcPr>
          <w:p>
            <w:pPr>
              <w:pStyle w:val="294"/>
            </w:pPr>
            <w:r>
              <w:t>3100</w:t>
            </w:r>
          </w:p>
        </w:tc>
        <w:tc>
          <w:tcPr>
            <w:tcW w:w="343" w:type="pct"/>
            <w:tcBorders>
              <w:top w:val="single" w:color="auto" w:sz="4" w:space="0"/>
              <w:left w:val="single" w:color="auto" w:sz="4" w:space="0"/>
              <w:bottom w:val="single" w:color="auto" w:sz="4" w:space="0"/>
              <w:right w:val="single" w:color="auto" w:sz="4" w:space="0"/>
            </w:tcBorders>
            <w:vAlign w:val="center"/>
          </w:tcPr>
          <w:p>
            <w:pPr>
              <w:pStyle w:val="294"/>
            </w:pPr>
            <w:r>
              <w:rPr>
                <w:rFonts w:hint="eastAsia"/>
              </w:rPr>
              <w:t>0.42</w:t>
            </w:r>
          </w:p>
        </w:tc>
        <w:tc>
          <w:tcPr>
            <w:tcW w:w="337" w:type="pct"/>
            <w:tcBorders>
              <w:top w:val="single" w:color="auto" w:sz="4" w:space="0"/>
              <w:left w:val="single" w:color="auto" w:sz="4" w:space="0"/>
              <w:bottom w:val="single" w:color="auto" w:sz="4" w:space="0"/>
              <w:right w:val="single" w:color="auto" w:sz="8" w:space="0"/>
            </w:tcBorders>
            <w:vAlign w:val="center"/>
          </w:tcPr>
          <w:p>
            <w:pPr>
              <w:pStyle w:val="294"/>
            </w:pPr>
            <w:r>
              <w:rPr>
                <w:rFonts w:hint="eastAsia"/>
              </w:rPr>
              <w:t>90.6</w:t>
            </w:r>
          </w:p>
        </w:tc>
      </w:tr>
      <w:tr>
        <w:tblPrEx>
          <w:tblCellMar>
            <w:top w:w="15" w:type="dxa"/>
            <w:left w:w="15" w:type="dxa"/>
            <w:bottom w:w="15" w:type="dxa"/>
            <w:right w:w="15" w:type="dxa"/>
          </w:tblCellMar>
        </w:tblPrEx>
        <w:trPr>
          <w:trHeight w:val="454" w:hRule="atLeast"/>
          <w:jc w:val="center"/>
        </w:trPr>
        <w:tc>
          <w:tcPr>
            <w:tcW w:w="1036" w:type="pct"/>
            <w:gridSpan w:val="2"/>
            <w:tcBorders>
              <w:top w:val="single" w:color="auto" w:sz="4" w:space="0"/>
              <w:left w:val="single" w:color="auto" w:sz="8" w:space="0"/>
              <w:bottom w:val="single" w:color="auto" w:sz="4" w:space="0"/>
              <w:right w:val="single" w:color="auto" w:sz="4" w:space="0"/>
            </w:tcBorders>
            <w:vAlign w:val="center"/>
          </w:tcPr>
          <w:p>
            <w:pPr>
              <w:pStyle w:val="294"/>
            </w:pPr>
            <w:r>
              <w:t>标准值</w:t>
            </w:r>
            <w:r>
              <w:br w:type="textWrapping"/>
            </w:r>
            <w:r>
              <w:t>pH＞7.5（其他）</w:t>
            </w:r>
          </w:p>
        </w:tc>
        <w:tc>
          <w:tcPr>
            <w:tcW w:w="286" w:type="pct"/>
            <w:tcBorders>
              <w:top w:val="single" w:color="auto" w:sz="4" w:space="0"/>
              <w:left w:val="single" w:color="auto" w:sz="4" w:space="0"/>
              <w:bottom w:val="single" w:color="auto" w:sz="4" w:space="0"/>
              <w:right w:val="single" w:color="auto" w:sz="4" w:space="0"/>
            </w:tcBorders>
            <w:noWrap/>
            <w:vAlign w:val="center"/>
          </w:tcPr>
          <w:p>
            <w:pPr>
              <w:pStyle w:val="294"/>
            </w:pPr>
            <w:r>
              <w:t>/</w:t>
            </w:r>
          </w:p>
        </w:tc>
        <w:tc>
          <w:tcPr>
            <w:tcW w:w="344" w:type="pct"/>
            <w:tcBorders>
              <w:top w:val="single" w:color="auto" w:sz="4" w:space="0"/>
              <w:left w:val="single" w:color="auto" w:sz="4" w:space="0"/>
              <w:bottom w:val="single" w:color="auto" w:sz="4" w:space="0"/>
              <w:right w:val="single" w:color="auto" w:sz="4" w:space="0"/>
            </w:tcBorders>
            <w:noWrap/>
            <w:vAlign w:val="center"/>
          </w:tcPr>
          <w:p>
            <w:pPr>
              <w:pStyle w:val="294"/>
            </w:pPr>
            <w:r>
              <w:t>25</w:t>
            </w:r>
          </w:p>
        </w:tc>
        <w:tc>
          <w:tcPr>
            <w:tcW w:w="319" w:type="pct"/>
            <w:tcBorders>
              <w:top w:val="single" w:color="auto" w:sz="4" w:space="0"/>
              <w:left w:val="single" w:color="auto" w:sz="4" w:space="0"/>
              <w:bottom w:val="single" w:color="auto" w:sz="4" w:space="0"/>
              <w:right w:val="single" w:color="auto" w:sz="4" w:space="0"/>
            </w:tcBorders>
            <w:noWrap/>
            <w:vAlign w:val="center"/>
          </w:tcPr>
          <w:p>
            <w:pPr>
              <w:pStyle w:val="294"/>
            </w:pPr>
            <w:r>
              <w:t>0.6</w:t>
            </w:r>
          </w:p>
        </w:tc>
        <w:tc>
          <w:tcPr>
            <w:tcW w:w="319" w:type="pct"/>
            <w:tcBorders>
              <w:top w:val="single" w:color="auto" w:sz="4" w:space="0"/>
              <w:left w:val="single" w:color="auto" w:sz="4" w:space="0"/>
              <w:bottom w:val="single" w:color="auto" w:sz="4" w:space="0"/>
              <w:right w:val="single" w:color="auto" w:sz="4" w:space="0"/>
            </w:tcBorders>
            <w:noWrap/>
            <w:vAlign w:val="center"/>
          </w:tcPr>
          <w:p>
            <w:pPr>
              <w:pStyle w:val="294"/>
            </w:pPr>
            <w:r>
              <w:t>100</w:t>
            </w:r>
          </w:p>
        </w:tc>
        <w:tc>
          <w:tcPr>
            <w:tcW w:w="312" w:type="pct"/>
            <w:tcBorders>
              <w:top w:val="single" w:color="auto" w:sz="4" w:space="0"/>
              <w:left w:val="single" w:color="auto" w:sz="4" w:space="0"/>
              <w:bottom w:val="single" w:color="auto" w:sz="4" w:space="0"/>
              <w:right w:val="single" w:color="auto" w:sz="4" w:space="0"/>
            </w:tcBorders>
            <w:noWrap/>
            <w:vAlign w:val="center"/>
          </w:tcPr>
          <w:p>
            <w:pPr>
              <w:pStyle w:val="294"/>
            </w:pPr>
            <w:r>
              <w:t>170</w:t>
            </w:r>
          </w:p>
        </w:tc>
        <w:tc>
          <w:tcPr>
            <w:tcW w:w="272" w:type="pct"/>
            <w:tcBorders>
              <w:top w:val="single" w:color="auto" w:sz="4" w:space="0"/>
              <w:left w:val="single" w:color="auto" w:sz="4" w:space="0"/>
              <w:bottom w:val="single" w:color="auto" w:sz="4" w:space="0"/>
              <w:right w:val="single" w:color="auto" w:sz="4" w:space="0"/>
            </w:tcBorders>
            <w:noWrap/>
            <w:vAlign w:val="center"/>
          </w:tcPr>
          <w:p>
            <w:pPr>
              <w:pStyle w:val="294"/>
            </w:pPr>
            <w:r>
              <w:t>3.4</w:t>
            </w:r>
          </w:p>
        </w:tc>
        <w:tc>
          <w:tcPr>
            <w:tcW w:w="272" w:type="pct"/>
            <w:tcBorders>
              <w:top w:val="single" w:color="auto" w:sz="4" w:space="0"/>
              <w:left w:val="single" w:color="auto" w:sz="4" w:space="0"/>
              <w:bottom w:val="single" w:color="auto" w:sz="4" w:space="0"/>
              <w:right w:val="single" w:color="auto" w:sz="4" w:space="0"/>
            </w:tcBorders>
            <w:noWrap/>
            <w:vAlign w:val="center"/>
          </w:tcPr>
          <w:p>
            <w:pPr>
              <w:pStyle w:val="294"/>
            </w:pPr>
            <w:r>
              <w:t>190</w:t>
            </w:r>
          </w:p>
        </w:tc>
        <w:tc>
          <w:tcPr>
            <w:tcW w:w="272" w:type="pct"/>
            <w:tcBorders>
              <w:top w:val="single" w:color="auto" w:sz="4" w:space="0"/>
              <w:left w:val="single" w:color="auto" w:sz="4" w:space="0"/>
              <w:bottom w:val="single" w:color="auto" w:sz="4" w:space="0"/>
              <w:right w:val="single" w:color="auto" w:sz="4" w:space="0"/>
            </w:tcBorders>
            <w:noWrap/>
            <w:vAlign w:val="center"/>
          </w:tcPr>
          <w:p>
            <w:pPr>
              <w:pStyle w:val="294"/>
            </w:pPr>
            <w:r>
              <w:t>250</w:t>
            </w:r>
          </w:p>
        </w:tc>
        <w:tc>
          <w:tcPr>
            <w:tcW w:w="272" w:type="pct"/>
            <w:tcBorders>
              <w:top w:val="single" w:color="auto" w:sz="4" w:space="0"/>
              <w:left w:val="single" w:color="auto" w:sz="4" w:space="0"/>
              <w:bottom w:val="single" w:color="auto" w:sz="4" w:space="0"/>
              <w:right w:val="single" w:color="auto" w:sz="4" w:space="0"/>
            </w:tcBorders>
            <w:noWrap/>
            <w:vAlign w:val="center"/>
          </w:tcPr>
          <w:p>
            <w:pPr>
              <w:pStyle w:val="294"/>
            </w:pPr>
            <w:r>
              <w:t>300</w:t>
            </w:r>
          </w:p>
        </w:tc>
        <w:tc>
          <w:tcPr>
            <w:tcW w:w="272" w:type="pct"/>
            <w:tcBorders>
              <w:top w:val="single" w:color="auto" w:sz="4" w:space="0"/>
              <w:left w:val="single" w:color="auto" w:sz="4" w:space="0"/>
              <w:bottom w:val="single" w:color="auto" w:sz="4" w:space="0"/>
              <w:right w:val="single" w:color="auto" w:sz="4" w:space="0"/>
            </w:tcBorders>
            <w:vAlign w:val="center"/>
          </w:tcPr>
          <w:p>
            <w:pPr>
              <w:pStyle w:val="294"/>
            </w:pPr>
            <w:r>
              <w:t>/</w:t>
            </w:r>
          </w:p>
        </w:tc>
        <w:tc>
          <w:tcPr>
            <w:tcW w:w="345" w:type="pct"/>
            <w:tcBorders>
              <w:top w:val="single" w:color="auto" w:sz="4" w:space="0"/>
              <w:left w:val="single" w:color="auto" w:sz="4" w:space="0"/>
              <w:bottom w:val="single" w:color="auto" w:sz="4" w:space="0"/>
              <w:right w:val="single" w:color="auto" w:sz="4" w:space="0"/>
            </w:tcBorders>
            <w:noWrap/>
            <w:vAlign w:val="center"/>
          </w:tcPr>
          <w:p>
            <w:pPr>
              <w:pStyle w:val="294"/>
            </w:pPr>
            <w:r>
              <w:t>/</w:t>
            </w:r>
          </w:p>
        </w:tc>
        <w:tc>
          <w:tcPr>
            <w:tcW w:w="343" w:type="pct"/>
            <w:tcBorders>
              <w:top w:val="single" w:color="auto" w:sz="4" w:space="0"/>
              <w:left w:val="single" w:color="auto" w:sz="4" w:space="0"/>
              <w:bottom w:val="single" w:color="auto" w:sz="4" w:space="0"/>
              <w:right w:val="single" w:color="auto" w:sz="4" w:space="0"/>
            </w:tcBorders>
            <w:vAlign w:val="center"/>
          </w:tcPr>
          <w:p>
            <w:pPr>
              <w:pStyle w:val="294"/>
            </w:pPr>
            <w:r>
              <w:t>/</w:t>
            </w:r>
          </w:p>
        </w:tc>
        <w:tc>
          <w:tcPr>
            <w:tcW w:w="337" w:type="pct"/>
            <w:tcBorders>
              <w:top w:val="single" w:color="auto" w:sz="4" w:space="0"/>
              <w:left w:val="single" w:color="auto" w:sz="4" w:space="0"/>
              <w:bottom w:val="single" w:color="auto" w:sz="4" w:space="0"/>
              <w:right w:val="single" w:color="auto" w:sz="8" w:space="0"/>
            </w:tcBorders>
            <w:vAlign w:val="center"/>
          </w:tcPr>
          <w:p>
            <w:pPr>
              <w:pStyle w:val="294"/>
            </w:pPr>
            <w:r>
              <w:t>/</w:t>
            </w:r>
          </w:p>
        </w:tc>
      </w:tr>
      <w:tr>
        <w:tblPrEx>
          <w:tblCellMar>
            <w:top w:w="15" w:type="dxa"/>
            <w:left w:w="15" w:type="dxa"/>
            <w:bottom w:w="15" w:type="dxa"/>
            <w:right w:w="15" w:type="dxa"/>
          </w:tblCellMar>
        </w:tblPrEx>
        <w:trPr>
          <w:trHeight w:val="454" w:hRule="atLeast"/>
          <w:jc w:val="center"/>
        </w:trPr>
        <w:tc>
          <w:tcPr>
            <w:tcW w:w="1036" w:type="pct"/>
            <w:gridSpan w:val="2"/>
            <w:tcBorders>
              <w:top w:val="single" w:color="auto" w:sz="4" w:space="0"/>
              <w:left w:val="single" w:color="auto" w:sz="8" w:space="0"/>
              <w:bottom w:val="single" w:color="auto" w:sz="8" w:space="0"/>
              <w:right w:val="single" w:color="auto" w:sz="4" w:space="0"/>
            </w:tcBorders>
            <w:vAlign w:val="center"/>
          </w:tcPr>
          <w:p>
            <w:pPr>
              <w:pStyle w:val="294"/>
            </w:pPr>
            <w:r>
              <w:t>达标情况</w:t>
            </w:r>
          </w:p>
        </w:tc>
        <w:tc>
          <w:tcPr>
            <w:tcW w:w="286" w:type="pct"/>
            <w:tcBorders>
              <w:top w:val="single" w:color="auto" w:sz="4" w:space="0"/>
              <w:left w:val="single" w:color="auto" w:sz="4" w:space="0"/>
              <w:bottom w:val="single" w:color="auto" w:sz="8" w:space="0"/>
              <w:right w:val="single" w:color="auto" w:sz="4" w:space="0"/>
            </w:tcBorders>
            <w:noWrap/>
            <w:vAlign w:val="center"/>
          </w:tcPr>
          <w:p>
            <w:pPr>
              <w:pStyle w:val="294"/>
            </w:pPr>
            <w:r>
              <w:t>/</w:t>
            </w:r>
          </w:p>
        </w:tc>
        <w:tc>
          <w:tcPr>
            <w:tcW w:w="344" w:type="pct"/>
            <w:tcBorders>
              <w:top w:val="single" w:color="auto" w:sz="4" w:space="0"/>
              <w:left w:val="single" w:color="auto" w:sz="4" w:space="0"/>
              <w:bottom w:val="single" w:color="auto" w:sz="8" w:space="0"/>
              <w:right w:val="single" w:color="auto" w:sz="4" w:space="0"/>
            </w:tcBorders>
            <w:noWrap/>
            <w:vAlign w:val="center"/>
          </w:tcPr>
          <w:p>
            <w:pPr>
              <w:pStyle w:val="294"/>
            </w:pPr>
            <w:r>
              <w:t>达标</w:t>
            </w:r>
          </w:p>
        </w:tc>
        <w:tc>
          <w:tcPr>
            <w:tcW w:w="319" w:type="pct"/>
            <w:tcBorders>
              <w:top w:val="single" w:color="auto" w:sz="4" w:space="0"/>
              <w:left w:val="single" w:color="auto" w:sz="4" w:space="0"/>
              <w:bottom w:val="single" w:color="auto" w:sz="8" w:space="0"/>
              <w:right w:val="single" w:color="auto" w:sz="4" w:space="0"/>
            </w:tcBorders>
            <w:noWrap/>
            <w:vAlign w:val="center"/>
          </w:tcPr>
          <w:p>
            <w:pPr>
              <w:pStyle w:val="294"/>
            </w:pPr>
            <w:r>
              <w:t>达标</w:t>
            </w:r>
          </w:p>
        </w:tc>
        <w:tc>
          <w:tcPr>
            <w:tcW w:w="319" w:type="pct"/>
            <w:tcBorders>
              <w:top w:val="single" w:color="auto" w:sz="4" w:space="0"/>
              <w:left w:val="single" w:color="auto" w:sz="4" w:space="0"/>
              <w:bottom w:val="single" w:color="auto" w:sz="8" w:space="0"/>
              <w:right w:val="single" w:color="auto" w:sz="4" w:space="0"/>
            </w:tcBorders>
            <w:noWrap/>
            <w:vAlign w:val="center"/>
          </w:tcPr>
          <w:p>
            <w:pPr>
              <w:pStyle w:val="294"/>
            </w:pPr>
            <w:r>
              <w:t>达标</w:t>
            </w:r>
          </w:p>
        </w:tc>
        <w:tc>
          <w:tcPr>
            <w:tcW w:w="312" w:type="pct"/>
            <w:tcBorders>
              <w:top w:val="single" w:color="auto" w:sz="4" w:space="0"/>
              <w:left w:val="single" w:color="auto" w:sz="4" w:space="0"/>
              <w:bottom w:val="single" w:color="auto" w:sz="8" w:space="0"/>
              <w:right w:val="single" w:color="auto" w:sz="4" w:space="0"/>
            </w:tcBorders>
            <w:noWrap/>
            <w:vAlign w:val="center"/>
          </w:tcPr>
          <w:p>
            <w:pPr>
              <w:pStyle w:val="294"/>
            </w:pPr>
            <w:r>
              <w:t>达标</w:t>
            </w:r>
          </w:p>
        </w:tc>
        <w:tc>
          <w:tcPr>
            <w:tcW w:w="272" w:type="pct"/>
            <w:tcBorders>
              <w:top w:val="single" w:color="auto" w:sz="4" w:space="0"/>
              <w:left w:val="single" w:color="auto" w:sz="4" w:space="0"/>
              <w:bottom w:val="single" w:color="auto" w:sz="8" w:space="0"/>
              <w:right w:val="single" w:color="auto" w:sz="4" w:space="0"/>
            </w:tcBorders>
            <w:noWrap/>
            <w:vAlign w:val="center"/>
          </w:tcPr>
          <w:p>
            <w:pPr>
              <w:pStyle w:val="294"/>
            </w:pPr>
            <w:r>
              <w:t>达标</w:t>
            </w:r>
          </w:p>
        </w:tc>
        <w:tc>
          <w:tcPr>
            <w:tcW w:w="272" w:type="pct"/>
            <w:tcBorders>
              <w:top w:val="single" w:color="auto" w:sz="4" w:space="0"/>
              <w:left w:val="single" w:color="auto" w:sz="4" w:space="0"/>
              <w:bottom w:val="single" w:color="auto" w:sz="8" w:space="0"/>
              <w:right w:val="single" w:color="auto" w:sz="4" w:space="0"/>
            </w:tcBorders>
            <w:noWrap/>
            <w:vAlign w:val="center"/>
          </w:tcPr>
          <w:p>
            <w:pPr>
              <w:pStyle w:val="294"/>
            </w:pPr>
            <w:r>
              <w:t>达标</w:t>
            </w:r>
          </w:p>
        </w:tc>
        <w:tc>
          <w:tcPr>
            <w:tcW w:w="272" w:type="pct"/>
            <w:tcBorders>
              <w:top w:val="single" w:color="auto" w:sz="4" w:space="0"/>
              <w:left w:val="single" w:color="auto" w:sz="4" w:space="0"/>
              <w:bottom w:val="single" w:color="auto" w:sz="8" w:space="0"/>
              <w:right w:val="single" w:color="auto" w:sz="4" w:space="0"/>
            </w:tcBorders>
            <w:noWrap/>
            <w:vAlign w:val="center"/>
          </w:tcPr>
          <w:p>
            <w:pPr>
              <w:pStyle w:val="294"/>
            </w:pPr>
            <w:r>
              <w:t>达标</w:t>
            </w:r>
          </w:p>
        </w:tc>
        <w:tc>
          <w:tcPr>
            <w:tcW w:w="272" w:type="pct"/>
            <w:tcBorders>
              <w:top w:val="single" w:color="auto" w:sz="4" w:space="0"/>
              <w:left w:val="single" w:color="auto" w:sz="4" w:space="0"/>
              <w:bottom w:val="single" w:color="auto" w:sz="8" w:space="0"/>
              <w:right w:val="single" w:color="auto" w:sz="4" w:space="0"/>
            </w:tcBorders>
            <w:noWrap/>
            <w:vAlign w:val="center"/>
          </w:tcPr>
          <w:p>
            <w:pPr>
              <w:pStyle w:val="294"/>
            </w:pPr>
            <w:r>
              <w:t>达标</w:t>
            </w:r>
          </w:p>
        </w:tc>
        <w:tc>
          <w:tcPr>
            <w:tcW w:w="272" w:type="pct"/>
            <w:tcBorders>
              <w:top w:val="single" w:color="auto" w:sz="4" w:space="0"/>
              <w:left w:val="single" w:color="auto" w:sz="4" w:space="0"/>
              <w:bottom w:val="single" w:color="auto" w:sz="8" w:space="0"/>
              <w:right w:val="single" w:color="auto" w:sz="4" w:space="0"/>
            </w:tcBorders>
            <w:vAlign w:val="center"/>
          </w:tcPr>
          <w:p>
            <w:pPr>
              <w:pStyle w:val="294"/>
            </w:pPr>
            <w:r>
              <w:t>/</w:t>
            </w:r>
          </w:p>
        </w:tc>
        <w:tc>
          <w:tcPr>
            <w:tcW w:w="345" w:type="pct"/>
            <w:tcBorders>
              <w:top w:val="single" w:color="auto" w:sz="4" w:space="0"/>
              <w:left w:val="single" w:color="auto" w:sz="4" w:space="0"/>
              <w:bottom w:val="single" w:color="auto" w:sz="8" w:space="0"/>
              <w:right w:val="single" w:color="auto" w:sz="4" w:space="0"/>
            </w:tcBorders>
            <w:noWrap/>
            <w:vAlign w:val="center"/>
          </w:tcPr>
          <w:p>
            <w:pPr>
              <w:pStyle w:val="294"/>
            </w:pPr>
            <w:r>
              <w:t>/</w:t>
            </w:r>
          </w:p>
        </w:tc>
        <w:tc>
          <w:tcPr>
            <w:tcW w:w="343" w:type="pct"/>
            <w:tcBorders>
              <w:top w:val="single" w:color="auto" w:sz="4" w:space="0"/>
              <w:left w:val="single" w:color="auto" w:sz="4" w:space="0"/>
              <w:bottom w:val="single" w:color="auto" w:sz="8" w:space="0"/>
              <w:right w:val="single" w:color="auto" w:sz="4" w:space="0"/>
            </w:tcBorders>
            <w:vAlign w:val="center"/>
          </w:tcPr>
          <w:p>
            <w:pPr>
              <w:pStyle w:val="294"/>
            </w:pPr>
            <w:r>
              <w:t>/</w:t>
            </w:r>
          </w:p>
        </w:tc>
        <w:tc>
          <w:tcPr>
            <w:tcW w:w="337" w:type="pct"/>
            <w:tcBorders>
              <w:top w:val="single" w:color="auto" w:sz="4" w:space="0"/>
              <w:left w:val="single" w:color="auto" w:sz="4" w:space="0"/>
              <w:bottom w:val="single" w:color="auto" w:sz="8" w:space="0"/>
              <w:right w:val="single" w:color="auto" w:sz="8" w:space="0"/>
            </w:tcBorders>
            <w:vAlign w:val="center"/>
          </w:tcPr>
          <w:p>
            <w:pPr>
              <w:pStyle w:val="294"/>
            </w:pPr>
            <w:r>
              <w:t>/</w:t>
            </w:r>
          </w:p>
        </w:tc>
      </w:tr>
    </w:tbl>
    <w:p>
      <w:pPr>
        <w:pStyle w:val="95"/>
      </w:pPr>
      <w:bookmarkStart w:id="228" w:name="_Ref142600183"/>
      <w:r>
        <w:t>表</w:t>
      </w:r>
      <w:r>
        <w:fldChar w:fldCharType="begin"/>
      </w:r>
      <w:r>
        <w:instrText xml:space="preserve"> STYLEREF 2 \s </w:instrText>
      </w:r>
      <w:r>
        <w:fldChar w:fldCharType="separate"/>
      </w:r>
      <w:r>
        <w:t>4.2</w:t>
      </w:r>
      <w:r>
        <w:fldChar w:fldCharType="end"/>
      </w:r>
      <w:r>
        <w:noBreakHyphen/>
      </w:r>
      <w:r>
        <w:fldChar w:fldCharType="begin"/>
      </w:r>
      <w:r>
        <w:instrText xml:space="preserve"> SEQ 表 \* ARABIC \s 2 </w:instrText>
      </w:r>
      <w:r>
        <w:fldChar w:fldCharType="separate"/>
      </w:r>
      <w:r>
        <w:t>1</w:t>
      </w:r>
      <w:r>
        <w:rPr>
          <w:rFonts w:hint="eastAsia"/>
        </w:rPr>
        <w:t>3</w:t>
      </w:r>
      <w:r>
        <w:fldChar w:fldCharType="end"/>
      </w:r>
      <w:bookmarkEnd w:id="228"/>
      <w:r>
        <w:t xml:space="preserve"> 本项目场内外土壤环境现状监测及评价表  单位：mg/kg，pH无量纲</w:t>
      </w:r>
    </w:p>
    <w:tbl>
      <w:tblPr>
        <w:tblStyle w:val="52"/>
        <w:tblW w:w="5000" w:type="pct"/>
        <w:jc w:val="center"/>
        <w:tblLayout w:type="autofit"/>
        <w:tblCellMar>
          <w:top w:w="0" w:type="dxa"/>
          <w:left w:w="108" w:type="dxa"/>
          <w:bottom w:w="0" w:type="dxa"/>
          <w:right w:w="108" w:type="dxa"/>
        </w:tblCellMar>
      </w:tblPr>
      <w:tblGrid>
        <w:gridCol w:w="884"/>
        <w:gridCol w:w="1248"/>
        <w:gridCol w:w="776"/>
        <w:gridCol w:w="1054"/>
        <w:gridCol w:w="1228"/>
        <w:gridCol w:w="1228"/>
        <w:gridCol w:w="1054"/>
        <w:gridCol w:w="1054"/>
      </w:tblGrid>
      <w:tr>
        <w:tblPrEx>
          <w:tblCellMar>
            <w:top w:w="0" w:type="dxa"/>
            <w:left w:w="108" w:type="dxa"/>
            <w:bottom w:w="0" w:type="dxa"/>
            <w:right w:w="108" w:type="dxa"/>
          </w:tblCellMar>
        </w:tblPrEx>
        <w:trPr>
          <w:trHeight w:val="840" w:hRule="atLeast"/>
          <w:jc w:val="center"/>
        </w:trPr>
        <w:tc>
          <w:tcPr>
            <w:tcW w:w="1251" w:type="pct"/>
            <w:gridSpan w:val="2"/>
            <w:tcBorders>
              <w:top w:val="single" w:color="auto" w:sz="8" w:space="0"/>
              <w:left w:val="single" w:color="auto" w:sz="8" w:space="0"/>
              <w:bottom w:val="single" w:color="auto" w:sz="4" w:space="0"/>
              <w:right w:val="single" w:color="auto" w:sz="4" w:space="0"/>
              <w:tl2br w:val="single" w:color="auto" w:sz="4" w:space="0"/>
            </w:tcBorders>
            <w:shd w:val="clear" w:color="auto" w:fill="auto"/>
            <w:noWrap/>
            <w:vAlign w:val="center"/>
          </w:tcPr>
          <w:p>
            <w:pPr>
              <w:widowControl/>
              <w:adjustRightInd/>
              <w:snapToGrid/>
              <w:spacing w:line="240" w:lineRule="auto"/>
              <w:ind w:firstLine="0" w:firstLineChars="0"/>
              <w:jc w:val="right"/>
              <w:rPr>
                <w:rFonts w:cs="Times New Roman"/>
                <w:bCs/>
                <w:color w:val="000000" w:themeColor="text1"/>
                <w:kern w:val="0"/>
                <w:sz w:val="21"/>
                <w:szCs w:val="21"/>
                <w14:textFill>
                  <w14:solidFill>
                    <w14:schemeClr w14:val="tx1"/>
                  </w14:solidFill>
                </w14:textFill>
              </w:rPr>
            </w:pPr>
            <w:bookmarkStart w:id="229" w:name="_Ref142600187"/>
            <w:r>
              <w:rPr>
                <w:rFonts w:cs="Times New Roman"/>
                <w:bCs/>
                <w:color w:val="000000" w:themeColor="text1"/>
                <w:kern w:val="0"/>
                <w:sz w:val="21"/>
                <w:szCs w:val="21"/>
                <w14:textFill>
                  <w14:solidFill>
                    <w14:schemeClr w14:val="tx1"/>
                  </w14:solidFill>
                </w14:textFill>
              </w:rPr>
              <w:t>监测因子</w:t>
            </w:r>
          </w:p>
        </w:tc>
        <w:tc>
          <w:tcPr>
            <w:tcW w:w="455" w:type="pct"/>
            <w:vMerge w:val="restart"/>
            <w:tcBorders>
              <w:top w:val="single" w:color="auto" w:sz="8"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bCs/>
                <w:color w:val="000000" w:themeColor="text1"/>
                <w:kern w:val="0"/>
                <w:sz w:val="21"/>
                <w:szCs w:val="21"/>
                <w14:textFill>
                  <w14:solidFill>
                    <w14:schemeClr w14:val="tx1"/>
                  </w14:solidFill>
                </w14:textFill>
              </w:rPr>
            </w:pPr>
            <w:r>
              <w:rPr>
                <w:rFonts w:cs="Times New Roman"/>
                <w:bCs/>
                <w:color w:val="000000" w:themeColor="text1"/>
                <w:kern w:val="0"/>
                <w:sz w:val="21"/>
                <w:szCs w:val="21"/>
                <w14:textFill>
                  <w14:solidFill>
                    <w14:schemeClr w14:val="tx1"/>
                  </w14:solidFill>
                </w14:textFill>
              </w:rPr>
              <w:t>pH</w:t>
            </w:r>
          </w:p>
        </w:tc>
        <w:tc>
          <w:tcPr>
            <w:tcW w:w="618" w:type="pct"/>
            <w:vMerge w:val="restart"/>
            <w:tcBorders>
              <w:top w:val="single" w:color="auto" w:sz="8"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bCs/>
                <w:color w:val="000000" w:themeColor="text1"/>
                <w:kern w:val="0"/>
                <w:sz w:val="21"/>
                <w:szCs w:val="21"/>
                <w14:textFill>
                  <w14:solidFill>
                    <w14:schemeClr w14:val="tx1"/>
                  </w14:solidFill>
                </w14:textFill>
              </w:rPr>
            </w:pPr>
            <w:r>
              <w:rPr>
                <w:rFonts w:cs="Times New Roman"/>
                <w:bCs/>
                <w:color w:val="000000" w:themeColor="text1"/>
                <w:kern w:val="0"/>
                <w:sz w:val="21"/>
                <w:szCs w:val="21"/>
                <w14:textFill>
                  <w14:solidFill>
                    <w14:schemeClr w14:val="tx1"/>
                  </w14:solidFill>
                </w14:textFill>
              </w:rPr>
              <w:t>氯离子</w:t>
            </w:r>
          </w:p>
        </w:tc>
        <w:tc>
          <w:tcPr>
            <w:tcW w:w="720" w:type="pct"/>
            <w:vMerge w:val="restart"/>
            <w:tcBorders>
              <w:top w:val="single" w:color="auto" w:sz="8"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bCs/>
                <w:color w:val="000000" w:themeColor="text1"/>
                <w:kern w:val="0"/>
                <w:sz w:val="21"/>
                <w:szCs w:val="21"/>
                <w14:textFill>
                  <w14:solidFill>
                    <w14:schemeClr w14:val="tx1"/>
                  </w14:solidFill>
                </w14:textFill>
              </w:rPr>
            </w:pPr>
            <w:r>
              <w:rPr>
                <w:rFonts w:cs="Times New Roman"/>
                <w:bCs/>
                <w:color w:val="000000" w:themeColor="text1"/>
                <w:kern w:val="0"/>
                <w:sz w:val="21"/>
                <w:szCs w:val="21"/>
                <w14:textFill>
                  <w14:solidFill>
                    <w14:schemeClr w14:val="tx1"/>
                  </w14:solidFill>
                </w14:textFill>
              </w:rPr>
              <w:t>水溶性硫酸盐</w:t>
            </w:r>
          </w:p>
        </w:tc>
        <w:tc>
          <w:tcPr>
            <w:tcW w:w="720" w:type="pct"/>
            <w:vMerge w:val="restart"/>
            <w:tcBorders>
              <w:top w:val="single" w:color="auto" w:sz="8"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bCs/>
                <w:color w:val="000000" w:themeColor="text1"/>
                <w:kern w:val="0"/>
                <w:sz w:val="21"/>
                <w:szCs w:val="21"/>
                <w14:textFill>
                  <w14:solidFill>
                    <w14:schemeClr w14:val="tx1"/>
                  </w14:solidFill>
                </w14:textFill>
              </w:rPr>
            </w:pPr>
            <w:r>
              <w:rPr>
                <w:rFonts w:cs="Times New Roman"/>
                <w:bCs/>
                <w:color w:val="000000" w:themeColor="text1"/>
                <w:kern w:val="0"/>
                <w:sz w:val="21"/>
                <w:szCs w:val="21"/>
                <w14:textFill>
                  <w14:solidFill>
                    <w14:schemeClr w14:val="tx1"/>
                  </w14:solidFill>
                </w14:textFill>
              </w:rPr>
              <w:t>石油烃〔C</w:t>
            </w:r>
            <w:r>
              <w:rPr>
                <w:rFonts w:cs="Times New Roman"/>
                <w:bCs/>
                <w:color w:val="000000" w:themeColor="text1"/>
                <w:kern w:val="0"/>
                <w:sz w:val="21"/>
                <w:szCs w:val="21"/>
                <w:vertAlign w:val="subscript"/>
                <w14:textFill>
                  <w14:solidFill>
                    <w14:schemeClr w14:val="tx1"/>
                  </w14:solidFill>
                </w14:textFill>
              </w:rPr>
              <w:t>10</w:t>
            </w:r>
            <w:r>
              <w:rPr>
                <w:rFonts w:cs="Times New Roman"/>
                <w:bCs/>
                <w:color w:val="000000" w:themeColor="text1"/>
                <w:kern w:val="0"/>
                <w:sz w:val="21"/>
                <w:szCs w:val="21"/>
                <w14:textFill>
                  <w14:solidFill>
                    <w14:schemeClr w14:val="tx1"/>
                  </w14:solidFill>
                </w14:textFill>
              </w:rPr>
              <w:t>-C</w:t>
            </w:r>
            <w:r>
              <w:rPr>
                <w:rFonts w:cs="Times New Roman"/>
                <w:bCs/>
                <w:color w:val="000000" w:themeColor="text1"/>
                <w:kern w:val="0"/>
                <w:sz w:val="21"/>
                <w:szCs w:val="21"/>
                <w:vertAlign w:val="subscript"/>
                <w14:textFill>
                  <w14:solidFill>
                    <w14:schemeClr w14:val="tx1"/>
                  </w14:solidFill>
                </w14:textFill>
              </w:rPr>
              <w:t>40</w:t>
            </w:r>
            <w:r>
              <w:rPr>
                <w:rFonts w:cs="Times New Roman"/>
                <w:bCs/>
                <w:color w:val="000000" w:themeColor="text1"/>
                <w:kern w:val="0"/>
                <w:sz w:val="21"/>
                <w:szCs w:val="21"/>
                <w14:textFill>
                  <w14:solidFill>
                    <w14:schemeClr w14:val="tx1"/>
                  </w14:solidFill>
                </w14:textFill>
              </w:rPr>
              <w:t>〕</w:t>
            </w:r>
          </w:p>
        </w:tc>
        <w:tc>
          <w:tcPr>
            <w:tcW w:w="618" w:type="pct"/>
            <w:vMerge w:val="restart"/>
            <w:tcBorders>
              <w:top w:val="single" w:color="auto" w:sz="8" w:space="0"/>
              <w:left w:val="single" w:color="auto" w:sz="4" w:space="0"/>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bCs/>
                <w:color w:val="000000" w:themeColor="text1"/>
                <w:kern w:val="0"/>
                <w:sz w:val="21"/>
                <w:szCs w:val="21"/>
                <w14:textFill>
                  <w14:solidFill>
                    <w14:schemeClr w14:val="tx1"/>
                  </w14:solidFill>
                </w14:textFill>
              </w:rPr>
            </w:pPr>
            <w:r>
              <w:rPr>
                <w:rFonts w:cs="Times New Roman"/>
                <w:bCs/>
                <w:color w:val="000000" w:themeColor="text1"/>
                <w:kern w:val="0"/>
                <w:sz w:val="21"/>
                <w:szCs w:val="21"/>
                <w14:textFill>
                  <w14:solidFill>
                    <w14:schemeClr w14:val="tx1"/>
                  </w14:solidFill>
                </w14:textFill>
              </w:rPr>
              <w:t>全盐量</w:t>
            </w:r>
          </w:p>
        </w:tc>
        <w:tc>
          <w:tcPr>
            <w:tcW w:w="619" w:type="pct"/>
            <w:vMerge w:val="restart"/>
            <w:tcBorders>
              <w:top w:val="single" w:color="auto" w:sz="8" w:space="0"/>
              <w:left w:val="single" w:color="auto" w:sz="4" w:space="0"/>
              <w:bottom w:val="single" w:color="auto" w:sz="4" w:space="0"/>
              <w:right w:val="single" w:color="auto" w:sz="8" w:space="0"/>
            </w:tcBorders>
            <w:shd w:val="clear" w:color="auto" w:fill="auto"/>
            <w:vAlign w:val="center"/>
          </w:tcPr>
          <w:p>
            <w:pPr>
              <w:widowControl/>
              <w:adjustRightInd/>
              <w:snapToGrid/>
              <w:spacing w:line="240" w:lineRule="auto"/>
              <w:ind w:firstLine="0" w:firstLineChars="0"/>
              <w:jc w:val="center"/>
              <w:rPr>
                <w:rFonts w:cs="Times New Roman"/>
                <w:bCs/>
                <w:color w:val="000000" w:themeColor="text1"/>
                <w:kern w:val="0"/>
                <w:sz w:val="21"/>
                <w:szCs w:val="21"/>
                <w14:textFill>
                  <w14:solidFill>
                    <w14:schemeClr w14:val="tx1"/>
                  </w14:solidFill>
                </w14:textFill>
              </w:rPr>
            </w:pPr>
            <w:r>
              <w:rPr>
                <w:rFonts w:cs="Times New Roman"/>
                <w:bCs/>
                <w:color w:val="000000" w:themeColor="text1"/>
                <w:kern w:val="0"/>
                <w:sz w:val="21"/>
                <w:szCs w:val="21"/>
                <w14:textFill>
                  <w14:solidFill>
                    <w14:schemeClr w14:val="tx1"/>
                  </w14:solidFill>
                </w14:textFill>
              </w:rPr>
              <w:t>钡</w:t>
            </w:r>
          </w:p>
        </w:tc>
      </w:tr>
      <w:tr>
        <w:tblPrEx>
          <w:tblCellMar>
            <w:top w:w="0" w:type="dxa"/>
            <w:left w:w="108" w:type="dxa"/>
            <w:bottom w:w="0" w:type="dxa"/>
            <w:right w:w="108" w:type="dxa"/>
          </w:tblCellMar>
        </w:tblPrEx>
        <w:trPr>
          <w:trHeight w:val="280" w:hRule="atLeast"/>
          <w:jc w:val="center"/>
        </w:trPr>
        <w:tc>
          <w:tcPr>
            <w:tcW w:w="1251" w:type="pct"/>
            <w:gridSpan w:val="2"/>
            <w:tcBorders>
              <w:top w:val="single" w:color="auto" w:sz="4" w:space="0"/>
              <w:left w:val="single" w:color="auto" w:sz="8" w:space="0"/>
              <w:bottom w:val="single" w:color="auto" w:sz="4" w:space="0"/>
              <w:right w:val="single" w:color="auto" w:sz="4" w:space="0"/>
              <w:tl2br w:val="single" w:color="auto" w:sz="4" w:space="0"/>
            </w:tcBorders>
            <w:shd w:val="clear" w:color="auto" w:fill="auto"/>
            <w:noWrap/>
            <w:vAlign w:val="center"/>
          </w:tcPr>
          <w:p>
            <w:pPr>
              <w:widowControl/>
              <w:adjustRightInd/>
              <w:snapToGrid/>
              <w:spacing w:line="240" w:lineRule="auto"/>
              <w:ind w:firstLine="0" w:firstLineChars="0"/>
              <w:rPr>
                <w:rFonts w:cs="Times New Roman"/>
                <w:bCs/>
                <w:color w:val="000000" w:themeColor="text1"/>
                <w:kern w:val="0"/>
                <w:sz w:val="21"/>
                <w:szCs w:val="21"/>
                <w14:textFill>
                  <w14:solidFill>
                    <w14:schemeClr w14:val="tx1"/>
                  </w14:solidFill>
                </w14:textFill>
              </w:rPr>
            </w:pPr>
            <w:r>
              <w:rPr>
                <w:rFonts w:cs="Times New Roman"/>
                <w:bCs/>
                <w:color w:val="000000" w:themeColor="text1"/>
                <w:kern w:val="0"/>
                <w:sz w:val="21"/>
                <w:szCs w:val="21"/>
                <w14:textFill>
                  <w14:solidFill>
                    <w14:schemeClr w14:val="tx1"/>
                  </w14:solidFill>
                </w14:textFill>
              </w:rPr>
              <w:t>监测点</w:t>
            </w:r>
          </w:p>
        </w:tc>
        <w:tc>
          <w:tcPr>
            <w:tcW w:w="455"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left"/>
              <w:rPr>
                <w:rFonts w:cs="Times New Roman"/>
                <w:bCs/>
                <w:color w:val="000000" w:themeColor="text1"/>
                <w:kern w:val="0"/>
                <w:sz w:val="21"/>
                <w:szCs w:val="21"/>
                <w14:textFill>
                  <w14:solidFill>
                    <w14:schemeClr w14:val="tx1"/>
                  </w14:solidFill>
                </w14:textFill>
              </w:rPr>
            </w:pPr>
          </w:p>
        </w:tc>
        <w:tc>
          <w:tcPr>
            <w:tcW w:w="618"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left"/>
              <w:rPr>
                <w:rFonts w:cs="Times New Roman"/>
                <w:bCs/>
                <w:color w:val="000000" w:themeColor="text1"/>
                <w:kern w:val="0"/>
                <w:sz w:val="21"/>
                <w:szCs w:val="21"/>
                <w14:textFill>
                  <w14:solidFill>
                    <w14:schemeClr w14:val="tx1"/>
                  </w14:solidFill>
                </w14:textFill>
              </w:rPr>
            </w:pPr>
          </w:p>
        </w:tc>
        <w:tc>
          <w:tcPr>
            <w:tcW w:w="720"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left"/>
              <w:rPr>
                <w:rFonts w:cs="Times New Roman"/>
                <w:bCs/>
                <w:color w:val="000000" w:themeColor="text1"/>
                <w:kern w:val="0"/>
                <w:sz w:val="21"/>
                <w:szCs w:val="21"/>
                <w14:textFill>
                  <w14:solidFill>
                    <w14:schemeClr w14:val="tx1"/>
                  </w14:solidFill>
                </w14:textFill>
              </w:rPr>
            </w:pPr>
          </w:p>
        </w:tc>
        <w:tc>
          <w:tcPr>
            <w:tcW w:w="720"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left"/>
              <w:rPr>
                <w:rFonts w:cs="Times New Roman"/>
                <w:bCs/>
                <w:color w:val="000000" w:themeColor="text1"/>
                <w:kern w:val="0"/>
                <w:sz w:val="21"/>
                <w:szCs w:val="21"/>
                <w14:textFill>
                  <w14:solidFill>
                    <w14:schemeClr w14:val="tx1"/>
                  </w14:solidFill>
                </w14:textFill>
              </w:rPr>
            </w:pPr>
          </w:p>
        </w:tc>
        <w:tc>
          <w:tcPr>
            <w:tcW w:w="618"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left"/>
              <w:rPr>
                <w:rFonts w:cs="Times New Roman"/>
                <w:bCs/>
                <w:color w:val="000000" w:themeColor="text1"/>
                <w:kern w:val="0"/>
                <w:sz w:val="21"/>
                <w:szCs w:val="21"/>
                <w14:textFill>
                  <w14:solidFill>
                    <w14:schemeClr w14:val="tx1"/>
                  </w14:solidFill>
                </w14:textFill>
              </w:rPr>
            </w:pPr>
          </w:p>
        </w:tc>
        <w:tc>
          <w:tcPr>
            <w:tcW w:w="619" w:type="pct"/>
            <w:vMerge w:val="continue"/>
            <w:tcBorders>
              <w:top w:val="single" w:color="auto" w:sz="4" w:space="0"/>
              <w:left w:val="single" w:color="auto" w:sz="4" w:space="0"/>
              <w:bottom w:val="single" w:color="auto" w:sz="4" w:space="0"/>
              <w:right w:val="single" w:color="auto" w:sz="8" w:space="0"/>
            </w:tcBorders>
            <w:vAlign w:val="center"/>
          </w:tcPr>
          <w:p>
            <w:pPr>
              <w:widowControl/>
              <w:adjustRightInd/>
              <w:snapToGrid/>
              <w:spacing w:line="240" w:lineRule="auto"/>
              <w:ind w:firstLine="0" w:firstLineChars="0"/>
              <w:jc w:val="left"/>
              <w:rPr>
                <w:rFonts w:cs="Times New Roman"/>
                <w:bCs/>
                <w:color w:val="000000" w:themeColor="text1"/>
                <w:kern w:val="0"/>
                <w:sz w:val="21"/>
                <w:szCs w:val="21"/>
                <w14:textFill>
                  <w14:solidFill>
                    <w14:schemeClr w14:val="tx1"/>
                  </w14:solidFill>
                </w14:textFill>
              </w:rPr>
            </w:pPr>
          </w:p>
        </w:tc>
      </w:tr>
      <w:tr>
        <w:tblPrEx>
          <w:tblCellMar>
            <w:top w:w="0" w:type="dxa"/>
            <w:left w:w="108" w:type="dxa"/>
            <w:bottom w:w="0" w:type="dxa"/>
            <w:right w:w="108" w:type="dxa"/>
          </w:tblCellMar>
        </w:tblPrEx>
        <w:trPr>
          <w:trHeight w:val="280" w:hRule="atLeast"/>
          <w:jc w:val="center"/>
        </w:trPr>
        <w:tc>
          <w:tcPr>
            <w:tcW w:w="519" w:type="pct"/>
            <w:tcBorders>
              <w:top w:val="nil"/>
              <w:left w:val="single" w:color="auto" w:sz="8" w:space="0"/>
              <w:bottom w:val="single" w:color="auto" w:sz="4" w:space="0"/>
              <w:right w:val="single" w:color="auto" w:sz="4" w:space="0"/>
            </w:tcBorders>
            <w:shd w:val="clear" w:color="auto" w:fill="auto"/>
            <w:noWrap/>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T2</w:t>
            </w:r>
          </w:p>
        </w:tc>
        <w:tc>
          <w:tcPr>
            <w:tcW w:w="732"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表层</w:t>
            </w:r>
          </w:p>
        </w:tc>
        <w:tc>
          <w:tcPr>
            <w:tcW w:w="455"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6.85</w:t>
            </w:r>
          </w:p>
        </w:tc>
        <w:tc>
          <w:tcPr>
            <w:tcW w:w="618"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98.8</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618"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3600</w:t>
            </w:r>
          </w:p>
        </w:tc>
        <w:tc>
          <w:tcPr>
            <w:tcW w:w="619" w:type="pct"/>
            <w:tcBorders>
              <w:top w:val="nil"/>
              <w:left w:val="nil"/>
              <w:bottom w:val="single" w:color="auto" w:sz="4" w:space="0"/>
              <w:right w:val="single" w:color="auto" w:sz="8"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0.56</w:t>
            </w:r>
          </w:p>
        </w:tc>
      </w:tr>
      <w:tr>
        <w:tblPrEx>
          <w:tblCellMar>
            <w:top w:w="0" w:type="dxa"/>
            <w:left w:w="108" w:type="dxa"/>
            <w:bottom w:w="0" w:type="dxa"/>
            <w:right w:w="108" w:type="dxa"/>
          </w:tblCellMar>
        </w:tblPrEx>
        <w:trPr>
          <w:trHeight w:val="280" w:hRule="atLeast"/>
          <w:jc w:val="center"/>
        </w:trPr>
        <w:tc>
          <w:tcPr>
            <w:tcW w:w="519" w:type="pct"/>
            <w:vMerge w:val="restart"/>
            <w:tcBorders>
              <w:top w:val="single" w:color="auto" w:sz="4" w:space="0"/>
              <w:left w:val="single" w:color="auto" w:sz="8"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T3</w:t>
            </w:r>
          </w:p>
        </w:tc>
        <w:tc>
          <w:tcPr>
            <w:tcW w:w="732"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表层</w:t>
            </w:r>
          </w:p>
        </w:tc>
        <w:tc>
          <w:tcPr>
            <w:tcW w:w="455"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6.79</w:t>
            </w:r>
          </w:p>
        </w:tc>
        <w:tc>
          <w:tcPr>
            <w:tcW w:w="618"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156</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618" w:type="pct"/>
            <w:tcBorders>
              <w:top w:val="nil"/>
              <w:left w:val="nil"/>
              <w:bottom w:val="single" w:color="auto" w:sz="4" w:space="0"/>
              <w:right w:val="single" w:color="auto" w:sz="4" w:space="0"/>
            </w:tcBorders>
            <w:shd w:val="clear" w:color="auto" w:fill="auto"/>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4500</w:t>
            </w:r>
          </w:p>
        </w:tc>
        <w:tc>
          <w:tcPr>
            <w:tcW w:w="619" w:type="pct"/>
            <w:tcBorders>
              <w:top w:val="nil"/>
              <w:left w:val="nil"/>
              <w:bottom w:val="single" w:color="auto" w:sz="4" w:space="0"/>
              <w:right w:val="single" w:color="auto" w:sz="8"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0.40</w:t>
            </w:r>
          </w:p>
        </w:tc>
      </w:tr>
      <w:tr>
        <w:tblPrEx>
          <w:tblCellMar>
            <w:top w:w="0" w:type="dxa"/>
            <w:left w:w="108" w:type="dxa"/>
            <w:bottom w:w="0" w:type="dxa"/>
            <w:right w:w="108" w:type="dxa"/>
          </w:tblCellMar>
        </w:tblPrEx>
        <w:trPr>
          <w:trHeight w:val="280" w:hRule="atLeast"/>
          <w:jc w:val="center"/>
        </w:trPr>
        <w:tc>
          <w:tcPr>
            <w:tcW w:w="519" w:type="pct"/>
            <w:vMerge w:val="continue"/>
            <w:tcBorders>
              <w:left w:val="single" w:color="auto" w:sz="8" w:space="0"/>
              <w:right w:val="single" w:color="auto" w:sz="4" w:space="0"/>
            </w:tcBorders>
            <w:vAlign w:val="center"/>
          </w:tcPr>
          <w:p>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732"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中层</w:t>
            </w:r>
          </w:p>
        </w:tc>
        <w:tc>
          <w:tcPr>
            <w:tcW w:w="455"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6.81</w:t>
            </w:r>
          </w:p>
        </w:tc>
        <w:tc>
          <w:tcPr>
            <w:tcW w:w="618"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111</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618" w:type="pct"/>
            <w:tcBorders>
              <w:top w:val="nil"/>
              <w:left w:val="nil"/>
              <w:bottom w:val="single" w:color="auto" w:sz="4" w:space="0"/>
              <w:right w:val="single" w:color="auto" w:sz="4" w:space="0"/>
            </w:tcBorders>
            <w:shd w:val="clear" w:color="auto" w:fill="auto"/>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3100</w:t>
            </w:r>
          </w:p>
        </w:tc>
        <w:tc>
          <w:tcPr>
            <w:tcW w:w="619" w:type="pct"/>
            <w:tcBorders>
              <w:top w:val="nil"/>
              <w:left w:val="nil"/>
              <w:bottom w:val="single" w:color="auto" w:sz="4" w:space="0"/>
              <w:right w:val="single" w:color="auto" w:sz="8"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0.42</w:t>
            </w:r>
          </w:p>
        </w:tc>
      </w:tr>
      <w:tr>
        <w:tblPrEx>
          <w:tblCellMar>
            <w:top w:w="0" w:type="dxa"/>
            <w:left w:w="108" w:type="dxa"/>
            <w:bottom w:w="0" w:type="dxa"/>
            <w:right w:w="108" w:type="dxa"/>
          </w:tblCellMar>
        </w:tblPrEx>
        <w:trPr>
          <w:trHeight w:val="280" w:hRule="atLeast"/>
          <w:jc w:val="center"/>
        </w:trPr>
        <w:tc>
          <w:tcPr>
            <w:tcW w:w="519" w:type="pct"/>
            <w:vMerge w:val="continue"/>
            <w:tcBorders>
              <w:left w:val="single" w:color="auto" w:sz="8" w:space="0"/>
              <w:bottom w:val="single" w:color="auto" w:sz="4" w:space="0"/>
              <w:right w:val="single" w:color="auto" w:sz="4" w:space="0"/>
            </w:tcBorders>
            <w:vAlign w:val="center"/>
          </w:tcPr>
          <w:p>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732"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下层</w:t>
            </w:r>
          </w:p>
        </w:tc>
        <w:tc>
          <w:tcPr>
            <w:tcW w:w="455"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6.82</w:t>
            </w:r>
          </w:p>
        </w:tc>
        <w:tc>
          <w:tcPr>
            <w:tcW w:w="618"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86.4</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618" w:type="pct"/>
            <w:tcBorders>
              <w:top w:val="nil"/>
              <w:left w:val="nil"/>
              <w:bottom w:val="single" w:color="auto" w:sz="4" w:space="0"/>
              <w:right w:val="single" w:color="auto" w:sz="4" w:space="0"/>
            </w:tcBorders>
            <w:shd w:val="clear" w:color="auto" w:fill="auto"/>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4700</w:t>
            </w:r>
          </w:p>
        </w:tc>
        <w:tc>
          <w:tcPr>
            <w:tcW w:w="619" w:type="pct"/>
            <w:tcBorders>
              <w:top w:val="nil"/>
              <w:left w:val="nil"/>
              <w:bottom w:val="single" w:color="auto" w:sz="4" w:space="0"/>
              <w:right w:val="single" w:color="auto" w:sz="8"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0.40</w:t>
            </w:r>
          </w:p>
        </w:tc>
      </w:tr>
      <w:tr>
        <w:tblPrEx>
          <w:tblCellMar>
            <w:top w:w="0" w:type="dxa"/>
            <w:left w:w="108" w:type="dxa"/>
            <w:bottom w:w="0" w:type="dxa"/>
            <w:right w:w="108" w:type="dxa"/>
          </w:tblCellMar>
        </w:tblPrEx>
        <w:trPr>
          <w:trHeight w:val="280" w:hRule="atLeast"/>
          <w:jc w:val="center"/>
        </w:trPr>
        <w:tc>
          <w:tcPr>
            <w:tcW w:w="519" w:type="pct"/>
            <w:vMerge w:val="restart"/>
            <w:tcBorders>
              <w:top w:val="nil"/>
              <w:left w:val="single" w:color="auto" w:sz="8" w:space="0"/>
              <w:bottom w:val="single" w:color="auto" w:sz="4" w:space="0"/>
              <w:right w:val="single" w:color="auto" w:sz="4" w:space="0"/>
            </w:tcBorders>
            <w:shd w:val="clear" w:color="auto" w:fill="auto"/>
            <w:noWrap/>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T4</w:t>
            </w:r>
          </w:p>
        </w:tc>
        <w:tc>
          <w:tcPr>
            <w:tcW w:w="732"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表层</w:t>
            </w:r>
          </w:p>
        </w:tc>
        <w:tc>
          <w:tcPr>
            <w:tcW w:w="455"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6.89</w:t>
            </w:r>
          </w:p>
        </w:tc>
        <w:tc>
          <w:tcPr>
            <w:tcW w:w="618"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98.8</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618" w:type="pct"/>
            <w:tcBorders>
              <w:top w:val="nil"/>
              <w:left w:val="nil"/>
              <w:bottom w:val="single" w:color="auto" w:sz="4" w:space="0"/>
              <w:right w:val="single" w:color="auto" w:sz="4" w:space="0"/>
            </w:tcBorders>
            <w:shd w:val="clear" w:color="auto" w:fill="auto"/>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3300</w:t>
            </w:r>
          </w:p>
        </w:tc>
        <w:tc>
          <w:tcPr>
            <w:tcW w:w="619" w:type="pct"/>
            <w:tcBorders>
              <w:top w:val="nil"/>
              <w:left w:val="nil"/>
              <w:bottom w:val="single" w:color="auto" w:sz="4" w:space="0"/>
              <w:right w:val="single" w:color="auto" w:sz="8"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0.40</w:t>
            </w:r>
          </w:p>
        </w:tc>
      </w:tr>
      <w:tr>
        <w:tblPrEx>
          <w:tblCellMar>
            <w:top w:w="0" w:type="dxa"/>
            <w:left w:w="108" w:type="dxa"/>
            <w:bottom w:w="0" w:type="dxa"/>
            <w:right w:w="108" w:type="dxa"/>
          </w:tblCellMar>
        </w:tblPrEx>
        <w:trPr>
          <w:trHeight w:val="280" w:hRule="atLeast"/>
          <w:jc w:val="center"/>
        </w:trPr>
        <w:tc>
          <w:tcPr>
            <w:tcW w:w="519" w:type="pct"/>
            <w:vMerge w:val="continue"/>
            <w:tcBorders>
              <w:top w:val="nil"/>
              <w:left w:val="single" w:color="auto" w:sz="8" w:space="0"/>
              <w:bottom w:val="single" w:color="auto" w:sz="4" w:space="0"/>
              <w:right w:val="single" w:color="auto" w:sz="4" w:space="0"/>
            </w:tcBorders>
            <w:vAlign w:val="center"/>
          </w:tcPr>
          <w:p>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732"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中层</w:t>
            </w:r>
          </w:p>
        </w:tc>
        <w:tc>
          <w:tcPr>
            <w:tcW w:w="455"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6.87</w:t>
            </w:r>
          </w:p>
        </w:tc>
        <w:tc>
          <w:tcPr>
            <w:tcW w:w="618"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90.6</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618" w:type="pct"/>
            <w:tcBorders>
              <w:top w:val="nil"/>
              <w:left w:val="nil"/>
              <w:bottom w:val="single" w:color="auto" w:sz="4" w:space="0"/>
              <w:right w:val="single" w:color="auto" w:sz="4" w:space="0"/>
            </w:tcBorders>
            <w:shd w:val="clear" w:color="auto" w:fill="auto"/>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2700</w:t>
            </w:r>
          </w:p>
        </w:tc>
        <w:tc>
          <w:tcPr>
            <w:tcW w:w="619" w:type="pct"/>
            <w:tcBorders>
              <w:top w:val="nil"/>
              <w:left w:val="nil"/>
              <w:bottom w:val="single" w:color="auto" w:sz="4" w:space="0"/>
              <w:right w:val="single" w:color="auto" w:sz="8"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0.42</w:t>
            </w:r>
          </w:p>
        </w:tc>
      </w:tr>
      <w:tr>
        <w:tblPrEx>
          <w:tblCellMar>
            <w:top w:w="0" w:type="dxa"/>
            <w:left w:w="108" w:type="dxa"/>
            <w:bottom w:w="0" w:type="dxa"/>
            <w:right w:w="108" w:type="dxa"/>
          </w:tblCellMar>
        </w:tblPrEx>
        <w:trPr>
          <w:trHeight w:val="280" w:hRule="atLeast"/>
          <w:jc w:val="center"/>
        </w:trPr>
        <w:tc>
          <w:tcPr>
            <w:tcW w:w="519" w:type="pct"/>
            <w:vMerge w:val="continue"/>
            <w:tcBorders>
              <w:top w:val="nil"/>
              <w:left w:val="single" w:color="auto" w:sz="8" w:space="0"/>
              <w:bottom w:val="single" w:color="auto" w:sz="4" w:space="0"/>
              <w:right w:val="single" w:color="auto" w:sz="4" w:space="0"/>
            </w:tcBorders>
            <w:vAlign w:val="center"/>
          </w:tcPr>
          <w:p>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732"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下层</w:t>
            </w:r>
          </w:p>
        </w:tc>
        <w:tc>
          <w:tcPr>
            <w:tcW w:w="455"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6.91</w:t>
            </w:r>
          </w:p>
        </w:tc>
        <w:tc>
          <w:tcPr>
            <w:tcW w:w="618"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82.3</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618" w:type="pct"/>
            <w:tcBorders>
              <w:top w:val="nil"/>
              <w:left w:val="nil"/>
              <w:bottom w:val="single" w:color="auto" w:sz="4" w:space="0"/>
              <w:right w:val="single" w:color="auto" w:sz="4" w:space="0"/>
            </w:tcBorders>
            <w:shd w:val="clear" w:color="auto" w:fill="auto"/>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3600</w:t>
            </w:r>
          </w:p>
        </w:tc>
        <w:tc>
          <w:tcPr>
            <w:tcW w:w="619" w:type="pct"/>
            <w:tcBorders>
              <w:top w:val="nil"/>
              <w:left w:val="nil"/>
              <w:bottom w:val="single" w:color="auto" w:sz="4" w:space="0"/>
              <w:right w:val="single" w:color="auto" w:sz="8"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0.41</w:t>
            </w:r>
          </w:p>
        </w:tc>
      </w:tr>
      <w:tr>
        <w:tblPrEx>
          <w:tblCellMar>
            <w:top w:w="0" w:type="dxa"/>
            <w:left w:w="108" w:type="dxa"/>
            <w:bottom w:w="0" w:type="dxa"/>
            <w:right w:w="108" w:type="dxa"/>
          </w:tblCellMar>
        </w:tblPrEx>
        <w:trPr>
          <w:trHeight w:val="280" w:hRule="atLeast"/>
          <w:jc w:val="center"/>
        </w:trPr>
        <w:tc>
          <w:tcPr>
            <w:tcW w:w="519" w:type="pct"/>
            <w:vMerge w:val="restart"/>
            <w:tcBorders>
              <w:top w:val="nil"/>
              <w:left w:val="single" w:color="auto" w:sz="8" w:space="0"/>
              <w:bottom w:val="single" w:color="auto" w:sz="4" w:space="0"/>
              <w:right w:val="single" w:color="auto" w:sz="4" w:space="0"/>
            </w:tcBorders>
            <w:shd w:val="clear" w:color="auto" w:fill="auto"/>
            <w:noWrap/>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T5</w:t>
            </w:r>
          </w:p>
        </w:tc>
        <w:tc>
          <w:tcPr>
            <w:tcW w:w="732"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表层</w:t>
            </w:r>
          </w:p>
        </w:tc>
        <w:tc>
          <w:tcPr>
            <w:tcW w:w="455"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6.94</w:t>
            </w:r>
          </w:p>
        </w:tc>
        <w:tc>
          <w:tcPr>
            <w:tcW w:w="618"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90.6</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618" w:type="pct"/>
            <w:tcBorders>
              <w:top w:val="nil"/>
              <w:left w:val="nil"/>
              <w:bottom w:val="single" w:color="auto" w:sz="4" w:space="0"/>
              <w:right w:val="single" w:color="auto" w:sz="4" w:space="0"/>
            </w:tcBorders>
            <w:shd w:val="clear" w:color="auto" w:fill="auto"/>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4600</w:t>
            </w:r>
          </w:p>
        </w:tc>
        <w:tc>
          <w:tcPr>
            <w:tcW w:w="619" w:type="pct"/>
            <w:tcBorders>
              <w:top w:val="nil"/>
              <w:left w:val="nil"/>
              <w:bottom w:val="single" w:color="auto" w:sz="4" w:space="0"/>
              <w:right w:val="single" w:color="auto" w:sz="8"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0.44</w:t>
            </w:r>
          </w:p>
        </w:tc>
      </w:tr>
      <w:tr>
        <w:tblPrEx>
          <w:tblCellMar>
            <w:top w:w="0" w:type="dxa"/>
            <w:left w:w="108" w:type="dxa"/>
            <w:bottom w:w="0" w:type="dxa"/>
            <w:right w:w="108" w:type="dxa"/>
          </w:tblCellMar>
        </w:tblPrEx>
        <w:trPr>
          <w:trHeight w:val="280" w:hRule="atLeast"/>
          <w:jc w:val="center"/>
        </w:trPr>
        <w:tc>
          <w:tcPr>
            <w:tcW w:w="519" w:type="pct"/>
            <w:vMerge w:val="continue"/>
            <w:tcBorders>
              <w:top w:val="nil"/>
              <w:left w:val="single" w:color="auto" w:sz="8" w:space="0"/>
              <w:bottom w:val="single" w:color="auto" w:sz="4" w:space="0"/>
              <w:right w:val="single" w:color="auto" w:sz="4" w:space="0"/>
            </w:tcBorders>
            <w:vAlign w:val="center"/>
          </w:tcPr>
          <w:p>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732"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中层</w:t>
            </w:r>
          </w:p>
        </w:tc>
        <w:tc>
          <w:tcPr>
            <w:tcW w:w="455"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6.92</w:t>
            </w:r>
          </w:p>
        </w:tc>
        <w:tc>
          <w:tcPr>
            <w:tcW w:w="618"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76.2</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618" w:type="pct"/>
            <w:tcBorders>
              <w:top w:val="nil"/>
              <w:left w:val="nil"/>
              <w:bottom w:val="single" w:color="auto" w:sz="4" w:space="0"/>
              <w:right w:val="single" w:color="auto" w:sz="4" w:space="0"/>
            </w:tcBorders>
            <w:shd w:val="clear" w:color="auto" w:fill="auto"/>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4100</w:t>
            </w:r>
          </w:p>
        </w:tc>
        <w:tc>
          <w:tcPr>
            <w:tcW w:w="619" w:type="pct"/>
            <w:tcBorders>
              <w:top w:val="nil"/>
              <w:left w:val="nil"/>
              <w:bottom w:val="single" w:color="auto" w:sz="4" w:space="0"/>
              <w:right w:val="single" w:color="auto" w:sz="8"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0.64</w:t>
            </w:r>
          </w:p>
        </w:tc>
      </w:tr>
      <w:tr>
        <w:tblPrEx>
          <w:tblCellMar>
            <w:top w:w="0" w:type="dxa"/>
            <w:left w:w="108" w:type="dxa"/>
            <w:bottom w:w="0" w:type="dxa"/>
            <w:right w:w="108" w:type="dxa"/>
          </w:tblCellMar>
        </w:tblPrEx>
        <w:trPr>
          <w:trHeight w:val="280" w:hRule="atLeast"/>
          <w:jc w:val="center"/>
        </w:trPr>
        <w:tc>
          <w:tcPr>
            <w:tcW w:w="519" w:type="pct"/>
            <w:vMerge w:val="continue"/>
            <w:tcBorders>
              <w:top w:val="nil"/>
              <w:left w:val="single" w:color="auto" w:sz="8" w:space="0"/>
              <w:bottom w:val="single" w:color="auto" w:sz="4" w:space="0"/>
              <w:right w:val="single" w:color="auto" w:sz="4" w:space="0"/>
            </w:tcBorders>
            <w:vAlign w:val="center"/>
          </w:tcPr>
          <w:p>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732"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下层</w:t>
            </w:r>
          </w:p>
        </w:tc>
        <w:tc>
          <w:tcPr>
            <w:tcW w:w="455"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 xml:space="preserve">6.90 </w:t>
            </w:r>
          </w:p>
        </w:tc>
        <w:tc>
          <w:tcPr>
            <w:tcW w:w="618"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65.9</w:t>
            </w:r>
          </w:p>
        </w:tc>
        <w:tc>
          <w:tcPr>
            <w:tcW w:w="720" w:type="pct"/>
            <w:tcBorders>
              <w:top w:val="nil"/>
              <w:left w:val="nil"/>
              <w:bottom w:val="single" w:color="auto" w:sz="4"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ND</w:t>
            </w:r>
          </w:p>
        </w:tc>
        <w:tc>
          <w:tcPr>
            <w:tcW w:w="618" w:type="pct"/>
            <w:tcBorders>
              <w:top w:val="nil"/>
              <w:left w:val="nil"/>
              <w:bottom w:val="single" w:color="auto" w:sz="4" w:space="0"/>
              <w:right w:val="single" w:color="auto" w:sz="4" w:space="0"/>
            </w:tcBorders>
            <w:shd w:val="clear" w:color="auto" w:fill="auto"/>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3100</w:t>
            </w:r>
          </w:p>
        </w:tc>
        <w:tc>
          <w:tcPr>
            <w:tcW w:w="619" w:type="pct"/>
            <w:tcBorders>
              <w:top w:val="nil"/>
              <w:left w:val="nil"/>
              <w:bottom w:val="single" w:color="auto" w:sz="4" w:space="0"/>
              <w:right w:val="single" w:color="auto" w:sz="8"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0.40</w:t>
            </w:r>
          </w:p>
        </w:tc>
      </w:tr>
      <w:tr>
        <w:tblPrEx>
          <w:tblCellMar>
            <w:top w:w="0" w:type="dxa"/>
            <w:left w:w="108" w:type="dxa"/>
            <w:bottom w:w="0" w:type="dxa"/>
            <w:right w:w="108" w:type="dxa"/>
          </w:tblCellMar>
        </w:tblPrEx>
        <w:trPr>
          <w:trHeight w:val="550" w:hRule="atLeast"/>
          <w:jc w:val="center"/>
        </w:trPr>
        <w:tc>
          <w:tcPr>
            <w:tcW w:w="1251" w:type="pct"/>
            <w:gridSpan w:val="2"/>
            <w:tcBorders>
              <w:top w:val="single" w:color="auto" w:sz="4" w:space="0"/>
              <w:left w:val="single" w:color="auto" w:sz="8" w:space="0"/>
              <w:bottom w:val="single" w:color="auto" w:sz="8" w:space="0"/>
              <w:right w:val="single" w:color="auto" w:sz="4" w:space="0"/>
            </w:tcBorders>
            <w:shd w:val="clear" w:color="auto" w:fill="auto"/>
            <w:noWrap/>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标准值</w:t>
            </w:r>
          </w:p>
        </w:tc>
        <w:tc>
          <w:tcPr>
            <w:tcW w:w="455" w:type="pct"/>
            <w:tcBorders>
              <w:top w:val="nil"/>
              <w:left w:val="nil"/>
              <w:bottom w:val="single" w:color="auto" w:sz="8"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w:t>
            </w:r>
          </w:p>
        </w:tc>
        <w:tc>
          <w:tcPr>
            <w:tcW w:w="618" w:type="pct"/>
            <w:tcBorders>
              <w:top w:val="nil"/>
              <w:left w:val="nil"/>
              <w:bottom w:val="single" w:color="auto" w:sz="8"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w:t>
            </w:r>
          </w:p>
        </w:tc>
        <w:tc>
          <w:tcPr>
            <w:tcW w:w="720" w:type="pct"/>
            <w:tcBorders>
              <w:top w:val="nil"/>
              <w:left w:val="nil"/>
              <w:bottom w:val="single" w:color="auto" w:sz="8"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w:t>
            </w:r>
          </w:p>
        </w:tc>
        <w:tc>
          <w:tcPr>
            <w:tcW w:w="720" w:type="pct"/>
            <w:tcBorders>
              <w:top w:val="nil"/>
              <w:left w:val="nil"/>
              <w:bottom w:val="single" w:color="auto" w:sz="8"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4500（826）</w:t>
            </w:r>
          </w:p>
        </w:tc>
        <w:tc>
          <w:tcPr>
            <w:tcW w:w="618" w:type="pct"/>
            <w:tcBorders>
              <w:top w:val="nil"/>
              <w:left w:val="nil"/>
              <w:bottom w:val="single" w:color="auto" w:sz="8" w:space="0"/>
              <w:right w:val="single" w:color="auto" w:sz="4"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w:t>
            </w:r>
          </w:p>
        </w:tc>
        <w:tc>
          <w:tcPr>
            <w:tcW w:w="619"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w:t>
            </w:r>
          </w:p>
        </w:tc>
      </w:tr>
    </w:tbl>
    <w:p>
      <w:pPr>
        <w:pStyle w:val="95"/>
      </w:pPr>
      <w:r>
        <w:t>表</w:t>
      </w:r>
      <w:r>
        <w:fldChar w:fldCharType="begin"/>
      </w:r>
      <w:r>
        <w:instrText xml:space="preserve"> STYLEREF 2 \s </w:instrText>
      </w:r>
      <w:r>
        <w:fldChar w:fldCharType="separate"/>
      </w:r>
      <w:r>
        <w:t>4.2</w:t>
      </w:r>
      <w:r>
        <w:fldChar w:fldCharType="end"/>
      </w:r>
      <w:r>
        <w:noBreakHyphen/>
      </w:r>
      <w:r>
        <w:fldChar w:fldCharType="begin"/>
      </w:r>
      <w:r>
        <w:instrText xml:space="preserve"> SEQ 表 \* ARABIC \s 2 </w:instrText>
      </w:r>
      <w:r>
        <w:fldChar w:fldCharType="separate"/>
      </w:r>
      <w:r>
        <w:t>1</w:t>
      </w:r>
      <w:r>
        <w:rPr>
          <w:rFonts w:hint="eastAsia"/>
        </w:rPr>
        <w:t>4</w:t>
      </w:r>
      <w:r>
        <w:fldChar w:fldCharType="end"/>
      </w:r>
      <w:bookmarkEnd w:id="229"/>
      <w:r>
        <w:t xml:space="preserve"> 场内土壤环境现状监测结果</w:t>
      </w:r>
    </w:p>
    <w:tbl>
      <w:tblPr>
        <w:tblStyle w:val="52"/>
        <w:tblW w:w="5000" w:type="pct"/>
        <w:jc w:val="center"/>
        <w:tblLayout w:type="autofit"/>
        <w:tblCellMar>
          <w:top w:w="0" w:type="dxa"/>
          <w:left w:w="0" w:type="dxa"/>
          <w:bottom w:w="0" w:type="dxa"/>
          <w:right w:w="0" w:type="dxa"/>
        </w:tblCellMar>
      </w:tblPr>
      <w:tblGrid>
        <w:gridCol w:w="2052"/>
        <w:gridCol w:w="1250"/>
        <w:gridCol w:w="1378"/>
        <w:gridCol w:w="1379"/>
        <w:gridCol w:w="2271"/>
      </w:tblGrid>
      <w:tr>
        <w:tblPrEx>
          <w:tblCellMar>
            <w:top w:w="0" w:type="dxa"/>
            <w:left w:w="0" w:type="dxa"/>
            <w:bottom w:w="0" w:type="dxa"/>
            <w:right w:w="0" w:type="dxa"/>
          </w:tblCellMar>
        </w:tblPrEx>
        <w:trPr>
          <w:tblHeader/>
          <w:jc w:val="center"/>
        </w:trPr>
        <w:tc>
          <w:tcPr>
            <w:tcW w:w="1232" w:type="pct"/>
            <w:vMerge w:val="restart"/>
            <w:tcBorders>
              <w:top w:val="single" w:color="auto" w:sz="8" w:space="0"/>
              <w:left w:val="single" w:color="auto" w:sz="8" w:space="0"/>
              <w:bottom w:val="single" w:color="auto" w:sz="4" w:space="0"/>
              <w:right w:val="single" w:color="auto" w:sz="4" w:space="0"/>
            </w:tcBorders>
            <w:shd w:val="clear" w:color="auto" w:fill="auto"/>
            <w:vAlign w:val="center"/>
          </w:tcPr>
          <w:p>
            <w:pPr>
              <w:pStyle w:val="294"/>
            </w:pPr>
            <w:r>
              <w:t>监测因子</w:t>
            </w:r>
          </w:p>
        </w:tc>
        <w:tc>
          <w:tcPr>
            <w:tcW w:w="750" w:type="pct"/>
            <w:vMerge w:val="restart"/>
            <w:tcBorders>
              <w:top w:val="single" w:color="auto" w:sz="8" w:space="0"/>
              <w:left w:val="nil"/>
              <w:right w:val="single" w:color="auto" w:sz="4" w:space="0"/>
            </w:tcBorders>
            <w:vAlign w:val="center"/>
          </w:tcPr>
          <w:p>
            <w:pPr>
              <w:pStyle w:val="294"/>
            </w:pPr>
            <w:r>
              <w:t>单位</w:t>
            </w:r>
          </w:p>
        </w:tc>
        <w:tc>
          <w:tcPr>
            <w:tcW w:w="1655" w:type="pct"/>
            <w:gridSpan w:val="2"/>
            <w:tcBorders>
              <w:top w:val="single" w:color="auto" w:sz="8" w:space="0"/>
              <w:left w:val="single" w:color="auto" w:sz="4" w:space="0"/>
              <w:bottom w:val="single" w:color="auto" w:sz="4" w:space="0"/>
              <w:right w:val="single" w:color="auto" w:sz="4" w:space="0"/>
            </w:tcBorders>
            <w:shd w:val="clear" w:color="auto" w:fill="auto"/>
            <w:vAlign w:val="center"/>
          </w:tcPr>
          <w:p>
            <w:pPr>
              <w:pStyle w:val="294"/>
            </w:pPr>
            <w:r>
              <w:t>T3</w:t>
            </w:r>
          </w:p>
        </w:tc>
        <w:tc>
          <w:tcPr>
            <w:tcW w:w="1363" w:type="pct"/>
            <w:tcBorders>
              <w:top w:val="single" w:color="auto" w:sz="8" w:space="0"/>
              <w:left w:val="single" w:color="auto" w:sz="4" w:space="0"/>
              <w:bottom w:val="single" w:color="auto" w:sz="4" w:space="0"/>
              <w:right w:val="single" w:color="auto" w:sz="8" w:space="0"/>
            </w:tcBorders>
            <w:shd w:val="clear" w:color="auto" w:fill="auto"/>
            <w:noWrap/>
            <w:vAlign w:val="center"/>
          </w:tcPr>
          <w:p>
            <w:pPr>
              <w:pStyle w:val="294"/>
            </w:pPr>
            <w:r>
              <w:t>标准值</w:t>
            </w:r>
          </w:p>
        </w:tc>
      </w:tr>
      <w:tr>
        <w:tblPrEx>
          <w:tblCellMar>
            <w:top w:w="0" w:type="dxa"/>
            <w:left w:w="0" w:type="dxa"/>
            <w:bottom w:w="0" w:type="dxa"/>
            <w:right w:w="0" w:type="dxa"/>
          </w:tblCellMar>
        </w:tblPrEx>
        <w:trPr>
          <w:tblHeader/>
          <w:jc w:val="center"/>
        </w:trPr>
        <w:tc>
          <w:tcPr>
            <w:tcW w:w="1232" w:type="pct"/>
            <w:vMerge w:val="continue"/>
            <w:tcBorders>
              <w:top w:val="single" w:color="auto" w:sz="4" w:space="0"/>
              <w:left w:val="single" w:color="auto" w:sz="8" w:space="0"/>
              <w:bottom w:val="single" w:color="auto" w:sz="4" w:space="0"/>
              <w:right w:val="single" w:color="auto" w:sz="4" w:space="0"/>
            </w:tcBorders>
            <w:vAlign w:val="center"/>
          </w:tcPr>
          <w:p>
            <w:pPr>
              <w:pStyle w:val="294"/>
            </w:pPr>
          </w:p>
        </w:tc>
        <w:tc>
          <w:tcPr>
            <w:tcW w:w="750" w:type="pct"/>
            <w:vMerge w:val="continue"/>
            <w:tcBorders>
              <w:left w:val="nil"/>
              <w:bottom w:val="single" w:color="auto" w:sz="4" w:space="0"/>
              <w:right w:val="single" w:color="auto" w:sz="4" w:space="0"/>
            </w:tcBorders>
            <w:vAlign w:val="center"/>
          </w:tcPr>
          <w:p>
            <w:pPr>
              <w:pStyle w:val="294"/>
            </w:pP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监测值</w:t>
            </w:r>
          </w:p>
        </w:tc>
        <w:tc>
          <w:tcPr>
            <w:tcW w:w="828" w:type="pct"/>
            <w:tcBorders>
              <w:top w:val="nil"/>
              <w:left w:val="nil"/>
              <w:bottom w:val="single" w:color="auto" w:sz="4" w:space="0"/>
              <w:right w:val="single" w:color="auto" w:sz="4" w:space="0"/>
            </w:tcBorders>
            <w:shd w:val="clear" w:color="auto" w:fill="auto"/>
            <w:vAlign w:val="center"/>
          </w:tcPr>
          <w:p>
            <w:pPr>
              <w:pStyle w:val="294"/>
            </w:pPr>
            <w:r>
              <w:t>是否达标</w:t>
            </w:r>
          </w:p>
        </w:tc>
        <w:tc>
          <w:tcPr>
            <w:tcW w:w="1363" w:type="pct"/>
            <w:tcBorders>
              <w:top w:val="single" w:color="auto" w:sz="4" w:space="0"/>
              <w:left w:val="single" w:color="auto" w:sz="4" w:space="0"/>
              <w:bottom w:val="single" w:color="auto" w:sz="4" w:space="0"/>
              <w:right w:val="single" w:color="auto" w:sz="8" w:space="0"/>
            </w:tcBorders>
            <w:vAlign w:val="center"/>
          </w:tcPr>
          <w:p>
            <w:pPr>
              <w:pStyle w:val="294"/>
            </w:pPr>
            <w:r>
              <w:t>/</w:t>
            </w:r>
          </w:p>
        </w:tc>
      </w:tr>
      <w:tr>
        <w:tblPrEx>
          <w:tblCellMar>
            <w:top w:w="0" w:type="dxa"/>
            <w:left w:w="0" w:type="dxa"/>
            <w:bottom w:w="0" w:type="dxa"/>
            <w:right w:w="0" w:type="dxa"/>
          </w:tblCellMar>
        </w:tblPrEx>
        <w:trPr>
          <w:jc w:val="center"/>
        </w:trPr>
        <w:tc>
          <w:tcPr>
            <w:tcW w:w="1232" w:type="pct"/>
            <w:tcBorders>
              <w:top w:val="single" w:color="auto" w:sz="4" w:space="0"/>
              <w:left w:val="single" w:color="auto" w:sz="8" w:space="0"/>
              <w:bottom w:val="single" w:color="auto" w:sz="4" w:space="0"/>
              <w:right w:val="single" w:color="auto" w:sz="4" w:space="0"/>
            </w:tcBorders>
            <w:vAlign w:val="center"/>
          </w:tcPr>
          <w:p>
            <w:pPr>
              <w:pStyle w:val="294"/>
            </w:pPr>
            <w:r>
              <w:t>pH</w:t>
            </w:r>
          </w:p>
        </w:tc>
        <w:tc>
          <w:tcPr>
            <w:tcW w:w="750" w:type="pct"/>
            <w:tcBorders>
              <w:left w:val="nil"/>
              <w:bottom w:val="single" w:color="auto" w:sz="4" w:space="0"/>
              <w:right w:val="single" w:color="auto" w:sz="4" w:space="0"/>
            </w:tcBorders>
            <w:vAlign w:val="center"/>
          </w:tcPr>
          <w:p>
            <w:pPr>
              <w:pStyle w:val="294"/>
            </w:pPr>
            <w:r>
              <w:t>无量纲</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rPr>
                <w:rFonts w:hint="eastAsia"/>
              </w:rPr>
              <w:t>6.74</w:t>
            </w:r>
          </w:p>
        </w:tc>
        <w:tc>
          <w:tcPr>
            <w:tcW w:w="828" w:type="pct"/>
            <w:tcBorders>
              <w:top w:val="nil"/>
              <w:left w:val="nil"/>
              <w:bottom w:val="single" w:color="auto" w:sz="4" w:space="0"/>
              <w:right w:val="single" w:color="auto" w:sz="4" w:space="0"/>
            </w:tcBorders>
            <w:shd w:val="clear" w:color="auto" w:fill="auto"/>
            <w:vAlign w:val="center"/>
          </w:tcPr>
          <w:p>
            <w:pPr>
              <w:pStyle w:val="294"/>
            </w:pPr>
            <w:r>
              <w:rPr>
                <w:rFonts w:hint="eastAsia"/>
              </w:rPr>
              <w:t>/</w:t>
            </w:r>
          </w:p>
        </w:tc>
        <w:tc>
          <w:tcPr>
            <w:tcW w:w="1363" w:type="pct"/>
            <w:tcBorders>
              <w:top w:val="single" w:color="auto" w:sz="4" w:space="0"/>
              <w:left w:val="single" w:color="auto" w:sz="4" w:space="0"/>
              <w:bottom w:val="single" w:color="auto" w:sz="4" w:space="0"/>
              <w:right w:val="single" w:color="auto" w:sz="8" w:space="0"/>
            </w:tcBorders>
            <w:vAlign w:val="center"/>
          </w:tcPr>
          <w:p>
            <w:pPr>
              <w:pStyle w:val="294"/>
            </w:pPr>
            <w:r>
              <w:t>/</w:t>
            </w:r>
          </w:p>
        </w:tc>
      </w:tr>
      <w:tr>
        <w:tblPrEx>
          <w:tblCellMar>
            <w:top w:w="0" w:type="dxa"/>
            <w:left w:w="0" w:type="dxa"/>
            <w:bottom w:w="0" w:type="dxa"/>
            <w:right w:w="0" w:type="dxa"/>
          </w:tblCellMar>
        </w:tblPrEx>
        <w:trPr>
          <w:jc w:val="center"/>
        </w:trPr>
        <w:tc>
          <w:tcPr>
            <w:tcW w:w="1232" w:type="pct"/>
            <w:tcBorders>
              <w:top w:val="single" w:color="auto" w:sz="4" w:space="0"/>
              <w:left w:val="single" w:color="auto" w:sz="8" w:space="0"/>
              <w:bottom w:val="single" w:color="auto" w:sz="4" w:space="0"/>
              <w:right w:val="single" w:color="auto" w:sz="4" w:space="0"/>
            </w:tcBorders>
            <w:vAlign w:val="center"/>
          </w:tcPr>
          <w:p>
            <w:pPr>
              <w:pStyle w:val="294"/>
            </w:pPr>
            <w:r>
              <w:t>砷</w:t>
            </w:r>
          </w:p>
        </w:tc>
        <w:tc>
          <w:tcPr>
            <w:tcW w:w="750" w:type="pct"/>
            <w:tcBorders>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rPr>
                <w:rFonts w:hint="eastAsia"/>
              </w:rPr>
              <w:t>4.00</w:t>
            </w:r>
          </w:p>
        </w:tc>
        <w:tc>
          <w:tcPr>
            <w:tcW w:w="828" w:type="pct"/>
            <w:tcBorders>
              <w:top w:val="nil"/>
              <w:left w:val="nil"/>
              <w:bottom w:val="single" w:color="auto" w:sz="4" w:space="0"/>
              <w:right w:val="single" w:color="auto" w:sz="4" w:space="0"/>
            </w:tcBorders>
            <w:shd w:val="clear" w:color="auto" w:fill="auto"/>
            <w:vAlign w:val="center"/>
          </w:tcPr>
          <w:p>
            <w:pPr>
              <w:pStyle w:val="294"/>
            </w:pPr>
            <w:r>
              <w:t>达标</w:t>
            </w:r>
          </w:p>
        </w:tc>
        <w:tc>
          <w:tcPr>
            <w:tcW w:w="1363" w:type="pct"/>
            <w:tcBorders>
              <w:top w:val="single" w:color="auto" w:sz="4" w:space="0"/>
              <w:left w:val="single" w:color="auto" w:sz="4" w:space="0"/>
              <w:bottom w:val="single" w:color="auto" w:sz="4" w:space="0"/>
              <w:right w:val="single" w:color="auto" w:sz="8" w:space="0"/>
            </w:tcBorders>
            <w:vAlign w:val="center"/>
          </w:tcPr>
          <w:p>
            <w:pPr>
              <w:pStyle w:val="294"/>
            </w:pPr>
            <w:r>
              <w:t>60</w:t>
            </w:r>
          </w:p>
        </w:tc>
      </w:tr>
      <w:tr>
        <w:tblPrEx>
          <w:tblCellMar>
            <w:top w:w="0" w:type="dxa"/>
            <w:left w:w="0" w:type="dxa"/>
            <w:bottom w:w="0" w:type="dxa"/>
            <w:right w:w="0" w:type="dxa"/>
          </w:tblCellMar>
        </w:tblPrEx>
        <w:trPr>
          <w:jc w:val="center"/>
        </w:trPr>
        <w:tc>
          <w:tcPr>
            <w:tcW w:w="1232" w:type="pct"/>
            <w:tcBorders>
              <w:top w:val="single" w:color="auto" w:sz="4" w:space="0"/>
              <w:left w:val="single" w:color="auto" w:sz="8" w:space="0"/>
              <w:bottom w:val="single" w:color="auto" w:sz="4" w:space="0"/>
              <w:right w:val="single" w:color="auto" w:sz="4" w:space="0"/>
            </w:tcBorders>
            <w:vAlign w:val="center"/>
          </w:tcPr>
          <w:p>
            <w:pPr>
              <w:pStyle w:val="294"/>
            </w:pPr>
            <w:r>
              <w:t>镉</w:t>
            </w:r>
          </w:p>
        </w:tc>
        <w:tc>
          <w:tcPr>
            <w:tcW w:w="750" w:type="pct"/>
            <w:tcBorders>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rPr>
                <w:rFonts w:hint="eastAsia"/>
              </w:rPr>
              <w:t>0.14</w:t>
            </w:r>
          </w:p>
        </w:tc>
        <w:tc>
          <w:tcPr>
            <w:tcW w:w="828" w:type="pct"/>
            <w:tcBorders>
              <w:top w:val="nil"/>
              <w:left w:val="nil"/>
              <w:bottom w:val="single" w:color="auto" w:sz="4" w:space="0"/>
              <w:right w:val="single" w:color="auto" w:sz="4" w:space="0"/>
            </w:tcBorders>
            <w:shd w:val="clear" w:color="auto" w:fill="auto"/>
            <w:vAlign w:val="center"/>
          </w:tcPr>
          <w:p>
            <w:pPr>
              <w:pStyle w:val="294"/>
            </w:pPr>
            <w:r>
              <w:t>达标</w:t>
            </w:r>
          </w:p>
        </w:tc>
        <w:tc>
          <w:tcPr>
            <w:tcW w:w="1363" w:type="pct"/>
            <w:tcBorders>
              <w:top w:val="single" w:color="auto" w:sz="4" w:space="0"/>
              <w:left w:val="single" w:color="auto" w:sz="4" w:space="0"/>
              <w:bottom w:val="single" w:color="auto" w:sz="4" w:space="0"/>
              <w:right w:val="single" w:color="auto" w:sz="8" w:space="0"/>
            </w:tcBorders>
            <w:vAlign w:val="center"/>
          </w:tcPr>
          <w:p>
            <w:pPr>
              <w:pStyle w:val="294"/>
            </w:pPr>
            <w:r>
              <w:t>65</w:t>
            </w:r>
          </w:p>
        </w:tc>
      </w:tr>
      <w:tr>
        <w:tblPrEx>
          <w:tblCellMar>
            <w:top w:w="0" w:type="dxa"/>
            <w:left w:w="0" w:type="dxa"/>
            <w:bottom w:w="0" w:type="dxa"/>
            <w:right w:w="0" w:type="dxa"/>
          </w:tblCellMar>
        </w:tblPrEx>
        <w:trPr>
          <w:jc w:val="center"/>
        </w:trPr>
        <w:tc>
          <w:tcPr>
            <w:tcW w:w="1232" w:type="pct"/>
            <w:tcBorders>
              <w:top w:val="single" w:color="auto" w:sz="4" w:space="0"/>
              <w:left w:val="single" w:color="auto" w:sz="8" w:space="0"/>
              <w:bottom w:val="single" w:color="auto" w:sz="4" w:space="0"/>
              <w:right w:val="single" w:color="auto" w:sz="4" w:space="0"/>
            </w:tcBorders>
            <w:vAlign w:val="center"/>
          </w:tcPr>
          <w:p>
            <w:pPr>
              <w:pStyle w:val="294"/>
            </w:pPr>
            <w:r>
              <w:t>铜</w:t>
            </w:r>
          </w:p>
        </w:tc>
        <w:tc>
          <w:tcPr>
            <w:tcW w:w="750" w:type="pct"/>
            <w:tcBorders>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rPr>
                <w:rFonts w:hint="eastAsia"/>
              </w:rPr>
              <w:t>38</w:t>
            </w:r>
          </w:p>
        </w:tc>
        <w:tc>
          <w:tcPr>
            <w:tcW w:w="828" w:type="pct"/>
            <w:tcBorders>
              <w:top w:val="nil"/>
              <w:left w:val="nil"/>
              <w:bottom w:val="single" w:color="auto" w:sz="4" w:space="0"/>
              <w:right w:val="single" w:color="auto" w:sz="4" w:space="0"/>
            </w:tcBorders>
            <w:shd w:val="clear" w:color="auto" w:fill="auto"/>
            <w:vAlign w:val="center"/>
          </w:tcPr>
          <w:p>
            <w:pPr>
              <w:pStyle w:val="294"/>
            </w:pPr>
            <w:r>
              <w:t>达标</w:t>
            </w:r>
          </w:p>
        </w:tc>
        <w:tc>
          <w:tcPr>
            <w:tcW w:w="1363" w:type="pct"/>
            <w:tcBorders>
              <w:top w:val="single" w:color="auto" w:sz="4" w:space="0"/>
              <w:left w:val="single" w:color="auto" w:sz="4" w:space="0"/>
              <w:bottom w:val="single" w:color="auto" w:sz="4" w:space="0"/>
              <w:right w:val="single" w:color="auto" w:sz="8" w:space="0"/>
            </w:tcBorders>
            <w:vAlign w:val="center"/>
          </w:tcPr>
          <w:p>
            <w:pPr>
              <w:pStyle w:val="294"/>
            </w:pPr>
            <w:r>
              <w:t>18000</w:t>
            </w:r>
          </w:p>
        </w:tc>
      </w:tr>
      <w:tr>
        <w:tblPrEx>
          <w:tblCellMar>
            <w:top w:w="0" w:type="dxa"/>
            <w:left w:w="0" w:type="dxa"/>
            <w:bottom w:w="0" w:type="dxa"/>
            <w:right w:w="0" w:type="dxa"/>
          </w:tblCellMar>
        </w:tblPrEx>
        <w:trPr>
          <w:jc w:val="center"/>
        </w:trPr>
        <w:tc>
          <w:tcPr>
            <w:tcW w:w="1232" w:type="pct"/>
            <w:tcBorders>
              <w:top w:val="single" w:color="auto" w:sz="4" w:space="0"/>
              <w:left w:val="single" w:color="auto" w:sz="8" w:space="0"/>
              <w:bottom w:val="single" w:color="auto" w:sz="4" w:space="0"/>
              <w:right w:val="single" w:color="auto" w:sz="4" w:space="0"/>
            </w:tcBorders>
            <w:vAlign w:val="center"/>
          </w:tcPr>
          <w:p>
            <w:pPr>
              <w:pStyle w:val="294"/>
            </w:pPr>
            <w:r>
              <w:t>六价铬</w:t>
            </w:r>
          </w:p>
        </w:tc>
        <w:tc>
          <w:tcPr>
            <w:tcW w:w="750" w:type="pct"/>
            <w:tcBorders>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vAlign w:val="center"/>
          </w:tcPr>
          <w:p>
            <w:pPr>
              <w:pStyle w:val="294"/>
            </w:pPr>
            <w:r>
              <w:t>达标</w:t>
            </w:r>
          </w:p>
        </w:tc>
        <w:tc>
          <w:tcPr>
            <w:tcW w:w="1363" w:type="pct"/>
            <w:tcBorders>
              <w:top w:val="single" w:color="auto" w:sz="4" w:space="0"/>
              <w:left w:val="single" w:color="auto" w:sz="4" w:space="0"/>
              <w:bottom w:val="single" w:color="auto" w:sz="4" w:space="0"/>
              <w:right w:val="single" w:color="auto" w:sz="8" w:space="0"/>
            </w:tcBorders>
            <w:vAlign w:val="center"/>
          </w:tcPr>
          <w:p>
            <w:pPr>
              <w:pStyle w:val="294"/>
            </w:pPr>
            <w:r>
              <w:t>5.7</w:t>
            </w:r>
          </w:p>
        </w:tc>
      </w:tr>
      <w:tr>
        <w:tblPrEx>
          <w:tblCellMar>
            <w:top w:w="0" w:type="dxa"/>
            <w:left w:w="0" w:type="dxa"/>
            <w:bottom w:w="0" w:type="dxa"/>
            <w:right w:w="0" w:type="dxa"/>
          </w:tblCellMar>
        </w:tblPrEx>
        <w:trPr>
          <w:jc w:val="center"/>
        </w:trPr>
        <w:tc>
          <w:tcPr>
            <w:tcW w:w="1232" w:type="pct"/>
            <w:tcBorders>
              <w:top w:val="single" w:color="auto" w:sz="4" w:space="0"/>
              <w:left w:val="single" w:color="auto" w:sz="8" w:space="0"/>
              <w:bottom w:val="single" w:color="auto" w:sz="4" w:space="0"/>
              <w:right w:val="single" w:color="auto" w:sz="4" w:space="0"/>
            </w:tcBorders>
            <w:vAlign w:val="center"/>
          </w:tcPr>
          <w:p>
            <w:pPr>
              <w:pStyle w:val="294"/>
            </w:pPr>
            <w:r>
              <w:t>铅</w:t>
            </w:r>
          </w:p>
        </w:tc>
        <w:tc>
          <w:tcPr>
            <w:tcW w:w="750" w:type="pct"/>
            <w:tcBorders>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rPr>
                <w:rFonts w:hint="eastAsia"/>
              </w:rPr>
              <w:t>51</w:t>
            </w:r>
          </w:p>
        </w:tc>
        <w:tc>
          <w:tcPr>
            <w:tcW w:w="828" w:type="pct"/>
            <w:tcBorders>
              <w:top w:val="nil"/>
              <w:left w:val="nil"/>
              <w:bottom w:val="single" w:color="auto" w:sz="4" w:space="0"/>
              <w:right w:val="single" w:color="auto" w:sz="4" w:space="0"/>
            </w:tcBorders>
            <w:shd w:val="clear" w:color="auto" w:fill="auto"/>
            <w:vAlign w:val="center"/>
          </w:tcPr>
          <w:p>
            <w:pPr>
              <w:pStyle w:val="294"/>
            </w:pPr>
            <w:r>
              <w:t>达标</w:t>
            </w:r>
          </w:p>
        </w:tc>
        <w:tc>
          <w:tcPr>
            <w:tcW w:w="1363" w:type="pct"/>
            <w:tcBorders>
              <w:top w:val="single" w:color="auto" w:sz="4" w:space="0"/>
              <w:left w:val="single" w:color="auto" w:sz="4" w:space="0"/>
              <w:bottom w:val="single" w:color="auto" w:sz="4" w:space="0"/>
              <w:right w:val="single" w:color="auto" w:sz="8" w:space="0"/>
            </w:tcBorders>
            <w:vAlign w:val="center"/>
          </w:tcPr>
          <w:p>
            <w:pPr>
              <w:pStyle w:val="294"/>
            </w:pPr>
            <w:r>
              <w:t>800</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镍</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rPr>
                <w:rFonts w:hint="eastAsia"/>
              </w:rPr>
              <w:t>52</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900</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汞</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rPr>
                <w:rFonts w:hint="eastAsia"/>
              </w:rPr>
              <w:t>0.050</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38</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四氯化碳</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2.8</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氯仿</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0.9</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1,1-二氯乙烷</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9</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1,2-二氯乙烷</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5</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苯</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4</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1,1-二氯乙烯</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66</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顺-1,2 -二氯乙烯</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596</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反-1,2 -二氯乙烯</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54</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二氯甲烷</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616</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1,2-二氯丙烷</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5</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1,1,1,2- 四氯乙烷</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10</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1,1,2,2-四氯乙烷</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6.8</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四氯乙烯</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53</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1,1,1 -三氯乙烷</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840</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1,1,2-三氯乙烷</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2.8</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三氯乙烯</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2.8</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1,2,3-三氯丙烷</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0.5</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氯乙烯</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0.43</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氯苯</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270</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1,2-二氯苯</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560</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1,4-二氯苯</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20</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乙苯</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28</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甲苯</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1200</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间，对-二甲苯</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570</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邻-二甲苯</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640</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苯乙烯</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1290</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苯并（a）蒽</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15</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苯并（a）芘</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1.5</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苯并（b）荧蒽</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15</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苯并（k）荧蒽</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151</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䓛</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1293</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二苯并（a,h）蒽</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1.5</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茚并（1,2,3-c,d）芘</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15</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萘</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70</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石油烃〔C10-C40〕</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4500</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rPr>
                <w:rFonts w:hint="eastAsia"/>
              </w:rPr>
              <w:t>全盐量</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rPr>
                <w:rFonts w:hint="eastAsia"/>
              </w:rPr>
              <w:t>4000</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氯甲烷</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37</w:t>
            </w:r>
          </w:p>
        </w:tc>
      </w:tr>
      <w:tr>
        <w:tblPrEx>
          <w:tblCellMar>
            <w:top w:w="0" w:type="dxa"/>
            <w:left w:w="0" w:type="dxa"/>
            <w:bottom w:w="0" w:type="dxa"/>
            <w:right w:w="0" w:type="dxa"/>
          </w:tblCellMar>
        </w:tblPrEx>
        <w:trPr>
          <w:jc w:val="center"/>
        </w:trPr>
        <w:tc>
          <w:tcPr>
            <w:tcW w:w="1232" w:type="pct"/>
            <w:tcBorders>
              <w:top w:val="nil"/>
              <w:left w:val="single" w:color="auto" w:sz="8" w:space="0"/>
              <w:bottom w:val="single" w:color="auto" w:sz="4" w:space="0"/>
              <w:right w:val="single" w:color="auto" w:sz="4" w:space="0"/>
            </w:tcBorders>
            <w:shd w:val="clear" w:color="auto" w:fill="auto"/>
            <w:vAlign w:val="center"/>
          </w:tcPr>
          <w:p>
            <w:pPr>
              <w:pStyle w:val="294"/>
            </w:pPr>
            <w:r>
              <w:t>硝基苯</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nil"/>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nil"/>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nil"/>
              <w:left w:val="nil"/>
              <w:bottom w:val="single" w:color="auto" w:sz="4" w:space="0"/>
              <w:right w:val="single" w:color="auto" w:sz="8" w:space="0"/>
            </w:tcBorders>
            <w:shd w:val="clear" w:color="auto" w:fill="auto"/>
            <w:noWrap/>
            <w:vAlign w:val="center"/>
          </w:tcPr>
          <w:p>
            <w:pPr>
              <w:pStyle w:val="294"/>
            </w:pPr>
            <w:r>
              <w:t>76</w:t>
            </w:r>
          </w:p>
        </w:tc>
      </w:tr>
      <w:tr>
        <w:tblPrEx>
          <w:tblCellMar>
            <w:top w:w="0" w:type="dxa"/>
            <w:left w:w="0" w:type="dxa"/>
            <w:bottom w:w="0" w:type="dxa"/>
            <w:right w:w="0" w:type="dxa"/>
          </w:tblCellMar>
        </w:tblPrEx>
        <w:trPr>
          <w:jc w:val="center"/>
        </w:trPr>
        <w:tc>
          <w:tcPr>
            <w:tcW w:w="1232" w:type="pct"/>
            <w:tcBorders>
              <w:top w:val="single" w:color="auto" w:sz="4" w:space="0"/>
              <w:left w:val="single" w:color="auto" w:sz="8" w:space="0"/>
              <w:bottom w:val="single" w:color="auto" w:sz="4" w:space="0"/>
              <w:right w:val="single" w:color="auto" w:sz="4" w:space="0"/>
            </w:tcBorders>
            <w:shd w:val="clear" w:color="auto" w:fill="auto"/>
            <w:vAlign w:val="center"/>
          </w:tcPr>
          <w:p>
            <w:pPr>
              <w:pStyle w:val="294"/>
            </w:pPr>
            <w:r>
              <w:t>苯胺</w:t>
            </w:r>
          </w:p>
        </w:tc>
        <w:tc>
          <w:tcPr>
            <w:tcW w:w="750" w:type="pct"/>
            <w:tcBorders>
              <w:top w:val="single" w:color="auto" w:sz="4" w:space="0"/>
              <w:left w:val="single" w:color="auto" w:sz="4" w:space="0"/>
              <w:bottom w:val="single" w:color="auto" w:sz="4" w:space="0"/>
              <w:right w:val="single" w:color="auto" w:sz="4" w:space="0"/>
            </w:tcBorders>
            <w:vAlign w:val="center"/>
          </w:tcPr>
          <w:p>
            <w:pPr>
              <w:pStyle w:val="294"/>
            </w:pPr>
            <w:r>
              <w:t>mg/kg</w:t>
            </w:r>
          </w:p>
        </w:tc>
        <w:tc>
          <w:tcPr>
            <w:tcW w:w="82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294"/>
            </w:pPr>
            <w:r>
              <w:t>达标</w:t>
            </w:r>
          </w:p>
        </w:tc>
        <w:tc>
          <w:tcPr>
            <w:tcW w:w="1363" w:type="pct"/>
            <w:tcBorders>
              <w:top w:val="single" w:color="auto" w:sz="4" w:space="0"/>
              <w:left w:val="single" w:color="auto" w:sz="4" w:space="0"/>
              <w:bottom w:val="single" w:color="auto" w:sz="4" w:space="0"/>
              <w:right w:val="single" w:color="auto" w:sz="8" w:space="0"/>
            </w:tcBorders>
            <w:shd w:val="clear" w:color="auto" w:fill="auto"/>
            <w:noWrap/>
            <w:vAlign w:val="center"/>
          </w:tcPr>
          <w:p>
            <w:pPr>
              <w:pStyle w:val="294"/>
            </w:pPr>
            <w:r>
              <w:t>260</w:t>
            </w:r>
          </w:p>
        </w:tc>
      </w:tr>
      <w:tr>
        <w:tblPrEx>
          <w:tblCellMar>
            <w:top w:w="0" w:type="dxa"/>
            <w:left w:w="0" w:type="dxa"/>
            <w:bottom w:w="0" w:type="dxa"/>
            <w:right w:w="0" w:type="dxa"/>
          </w:tblCellMar>
        </w:tblPrEx>
        <w:trPr>
          <w:jc w:val="center"/>
        </w:trPr>
        <w:tc>
          <w:tcPr>
            <w:tcW w:w="1232" w:type="pct"/>
            <w:tcBorders>
              <w:top w:val="single" w:color="auto" w:sz="4" w:space="0"/>
              <w:left w:val="single" w:color="auto" w:sz="8" w:space="0"/>
              <w:bottom w:val="single" w:color="auto" w:sz="4" w:space="0"/>
              <w:right w:val="single" w:color="auto" w:sz="4" w:space="0"/>
            </w:tcBorders>
            <w:shd w:val="clear" w:color="auto" w:fill="auto"/>
            <w:vAlign w:val="center"/>
          </w:tcPr>
          <w:p>
            <w:pPr>
              <w:pStyle w:val="294"/>
            </w:pPr>
            <w:r>
              <w:t>2-氯酚</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4"/>
            </w:pPr>
            <w:r>
              <w:t>ND</w:t>
            </w:r>
          </w:p>
        </w:tc>
        <w:tc>
          <w:tcPr>
            <w:tcW w:w="828" w:type="pct"/>
            <w:tcBorders>
              <w:top w:val="single" w:color="auto" w:sz="4" w:space="0"/>
              <w:left w:val="nil"/>
              <w:bottom w:val="single" w:color="auto" w:sz="4" w:space="0"/>
              <w:right w:val="single" w:color="auto" w:sz="4" w:space="0"/>
            </w:tcBorders>
            <w:shd w:val="clear" w:color="auto" w:fill="auto"/>
            <w:noWrap/>
            <w:vAlign w:val="center"/>
          </w:tcPr>
          <w:p>
            <w:pPr>
              <w:pStyle w:val="294"/>
            </w:pPr>
            <w:r>
              <w:t>达标</w:t>
            </w:r>
          </w:p>
        </w:tc>
        <w:tc>
          <w:tcPr>
            <w:tcW w:w="1363" w:type="pct"/>
            <w:tcBorders>
              <w:top w:val="single" w:color="auto" w:sz="4" w:space="0"/>
              <w:left w:val="nil"/>
              <w:bottom w:val="single" w:color="auto" w:sz="4" w:space="0"/>
              <w:right w:val="single" w:color="auto" w:sz="8" w:space="0"/>
            </w:tcBorders>
            <w:shd w:val="clear" w:color="auto" w:fill="auto"/>
            <w:noWrap/>
            <w:vAlign w:val="center"/>
          </w:tcPr>
          <w:p>
            <w:pPr>
              <w:pStyle w:val="294"/>
            </w:pPr>
            <w:r>
              <w:t>2256</w:t>
            </w:r>
          </w:p>
        </w:tc>
      </w:tr>
      <w:tr>
        <w:tblPrEx>
          <w:tblCellMar>
            <w:top w:w="0" w:type="dxa"/>
            <w:left w:w="0" w:type="dxa"/>
            <w:bottom w:w="0" w:type="dxa"/>
            <w:right w:w="0" w:type="dxa"/>
          </w:tblCellMar>
        </w:tblPrEx>
        <w:trPr>
          <w:jc w:val="center"/>
        </w:trPr>
        <w:tc>
          <w:tcPr>
            <w:tcW w:w="1232" w:type="pct"/>
            <w:tcBorders>
              <w:top w:val="single" w:color="auto" w:sz="4" w:space="0"/>
              <w:left w:val="single" w:color="auto" w:sz="8" w:space="0"/>
              <w:bottom w:val="single" w:color="auto" w:sz="4" w:space="0"/>
              <w:right w:val="single" w:color="auto" w:sz="4" w:space="0"/>
            </w:tcBorders>
            <w:shd w:val="clear" w:color="auto" w:fill="auto"/>
            <w:vAlign w:val="center"/>
          </w:tcPr>
          <w:p>
            <w:pPr>
              <w:pStyle w:val="294"/>
            </w:pPr>
            <w:r>
              <w:rPr>
                <w:rFonts w:hint="eastAsia"/>
              </w:rPr>
              <w:t>钡</w:t>
            </w:r>
            <w:r>
              <w:t>*</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4"/>
            </w:pPr>
            <w:r>
              <w:rPr>
                <w:rFonts w:hint="eastAsia"/>
              </w:rPr>
              <w:t>0.54</w:t>
            </w:r>
          </w:p>
        </w:tc>
        <w:tc>
          <w:tcPr>
            <w:tcW w:w="828" w:type="pct"/>
            <w:tcBorders>
              <w:top w:val="single" w:color="auto" w:sz="4" w:space="0"/>
              <w:left w:val="nil"/>
              <w:bottom w:val="single" w:color="auto" w:sz="4" w:space="0"/>
              <w:right w:val="single" w:color="auto" w:sz="4" w:space="0"/>
            </w:tcBorders>
            <w:shd w:val="clear" w:color="auto" w:fill="auto"/>
            <w:noWrap/>
            <w:vAlign w:val="center"/>
          </w:tcPr>
          <w:p>
            <w:pPr>
              <w:pStyle w:val="294"/>
            </w:pPr>
            <w:r>
              <w:t>/</w:t>
            </w:r>
          </w:p>
        </w:tc>
        <w:tc>
          <w:tcPr>
            <w:tcW w:w="1363" w:type="pct"/>
            <w:tcBorders>
              <w:top w:val="single" w:color="auto" w:sz="4" w:space="0"/>
              <w:left w:val="nil"/>
              <w:bottom w:val="single" w:color="auto" w:sz="4" w:space="0"/>
              <w:right w:val="single" w:color="auto" w:sz="8" w:space="0"/>
            </w:tcBorders>
            <w:shd w:val="clear" w:color="auto" w:fill="auto"/>
            <w:noWrap/>
            <w:vAlign w:val="center"/>
          </w:tcPr>
          <w:p>
            <w:pPr>
              <w:pStyle w:val="294"/>
            </w:pPr>
            <w:r>
              <w:t>/</w:t>
            </w:r>
          </w:p>
        </w:tc>
      </w:tr>
      <w:tr>
        <w:tblPrEx>
          <w:tblCellMar>
            <w:top w:w="0" w:type="dxa"/>
            <w:left w:w="0" w:type="dxa"/>
            <w:bottom w:w="0" w:type="dxa"/>
            <w:right w:w="0" w:type="dxa"/>
          </w:tblCellMar>
        </w:tblPrEx>
        <w:trPr>
          <w:jc w:val="center"/>
        </w:trPr>
        <w:tc>
          <w:tcPr>
            <w:tcW w:w="1232" w:type="pct"/>
            <w:tcBorders>
              <w:top w:val="single" w:color="auto" w:sz="4" w:space="0"/>
              <w:left w:val="single" w:color="auto" w:sz="8" w:space="0"/>
              <w:bottom w:val="single" w:color="auto" w:sz="4" w:space="0"/>
              <w:right w:val="single" w:color="auto" w:sz="4" w:space="0"/>
            </w:tcBorders>
            <w:shd w:val="clear" w:color="auto" w:fill="auto"/>
            <w:vAlign w:val="center"/>
          </w:tcPr>
          <w:p>
            <w:pPr>
              <w:pStyle w:val="294"/>
            </w:pPr>
            <w:r>
              <w:rPr>
                <w:rFonts w:hint="eastAsia"/>
              </w:rPr>
              <w:t>氯离子</w:t>
            </w:r>
            <w:r>
              <w:t>*</w:t>
            </w:r>
          </w:p>
        </w:tc>
        <w:tc>
          <w:tcPr>
            <w:tcW w:w="750" w:type="pct"/>
            <w:tcBorders>
              <w:top w:val="single" w:color="auto" w:sz="4" w:space="0"/>
              <w:left w:val="nil"/>
              <w:bottom w:val="single" w:color="auto" w:sz="4" w:space="0"/>
              <w:right w:val="single" w:color="auto" w:sz="4" w:space="0"/>
            </w:tcBorders>
            <w:vAlign w:val="center"/>
          </w:tcPr>
          <w:p>
            <w:pPr>
              <w:pStyle w:val="294"/>
            </w:pPr>
            <w:r>
              <w:t>mg/kg</w:t>
            </w:r>
          </w:p>
        </w:tc>
        <w:tc>
          <w:tcPr>
            <w:tcW w:w="82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4"/>
            </w:pPr>
            <w:r>
              <w:rPr>
                <w:rFonts w:hint="eastAsia"/>
              </w:rPr>
              <w:t>ND</w:t>
            </w:r>
          </w:p>
        </w:tc>
        <w:tc>
          <w:tcPr>
            <w:tcW w:w="828" w:type="pct"/>
            <w:tcBorders>
              <w:top w:val="single" w:color="auto" w:sz="4" w:space="0"/>
              <w:left w:val="nil"/>
              <w:bottom w:val="single" w:color="auto" w:sz="4" w:space="0"/>
              <w:right w:val="single" w:color="auto" w:sz="4" w:space="0"/>
            </w:tcBorders>
            <w:shd w:val="clear" w:color="auto" w:fill="auto"/>
            <w:noWrap/>
            <w:vAlign w:val="center"/>
          </w:tcPr>
          <w:p>
            <w:pPr>
              <w:pStyle w:val="294"/>
            </w:pPr>
            <w:r>
              <w:t>/</w:t>
            </w:r>
          </w:p>
        </w:tc>
        <w:tc>
          <w:tcPr>
            <w:tcW w:w="1363" w:type="pct"/>
            <w:tcBorders>
              <w:top w:val="single" w:color="auto" w:sz="4" w:space="0"/>
              <w:left w:val="nil"/>
              <w:bottom w:val="single" w:color="auto" w:sz="4" w:space="0"/>
              <w:right w:val="single" w:color="auto" w:sz="8" w:space="0"/>
            </w:tcBorders>
            <w:shd w:val="clear" w:color="auto" w:fill="auto"/>
            <w:noWrap/>
            <w:vAlign w:val="center"/>
          </w:tcPr>
          <w:p>
            <w:pPr>
              <w:pStyle w:val="294"/>
            </w:pPr>
            <w:r>
              <w:t>/</w:t>
            </w:r>
          </w:p>
        </w:tc>
      </w:tr>
      <w:tr>
        <w:tblPrEx>
          <w:tblCellMar>
            <w:top w:w="0" w:type="dxa"/>
            <w:left w:w="0" w:type="dxa"/>
            <w:bottom w:w="0" w:type="dxa"/>
            <w:right w:w="0" w:type="dxa"/>
          </w:tblCellMar>
        </w:tblPrEx>
        <w:trPr>
          <w:jc w:val="center"/>
        </w:trPr>
        <w:tc>
          <w:tcPr>
            <w:tcW w:w="1232" w:type="pct"/>
            <w:tcBorders>
              <w:top w:val="single" w:color="auto" w:sz="4" w:space="0"/>
              <w:left w:val="single" w:color="auto" w:sz="8" w:space="0"/>
              <w:bottom w:val="single" w:color="auto" w:sz="8" w:space="0"/>
              <w:right w:val="single" w:color="auto" w:sz="4" w:space="0"/>
            </w:tcBorders>
            <w:shd w:val="clear" w:color="auto" w:fill="auto"/>
            <w:vAlign w:val="center"/>
          </w:tcPr>
          <w:p>
            <w:pPr>
              <w:pStyle w:val="294"/>
            </w:pPr>
            <w:r>
              <w:rPr>
                <w:rFonts w:hint="eastAsia"/>
              </w:rPr>
              <w:t>硫酸根</w:t>
            </w:r>
            <w:r>
              <w:t>*</w:t>
            </w:r>
          </w:p>
        </w:tc>
        <w:tc>
          <w:tcPr>
            <w:tcW w:w="750" w:type="pct"/>
            <w:tcBorders>
              <w:top w:val="single" w:color="auto" w:sz="4" w:space="0"/>
              <w:left w:val="nil"/>
              <w:bottom w:val="single" w:color="auto" w:sz="8" w:space="0"/>
              <w:right w:val="single" w:color="auto" w:sz="4" w:space="0"/>
            </w:tcBorders>
            <w:vAlign w:val="center"/>
          </w:tcPr>
          <w:p>
            <w:pPr>
              <w:pStyle w:val="294"/>
            </w:pPr>
            <w:r>
              <w:t>mg/kg</w:t>
            </w:r>
          </w:p>
        </w:tc>
        <w:tc>
          <w:tcPr>
            <w:tcW w:w="827" w:type="pct"/>
            <w:tcBorders>
              <w:top w:val="single" w:color="auto" w:sz="4" w:space="0"/>
              <w:left w:val="single" w:color="auto" w:sz="4" w:space="0"/>
              <w:bottom w:val="single" w:color="auto" w:sz="8" w:space="0"/>
              <w:right w:val="single" w:color="auto" w:sz="4" w:space="0"/>
            </w:tcBorders>
            <w:shd w:val="clear" w:color="auto" w:fill="auto"/>
            <w:vAlign w:val="center"/>
          </w:tcPr>
          <w:p>
            <w:pPr>
              <w:pStyle w:val="294"/>
            </w:pPr>
            <w:r>
              <w:rPr>
                <w:rFonts w:hint="eastAsia"/>
              </w:rPr>
              <w:t>82.3</w:t>
            </w:r>
          </w:p>
        </w:tc>
        <w:tc>
          <w:tcPr>
            <w:tcW w:w="828" w:type="pct"/>
            <w:tcBorders>
              <w:top w:val="single" w:color="auto" w:sz="4" w:space="0"/>
              <w:left w:val="nil"/>
              <w:bottom w:val="single" w:color="auto" w:sz="8" w:space="0"/>
              <w:right w:val="single" w:color="auto" w:sz="4" w:space="0"/>
            </w:tcBorders>
            <w:shd w:val="clear" w:color="auto" w:fill="auto"/>
            <w:noWrap/>
            <w:vAlign w:val="center"/>
          </w:tcPr>
          <w:p>
            <w:pPr>
              <w:pStyle w:val="294"/>
            </w:pPr>
            <w:r>
              <w:t>/</w:t>
            </w:r>
          </w:p>
        </w:tc>
        <w:tc>
          <w:tcPr>
            <w:tcW w:w="1363" w:type="pct"/>
            <w:tcBorders>
              <w:top w:val="single" w:color="auto" w:sz="4" w:space="0"/>
              <w:left w:val="nil"/>
              <w:bottom w:val="single" w:color="auto" w:sz="8" w:space="0"/>
              <w:right w:val="single" w:color="auto" w:sz="8" w:space="0"/>
            </w:tcBorders>
            <w:shd w:val="clear" w:color="auto" w:fill="auto"/>
            <w:noWrap/>
            <w:vAlign w:val="center"/>
          </w:tcPr>
          <w:p>
            <w:pPr>
              <w:pStyle w:val="294"/>
            </w:pPr>
            <w:r>
              <w:t>/</w:t>
            </w:r>
          </w:p>
        </w:tc>
      </w:tr>
    </w:tbl>
    <w:p>
      <w:pPr>
        <w:spacing w:before="120" w:beforeLines="50"/>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由</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REF _Ref142600179 \h  \* MERGEFORMAT </w:instrText>
      </w:r>
      <w:r>
        <w:rPr>
          <w:rFonts w:cs="Times New Roman"/>
          <w:bCs/>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表4.2</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1</w:t>
      </w:r>
      <w:r>
        <w:rPr>
          <w:rFonts w:hint="eastAsia" w:cs="Times New Roman"/>
          <w:color w:val="000000" w:themeColor="text1"/>
          <w14:textFill>
            <w14:solidFill>
              <w14:schemeClr w14:val="tx1"/>
            </w14:solidFill>
          </w14:textFill>
        </w:rPr>
        <w:t>2</w:t>
      </w:r>
      <w:r>
        <w:rPr>
          <w:rFonts w:cs="Times New Roman"/>
          <w:bCs/>
          <w:color w:val="000000" w:themeColor="text1"/>
          <w:szCs w:val="24"/>
          <w14:textFill>
            <w14:solidFill>
              <w14:schemeClr w14:val="tx1"/>
            </w14:solidFill>
          </w14:textFill>
        </w:rPr>
        <w:fldChar w:fldCharType="end"/>
      </w:r>
      <w:r>
        <w:rPr>
          <w:rFonts w:cs="Times New Roman"/>
          <w:bCs/>
          <w:color w:val="000000" w:themeColor="text1"/>
          <w:szCs w:val="24"/>
          <w14:textFill>
            <w14:solidFill>
              <w14:schemeClr w14:val="tx1"/>
            </w14:solidFill>
          </w14:textFill>
        </w:rPr>
        <w:t>、</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REF _Ref142600183 \h  \* MERGEFORMAT </w:instrText>
      </w:r>
      <w:r>
        <w:rPr>
          <w:rFonts w:cs="Times New Roman"/>
          <w:bCs/>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表4.2</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1</w:t>
      </w:r>
      <w:r>
        <w:rPr>
          <w:rFonts w:hint="eastAsia" w:cs="Times New Roman"/>
          <w:color w:val="000000" w:themeColor="text1"/>
          <w14:textFill>
            <w14:solidFill>
              <w14:schemeClr w14:val="tx1"/>
            </w14:solidFill>
          </w14:textFill>
        </w:rPr>
        <w:t>3</w:t>
      </w:r>
      <w:r>
        <w:rPr>
          <w:rFonts w:cs="Times New Roman"/>
          <w:bCs/>
          <w:color w:val="000000" w:themeColor="text1"/>
          <w:szCs w:val="24"/>
          <w14:textFill>
            <w14:solidFill>
              <w14:schemeClr w14:val="tx1"/>
            </w14:solidFill>
          </w14:textFill>
        </w:rPr>
        <w:fldChar w:fldCharType="end"/>
      </w:r>
      <w:r>
        <w:rPr>
          <w:rFonts w:cs="Times New Roman"/>
          <w:bCs/>
          <w:color w:val="000000" w:themeColor="text1"/>
          <w:szCs w:val="24"/>
          <w14:textFill>
            <w14:solidFill>
              <w14:schemeClr w14:val="tx1"/>
            </w14:solidFill>
          </w14:textFill>
        </w:rPr>
        <w:t>、</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REF _Ref142600187 \h  \* MERGEFORMAT </w:instrText>
      </w:r>
      <w:r>
        <w:rPr>
          <w:rFonts w:cs="Times New Roman"/>
          <w:bCs/>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表4.2</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1</w:t>
      </w:r>
      <w:r>
        <w:rPr>
          <w:rFonts w:hint="eastAsia" w:cs="Times New Roman"/>
          <w:color w:val="000000" w:themeColor="text1"/>
          <w14:textFill>
            <w14:solidFill>
              <w14:schemeClr w14:val="tx1"/>
            </w14:solidFill>
          </w14:textFill>
        </w:rPr>
        <w:t>4</w:t>
      </w:r>
      <w:r>
        <w:rPr>
          <w:rFonts w:cs="Times New Roman"/>
          <w:bCs/>
          <w:color w:val="000000" w:themeColor="text1"/>
          <w:szCs w:val="24"/>
          <w14:textFill>
            <w14:solidFill>
              <w14:schemeClr w14:val="tx1"/>
            </w14:solidFill>
          </w14:textFill>
        </w:rPr>
        <w:fldChar w:fldCharType="end"/>
      </w:r>
      <w:r>
        <w:rPr>
          <w:rFonts w:cs="Times New Roman"/>
          <w:bCs/>
          <w:color w:val="000000" w:themeColor="text1"/>
          <w:szCs w:val="24"/>
          <w14:textFill>
            <w14:solidFill>
              <w14:schemeClr w14:val="tx1"/>
            </w14:solidFill>
          </w14:textFill>
        </w:rPr>
        <w:t>可知，平台外土壤监测点监测值均低于《土壤环境质量 农用地土壤污染风险管控标准（试行）》（GB15618-2018）风险筛选值；平台内各土壤监测点监测因子均低于《土壤环境质量 建设用地土壤污染风险管控标准（试行）》（GB36600-2018）中的第二类用地筛选值。</w:t>
      </w:r>
    </w:p>
    <w:p>
      <w:pPr>
        <w:pStyle w:val="3"/>
      </w:pPr>
      <w:bookmarkStart w:id="230" w:name="_Toc148654228"/>
      <w:bookmarkStart w:id="231" w:name="_Toc164667024"/>
      <w:r>
        <w:rPr>
          <w:rFonts w:hint="eastAsia"/>
        </w:rPr>
        <w:t>4.3</w:t>
      </w:r>
      <w:r>
        <w:t>生态环境调查与评价</w:t>
      </w:r>
      <w:bookmarkEnd w:id="230"/>
      <w:bookmarkEnd w:id="231"/>
    </w:p>
    <w:p>
      <w:pPr>
        <w:ind w:firstLine="480"/>
        <w:rPr>
          <w:rFonts w:cs="Times New Roman"/>
          <w:b/>
          <w:bCs/>
          <w:color w:val="000000" w:themeColor="text1"/>
          <w:szCs w:val="24"/>
          <w14:textFill>
            <w14:solidFill>
              <w14:schemeClr w14:val="tx1"/>
            </w14:solidFill>
          </w14:textFill>
        </w:rPr>
      </w:pPr>
      <w:bookmarkStart w:id="232" w:name="_Hlk84604214"/>
      <w:r>
        <w:rPr>
          <w:rFonts w:cs="Times New Roman"/>
          <w:color w:val="000000" w:themeColor="text1"/>
          <w:szCs w:val="24"/>
          <w14:textFill>
            <w14:solidFill>
              <w14:schemeClr w14:val="tx1"/>
            </w14:solidFill>
          </w14:textFill>
        </w:rPr>
        <w:t>本项目生态环境影响评价等级为三级，根据《环境影响评价技术导则 生态影响》（HJ 19-2022），三级评价现状调查以收集有效资料为主，可开展必要的遥感调查或现场校核。因此，本次评价生态环境现状调查以收集有效资料为主，并采样地理信息软件完成了部分植被类型数据分析制作。本项目生态现状调查具体如下：</w:t>
      </w:r>
    </w:p>
    <w:p>
      <w:pPr>
        <w:ind w:left="-120"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在现场调查和</w:t>
      </w:r>
      <w:r>
        <w:rPr>
          <w:rFonts w:hint="eastAsia" w:cs="Times New Roman"/>
          <w:color w:val="000000" w:themeColor="text1"/>
          <w:szCs w:val="24"/>
          <w14:textFill>
            <w14:solidFill>
              <w14:schemeClr w14:val="tx1"/>
            </w14:solidFill>
          </w14:textFill>
        </w:rPr>
        <w:t>收集资料</w:t>
      </w:r>
      <w:r>
        <w:rPr>
          <w:rFonts w:cs="Times New Roman"/>
          <w:color w:val="000000" w:themeColor="text1"/>
          <w:szCs w:val="24"/>
          <w14:textFill>
            <w14:solidFill>
              <w14:schemeClr w14:val="tx1"/>
            </w14:solidFill>
          </w14:textFill>
        </w:rPr>
        <w:t>的基础上，采用GPS、RS和GIS相结合的空间信息技术，进行地面类型的数字化判读，统计评价范围内各植被类型、面积、土地利用现状类型及数量。完成数字化的植被类型图和土地利用现状图及土壤侵蚀图，进行景观质量和生态环境质量的定性和定量评价。</w:t>
      </w:r>
    </w:p>
    <w:p>
      <w:pPr>
        <w:keepNext/>
        <w:keepLines/>
        <w:widowControl/>
        <w:ind w:firstLine="241" w:firstLineChars="0"/>
        <w:jc w:val="left"/>
        <w:outlineLvl w:val="2"/>
        <w:rPr>
          <w:rFonts w:cs="Times New Roman"/>
          <w:bCs/>
          <w:color w:val="000000" w:themeColor="text1"/>
          <w:kern w:val="0"/>
          <w:szCs w:val="24"/>
          <w14:textFill>
            <w14:solidFill>
              <w14:schemeClr w14:val="tx1"/>
            </w14:solidFill>
          </w14:textFill>
        </w:rPr>
      </w:pPr>
      <w:r>
        <w:rPr>
          <w:rFonts w:hint="eastAsia" w:cs="Times New Roman"/>
          <w:b/>
          <w:bCs/>
          <w:color w:val="000000" w:themeColor="text1"/>
          <w:kern w:val="0"/>
          <w:szCs w:val="24"/>
          <w14:textFill>
            <w14:solidFill>
              <w14:schemeClr w14:val="tx1"/>
            </w14:solidFill>
          </w14:textFill>
        </w:rPr>
        <w:t>4.3.1</w:t>
      </w:r>
      <w:r>
        <w:rPr>
          <w:rFonts w:cs="Times New Roman"/>
          <w:b/>
          <w:bCs/>
          <w:color w:val="000000" w:themeColor="text1"/>
          <w:kern w:val="0"/>
          <w:szCs w:val="24"/>
          <w14:textFill>
            <w14:solidFill>
              <w14:schemeClr w14:val="tx1"/>
            </w14:solidFill>
          </w14:textFill>
        </w:rPr>
        <w:t>生态功能区划</w:t>
      </w:r>
    </w:p>
    <w:p>
      <w:pPr>
        <w:ind w:left="-120"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位于四川盆地亚热带湿润气候生态区，属于大巴山水源涵养与土壤保持生态功能区（I-3-2），该生态功能区的主导功能是水源涵养功能，土壤保持功能。面临的主要环境问题是多洪灾，滑坡崩塌强烈发育，水土流失严重。项目区的生态功能区划见下表4.3-1。</w:t>
      </w:r>
    </w:p>
    <w:p>
      <w:pPr>
        <w:widowControl/>
        <w:ind w:firstLine="0" w:firstLineChars="0"/>
        <w:jc w:val="center"/>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表4.3-1 项目区生态功能区划及主要生态环境问题</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808"/>
        <w:gridCol w:w="1028"/>
        <w:gridCol w:w="1088"/>
        <w:gridCol w:w="1076"/>
        <w:gridCol w:w="785"/>
        <w:gridCol w:w="354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 w:hRule="atLeast"/>
          <w:jc w:val="center"/>
        </w:trPr>
        <w:tc>
          <w:tcPr>
            <w:tcW w:w="485" w:type="pct"/>
            <w:vAlign w:val="center"/>
          </w:tcPr>
          <w:p>
            <w:pPr>
              <w:autoSpaceDE w:val="0"/>
              <w:autoSpaceDN w:val="0"/>
              <w:snapToGrid/>
              <w:spacing w:line="240" w:lineRule="auto"/>
              <w:ind w:firstLine="0" w:firstLineChars="0"/>
              <w:jc w:val="center"/>
              <w:rPr>
                <w:rFonts w:cs="Times New Roman"/>
                <w:bCs/>
                <w:color w:val="000000" w:themeColor="text1"/>
                <w:kern w:val="0"/>
                <w:sz w:val="21"/>
                <w:szCs w:val="21"/>
                <w14:textFill>
                  <w14:solidFill>
                    <w14:schemeClr w14:val="tx1"/>
                  </w14:solidFill>
                </w14:textFill>
              </w:rPr>
            </w:pPr>
            <w:r>
              <w:rPr>
                <w:rFonts w:cs="Times New Roman"/>
                <w:bCs/>
                <w:color w:val="000000" w:themeColor="text1"/>
                <w:kern w:val="0"/>
                <w:sz w:val="21"/>
                <w:szCs w:val="21"/>
                <w14:textFill>
                  <w14:solidFill>
                    <w14:schemeClr w14:val="tx1"/>
                  </w14:solidFill>
                </w14:textFill>
              </w:rPr>
              <w:t>生态区</w:t>
            </w:r>
          </w:p>
        </w:tc>
        <w:tc>
          <w:tcPr>
            <w:tcW w:w="617" w:type="pct"/>
            <w:vAlign w:val="center"/>
          </w:tcPr>
          <w:p>
            <w:pPr>
              <w:autoSpaceDE w:val="0"/>
              <w:autoSpaceDN w:val="0"/>
              <w:snapToGrid/>
              <w:spacing w:line="240" w:lineRule="auto"/>
              <w:ind w:firstLine="0" w:firstLineChars="0"/>
              <w:jc w:val="center"/>
              <w:rPr>
                <w:rFonts w:cs="Times New Roman"/>
                <w:bCs/>
                <w:color w:val="000000" w:themeColor="text1"/>
                <w:kern w:val="0"/>
                <w:sz w:val="21"/>
                <w:szCs w:val="21"/>
                <w14:textFill>
                  <w14:solidFill>
                    <w14:schemeClr w14:val="tx1"/>
                  </w14:solidFill>
                </w14:textFill>
              </w:rPr>
            </w:pPr>
            <w:r>
              <w:rPr>
                <w:rFonts w:cs="Times New Roman"/>
                <w:bCs/>
                <w:color w:val="000000" w:themeColor="text1"/>
                <w:kern w:val="0"/>
                <w:sz w:val="21"/>
                <w:szCs w:val="21"/>
                <w14:textFill>
                  <w14:solidFill>
                    <w14:schemeClr w14:val="tx1"/>
                  </w14:solidFill>
                </w14:textFill>
              </w:rPr>
              <w:t>生态亚区</w:t>
            </w:r>
          </w:p>
        </w:tc>
        <w:tc>
          <w:tcPr>
            <w:tcW w:w="653" w:type="pct"/>
            <w:vAlign w:val="center"/>
          </w:tcPr>
          <w:p>
            <w:pPr>
              <w:autoSpaceDE w:val="0"/>
              <w:autoSpaceDN w:val="0"/>
              <w:snapToGrid/>
              <w:spacing w:line="240" w:lineRule="auto"/>
              <w:ind w:firstLine="0" w:firstLineChars="0"/>
              <w:jc w:val="center"/>
              <w:rPr>
                <w:rFonts w:cs="Times New Roman"/>
                <w:bCs/>
                <w:color w:val="000000" w:themeColor="text1"/>
                <w:kern w:val="0"/>
                <w:sz w:val="21"/>
                <w:szCs w:val="21"/>
                <w14:textFill>
                  <w14:solidFill>
                    <w14:schemeClr w14:val="tx1"/>
                  </w14:solidFill>
                </w14:textFill>
              </w:rPr>
            </w:pPr>
            <w:r>
              <w:rPr>
                <w:rFonts w:cs="Times New Roman"/>
                <w:bCs/>
                <w:color w:val="000000" w:themeColor="text1"/>
                <w:kern w:val="0"/>
                <w:sz w:val="21"/>
                <w:szCs w:val="21"/>
                <w14:textFill>
                  <w14:solidFill>
                    <w14:schemeClr w14:val="tx1"/>
                  </w14:solidFill>
                </w14:textFill>
              </w:rPr>
              <w:t>生态功能区</w:t>
            </w:r>
          </w:p>
        </w:tc>
        <w:tc>
          <w:tcPr>
            <w:tcW w:w="646" w:type="pct"/>
            <w:vAlign w:val="center"/>
          </w:tcPr>
          <w:p>
            <w:pPr>
              <w:autoSpaceDE w:val="0"/>
              <w:autoSpaceDN w:val="0"/>
              <w:snapToGrid/>
              <w:spacing w:line="240" w:lineRule="auto"/>
              <w:ind w:firstLine="0" w:firstLineChars="0"/>
              <w:jc w:val="center"/>
              <w:rPr>
                <w:rFonts w:cs="Times New Roman"/>
                <w:bCs/>
                <w:color w:val="000000" w:themeColor="text1"/>
                <w:kern w:val="0"/>
                <w:sz w:val="21"/>
                <w:szCs w:val="21"/>
                <w14:textFill>
                  <w14:solidFill>
                    <w14:schemeClr w14:val="tx1"/>
                  </w14:solidFill>
                </w14:textFill>
              </w:rPr>
            </w:pPr>
            <w:r>
              <w:rPr>
                <w:rFonts w:cs="Times New Roman"/>
                <w:bCs/>
                <w:color w:val="000000" w:themeColor="text1"/>
                <w:kern w:val="0"/>
                <w:sz w:val="21"/>
                <w:szCs w:val="21"/>
                <w14:textFill>
                  <w14:solidFill>
                    <w14:schemeClr w14:val="tx1"/>
                  </w14:solidFill>
                </w14:textFill>
              </w:rPr>
              <w:t>主要环境问题</w:t>
            </w:r>
          </w:p>
        </w:tc>
        <w:tc>
          <w:tcPr>
            <w:tcW w:w="471" w:type="pct"/>
            <w:vAlign w:val="center"/>
          </w:tcPr>
          <w:p>
            <w:pPr>
              <w:autoSpaceDE w:val="0"/>
              <w:autoSpaceDN w:val="0"/>
              <w:snapToGrid/>
              <w:spacing w:line="240" w:lineRule="auto"/>
              <w:ind w:firstLine="0" w:firstLineChars="0"/>
              <w:jc w:val="center"/>
              <w:rPr>
                <w:rFonts w:cs="Times New Roman"/>
                <w:bCs/>
                <w:color w:val="000000" w:themeColor="text1"/>
                <w:kern w:val="0"/>
                <w:sz w:val="21"/>
                <w:szCs w:val="21"/>
                <w14:textFill>
                  <w14:solidFill>
                    <w14:schemeClr w14:val="tx1"/>
                  </w14:solidFill>
                </w14:textFill>
              </w:rPr>
            </w:pPr>
            <w:r>
              <w:rPr>
                <w:rFonts w:cs="Times New Roman"/>
                <w:bCs/>
                <w:color w:val="000000" w:themeColor="text1"/>
                <w:kern w:val="0"/>
                <w:sz w:val="21"/>
                <w:szCs w:val="21"/>
                <w14:textFill>
                  <w14:solidFill>
                    <w14:schemeClr w14:val="tx1"/>
                  </w14:solidFill>
                </w14:textFill>
              </w:rPr>
              <w:t>服务功能</w:t>
            </w:r>
          </w:p>
        </w:tc>
        <w:tc>
          <w:tcPr>
            <w:tcW w:w="2128" w:type="pct"/>
            <w:vAlign w:val="center"/>
          </w:tcPr>
          <w:p>
            <w:pPr>
              <w:autoSpaceDE w:val="0"/>
              <w:autoSpaceDN w:val="0"/>
              <w:snapToGrid/>
              <w:spacing w:line="240" w:lineRule="auto"/>
              <w:ind w:firstLine="0" w:firstLineChars="0"/>
              <w:jc w:val="center"/>
              <w:rPr>
                <w:rFonts w:cs="Times New Roman"/>
                <w:bCs/>
                <w:color w:val="000000" w:themeColor="text1"/>
                <w:kern w:val="0"/>
                <w:sz w:val="21"/>
                <w:szCs w:val="21"/>
                <w14:textFill>
                  <w14:solidFill>
                    <w14:schemeClr w14:val="tx1"/>
                  </w14:solidFill>
                </w14:textFill>
              </w:rPr>
            </w:pPr>
            <w:r>
              <w:rPr>
                <w:rFonts w:cs="Times New Roman"/>
                <w:bCs/>
                <w:color w:val="000000" w:themeColor="text1"/>
                <w:kern w:val="0"/>
                <w:sz w:val="21"/>
                <w:szCs w:val="21"/>
                <w14:textFill>
                  <w14:solidFill>
                    <w14:schemeClr w14:val="tx1"/>
                  </w14:solidFill>
                </w14:textFill>
              </w:rPr>
              <w:t>保护与发展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85" w:type="pct"/>
            <w:vAlign w:val="center"/>
          </w:tcPr>
          <w:p>
            <w:pPr>
              <w:autoSpaceDE w:val="0"/>
              <w:autoSpaceDN w:val="0"/>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I四川盆地亚热带湿润气候生态区</w:t>
            </w:r>
          </w:p>
        </w:tc>
        <w:tc>
          <w:tcPr>
            <w:tcW w:w="617" w:type="pct"/>
            <w:vAlign w:val="center"/>
          </w:tcPr>
          <w:p>
            <w:pPr>
              <w:autoSpaceDE w:val="0"/>
              <w:autoSpaceDN w:val="0"/>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I-3盆北秦巴山地常绿阔叶林-针阔混交林生态亚区</w:t>
            </w:r>
          </w:p>
        </w:tc>
        <w:tc>
          <w:tcPr>
            <w:tcW w:w="653" w:type="pct"/>
            <w:vAlign w:val="center"/>
          </w:tcPr>
          <w:p>
            <w:pPr>
              <w:autoSpaceDE w:val="0"/>
              <w:autoSpaceDN w:val="0"/>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I-3-2大巴山水源涵养与土壤保持生态功能区</w:t>
            </w:r>
          </w:p>
        </w:tc>
        <w:tc>
          <w:tcPr>
            <w:tcW w:w="646" w:type="pct"/>
            <w:vAlign w:val="center"/>
          </w:tcPr>
          <w:p>
            <w:pPr>
              <w:autoSpaceDE w:val="0"/>
              <w:autoSpaceDN w:val="0"/>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多洪灾，滑坡崩塌强烈发育，水土流失严重</w:t>
            </w:r>
          </w:p>
        </w:tc>
        <w:tc>
          <w:tcPr>
            <w:tcW w:w="471" w:type="pct"/>
            <w:vAlign w:val="center"/>
          </w:tcPr>
          <w:p>
            <w:pPr>
              <w:autoSpaceDE w:val="0"/>
              <w:autoSpaceDN w:val="0"/>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水源涵养功能，土壤保持功能</w:t>
            </w:r>
          </w:p>
        </w:tc>
        <w:tc>
          <w:tcPr>
            <w:tcW w:w="2128" w:type="pct"/>
            <w:vAlign w:val="center"/>
          </w:tcPr>
          <w:p>
            <w:pPr>
              <w:autoSpaceDE w:val="0"/>
              <w:autoSpaceDN w:val="0"/>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保护森林植被和生物多样性，巩固长江上游防护林建设、天然林保护和退耕还林成果。合理开发和利用自然资源，发展特色农业，绿色和有机农产品。拓展生态农业产业链，培育新的经济增长点。规范和严格管理矿产、水电、生物资源的开发，防止对生态环境和生态系统的不利影响</w:t>
            </w:r>
          </w:p>
        </w:tc>
      </w:tr>
    </w:tbl>
    <w:p>
      <w:pPr>
        <w:keepNext/>
        <w:keepLines/>
        <w:widowControl/>
        <w:ind w:firstLine="241" w:firstLineChars="0"/>
        <w:jc w:val="left"/>
        <w:outlineLvl w:val="2"/>
        <w:rPr>
          <w:rFonts w:cs="Times New Roman"/>
          <w:bCs/>
          <w:color w:val="000000" w:themeColor="text1"/>
          <w:kern w:val="0"/>
          <w:szCs w:val="24"/>
          <w14:textFill>
            <w14:solidFill>
              <w14:schemeClr w14:val="tx1"/>
            </w14:solidFill>
          </w14:textFill>
        </w:rPr>
      </w:pPr>
      <w:r>
        <w:rPr>
          <w:rFonts w:hint="eastAsia" w:cs="Times New Roman"/>
          <w:b/>
          <w:bCs/>
          <w:color w:val="000000" w:themeColor="text1"/>
          <w:kern w:val="0"/>
          <w:szCs w:val="24"/>
          <w14:textFill>
            <w14:solidFill>
              <w14:schemeClr w14:val="tx1"/>
            </w14:solidFill>
          </w14:textFill>
        </w:rPr>
        <w:t>4.3.2土地利用现状调查与评价</w:t>
      </w:r>
    </w:p>
    <w:p>
      <w:pPr>
        <w:ind w:firstLine="480"/>
        <w:rPr>
          <w:rFonts w:cs="Times New Roman"/>
          <w:color w:val="000000" w:themeColor="text1"/>
          <w14:textFill>
            <w14:solidFill>
              <w14:schemeClr w14:val="tx1"/>
            </w14:solidFill>
          </w14:textFill>
        </w:rPr>
      </w:pPr>
      <w:bookmarkStart w:id="233" w:name="_Toc280781526"/>
      <w:r>
        <w:rPr>
          <w:color w:val="000000" w:themeColor="text1"/>
          <w:szCs w:val="24"/>
          <w14:textFill>
            <w14:solidFill>
              <w14:schemeClr w14:val="tx1"/>
            </w14:solidFill>
          </w14:textFill>
        </w:rPr>
        <w:t>本次研究选用国产资源卫星zy-3卫片，融合后地面精度为2.1m，采用地表植被特征的“近红外、红外、绿”三个波段，其中植被影响主要反映为红色。植被类型不同，色彩和色调都发生相应变化，因此可区分出植被亚型以上的植被类型以及农田、居民用地等地面类型。同时也参考了美国wordview卫片作为参考，分辨率1.24米能较好地满足调查需求，但是，植被类型的确定需结合不同植被类型分布的生态学特征，不能单纯依靠色彩进行划分，对监督分类产生的植被初图，结合路线调查记录和等高线、坡度、坡向等信息，对植被图进行目视解译校正，得到符合精度的植被图。在植被图的基础上，进一步合并有关地面类型，得到土地利用类型图。</w:t>
      </w:r>
      <w:r>
        <w:rPr>
          <w:rFonts w:cs="Times New Roman"/>
          <w:color w:val="000000" w:themeColor="text1"/>
          <w14:textFill>
            <w14:solidFill>
              <w14:schemeClr w14:val="tx1"/>
            </w14:solidFill>
          </w14:textFill>
        </w:rPr>
        <w:t>评价范围内土地利用概况见表4.3-</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及《附图</w:t>
      </w:r>
      <w:r>
        <w:rPr>
          <w:rFonts w:hint="eastAsia" w:cs="Times New Roman"/>
          <w:color w:val="000000" w:themeColor="text1"/>
          <w14:textFill>
            <w14:solidFill>
              <w14:schemeClr w14:val="tx1"/>
            </w14:solidFill>
          </w14:textFill>
        </w:rPr>
        <w:t>6</w:t>
      </w:r>
      <w:r>
        <w:rPr>
          <w:rFonts w:cs="Times New Roman"/>
          <w:color w:val="000000" w:themeColor="text1"/>
          <w14:textFill>
            <w14:solidFill>
              <w14:schemeClr w14:val="tx1"/>
            </w14:solidFill>
          </w14:textFill>
        </w:rPr>
        <w:t xml:space="preserve"> 评价区土地利用现状图》。</w:t>
      </w:r>
    </w:p>
    <w:p>
      <w:pPr>
        <w:widowControl/>
        <w:ind w:firstLine="0" w:firstLineChars="0"/>
        <w:jc w:val="center"/>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表4.3-</w:t>
      </w:r>
      <w:r>
        <w:rPr>
          <w:rFonts w:hint="eastAsia" w:cs="Times New Roman"/>
          <w:color w:val="000000" w:themeColor="text1"/>
          <w:szCs w:val="24"/>
          <w14:textFill>
            <w14:solidFill>
              <w14:schemeClr w14:val="tx1"/>
            </w14:solidFill>
          </w14:textFill>
        </w:rPr>
        <w:t>2</w:t>
      </w:r>
      <w:r>
        <w:rPr>
          <w:rFonts w:cs="Times New Roman"/>
          <w:color w:val="000000" w:themeColor="text1"/>
          <w:szCs w:val="24"/>
          <w14:textFill>
            <w14:solidFill>
              <w14:schemeClr w14:val="tx1"/>
            </w14:solidFill>
          </w14:textFill>
        </w:rPr>
        <w:t xml:space="preserve">  本次评价范围内土地利用现状情况</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362"/>
        <w:gridCol w:w="2524"/>
        <w:gridCol w:w="264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71" w:type="pct"/>
            <w:vAlign w:val="center"/>
          </w:tcPr>
          <w:p>
            <w:pPr>
              <w:autoSpaceDE w:val="0"/>
              <w:autoSpaceDN w:val="0"/>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土地利用类型</w:t>
            </w:r>
          </w:p>
        </w:tc>
        <w:tc>
          <w:tcPr>
            <w:tcW w:w="1480" w:type="pct"/>
            <w:vAlign w:val="center"/>
          </w:tcPr>
          <w:p>
            <w:pPr>
              <w:autoSpaceDE w:val="0"/>
              <w:autoSpaceDN w:val="0"/>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面积(hm</w:t>
            </w:r>
            <w:r>
              <w:rPr>
                <w:rFonts w:cs="Times New Roman"/>
                <w:color w:val="000000" w:themeColor="text1"/>
                <w:kern w:val="0"/>
                <w:sz w:val="21"/>
                <w:szCs w:val="21"/>
                <w:vertAlign w:val="superscript"/>
                <w:lang w:eastAsia="en-US"/>
                <w14:textFill>
                  <w14:solidFill>
                    <w14:schemeClr w14:val="tx1"/>
                  </w14:solidFill>
                </w14:textFill>
              </w:rPr>
              <w:t>2</w:t>
            </w:r>
            <w:r>
              <w:rPr>
                <w:rFonts w:cs="Times New Roman"/>
                <w:color w:val="000000" w:themeColor="text1"/>
                <w:kern w:val="0"/>
                <w:sz w:val="21"/>
                <w:szCs w:val="21"/>
                <w:lang w:eastAsia="en-US"/>
                <w14:textFill>
                  <w14:solidFill>
                    <w14:schemeClr w14:val="tx1"/>
                  </w14:solidFill>
                </w14:textFill>
              </w:rPr>
              <w:t>)</w:t>
            </w:r>
          </w:p>
        </w:tc>
        <w:tc>
          <w:tcPr>
            <w:tcW w:w="1548" w:type="pct"/>
            <w:vAlign w:val="center"/>
          </w:tcPr>
          <w:p>
            <w:pPr>
              <w:autoSpaceDE w:val="0"/>
              <w:autoSpaceDN w:val="0"/>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百分比(%)</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71" w:type="pct"/>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水田</w:t>
            </w:r>
          </w:p>
        </w:tc>
        <w:tc>
          <w:tcPr>
            <w:tcW w:w="2524"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6.42 </w:t>
            </w:r>
          </w:p>
        </w:tc>
        <w:tc>
          <w:tcPr>
            <w:tcW w:w="2640"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11.46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71" w:type="pct"/>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旱地</w:t>
            </w:r>
          </w:p>
        </w:tc>
        <w:tc>
          <w:tcPr>
            <w:tcW w:w="2524"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13.55 </w:t>
            </w:r>
          </w:p>
        </w:tc>
        <w:tc>
          <w:tcPr>
            <w:tcW w:w="2640"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24.17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71" w:type="pct"/>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乔木林地</w:t>
            </w:r>
          </w:p>
        </w:tc>
        <w:tc>
          <w:tcPr>
            <w:tcW w:w="2524"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28.35 </w:t>
            </w:r>
          </w:p>
        </w:tc>
        <w:tc>
          <w:tcPr>
            <w:tcW w:w="2640"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50.59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71" w:type="pct"/>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灌木林地</w:t>
            </w:r>
          </w:p>
        </w:tc>
        <w:tc>
          <w:tcPr>
            <w:tcW w:w="2524"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0.72 </w:t>
            </w:r>
          </w:p>
        </w:tc>
        <w:tc>
          <w:tcPr>
            <w:tcW w:w="2640"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1.28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71" w:type="pct"/>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其他草地</w:t>
            </w:r>
          </w:p>
        </w:tc>
        <w:tc>
          <w:tcPr>
            <w:tcW w:w="2524"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1.29 </w:t>
            </w:r>
          </w:p>
        </w:tc>
        <w:tc>
          <w:tcPr>
            <w:tcW w:w="2640"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2.30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71" w:type="pct"/>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工业用地</w:t>
            </w:r>
          </w:p>
        </w:tc>
        <w:tc>
          <w:tcPr>
            <w:tcW w:w="2524"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2.55 </w:t>
            </w:r>
          </w:p>
        </w:tc>
        <w:tc>
          <w:tcPr>
            <w:tcW w:w="2640"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4.54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71" w:type="pct"/>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农村宅基地</w:t>
            </w:r>
          </w:p>
        </w:tc>
        <w:tc>
          <w:tcPr>
            <w:tcW w:w="2524"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1.02 </w:t>
            </w:r>
          </w:p>
        </w:tc>
        <w:tc>
          <w:tcPr>
            <w:tcW w:w="2640"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1.82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71" w:type="pct"/>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公路用地</w:t>
            </w:r>
          </w:p>
        </w:tc>
        <w:tc>
          <w:tcPr>
            <w:tcW w:w="2524"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1.65 </w:t>
            </w:r>
          </w:p>
        </w:tc>
        <w:tc>
          <w:tcPr>
            <w:tcW w:w="2640"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2.95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71" w:type="pct"/>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坑塘水面</w:t>
            </w:r>
          </w:p>
        </w:tc>
        <w:tc>
          <w:tcPr>
            <w:tcW w:w="2524"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0.49 </w:t>
            </w:r>
          </w:p>
        </w:tc>
        <w:tc>
          <w:tcPr>
            <w:tcW w:w="2640"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0.88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71" w:type="pct"/>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合计</w:t>
            </w:r>
          </w:p>
        </w:tc>
        <w:tc>
          <w:tcPr>
            <w:tcW w:w="2524"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56.05 </w:t>
            </w:r>
          </w:p>
        </w:tc>
        <w:tc>
          <w:tcPr>
            <w:tcW w:w="2640" w:type="dxa"/>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bidi="ar"/>
                <w14:textFill>
                  <w14:solidFill>
                    <w14:schemeClr w14:val="tx1"/>
                  </w14:solidFill>
                </w14:textFill>
              </w:rPr>
            </w:pPr>
            <w:r>
              <w:rPr>
                <w:rFonts w:hint="eastAsia" w:cs="Times New Roman"/>
                <w:color w:val="000000" w:themeColor="text1"/>
                <w:kern w:val="0"/>
                <w:sz w:val="21"/>
                <w:szCs w:val="21"/>
                <w:lang w:bidi="ar"/>
                <w14:textFill>
                  <w14:solidFill>
                    <w14:schemeClr w14:val="tx1"/>
                  </w14:solidFill>
                </w14:textFill>
              </w:rPr>
              <w:t xml:space="preserve">100.00 </w:t>
            </w:r>
          </w:p>
        </w:tc>
      </w:tr>
    </w:tbl>
    <w:p>
      <w:pPr>
        <w:spacing w:before="120" w:beforeLines="5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由表4.3-</w:t>
      </w:r>
      <w:r>
        <w:rPr>
          <w:rFonts w:hint="eastAsia" w:cs="Times New Roman"/>
          <w:color w:val="000000" w:themeColor="text1"/>
          <w:szCs w:val="24"/>
          <w14:textFill>
            <w14:solidFill>
              <w14:schemeClr w14:val="tx1"/>
            </w14:solidFill>
          </w14:textFill>
        </w:rPr>
        <w:t>2</w:t>
      </w:r>
      <w:r>
        <w:rPr>
          <w:rFonts w:cs="Times New Roman"/>
          <w:color w:val="000000" w:themeColor="text1"/>
          <w:szCs w:val="24"/>
          <w14:textFill>
            <w14:solidFill>
              <w14:schemeClr w14:val="tx1"/>
            </w14:solidFill>
          </w14:textFill>
        </w:rPr>
        <w:t>看出，本次评价范围内乔木林地</w:t>
      </w:r>
      <w:r>
        <w:rPr>
          <w:rFonts w:hint="eastAsia" w:cs="Times New Roman"/>
          <w:color w:val="000000" w:themeColor="text1"/>
          <w:szCs w:val="24"/>
          <w14:textFill>
            <w14:solidFill>
              <w14:schemeClr w14:val="tx1"/>
            </w14:solidFill>
          </w14:textFill>
        </w:rPr>
        <w:t>28.35</w:t>
      </w:r>
      <w:r>
        <w:rPr>
          <w:rFonts w:cs="Times New Roman"/>
          <w:color w:val="000000" w:themeColor="text1"/>
          <w:szCs w:val="24"/>
          <w14:textFill>
            <w14:solidFill>
              <w14:schemeClr w14:val="tx1"/>
            </w14:solidFill>
          </w14:textFill>
        </w:rPr>
        <w:t>hm</w:t>
      </w:r>
      <w:r>
        <w:rPr>
          <w:rFonts w:cs="Times New Roman"/>
          <w:color w:val="000000" w:themeColor="text1"/>
          <w:szCs w:val="24"/>
          <w:vertAlign w:val="superscript"/>
          <w14:textFill>
            <w14:solidFill>
              <w14:schemeClr w14:val="tx1"/>
            </w14:solidFill>
          </w14:textFill>
        </w:rPr>
        <w:t>2</w:t>
      </w:r>
      <w:r>
        <w:rPr>
          <w:rFonts w:cs="Times New Roman"/>
          <w:color w:val="000000" w:themeColor="text1"/>
          <w:szCs w:val="24"/>
          <w14:textFill>
            <w14:solidFill>
              <w14:schemeClr w14:val="tx1"/>
            </w14:solidFill>
          </w14:textFill>
        </w:rPr>
        <w:t>，占评价范围的</w:t>
      </w:r>
      <w:r>
        <w:rPr>
          <w:rFonts w:hint="eastAsia" w:cs="Times New Roman"/>
          <w:color w:val="000000" w:themeColor="text1"/>
          <w:szCs w:val="24"/>
          <w14:textFill>
            <w14:solidFill>
              <w14:schemeClr w14:val="tx1"/>
            </w14:solidFill>
          </w14:textFill>
        </w:rPr>
        <w:t>50.59</w:t>
      </w:r>
      <w:r>
        <w:rPr>
          <w:rFonts w:cs="Times New Roman"/>
          <w:color w:val="000000" w:themeColor="text1"/>
          <w:szCs w:val="24"/>
          <w14:textFill>
            <w14:solidFill>
              <w14:schemeClr w14:val="tx1"/>
            </w14:solidFill>
          </w14:textFill>
        </w:rPr>
        <w:t>%，旱地</w:t>
      </w:r>
      <w:r>
        <w:rPr>
          <w:rFonts w:hint="eastAsia" w:cs="Times New Roman"/>
          <w:color w:val="000000" w:themeColor="text1"/>
          <w:szCs w:val="24"/>
          <w14:textFill>
            <w14:solidFill>
              <w14:schemeClr w14:val="tx1"/>
            </w14:solidFill>
          </w14:textFill>
        </w:rPr>
        <w:t>13.55</w:t>
      </w:r>
      <w:r>
        <w:rPr>
          <w:rFonts w:cs="Times New Roman"/>
          <w:color w:val="000000" w:themeColor="text1"/>
          <w:szCs w:val="24"/>
          <w14:textFill>
            <w14:solidFill>
              <w14:schemeClr w14:val="tx1"/>
            </w14:solidFill>
          </w14:textFill>
        </w:rPr>
        <w:t>hm</w:t>
      </w:r>
      <w:r>
        <w:rPr>
          <w:rFonts w:cs="Times New Roman"/>
          <w:color w:val="000000" w:themeColor="text1"/>
          <w:szCs w:val="24"/>
          <w:vertAlign w:val="superscript"/>
          <w14:textFill>
            <w14:solidFill>
              <w14:schemeClr w14:val="tx1"/>
            </w14:solidFill>
          </w14:textFill>
        </w:rPr>
        <w:t>2</w:t>
      </w:r>
      <w:r>
        <w:rPr>
          <w:rFonts w:cs="Times New Roman"/>
          <w:color w:val="000000" w:themeColor="text1"/>
          <w:szCs w:val="24"/>
          <w14:textFill>
            <w14:solidFill>
              <w14:schemeClr w14:val="tx1"/>
            </w14:solidFill>
          </w14:textFill>
        </w:rPr>
        <w:t>，占评价范围的</w:t>
      </w:r>
      <w:r>
        <w:rPr>
          <w:rFonts w:hint="eastAsia" w:cs="Times New Roman"/>
          <w:color w:val="000000" w:themeColor="text1"/>
          <w:szCs w:val="24"/>
          <w14:textFill>
            <w14:solidFill>
              <w14:schemeClr w14:val="tx1"/>
            </w14:solidFill>
          </w14:textFill>
        </w:rPr>
        <w:t>24.17</w:t>
      </w:r>
      <w:r>
        <w:rPr>
          <w:rFonts w:cs="Times New Roman"/>
          <w:color w:val="000000" w:themeColor="text1"/>
          <w:szCs w:val="24"/>
          <w14:textFill>
            <w14:solidFill>
              <w14:schemeClr w14:val="tx1"/>
            </w14:solidFill>
          </w14:textFill>
        </w:rPr>
        <w:t>%，水田</w:t>
      </w:r>
      <w:r>
        <w:rPr>
          <w:rFonts w:hint="eastAsia" w:cs="Times New Roman"/>
          <w:color w:val="000000" w:themeColor="text1"/>
          <w:szCs w:val="24"/>
          <w14:textFill>
            <w14:solidFill>
              <w14:schemeClr w14:val="tx1"/>
            </w14:solidFill>
          </w14:textFill>
        </w:rPr>
        <w:t>6.42</w:t>
      </w:r>
      <w:r>
        <w:rPr>
          <w:rFonts w:cs="Times New Roman"/>
          <w:color w:val="000000" w:themeColor="text1"/>
          <w:szCs w:val="24"/>
          <w14:textFill>
            <w14:solidFill>
              <w14:schemeClr w14:val="tx1"/>
            </w14:solidFill>
          </w14:textFill>
        </w:rPr>
        <w:t>hm</w:t>
      </w:r>
      <w:r>
        <w:rPr>
          <w:rFonts w:cs="Times New Roman"/>
          <w:color w:val="000000" w:themeColor="text1"/>
          <w:szCs w:val="24"/>
          <w:vertAlign w:val="superscript"/>
          <w14:textFill>
            <w14:solidFill>
              <w14:schemeClr w14:val="tx1"/>
            </w14:solidFill>
          </w14:textFill>
        </w:rPr>
        <w:t>2</w:t>
      </w:r>
      <w:r>
        <w:rPr>
          <w:rFonts w:cs="Times New Roman"/>
          <w:color w:val="000000" w:themeColor="text1"/>
          <w:szCs w:val="24"/>
          <w14:textFill>
            <w14:solidFill>
              <w14:schemeClr w14:val="tx1"/>
            </w14:solidFill>
          </w14:textFill>
        </w:rPr>
        <w:t>，占评价范围的</w:t>
      </w:r>
      <w:r>
        <w:rPr>
          <w:rFonts w:hint="eastAsia" w:cs="Times New Roman"/>
          <w:color w:val="000000" w:themeColor="text1"/>
          <w:szCs w:val="24"/>
          <w14:textFill>
            <w14:solidFill>
              <w14:schemeClr w14:val="tx1"/>
            </w14:solidFill>
          </w14:textFill>
        </w:rPr>
        <w:t>11.46</w:t>
      </w:r>
      <w:r>
        <w:rPr>
          <w:rFonts w:cs="Times New Roman"/>
          <w:color w:val="000000" w:themeColor="text1"/>
          <w:szCs w:val="24"/>
          <w14:textFill>
            <w14:solidFill>
              <w14:schemeClr w14:val="tx1"/>
            </w14:solidFill>
          </w14:textFill>
        </w:rPr>
        <w:t>%，其余地类均低于10%。综上，本次评价范围内土地类型以乔木林地、水田和旱地为主。</w:t>
      </w:r>
    </w:p>
    <w:bookmarkEnd w:id="233"/>
    <w:p>
      <w:pPr>
        <w:keepNext/>
        <w:keepLines/>
        <w:widowControl/>
        <w:ind w:firstLine="241" w:firstLineChars="0"/>
        <w:jc w:val="left"/>
        <w:outlineLvl w:val="2"/>
        <w:rPr>
          <w:rFonts w:cs="Times New Roman"/>
          <w:bCs/>
          <w:color w:val="000000" w:themeColor="text1"/>
          <w:kern w:val="0"/>
          <w:szCs w:val="24"/>
          <w14:textFill>
            <w14:solidFill>
              <w14:schemeClr w14:val="tx1"/>
            </w14:solidFill>
          </w14:textFill>
        </w:rPr>
      </w:pPr>
      <w:bookmarkStart w:id="234" w:name="_Toc280781527"/>
      <w:r>
        <w:rPr>
          <w:rFonts w:hint="eastAsia" w:cs="Times New Roman"/>
          <w:b/>
          <w:bCs/>
          <w:color w:val="000000" w:themeColor="text1"/>
          <w:kern w:val="0"/>
          <w:szCs w:val="24"/>
          <w14:textFill>
            <w14:solidFill>
              <w14:schemeClr w14:val="tx1"/>
            </w14:solidFill>
          </w14:textFill>
        </w:rPr>
        <w:t>4.3.3</w:t>
      </w:r>
      <w:r>
        <w:rPr>
          <w:rFonts w:cs="Times New Roman"/>
          <w:b/>
          <w:bCs/>
          <w:color w:val="000000" w:themeColor="text1"/>
          <w:kern w:val="0"/>
          <w:szCs w:val="24"/>
          <w14:textFill>
            <w14:solidFill>
              <w14:schemeClr w14:val="tx1"/>
            </w14:solidFill>
          </w14:textFill>
        </w:rPr>
        <w:t>项目区域植被</w:t>
      </w:r>
      <w:r>
        <w:rPr>
          <w:rFonts w:hint="eastAsia" w:cs="Times New Roman"/>
          <w:b/>
          <w:bCs/>
          <w:color w:val="000000" w:themeColor="text1"/>
          <w:kern w:val="0"/>
          <w:szCs w:val="24"/>
          <w14:textFill>
            <w14:solidFill>
              <w14:schemeClr w14:val="tx1"/>
            </w14:solidFill>
          </w14:textFill>
        </w:rPr>
        <w:t>现状调查与评价</w:t>
      </w:r>
    </w:p>
    <w:p>
      <w:pPr>
        <w:ind w:left="-120"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（1）区系分布</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项目区域位于四川省达州市宣汉县。根据《四川植被》中关于四川省内植被区划的描述，项目所在区域属IA3(6)川北深丘植被小区。</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该小区位于盆地中部北侧，是大巴山地区向盆地内部方山丘陵过渡的地带，境内主要属单斜丘陵，海拔高度一般为800m，相对高度100~200m，地层多属白垩纪紫色砂岩与页岩互层，在此母质上发育的为紫色土，海拔1000m以上地区以黄壤为主。年平均温16~17</w:t>
      </w:r>
      <w:r>
        <w:rPr>
          <w:rFonts w:hint="eastAsia" w:ascii="宋体" w:hAnsi="宋体" w:cs="宋体"/>
          <w:color w:val="000000" w:themeColor="text1"/>
          <w14:textFill>
            <w14:solidFill>
              <w14:schemeClr w14:val="tx1"/>
            </w14:solidFill>
          </w14:textFill>
        </w:rPr>
        <w:t>℃</w:t>
      </w:r>
      <w:r>
        <w:rPr>
          <w:rFonts w:cs="Times New Roman"/>
          <w:color w:val="000000" w:themeColor="text1"/>
          <w14:textFill>
            <w14:solidFill>
              <w14:schemeClr w14:val="tx1"/>
            </w14:solidFill>
          </w14:textFill>
        </w:rPr>
        <w:t>，1月平均温5~6</w:t>
      </w:r>
      <w:r>
        <w:rPr>
          <w:rFonts w:hint="eastAsia" w:ascii="宋体" w:hAnsi="宋体" w:cs="宋体"/>
          <w:color w:val="000000" w:themeColor="text1"/>
          <w14:textFill>
            <w14:solidFill>
              <w14:schemeClr w14:val="tx1"/>
            </w14:solidFill>
          </w14:textFill>
        </w:rPr>
        <w:t>℃</w:t>
      </w:r>
      <w:r>
        <w:rPr>
          <w:rFonts w:cs="Times New Roman"/>
          <w:color w:val="000000" w:themeColor="text1"/>
          <w14:textFill>
            <w14:solidFill>
              <w14:schemeClr w14:val="tx1"/>
            </w14:solidFill>
          </w14:textFill>
        </w:rPr>
        <w:t>，比川中方山丘陵区气温低，而年温差较大。年降水量在1000毫米以上，比川中方山丘陵区多，但季节分配不均匀，雾日较少，无霜期约为290天，有春早秋千、日照时数较多的特点。</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自然植被主要为马尾松林、柏木林、栎类灌丛、亚热带草丛及其各种过渡类型。在个别海拔1200m左右的地方有石栎林、刺叶栎林、青㭎林。马尾松林多分布在深丘顶部砂页岩发育的黄壤地段上，灌木有米饭花、映山红、米碎花、铁仔，而在干燥生境下，则以映山红、火棘、栎类为主。柏木林多分布在深丘下部的紫色页岩地段上，形成疏林，混有化香、黄连木、油桐。栎类灌丛多分布在山项，由麻栎、栓皮栎、烟管荚蓬、火棘、蔷薇、盐肤木、映山红、铁仔、毛黄栌组成，为马尾松林和落叶栎林砍伐后形成的灌丛类型。柏木林再度砍伐后形成以黄茅、白茅、香茅为主的亚热带草丛，并散生着黄荆、牡荆、马桑、铁仔、短柄枹栎等植物。另外，本小区各地还有黑壳楠、红果钓樟、云南樟、宜昌润楠、山合欢、灯台树等植物。</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栽培植被中大春作物本田以中稻为主，早地以玉米、红苕、棉花、花生、小麦、马铃薯、豌豆为主，小春作物以小麦、豌豆为主，深丘上部种有马铃薯，多为一年二熟类型。由于地势较高，雨量分配不均匀，伏旱严重，农业布局必须因地制宜。有水利保证的田应栽水稻，主攻中稻，没有水利保证的田，种植旱粮，实行小麦、玉米、红苕连续套种。这样可以提高复种指数，做到高产稳产。在“以粮为纲，全面发展”方针指导下，要因地制宜地发展棉花、花生等经济作物。经济林水中梨、核桃产量大、质量好、栽培历史长，如苍溪雪梨和薄壳核桃都很著名，宜于大量发展。另外桑、油桐也是本小区重要经济林木，发展潜力很大。丘陵荒山要开展植树造林，种植黄荆、马桑、紫穗槐、马尾松、柏木等，增加植被覆盖率。</w:t>
      </w:r>
    </w:p>
    <w:p>
      <w:pPr>
        <w:ind w:firstLine="492"/>
        <w:rPr>
          <w:rFonts w:cs="Times New Roman"/>
          <w:b/>
          <w:bCs/>
          <w:color w:val="000000" w:themeColor="text1"/>
          <w:spacing w:val="5"/>
          <w:szCs w:val="24"/>
          <w14:textFill>
            <w14:solidFill>
              <w14:schemeClr w14:val="tx1"/>
            </w14:solidFill>
          </w14:textFill>
        </w:rPr>
      </w:pPr>
      <w:r>
        <w:rPr>
          <w:rFonts w:cs="Times New Roman"/>
          <w:b/>
          <w:bCs/>
          <w:color w:val="000000" w:themeColor="text1"/>
          <w:spacing w:val="5"/>
          <w:szCs w:val="24"/>
          <w14:textFill>
            <w14:solidFill>
              <w14:schemeClr w14:val="tx1"/>
            </w14:solidFill>
          </w14:textFill>
        </w:rPr>
        <w:t>（</w:t>
      </w:r>
      <w:r>
        <w:rPr>
          <w:rFonts w:hint="eastAsia" w:cs="Times New Roman"/>
          <w:b/>
          <w:bCs/>
          <w:color w:val="000000" w:themeColor="text1"/>
          <w:spacing w:val="5"/>
          <w:szCs w:val="24"/>
          <w14:textFill>
            <w14:solidFill>
              <w14:schemeClr w14:val="tx1"/>
            </w14:solidFill>
          </w14:textFill>
        </w:rPr>
        <w:t>2</w:t>
      </w:r>
      <w:r>
        <w:rPr>
          <w:rFonts w:cs="Times New Roman"/>
          <w:b/>
          <w:bCs/>
          <w:color w:val="000000" w:themeColor="text1"/>
          <w:spacing w:val="5"/>
          <w:szCs w:val="24"/>
          <w14:textFill>
            <w14:solidFill>
              <w14:schemeClr w14:val="tx1"/>
            </w14:solidFill>
          </w14:textFill>
        </w:rPr>
        <w:t>）存在的主要生态问题</w:t>
      </w:r>
    </w:p>
    <w:p>
      <w:pPr>
        <w:ind w:firstLine="490"/>
        <w:rPr>
          <w:rFonts w:cs="Times New Roman"/>
          <w:color w:val="000000" w:themeColor="text1"/>
          <w:szCs w:val="24"/>
          <w14:textFill>
            <w14:solidFill>
              <w14:schemeClr w14:val="tx1"/>
            </w14:solidFill>
          </w14:textFill>
        </w:rPr>
      </w:pPr>
      <w:r>
        <w:rPr>
          <w:rFonts w:cs="Times New Roman"/>
          <w:color w:val="000000" w:themeColor="text1"/>
          <w:spacing w:val="5"/>
          <w:szCs w:val="24"/>
          <w14:textFill>
            <w14:solidFill>
              <w14:schemeClr w14:val="tx1"/>
            </w14:solidFill>
          </w14:textFill>
        </w:rPr>
        <w:t>项目所在区域宣汉县现有植被以次生性森林为主。过去由于人们对生态效益认识不足，在经济建设过程中对阔叶林资源进行掠夺式的开发利用，经历上50年代“大跃进”式的毁林开荒，以及80年代初期的“分林到户”而引发的乱砍滥伐，宣汉县境内天然阔叶林资源遭到严重破坏，许多天然阔叶林由于强度砍伐目前只留下灌草丛，有的甚至已退化成坡耕地，虽然目前经过退耕还林封山育林，不删区域已经变为乔木林，但多为次生人工幼林，生态效益不高。项目区域周边人口较多，日益增长的人口压力将对山地森林生态系统及其物种资源构成极大的威胁。一旦遭受破坏，极容易引起水土流失，造成生态环境的恶化。生态系统要想恢复到破坏前的状态，至少也要几十年，乃至上百年的时间。若不采取措施，及时保护，若干年后，将不复存在。由此可见，评价范围的森林生态系统和物种资源是非常脆弱的</w:t>
      </w:r>
      <w:r>
        <w:rPr>
          <w:rFonts w:cs="Times New Roman"/>
          <w:color w:val="000000" w:themeColor="text1"/>
          <w:szCs w:val="24"/>
          <w14:textFill>
            <w14:solidFill>
              <w14:schemeClr w14:val="tx1"/>
            </w14:solidFill>
          </w14:textFill>
        </w:rPr>
        <w:t>。</w:t>
      </w:r>
    </w:p>
    <w:p>
      <w:pPr>
        <w:keepNext/>
        <w:keepLines/>
        <w:widowControl/>
        <w:ind w:firstLine="241" w:firstLineChars="0"/>
        <w:jc w:val="left"/>
        <w:outlineLvl w:val="2"/>
        <w:rPr>
          <w:rFonts w:cs="Times New Roman"/>
          <w:bCs/>
          <w:color w:val="000000" w:themeColor="text1"/>
          <w:kern w:val="0"/>
          <w:szCs w:val="24"/>
          <w14:textFill>
            <w14:solidFill>
              <w14:schemeClr w14:val="tx1"/>
            </w14:solidFill>
          </w14:textFill>
        </w:rPr>
      </w:pPr>
      <w:r>
        <w:rPr>
          <w:rFonts w:hint="eastAsia" w:cs="Times New Roman"/>
          <w:b/>
          <w:bCs/>
          <w:color w:val="000000" w:themeColor="text1"/>
          <w:kern w:val="0"/>
          <w:szCs w:val="24"/>
          <w14:textFill>
            <w14:solidFill>
              <w14:schemeClr w14:val="tx1"/>
            </w14:solidFill>
          </w14:textFill>
        </w:rPr>
        <w:t>4.3.4</w:t>
      </w:r>
      <w:r>
        <w:rPr>
          <w:rFonts w:cs="Times New Roman"/>
          <w:b/>
          <w:bCs/>
          <w:color w:val="000000" w:themeColor="text1"/>
          <w:kern w:val="0"/>
          <w:szCs w:val="24"/>
          <w14:textFill>
            <w14:solidFill>
              <w14:schemeClr w14:val="tx1"/>
            </w14:solidFill>
          </w14:textFill>
        </w:rPr>
        <w:t>评价范围植被现状</w:t>
      </w:r>
      <w:bookmarkEnd w:id="234"/>
      <w:r>
        <w:rPr>
          <w:rFonts w:cs="Times New Roman"/>
          <w:b/>
          <w:bCs/>
          <w:color w:val="000000" w:themeColor="text1"/>
          <w:kern w:val="0"/>
          <w:szCs w:val="24"/>
          <w14:textFill>
            <w14:solidFill>
              <w14:schemeClr w14:val="tx1"/>
            </w14:solidFill>
          </w14:textFill>
        </w:rPr>
        <w:t>调查</w:t>
      </w:r>
    </w:p>
    <w:p>
      <w:pPr>
        <w:ind w:left="-120" w:firstLine="482"/>
        <w:rPr>
          <w:rFonts w:cs="Times New Roman"/>
          <w:b/>
          <w:bCs/>
          <w:color w:val="000000" w:themeColor="text1"/>
          <w:szCs w:val="24"/>
          <w14:textFill>
            <w14:solidFill>
              <w14:schemeClr w14:val="tx1"/>
            </w14:solidFill>
          </w14:textFill>
        </w:rPr>
      </w:pPr>
      <w:r>
        <w:rPr>
          <w:rFonts w:hint="eastAsia" w:cs="Times New Roman"/>
          <w:b/>
          <w:bCs/>
          <w:color w:val="000000" w:themeColor="text1"/>
          <w:szCs w:val="24"/>
          <w14:textFill>
            <w14:solidFill>
              <w14:schemeClr w14:val="tx1"/>
            </w14:solidFill>
          </w14:textFill>
        </w:rPr>
        <w:t>（1）</w:t>
      </w:r>
      <w:r>
        <w:rPr>
          <w:rFonts w:cs="Times New Roman"/>
          <w:b/>
          <w:bCs/>
          <w:color w:val="000000" w:themeColor="text1"/>
          <w:szCs w:val="24"/>
          <w14:textFill>
            <w14:solidFill>
              <w14:schemeClr w14:val="tx1"/>
            </w14:solidFill>
          </w14:textFill>
        </w:rPr>
        <w:t>评价范围内植被概况</w:t>
      </w:r>
    </w:p>
    <w:p>
      <w:pPr>
        <w:ind w:firstLine="480"/>
        <w:rPr>
          <w:rFonts w:cs="Times New Roman"/>
        </w:rPr>
      </w:pPr>
      <w:r>
        <w:rPr>
          <w:rFonts w:cs="Times New Roman"/>
        </w:rPr>
        <w:t>项目所在地地貌主要为丘陵，自然植被组合简单，</w:t>
      </w:r>
      <w:r>
        <w:rPr>
          <w:rFonts w:cs="Times New Roman"/>
          <w:szCs w:val="24"/>
        </w:rPr>
        <w:t>植被类型主要为一年两熟粮食作物田及</w:t>
      </w:r>
      <w:r>
        <w:rPr>
          <w:rFonts w:cs="Times New Roman"/>
          <w:color w:val="000000" w:themeColor="text1"/>
          <w:spacing w:val="-2"/>
          <w:szCs w:val="24"/>
          <w14:textFill>
            <w14:solidFill>
              <w14:schemeClr w14:val="tx1"/>
            </w14:solidFill>
          </w14:textFill>
        </w:rPr>
        <w:t>亚热带常绿阔叶林</w:t>
      </w:r>
      <w:r>
        <w:rPr>
          <w:rFonts w:cs="Times New Roman"/>
        </w:rPr>
        <w:t>；</w:t>
      </w:r>
      <w:r>
        <w:rPr>
          <w:rFonts w:cs="Times New Roman"/>
          <w:szCs w:val="24"/>
        </w:rPr>
        <w:t>本次现状调查评价范围为站场场界300m范围内的植被现状，</w:t>
      </w:r>
      <w:r>
        <w:rPr>
          <w:rFonts w:cs="Times New Roman"/>
        </w:rPr>
        <w:t>主要以</w:t>
      </w:r>
      <w:r>
        <w:rPr>
          <w:rFonts w:cs="Times New Roman"/>
          <w:color w:val="000000" w:themeColor="text1"/>
          <w:spacing w:val="-2"/>
          <w:szCs w:val="24"/>
          <w14:textFill>
            <w14:solidFill>
              <w14:schemeClr w14:val="tx1"/>
            </w14:solidFill>
          </w14:textFill>
        </w:rPr>
        <w:t>亚热带常绿阔叶林</w:t>
      </w:r>
      <w:r>
        <w:rPr>
          <w:rFonts w:cs="Times New Roman"/>
        </w:rPr>
        <w:t>为主，栽培植被以一年两熟粮食作物</w:t>
      </w:r>
      <w:r>
        <w:rPr>
          <w:rFonts w:cs="Times New Roman"/>
          <w:kern w:val="0"/>
        </w:rPr>
        <w:t>、经济林</w:t>
      </w:r>
      <w:r>
        <w:rPr>
          <w:rFonts w:cs="Times New Roman"/>
        </w:rPr>
        <w:t>为主，不涉及公益林、天然林等生态系统保护目标。</w:t>
      </w:r>
    </w:p>
    <w:p>
      <w:pPr>
        <w:ind w:left="-120"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评价范围内植被概况见表4.3-</w:t>
      </w:r>
      <w:r>
        <w:rPr>
          <w:rFonts w:hint="eastAsia" w:cs="Times New Roman"/>
          <w:color w:val="000000" w:themeColor="text1"/>
          <w:szCs w:val="24"/>
          <w14:textFill>
            <w14:solidFill>
              <w14:schemeClr w14:val="tx1"/>
            </w14:solidFill>
          </w14:textFill>
        </w:rPr>
        <w:t>3</w:t>
      </w:r>
      <w:r>
        <w:rPr>
          <w:rFonts w:cs="Times New Roman"/>
          <w:color w:val="000000" w:themeColor="text1"/>
          <w:szCs w:val="24"/>
          <w14:textFill>
            <w14:solidFill>
              <w14:schemeClr w14:val="tx1"/>
            </w14:solidFill>
          </w14:textFill>
        </w:rPr>
        <w:t>及《附图</w:t>
      </w:r>
      <w:r>
        <w:rPr>
          <w:rFonts w:hint="eastAsia" w:cs="Times New Roman"/>
          <w:color w:val="000000" w:themeColor="text1"/>
          <w:szCs w:val="24"/>
          <w14:textFill>
            <w14:solidFill>
              <w14:schemeClr w14:val="tx1"/>
            </w14:solidFill>
          </w14:textFill>
        </w:rPr>
        <w:t>5</w:t>
      </w:r>
      <w:r>
        <w:rPr>
          <w:rFonts w:cs="Times New Roman"/>
          <w:color w:val="000000" w:themeColor="text1"/>
          <w:szCs w:val="24"/>
          <w14:textFill>
            <w14:solidFill>
              <w14:schemeClr w14:val="tx1"/>
            </w14:solidFill>
          </w14:textFill>
        </w:rPr>
        <w:t xml:space="preserve"> 评价区植被类型图》。</w:t>
      </w:r>
    </w:p>
    <w:p>
      <w:pPr>
        <w:widowControl/>
        <w:ind w:firstLine="0" w:firstLineChars="0"/>
        <w:jc w:val="center"/>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表4.3-</w:t>
      </w:r>
      <w:r>
        <w:rPr>
          <w:rFonts w:hint="eastAsia" w:cs="Times New Roman"/>
          <w:color w:val="000000" w:themeColor="text1"/>
          <w:szCs w:val="24"/>
          <w14:textFill>
            <w14:solidFill>
              <w14:schemeClr w14:val="tx1"/>
            </w14:solidFill>
          </w14:textFill>
        </w:rPr>
        <w:t>3</w:t>
      </w:r>
      <w:r>
        <w:rPr>
          <w:rFonts w:cs="Times New Roman"/>
          <w:color w:val="000000" w:themeColor="text1"/>
          <w:szCs w:val="24"/>
          <w14:textFill>
            <w14:solidFill>
              <w14:schemeClr w14:val="tx1"/>
            </w14:solidFill>
          </w14:textFill>
        </w:rPr>
        <w:t xml:space="preserve">  评价范围内主要植被类型面积统计表</w:t>
      </w:r>
    </w:p>
    <w:tbl>
      <w:tblPr>
        <w:tblStyle w:val="8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841"/>
        <w:gridCol w:w="841"/>
        <w:gridCol w:w="1035"/>
        <w:gridCol w:w="1351"/>
        <w:gridCol w:w="2301"/>
        <w:gridCol w:w="953"/>
        <w:gridCol w:w="10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505" w:type="pct"/>
            <w:vAlign w:val="center"/>
          </w:tcPr>
          <w:p>
            <w:pPr>
              <w:autoSpaceDE w:val="0"/>
              <w:autoSpaceDN w:val="0"/>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植被型组</w:t>
            </w:r>
          </w:p>
        </w:tc>
        <w:tc>
          <w:tcPr>
            <w:tcW w:w="505" w:type="pct"/>
            <w:vAlign w:val="center"/>
          </w:tcPr>
          <w:p>
            <w:pPr>
              <w:autoSpaceDE w:val="0"/>
              <w:autoSpaceDN w:val="0"/>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植被型</w:t>
            </w:r>
          </w:p>
        </w:tc>
        <w:tc>
          <w:tcPr>
            <w:tcW w:w="621" w:type="pct"/>
            <w:vAlign w:val="center"/>
          </w:tcPr>
          <w:p>
            <w:pPr>
              <w:autoSpaceDE w:val="0"/>
              <w:autoSpaceDN w:val="0"/>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植被亚型</w:t>
            </w:r>
          </w:p>
        </w:tc>
        <w:tc>
          <w:tcPr>
            <w:tcW w:w="811" w:type="pct"/>
            <w:vAlign w:val="center"/>
          </w:tcPr>
          <w:p>
            <w:pPr>
              <w:autoSpaceDE w:val="0"/>
              <w:autoSpaceDN w:val="0"/>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群系组</w:t>
            </w:r>
          </w:p>
        </w:tc>
        <w:tc>
          <w:tcPr>
            <w:tcW w:w="1381" w:type="pct"/>
            <w:vAlign w:val="center"/>
          </w:tcPr>
          <w:p>
            <w:pPr>
              <w:autoSpaceDE w:val="0"/>
              <w:autoSpaceDN w:val="0"/>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群系</w:t>
            </w:r>
          </w:p>
        </w:tc>
        <w:tc>
          <w:tcPr>
            <w:tcW w:w="572" w:type="pct"/>
            <w:vAlign w:val="center"/>
          </w:tcPr>
          <w:p>
            <w:pPr>
              <w:autoSpaceDE w:val="0"/>
              <w:autoSpaceDN w:val="0"/>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面积(hm²)</w:t>
            </w:r>
          </w:p>
        </w:tc>
        <w:tc>
          <w:tcPr>
            <w:tcW w:w="605" w:type="pct"/>
            <w:vAlign w:val="center"/>
          </w:tcPr>
          <w:p>
            <w:pPr>
              <w:autoSpaceDE w:val="0"/>
              <w:autoSpaceDN w:val="0"/>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比例(%)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19" w:hRule="atLeast"/>
          <w:jc w:val="center"/>
        </w:trPr>
        <w:tc>
          <w:tcPr>
            <w:tcW w:w="505" w:type="pct"/>
            <w:vAlign w:val="center"/>
          </w:tcPr>
          <w:p>
            <w:pPr>
              <w:widowControl/>
              <w:adjustRightInd/>
              <w:snapToGrid/>
              <w:spacing w:before="51" w:line="214" w:lineRule="auto"/>
              <w:ind w:firstLine="0" w:firstLineChars="0"/>
              <w:jc w:val="center"/>
              <w:rPr>
                <w:rFonts w:cs="Times New Roman"/>
                <w:color w:val="000000" w:themeColor="text1"/>
                <w:spacing w:val="-4"/>
                <w:kern w:val="0"/>
                <w:sz w:val="21"/>
                <w:szCs w:val="21"/>
                <w:lang w:eastAsia="en-US"/>
                <w14:textFill>
                  <w14:solidFill>
                    <w14:schemeClr w14:val="tx1"/>
                  </w14:solidFill>
                </w14:textFill>
              </w:rPr>
            </w:pPr>
            <w:r>
              <w:rPr>
                <w:rFonts w:cs="Times New Roman"/>
                <w:color w:val="000000" w:themeColor="text1"/>
                <w:spacing w:val="-4"/>
                <w:kern w:val="0"/>
                <w:sz w:val="21"/>
                <w:szCs w:val="21"/>
                <w:lang w:eastAsia="en-US"/>
                <w14:textFill>
                  <w14:solidFill>
                    <w14:schemeClr w14:val="tx1"/>
                  </w14:solidFill>
                </w14:textFill>
              </w:rPr>
              <w:t>阔叶林</w:t>
            </w:r>
          </w:p>
        </w:tc>
        <w:tc>
          <w:tcPr>
            <w:tcW w:w="505" w:type="pct"/>
            <w:vAlign w:val="center"/>
          </w:tcPr>
          <w:p>
            <w:pPr>
              <w:widowControl/>
              <w:adjustRightInd/>
              <w:snapToGrid/>
              <w:spacing w:before="51" w:line="214" w:lineRule="auto"/>
              <w:ind w:firstLine="0" w:firstLineChars="0"/>
              <w:jc w:val="center"/>
              <w:rPr>
                <w:rFonts w:cs="Times New Roman"/>
                <w:color w:val="000000" w:themeColor="text1"/>
                <w:spacing w:val="-4"/>
                <w:kern w:val="0"/>
                <w:sz w:val="21"/>
                <w:szCs w:val="21"/>
                <w:lang w:eastAsia="en-US"/>
                <w14:textFill>
                  <w14:solidFill>
                    <w14:schemeClr w14:val="tx1"/>
                  </w14:solidFill>
                </w14:textFill>
              </w:rPr>
            </w:pPr>
            <w:r>
              <w:rPr>
                <w:rFonts w:cs="Times New Roman"/>
                <w:color w:val="000000" w:themeColor="text1"/>
                <w:spacing w:val="-4"/>
                <w:kern w:val="0"/>
                <w:sz w:val="21"/>
                <w:szCs w:val="21"/>
                <w:lang w:eastAsia="en-US"/>
                <w14:textFill>
                  <w14:solidFill>
                    <w14:schemeClr w14:val="tx1"/>
                  </w14:solidFill>
                </w14:textFill>
              </w:rPr>
              <w:t>落叶阔叶林</w:t>
            </w:r>
          </w:p>
        </w:tc>
        <w:tc>
          <w:tcPr>
            <w:tcW w:w="621" w:type="pct"/>
            <w:vAlign w:val="center"/>
          </w:tcPr>
          <w:p>
            <w:pPr>
              <w:widowControl/>
              <w:adjustRightInd/>
              <w:snapToGrid/>
              <w:spacing w:before="51" w:line="214" w:lineRule="auto"/>
              <w:ind w:firstLine="0" w:firstLineChars="0"/>
              <w:jc w:val="center"/>
              <w:rPr>
                <w:rFonts w:cs="Times New Roman"/>
                <w:color w:val="000000" w:themeColor="text1"/>
                <w:spacing w:val="-4"/>
                <w:kern w:val="0"/>
                <w:sz w:val="21"/>
                <w:szCs w:val="21"/>
                <w:lang w:eastAsia="en-US"/>
                <w14:textFill>
                  <w14:solidFill>
                    <w14:schemeClr w14:val="tx1"/>
                  </w14:solidFill>
                </w14:textFill>
              </w:rPr>
            </w:pPr>
            <w:r>
              <w:rPr>
                <w:rFonts w:cs="Times New Roman"/>
                <w:color w:val="000000" w:themeColor="text1"/>
                <w:spacing w:val="-4"/>
                <w:kern w:val="0"/>
                <w:sz w:val="21"/>
                <w:szCs w:val="21"/>
                <w:lang w:eastAsia="en-US"/>
                <w14:textFill>
                  <w14:solidFill>
                    <w14:schemeClr w14:val="tx1"/>
                  </w14:solidFill>
                </w14:textFill>
              </w:rPr>
              <w:t>典型落叶阔叶林</w:t>
            </w:r>
          </w:p>
        </w:tc>
        <w:tc>
          <w:tcPr>
            <w:tcW w:w="811" w:type="pct"/>
            <w:vAlign w:val="center"/>
          </w:tcPr>
          <w:p>
            <w:pPr>
              <w:widowControl/>
              <w:adjustRightInd/>
              <w:snapToGrid/>
              <w:spacing w:line="240" w:lineRule="auto"/>
              <w:ind w:firstLine="0" w:firstLineChars="0"/>
              <w:jc w:val="center"/>
              <w:textAlignment w:val="bottom"/>
              <w:rPr>
                <w:rFonts w:cs="Times New Roman"/>
                <w:color w:val="000000" w:themeColor="text1"/>
                <w:spacing w:val="15"/>
                <w:kern w:val="0"/>
                <w:sz w:val="21"/>
                <w:szCs w:val="21"/>
                <w:lang w:eastAsia="en-US"/>
                <w14:textFill>
                  <w14:solidFill>
                    <w14:schemeClr w14:val="tx1"/>
                  </w14:solidFill>
                </w14:textFill>
              </w:rPr>
            </w:pPr>
            <w:r>
              <w:rPr>
                <w:rFonts w:cs="Times New Roman"/>
                <w:color w:val="000000" w:themeColor="text1"/>
                <w:spacing w:val="15"/>
                <w:kern w:val="0"/>
                <w:sz w:val="21"/>
                <w:szCs w:val="21"/>
                <w:lang w:eastAsia="en-US"/>
                <w14:textFill>
                  <w14:solidFill>
                    <w14:schemeClr w14:val="tx1"/>
                  </w14:solidFill>
                </w14:textFill>
              </w:rPr>
              <w:t>栎林</w:t>
            </w:r>
          </w:p>
        </w:tc>
        <w:tc>
          <w:tcPr>
            <w:tcW w:w="1381" w:type="pct"/>
            <w:vAlign w:val="center"/>
          </w:tcPr>
          <w:p>
            <w:pPr>
              <w:widowControl/>
              <w:adjustRightInd/>
              <w:snapToGrid/>
              <w:spacing w:line="240" w:lineRule="auto"/>
              <w:ind w:firstLine="0" w:firstLineChars="0"/>
              <w:jc w:val="center"/>
              <w:textAlignment w:val="bottom"/>
              <w:rPr>
                <w:rFonts w:cs="Times New Roman"/>
                <w:color w:val="000000" w:themeColor="text1"/>
                <w:spacing w:val="15"/>
                <w:kern w:val="0"/>
                <w:sz w:val="21"/>
                <w:szCs w:val="21"/>
                <w:lang w:eastAsia="en-US"/>
                <w14:textFill>
                  <w14:solidFill>
                    <w14:schemeClr w14:val="tx1"/>
                  </w14:solidFill>
                </w14:textFill>
              </w:rPr>
            </w:pPr>
            <w:r>
              <w:rPr>
                <w:rFonts w:cs="Times New Roman"/>
                <w:color w:val="000000" w:themeColor="text1"/>
                <w:spacing w:val="15"/>
                <w:kern w:val="0"/>
                <w:sz w:val="21"/>
                <w:szCs w:val="21"/>
                <w:lang w:eastAsia="en-US"/>
                <w14:textFill>
                  <w14:solidFill>
                    <w14:schemeClr w14:val="tx1"/>
                  </w14:solidFill>
                </w14:textFill>
              </w:rPr>
              <w:t>麻栎+青冈+栓皮栎群系</w:t>
            </w:r>
          </w:p>
        </w:tc>
        <w:tc>
          <w:tcPr>
            <w:tcW w:w="572" w:type="pct"/>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 xml:space="preserve">28.35 </w:t>
            </w:r>
          </w:p>
        </w:tc>
        <w:tc>
          <w:tcPr>
            <w:tcW w:w="605" w:type="pct"/>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 xml:space="preserve">50.59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05" w:type="pct"/>
            <w:vMerge w:val="restart"/>
            <w:vAlign w:val="center"/>
          </w:tcPr>
          <w:p>
            <w:pPr>
              <w:widowControl/>
              <w:adjustRightInd/>
              <w:snapToGrid/>
              <w:spacing w:before="51" w:line="214" w:lineRule="auto"/>
              <w:ind w:firstLine="0" w:firstLineChars="0"/>
              <w:jc w:val="center"/>
              <w:rPr>
                <w:rFonts w:cs="Times New Roman"/>
                <w:color w:val="000000" w:themeColor="text1"/>
                <w:spacing w:val="-4"/>
                <w:kern w:val="0"/>
                <w:sz w:val="21"/>
                <w:szCs w:val="21"/>
                <w:lang w:eastAsia="en-US"/>
                <w14:textFill>
                  <w14:solidFill>
                    <w14:schemeClr w14:val="tx1"/>
                  </w14:solidFill>
                </w14:textFill>
              </w:rPr>
            </w:pPr>
            <w:r>
              <w:rPr>
                <w:rFonts w:cs="Times New Roman"/>
                <w:color w:val="000000" w:themeColor="text1"/>
                <w:spacing w:val="-4"/>
                <w:kern w:val="0"/>
                <w:sz w:val="21"/>
                <w:szCs w:val="21"/>
                <w:lang w:eastAsia="en-US"/>
                <w14:textFill>
                  <w14:solidFill>
                    <w14:schemeClr w14:val="tx1"/>
                  </w14:solidFill>
                </w14:textFill>
              </w:rPr>
              <w:t>灌丛</w:t>
            </w:r>
          </w:p>
        </w:tc>
        <w:tc>
          <w:tcPr>
            <w:tcW w:w="505" w:type="pct"/>
            <w:vMerge w:val="restart"/>
            <w:vAlign w:val="center"/>
          </w:tcPr>
          <w:p>
            <w:pPr>
              <w:widowControl/>
              <w:adjustRightInd/>
              <w:snapToGrid/>
              <w:spacing w:before="51" w:line="214" w:lineRule="auto"/>
              <w:ind w:firstLine="0" w:firstLineChars="0"/>
              <w:jc w:val="center"/>
              <w:rPr>
                <w:rFonts w:cs="Times New Roman"/>
                <w:color w:val="000000" w:themeColor="text1"/>
                <w:spacing w:val="-4"/>
                <w:kern w:val="0"/>
                <w:sz w:val="21"/>
                <w:szCs w:val="21"/>
                <w:lang w:eastAsia="en-US"/>
                <w14:textFill>
                  <w14:solidFill>
                    <w14:schemeClr w14:val="tx1"/>
                  </w14:solidFill>
                </w14:textFill>
              </w:rPr>
            </w:pPr>
            <w:r>
              <w:rPr>
                <w:rFonts w:cs="Times New Roman"/>
                <w:color w:val="000000" w:themeColor="text1"/>
                <w:spacing w:val="-4"/>
                <w:kern w:val="0"/>
                <w:sz w:val="21"/>
                <w:szCs w:val="21"/>
                <w:lang w:eastAsia="en-US"/>
                <w14:textFill>
                  <w14:solidFill>
                    <w14:schemeClr w14:val="tx1"/>
                  </w14:solidFill>
                </w14:textFill>
              </w:rPr>
              <w:t>落叶阔叶灌丛</w:t>
            </w:r>
          </w:p>
        </w:tc>
        <w:tc>
          <w:tcPr>
            <w:tcW w:w="621" w:type="pct"/>
            <w:vMerge w:val="restart"/>
            <w:vAlign w:val="center"/>
          </w:tcPr>
          <w:p>
            <w:pPr>
              <w:widowControl/>
              <w:adjustRightInd/>
              <w:snapToGrid/>
              <w:spacing w:before="51" w:line="214" w:lineRule="auto"/>
              <w:ind w:firstLine="0" w:firstLineChars="0"/>
              <w:jc w:val="center"/>
              <w:rPr>
                <w:rFonts w:cs="Times New Roman"/>
                <w:color w:val="000000" w:themeColor="text1"/>
                <w:spacing w:val="-4"/>
                <w:kern w:val="0"/>
                <w:sz w:val="21"/>
                <w:szCs w:val="21"/>
                <w:lang w:eastAsia="en-US"/>
                <w14:textFill>
                  <w14:solidFill>
                    <w14:schemeClr w14:val="tx1"/>
                  </w14:solidFill>
                </w14:textFill>
              </w:rPr>
            </w:pPr>
            <w:r>
              <w:rPr>
                <w:rFonts w:cs="Times New Roman"/>
                <w:color w:val="000000" w:themeColor="text1"/>
                <w:spacing w:val="-4"/>
                <w:kern w:val="0"/>
                <w:sz w:val="21"/>
                <w:szCs w:val="21"/>
                <w:lang w:eastAsia="en-US"/>
                <w14:textFill>
                  <w14:solidFill>
                    <w14:schemeClr w14:val="tx1"/>
                  </w14:solidFill>
                </w14:textFill>
              </w:rPr>
              <w:t>暖性落叶阔叶灌丛</w:t>
            </w:r>
          </w:p>
        </w:tc>
        <w:tc>
          <w:tcPr>
            <w:tcW w:w="811" w:type="pct"/>
            <w:vMerge w:val="restart"/>
            <w:vAlign w:val="center"/>
          </w:tcPr>
          <w:p>
            <w:pPr>
              <w:widowControl/>
              <w:adjustRightInd/>
              <w:snapToGrid/>
              <w:spacing w:line="240" w:lineRule="auto"/>
              <w:ind w:firstLine="0" w:firstLineChars="0"/>
              <w:jc w:val="center"/>
              <w:textAlignment w:val="bottom"/>
              <w:rPr>
                <w:rFonts w:cs="Times New Roman"/>
                <w:color w:val="000000" w:themeColor="text1"/>
                <w:spacing w:val="15"/>
                <w:kern w:val="0"/>
                <w:sz w:val="21"/>
                <w:szCs w:val="21"/>
                <w:lang w:eastAsia="zh-CN"/>
                <w14:textFill>
                  <w14:solidFill>
                    <w14:schemeClr w14:val="tx1"/>
                  </w14:solidFill>
                </w14:textFill>
              </w:rPr>
            </w:pPr>
            <w:r>
              <w:rPr>
                <w:rFonts w:cs="Times New Roman"/>
                <w:color w:val="000000" w:themeColor="text1"/>
                <w:spacing w:val="15"/>
                <w:kern w:val="0"/>
                <w:sz w:val="21"/>
                <w:szCs w:val="21"/>
                <w:lang w:eastAsia="zh-CN"/>
                <w14:textFill>
                  <w14:solidFill>
                    <w14:schemeClr w14:val="tx1"/>
                  </w14:solidFill>
                </w14:textFill>
              </w:rPr>
              <w:t>低山丘陵落叶阔叶灌丛</w:t>
            </w:r>
          </w:p>
        </w:tc>
        <w:tc>
          <w:tcPr>
            <w:tcW w:w="1381" w:type="pct"/>
            <w:vAlign w:val="center"/>
          </w:tcPr>
          <w:p>
            <w:pPr>
              <w:widowControl/>
              <w:adjustRightInd/>
              <w:snapToGrid/>
              <w:spacing w:line="240" w:lineRule="auto"/>
              <w:ind w:firstLine="0" w:firstLineChars="0"/>
              <w:jc w:val="center"/>
              <w:textAlignment w:val="bottom"/>
              <w:rPr>
                <w:rFonts w:cs="Times New Roman"/>
                <w:color w:val="000000" w:themeColor="text1"/>
                <w:spacing w:val="15"/>
                <w:kern w:val="0"/>
                <w:sz w:val="21"/>
                <w:szCs w:val="21"/>
                <w:lang w:eastAsia="en-US"/>
                <w14:textFill>
                  <w14:solidFill>
                    <w14:schemeClr w14:val="tx1"/>
                  </w14:solidFill>
                </w14:textFill>
              </w:rPr>
            </w:pPr>
            <w:r>
              <w:rPr>
                <w:rFonts w:cs="Times New Roman"/>
                <w:color w:val="000000" w:themeColor="text1"/>
                <w:spacing w:val="15"/>
                <w:kern w:val="0"/>
                <w:sz w:val="21"/>
                <w:szCs w:val="21"/>
                <w:lang w:eastAsia="en-US"/>
                <w14:textFill>
                  <w14:solidFill>
                    <w14:schemeClr w14:val="tx1"/>
                  </w14:solidFill>
                </w14:textFill>
              </w:rPr>
              <w:t>盐肤木灌丛灌丛</w:t>
            </w:r>
          </w:p>
        </w:tc>
        <w:tc>
          <w:tcPr>
            <w:tcW w:w="572" w:type="pct"/>
            <w:vMerge w:val="restart"/>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 xml:space="preserve">0.72 </w:t>
            </w:r>
          </w:p>
        </w:tc>
        <w:tc>
          <w:tcPr>
            <w:tcW w:w="605" w:type="pct"/>
            <w:vMerge w:val="restart"/>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 xml:space="preserve">1.28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2" w:hRule="atLeast"/>
          <w:jc w:val="center"/>
        </w:trPr>
        <w:tc>
          <w:tcPr>
            <w:tcW w:w="505" w:type="pct"/>
            <w:vMerge w:val="continue"/>
            <w:vAlign w:val="center"/>
          </w:tcPr>
          <w:p>
            <w:pPr>
              <w:widowControl/>
              <w:adjustRightInd/>
              <w:snapToGrid/>
              <w:spacing w:before="51" w:line="214" w:lineRule="auto"/>
              <w:ind w:firstLine="0" w:firstLineChars="0"/>
              <w:jc w:val="center"/>
              <w:rPr>
                <w:rFonts w:cs="Times New Roman"/>
                <w:color w:val="000000" w:themeColor="text1"/>
                <w:spacing w:val="-4"/>
                <w:kern w:val="0"/>
                <w:sz w:val="21"/>
                <w:szCs w:val="21"/>
                <w:lang w:eastAsia="en-US"/>
                <w14:textFill>
                  <w14:solidFill>
                    <w14:schemeClr w14:val="tx1"/>
                  </w14:solidFill>
                </w14:textFill>
              </w:rPr>
            </w:pPr>
          </w:p>
        </w:tc>
        <w:tc>
          <w:tcPr>
            <w:tcW w:w="505" w:type="pct"/>
            <w:vMerge w:val="continue"/>
            <w:vAlign w:val="center"/>
          </w:tcPr>
          <w:p>
            <w:pPr>
              <w:widowControl/>
              <w:adjustRightInd/>
              <w:snapToGrid/>
              <w:spacing w:before="51" w:line="214" w:lineRule="auto"/>
              <w:ind w:firstLine="0" w:firstLineChars="0"/>
              <w:jc w:val="center"/>
              <w:rPr>
                <w:rFonts w:cs="Times New Roman"/>
                <w:color w:val="000000" w:themeColor="text1"/>
                <w:spacing w:val="-4"/>
                <w:kern w:val="0"/>
                <w:sz w:val="21"/>
                <w:szCs w:val="21"/>
                <w:lang w:eastAsia="en-US"/>
                <w14:textFill>
                  <w14:solidFill>
                    <w14:schemeClr w14:val="tx1"/>
                  </w14:solidFill>
                </w14:textFill>
              </w:rPr>
            </w:pPr>
          </w:p>
        </w:tc>
        <w:tc>
          <w:tcPr>
            <w:tcW w:w="621" w:type="pct"/>
            <w:vMerge w:val="continue"/>
            <w:vAlign w:val="center"/>
          </w:tcPr>
          <w:p>
            <w:pPr>
              <w:widowControl/>
              <w:adjustRightInd/>
              <w:snapToGrid/>
              <w:spacing w:before="51" w:line="214" w:lineRule="auto"/>
              <w:ind w:firstLine="0" w:firstLineChars="0"/>
              <w:jc w:val="center"/>
              <w:rPr>
                <w:rFonts w:cs="Times New Roman"/>
                <w:color w:val="000000" w:themeColor="text1"/>
                <w:spacing w:val="-4"/>
                <w:kern w:val="0"/>
                <w:sz w:val="21"/>
                <w:szCs w:val="21"/>
                <w:lang w:eastAsia="en-US"/>
                <w14:textFill>
                  <w14:solidFill>
                    <w14:schemeClr w14:val="tx1"/>
                  </w14:solidFill>
                </w14:textFill>
              </w:rPr>
            </w:pPr>
          </w:p>
        </w:tc>
        <w:tc>
          <w:tcPr>
            <w:tcW w:w="811" w:type="pct"/>
            <w:vMerge w:val="continue"/>
            <w:vAlign w:val="center"/>
          </w:tcPr>
          <w:p>
            <w:pPr>
              <w:widowControl/>
              <w:adjustRightInd/>
              <w:snapToGrid/>
              <w:spacing w:line="240" w:lineRule="auto"/>
              <w:ind w:firstLine="0" w:firstLineChars="0"/>
              <w:jc w:val="center"/>
              <w:textAlignment w:val="bottom"/>
              <w:rPr>
                <w:rFonts w:cs="Times New Roman"/>
                <w:color w:val="000000" w:themeColor="text1"/>
                <w:spacing w:val="15"/>
                <w:kern w:val="0"/>
                <w:sz w:val="21"/>
                <w:szCs w:val="21"/>
                <w:lang w:eastAsia="en-US"/>
                <w14:textFill>
                  <w14:solidFill>
                    <w14:schemeClr w14:val="tx1"/>
                  </w14:solidFill>
                </w14:textFill>
              </w:rPr>
            </w:pPr>
          </w:p>
        </w:tc>
        <w:tc>
          <w:tcPr>
            <w:tcW w:w="1381" w:type="pct"/>
            <w:vAlign w:val="center"/>
          </w:tcPr>
          <w:p>
            <w:pPr>
              <w:widowControl/>
              <w:adjustRightInd/>
              <w:snapToGrid/>
              <w:spacing w:line="240" w:lineRule="auto"/>
              <w:ind w:firstLine="0" w:firstLineChars="0"/>
              <w:jc w:val="center"/>
              <w:textAlignment w:val="bottom"/>
              <w:rPr>
                <w:rFonts w:cs="Times New Roman"/>
                <w:color w:val="000000" w:themeColor="text1"/>
                <w:spacing w:val="15"/>
                <w:kern w:val="0"/>
                <w:sz w:val="21"/>
                <w:szCs w:val="21"/>
                <w:lang w:eastAsia="zh-CN"/>
                <w14:textFill>
                  <w14:solidFill>
                    <w14:schemeClr w14:val="tx1"/>
                  </w14:solidFill>
                </w14:textFill>
              </w:rPr>
            </w:pPr>
            <w:r>
              <w:rPr>
                <w:rFonts w:cs="Times New Roman"/>
                <w:color w:val="000000" w:themeColor="text1"/>
                <w:spacing w:val="15"/>
                <w:kern w:val="0"/>
                <w:sz w:val="21"/>
                <w:szCs w:val="21"/>
                <w:lang w:eastAsia="zh-CN"/>
                <w14:textFill>
                  <w14:solidFill>
                    <w14:schemeClr w14:val="tx1"/>
                  </w14:solidFill>
                </w14:textFill>
              </w:rPr>
              <w:t>马桑+黄荆+火棘灌丛群系</w:t>
            </w:r>
          </w:p>
        </w:tc>
        <w:tc>
          <w:tcPr>
            <w:tcW w:w="572" w:type="pct"/>
            <w:vMerge w:val="continue"/>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zh-CN"/>
                <w14:textFill>
                  <w14:solidFill>
                    <w14:schemeClr w14:val="tx1"/>
                  </w14:solidFill>
                </w14:textFill>
              </w:rPr>
            </w:pPr>
          </w:p>
        </w:tc>
        <w:tc>
          <w:tcPr>
            <w:tcW w:w="605" w:type="pct"/>
            <w:vMerge w:val="continue"/>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505" w:type="pct"/>
            <w:vMerge w:val="restart"/>
            <w:vAlign w:val="center"/>
          </w:tcPr>
          <w:p>
            <w:pPr>
              <w:widowControl/>
              <w:adjustRightInd/>
              <w:snapToGrid/>
              <w:spacing w:before="51" w:line="214" w:lineRule="auto"/>
              <w:ind w:firstLine="0" w:firstLineChars="0"/>
              <w:jc w:val="center"/>
              <w:rPr>
                <w:rFonts w:cs="Times New Roman"/>
                <w:color w:val="000000" w:themeColor="text1"/>
                <w:spacing w:val="-4"/>
                <w:kern w:val="0"/>
                <w:sz w:val="21"/>
                <w:szCs w:val="21"/>
                <w:lang w:eastAsia="en-US"/>
                <w14:textFill>
                  <w14:solidFill>
                    <w14:schemeClr w14:val="tx1"/>
                  </w14:solidFill>
                </w14:textFill>
              </w:rPr>
            </w:pPr>
            <w:r>
              <w:rPr>
                <w:rFonts w:cs="Times New Roman"/>
                <w:color w:val="000000" w:themeColor="text1"/>
                <w:spacing w:val="-4"/>
                <w:kern w:val="0"/>
                <w:sz w:val="21"/>
                <w:szCs w:val="21"/>
                <w:lang w:eastAsia="en-US"/>
                <w14:textFill>
                  <w14:solidFill>
                    <w14:schemeClr w14:val="tx1"/>
                  </w14:solidFill>
                </w14:textFill>
              </w:rPr>
              <w:t>灌 草丛</w:t>
            </w:r>
          </w:p>
        </w:tc>
        <w:tc>
          <w:tcPr>
            <w:tcW w:w="505" w:type="pct"/>
            <w:vMerge w:val="restart"/>
            <w:vAlign w:val="center"/>
          </w:tcPr>
          <w:p>
            <w:pPr>
              <w:widowControl/>
              <w:adjustRightInd/>
              <w:snapToGrid/>
              <w:spacing w:before="51" w:line="214" w:lineRule="auto"/>
              <w:ind w:firstLine="0" w:firstLineChars="0"/>
              <w:jc w:val="center"/>
              <w:rPr>
                <w:rFonts w:cs="Times New Roman"/>
                <w:color w:val="000000" w:themeColor="text1"/>
                <w:spacing w:val="-4"/>
                <w:kern w:val="0"/>
                <w:sz w:val="21"/>
                <w:szCs w:val="21"/>
                <w:lang w:eastAsia="en-US"/>
                <w14:textFill>
                  <w14:solidFill>
                    <w14:schemeClr w14:val="tx1"/>
                  </w14:solidFill>
                </w14:textFill>
              </w:rPr>
            </w:pPr>
            <w:r>
              <w:rPr>
                <w:rFonts w:cs="Times New Roman"/>
                <w:color w:val="000000" w:themeColor="text1"/>
                <w:spacing w:val="-4"/>
                <w:kern w:val="0"/>
                <w:sz w:val="21"/>
                <w:szCs w:val="21"/>
                <w:lang w:eastAsia="en-US"/>
                <w14:textFill>
                  <w14:solidFill>
                    <w14:schemeClr w14:val="tx1"/>
                  </w14:solidFill>
                </w14:textFill>
              </w:rPr>
              <w:t>灌草丛</w:t>
            </w:r>
          </w:p>
        </w:tc>
        <w:tc>
          <w:tcPr>
            <w:tcW w:w="621" w:type="pct"/>
            <w:vMerge w:val="restart"/>
            <w:vAlign w:val="center"/>
          </w:tcPr>
          <w:p>
            <w:pPr>
              <w:widowControl/>
              <w:adjustRightInd/>
              <w:snapToGrid/>
              <w:spacing w:before="51" w:line="214" w:lineRule="auto"/>
              <w:ind w:firstLine="0" w:firstLineChars="0"/>
              <w:jc w:val="center"/>
              <w:rPr>
                <w:rFonts w:cs="Times New Roman"/>
                <w:color w:val="000000" w:themeColor="text1"/>
                <w:spacing w:val="-4"/>
                <w:kern w:val="0"/>
                <w:sz w:val="21"/>
                <w:szCs w:val="21"/>
                <w:lang w:eastAsia="en-US"/>
                <w14:textFill>
                  <w14:solidFill>
                    <w14:schemeClr w14:val="tx1"/>
                  </w14:solidFill>
                </w14:textFill>
              </w:rPr>
            </w:pPr>
            <w:r>
              <w:rPr>
                <w:rFonts w:cs="Times New Roman"/>
                <w:color w:val="000000" w:themeColor="text1"/>
                <w:spacing w:val="-4"/>
                <w:kern w:val="0"/>
                <w:sz w:val="21"/>
                <w:szCs w:val="21"/>
                <w:lang w:eastAsia="en-US"/>
                <w14:textFill>
                  <w14:solidFill>
                    <w14:schemeClr w14:val="tx1"/>
                  </w14:solidFill>
                </w14:textFill>
              </w:rPr>
              <w:t>暖热性灌草丛</w:t>
            </w:r>
          </w:p>
        </w:tc>
        <w:tc>
          <w:tcPr>
            <w:tcW w:w="811" w:type="pct"/>
            <w:vAlign w:val="center"/>
          </w:tcPr>
          <w:p>
            <w:pPr>
              <w:widowControl/>
              <w:adjustRightInd/>
              <w:snapToGrid/>
              <w:spacing w:line="240" w:lineRule="auto"/>
              <w:ind w:firstLine="0" w:firstLineChars="0"/>
              <w:jc w:val="center"/>
              <w:textAlignment w:val="bottom"/>
              <w:rPr>
                <w:rFonts w:cs="Times New Roman"/>
                <w:color w:val="000000" w:themeColor="text1"/>
                <w:spacing w:val="15"/>
                <w:kern w:val="0"/>
                <w:sz w:val="21"/>
                <w:szCs w:val="21"/>
                <w:lang w:eastAsia="en-US"/>
                <w14:textFill>
                  <w14:solidFill>
                    <w14:schemeClr w14:val="tx1"/>
                  </w14:solidFill>
                </w14:textFill>
              </w:rPr>
            </w:pPr>
            <w:r>
              <w:rPr>
                <w:rFonts w:cs="Times New Roman"/>
                <w:color w:val="000000" w:themeColor="text1"/>
                <w:spacing w:val="15"/>
                <w:kern w:val="0"/>
                <w:sz w:val="21"/>
                <w:szCs w:val="21"/>
                <w:lang w:eastAsia="en-US"/>
                <w14:textFill>
                  <w14:solidFill>
                    <w14:schemeClr w14:val="tx1"/>
                  </w14:solidFill>
                </w14:textFill>
              </w:rPr>
              <w:t>禾草灌草丛</w:t>
            </w:r>
          </w:p>
        </w:tc>
        <w:tc>
          <w:tcPr>
            <w:tcW w:w="1381" w:type="pct"/>
            <w:vAlign w:val="center"/>
          </w:tcPr>
          <w:p>
            <w:pPr>
              <w:widowControl/>
              <w:adjustRightInd/>
              <w:snapToGrid/>
              <w:spacing w:line="240" w:lineRule="auto"/>
              <w:ind w:firstLine="0" w:firstLineChars="0"/>
              <w:jc w:val="center"/>
              <w:textAlignment w:val="bottom"/>
              <w:rPr>
                <w:rFonts w:cs="Times New Roman"/>
                <w:color w:val="000000" w:themeColor="text1"/>
                <w:spacing w:val="15"/>
                <w:kern w:val="0"/>
                <w:sz w:val="21"/>
                <w:szCs w:val="21"/>
                <w:lang w:eastAsia="en-US"/>
                <w14:textFill>
                  <w14:solidFill>
                    <w14:schemeClr w14:val="tx1"/>
                  </w14:solidFill>
                </w14:textFill>
              </w:rPr>
            </w:pPr>
            <w:r>
              <w:rPr>
                <w:rFonts w:cs="Times New Roman"/>
                <w:color w:val="000000" w:themeColor="text1"/>
                <w:spacing w:val="15"/>
                <w:kern w:val="0"/>
                <w:sz w:val="21"/>
                <w:szCs w:val="21"/>
                <w:lang w:eastAsia="en-US"/>
                <w14:textFill>
                  <w14:solidFill>
                    <w14:schemeClr w14:val="tx1"/>
                  </w14:solidFill>
                </w14:textFill>
              </w:rPr>
              <w:t>芒+白茅草丛群系</w:t>
            </w:r>
          </w:p>
        </w:tc>
        <w:tc>
          <w:tcPr>
            <w:tcW w:w="572" w:type="pct"/>
            <w:vMerge w:val="restart"/>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 xml:space="preserve">1.29 </w:t>
            </w:r>
          </w:p>
        </w:tc>
        <w:tc>
          <w:tcPr>
            <w:tcW w:w="605" w:type="pct"/>
            <w:vMerge w:val="restart"/>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 xml:space="preserve">2.30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505" w:type="pct"/>
            <w:vMerge w:val="continue"/>
            <w:vAlign w:val="center"/>
          </w:tcPr>
          <w:p>
            <w:pPr>
              <w:widowControl/>
              <w:adjustRightInd/>
              <w:snapToGrid/>
              <w:spacing w:before="51" w:line="214" w:lineRule="auto"/>
              <w:ind w:firstLine="0" w:firstLineChars="0"/>
              <w:jc w:val="center"/>
              <w:rPr>
                <w:rFonts w:cs="Times New Roman"/>
                <w:color w:val="000000" w:themeColor="text1"/>
                <w:spacing w:val="-4"/>
                <w:kern w:val="0"/>
                <w:sz w:val="21"/>
                <w:szCs w:val="21"/>
                <w:lang w:eastAsia="en-US"/>
                <w14:textFill>
                  <w14:solidFill>
                    <w14:schemeClr w14:val="tx1"/>
                  </w14:solidFill>
                </w14:textFill>
              </w:rPr>
            </w:pPr>
          </w:p>
        </w:tc>
        <w:tc>
          <w:tcPr>
            <w:tcW w:w="505" w:type="pct"/>
            <w:vMerge w:val="continue"/>
            <w:vAlign w:val="center"/>
          </w:tcPr>
          <w:p>
            <w:pPr>
              <w:widowControl/>
              <w:adjustRightInd/>
              <w:snapToGrid/>
              <w:spacing w:before="51" w:line="214" w:lineRule="auto"/>
              <w:ind w:firstLine="0" w:firstLineChars="0"/>
              <w:jc w:val="center"/>
              <w:rPr>
                <w:rFonts w:cs="Times New Roman"/>
                <w:color w:val="000000" w:themeColor="text1"/>
                <w:spacing w:val="-4"/>
                <w:kern w:val="0"/>
                <w:sz w:val="21"/>
                <w:szCs w:val="21"/>
                <w:lang w:eastAsia="en-US"/>
                <w14:textFill>
                  <w14:solidFill>
                    <w14:schemeClr w14:val="tx1"/>
                  </w14:solidFill>
                </w14:textFill>
              </w:rPr>
            </w:pPr>
          </w:p>
        </w:tc>
        <w:tc>
          <w:tcPr>
            <w:tcW w:w="621" w:type="pct"/>
            <w:vMerge w:val="continue"/>
            <w:vAlign w:val="center"/>
          </w:tcPr>
          <w:p>
            <w:pPr>
              <w:widowControl/>
              <w:adjustRightInd/>
              <w:snapToGrid/>
              <w:spacing w:before="51" w:line="214" w:lineRule="auto"/>
              <w:ind w:firstLine="0" w:firstLineChars="0"/>
              <w:jc w:val="center"/>
              <w:rPr>
                <w:rFonts w:cs="Times New Roman"/>
                <w:color w:val="000000" w:themeColor="text1"/>
                <w:spacing w:val="-4"/>
                <w:kern w:val="0"/>
                <w:sz w:val="21"/>
                <w:szCs w:val="21"/>
                <w:lang w:eastAsia="en-US"/>
                <w14:textFill>
                  <w14:solidFill>
                    <w14:schemeClr w14:val="tx1"/>
                  </w14:solidFill>
                </w14:textFill>
              </w:rPr>
            </w:pPr>
          </w:p>
        </w:tc>
        <w:tc>
          <w:tcPr>
            <w:tcW w:w="811" w:type="pct"/>
            <w:vAlign w:val="center"/>
          </w:tcPr>
          <w:p>
            <w:pPr>
              <w:widowControl/>
              <w:adjustRightInd/>
              <w:snapToGrid/>
              <w:spacing w:line="240" w:lineRule="auto"/>
              <w:ind w:firstLine="0" w:firstLineChars="0"/>
              <w:jc w:val="center"/>
              <w:textAlignment w:val="bottom"/>
              <w:rPr>
                <w:rFonts w:cs="Times New Roman"/>
                <w:color w:val="000000" w:themeColor="text1"/>
                <w:spacing w:val="15"/>
                <w:kern w:val="0"/>
                <w:sz w:val="21"/>
                <w:szCs w:val="21"/>
                <w:lang w:eastAsia="en-US"/>
                <w14:textFill>
                  <w14:solidFill>
                    <w14:schemeClr w14:val="tx1"/>
                  </w14:solidFill>
                </w14:textFill>
              </w:rPr>
            </w:pPr>
            <w:r>
              <w:rPr>
                <w:rFonts w:cs="Times New Roman"/>
                <w:color w:val="000000" w:themeColor="text1"/>
                <w:spacing w:val="15"/>
                <w:kern w:val="0"/>
                <w:sz w:val="21"/>
                <w:szCs w:val="21"/>
                <w:lang w:eastAsia="en-US"/>
                <w14:textFill>
                  <w14:solidFill>
                    <w14:schemeClr w14:val="tx1"/>
                  </w14:solidFill>
                </w14:textFill>
              </w:rPr>
              <w:t>蕨类灌草丛</w:t>
            </w:r>
          </w:p>
        </w:tc>
        <w:tc>
          <w:tcPr>
            <w:tcW w:w="1381" w:type="pct"/>
            <w:vAlign w:val="center"/>
          </w:tcPr>
          <w:p>
            <w:pPr>
              <w:widowControl/>
              <w:adjustRightInd/>
              <w:snapToGrid/>
              <w:spacing w:line="240" w:lineRule="auto"/>
              <w:ind w:firstLine="0" w:firstLineChars="0"/>
              <w:jc w:val="center"/>
              <w:textAlignment w:val="bottom"/>
              <w:rPr>
                <w:rFonts w:cs="Times New Roman"/>
                <w:color w:val="000000" w:themeColor="text1"/>
                <w:spacing w:val="15"/>
                <w:kern w:val="0"/>
                <w:sz w:val="21"/>
                <w:szCs w:val="21"/>
                <w:lang w:eastAsia="en-US"/>
                <w14:textFill>
                  <w14:solidFill>
                    <w14:schemeClr w14:val="tx1"/>
                  </w14:solidFill>
                </w14:textFill>
              </w:rPr>
            </w:pPr>
            <w:r>
              <w:rPr>
                <w:rFonts w:cs="Times New Roman"/>
                <w:color w:val="000000" w:themeColor="text1"/>
                <w:spacing w:val="15"/>
                <w:kern w:val="0"/>
                <w:sz w:val="21"/>
                <w:szCs w:val="21"/>
                <w:lang w:eastAsia="en-US"/>
                <w14:textFill>
                  <w14:solidFill>
                    <w14:schemeClr w14:val="tx1"/>
                  </w14:solidFill>
                </w14:textFill>
              </w:rPr>
              <w:t>芒萁群系</w:t>
            </w:r>
          </w:p>
        </w:tc>
        <w:tc>
          <w:tcPr>
            <w:tcW w:w="572" w:type="pct"/>
            <w:vMerge w:val="continue"/>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p>
        </w:tc>
        <w:tc>
          <w:tcPr>
            <w:tcW w:w="605" w:type="pct"/>
            <w:vMerge w:val="continue"/>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823" w:type="pct"/>
            <w:gridSpan w:val="5"/>
            <w:vAlign w:val="center"/>
          </w:tcPr>
          <w:p>
            <w:pPr>
              <w:widowControl/>
              <w:adjustRightInd/>
              <w:snapToGrid/>
              <w:spacing w:line="240" w:lineRule="auto"/>
              <w:ind w:firstLine="0" w:firstLineChars="0"/>
              <w:jc w:val="center"/>
              <w:textAlignment w:val="bottom"/>
              <w:rPr>
                <w:rFonts w:cs="Times New Roman"/>
                <w:color w:val="000000" w:themeColor="text1"/>
                <w:spacing w:val="15"/>
                <w:kern w:val="0"/>
                <w:sz w:val="21"/>
                <w:szCs w:val="21"/>
                <w:lang w:eastAsia="zh-CN"/>
                <w14:textFill>
                  <w14:solidFill>
                    <w14:schemeClr w14:val="tx1"/>
                  </w14:solidFill>
                </w14:textFill>
              </w:rPr>
            </w:pPr>
            <w:r>
              <w:rPr>
                <w:rFonts w:hint="eastAsia" w:cs="Times New Roman"/>
                <w:color w:val="000000" w:themeColor="text1"/>
                <w:kern w:val="0"/>
                <w:sz w:val="21"/>
                <w:szCs w:val="21"/>
                <w:lang w:eastAsia="zh-CN"/>
                <w14:textFill>
                  <w14:solidFill>
                    <w14:schemeClr w14:val="tx1"/>
                  </w14:solidFill>
                </w14:textFill>
              </w:rPr>
              <w:t>农田栽培植被（</w:t>
            </w:r>
            <w:r>
              <w:rPr>
                <w:rFonts w:cs="Times New Roman"/>
                <w:color w:val="000000" w:themeColor="text1"/>
                <w:kern w:val="0"/>
                <w:sz w:val="21"/>
                <w:szCs w:val="21"/>
                <w:lang w:eastAsia="zh-CN"/>
                <w14:textFill>
                  <w14:solidFill>
                    <w14:schemeClr w14:val="tx1"/>
                  </w14:solidFill>
                </w14:textFill>
              </w:rPr>
              <w:t>水稻为主的水田作物植被</w:t>
            </w:r>
            <w:r>
              <w:rPr>
                <w:rFonts w:hint="eastAsia" w:cs="Times New Roman"/>
                <w:color w:val="000000" w:themeColor="text1"/>
                <w:kern w:val="0"/>
                <w:sz w:val="21"/>
                <w:szCs w:val="21"/>
                <w:lang w:eastAsia="zh-CN"/>
                <w14:textFill>
                  <w14:solidFill>
                    <w14:schemeClr w14:val="tx1"/>
                  </w14:solidFill>
                </w14:textFill>
              </w:rPr>
              <w:t>，</w:t>
            </w:r>
            <w:r>
              <w:rPr>
                <w:rFonts w:cs="Times New Roman"/>
                <w:color w:val="000000" w:themeColor="text1"/>
                <w:kern w:val="0"/>
                <w:sz w:val="21"/>
                <w:szCs w:val="21"/>
                <w:lang w:eastAsia="zh-CN"/>
                <w14:textFill>
                  <w14:solidFill>
                    <w14:schemeClr w14:val="tx1"/>
                  </w14:solidFill>
                </w14:textFill>
              </w:rPr>
              <w:t>玉米、花生、马铃薯为主的旱地作物植被</w:t>
            </w:r>
            <w:r>
              <w:rPr>
                <w:rFonts w:hint="eastAsia" w:cs="Times New Roman"/>
                <w:color w:val="000000" w:themeColor="text1"/>
                <w:kern w:val="0"/>
                <w:sz w:val="21"/>
                <w:szCs w:val="21"/>
                <w:lang w:eastAsia="zh-CN"/>
                <w14:textFill>
                  <w14:solidFill>
                    <w14:schemeClr w14:val="tx1"/>
                  </w14:solidFill>
                </w14:textFill>
              </w:rPr>
              <w:t>）</w:t>
            </w:r>
          </w:p>
        </w:tc>
        <w:tc>
          <w:tcPr>
            <w:tcW w:w="572" w:type="pct"/>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19.97</w:t>
            </w:r>
          </w:p>
        </w:tc>
        <w:tc>
          <w:tcPr>
            <w:tcW w:w="605" w:type="pct"/>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 xml:space="preserve">35.63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823" w:type="pct"/>
            <w:gridSpan w:val="5"/>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bidi="ar"/>
                <w14:textFill>
                  <w14:solidFill>
                    <w14:schemeClr w14:val="tx1"/>
                  </w14:solidFill>
                </w14:textFill>
              </w:rPr>
              <w:t>水域</w:t>
            </w:r>
          </w:p>
        </w:tc>
        <w:tc>
          <w:tcPr>
            <w:tcW w:w="572" w:type="pct"/>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0.49</w:t>
            </w:r>
          </w:p>
        </w:tc>
        <w:tc>
          <w:tcPr>
            <w:tcW w:w="605" w:type="pct"/>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 xml:space="preserve">0.88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823" w:type="pct"/>
            <w:gridSpan w:val="5"/>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bidi="ar"/>
                <w14:textFill>
                  <w14:solidFill>
                    <w14:schemeClr w14:val="tx1"/>
                  </w14:solidFill>
                </w14:textFill>
              </w:rPr>
              <w:t>无植被</w:t>
            </w:r>
          </w:p>
        </w:tc>
        <w:tc>
          <w:tcPr>
            <w:tcW w:w="572" w:type="pct"/>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5.22</w:t>
            </w:r>
          </w:p>
        </w:tc>
        <w:tc>
          <w:tcPr>
            <w:tcW w:w="605" w:type="pct"/>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 xml:space="preserve">9.32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823" w:type="pct"/>
            <w:gridSpan w:val="5"/>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bidi="ar"/>
                <w14:textFill>
                  <w14:solidFill>
                    <w14:schemeClr w14:val="tx1"/>
                  </w14:solidFill>
                </w14:textFill>
              </w:rPr>
              <w:t>合计</w:t>
            </w:r>
          </w:p>
        </w:tc>
        <w:tc>
          <w:tcPr>
            <w:tcW w:w="572" w:type="pct"/>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 xml:space="preserve">56.05 </w:t>
            </w:r>
          </w:p>
        </w:tc>
        <w:tc>
          <w:tcPr>
            <w:tcW w:w="605" w:type="pct"/>
            <w:vAlign w:val="center"/>
          </w:tcPr>
          <w:p>
            <w:pPr>
              <w:widowControl/>
              <w:adjustRightInd/>
              <w:snapToGrid/>
              <w:spacing w:line="240" w:lineRule="auto"/>
              <w:ind w:firstLine="0" w:firstLineChars="0"/>
              <w:jc w:val="center"/>
              <w:textAlignment w:val="bottom"/>
              <w:rPr>
                <w:rFonts w:cs="Times New Roman"/>
                <w:color w:val="000000" w:themeColor="text1"/>
                <w:kern w:val="0"/>
                <w:sz w:val="21"/>
                <w:szCs w:val="21"/>
                <w:lang w:eastAsia="en-US"/>
                <w14:textFill>
                  <w14:solidFill>
                    <w14:schemeClr w14:val="tx1"/>
                  </w14:solidFill>
                </w14:textFill>
              </w:rPr>
            </w:pPr>
            <w:r>
              <w:rPr>
                <w:rFonts w:hint="eastAsia" w:cs="Times New Roman"/>
                <w:color w:val="000000" w:themeColor="text1"/>
                <w:kern w:val="0"/>
                <w:sz w:val="21"/>
                <w:szCs w:val="21"/>
                <w:lang w:eastAsia="en-US"/>
                <w14:textFill>
                  <w14:solidFill>
                    <w14:schemeClr w14:val="tx1"/>
                  </w14:solidFill>
                </w14:textFill>
              </w:rPr>
              <w:t xml:space="preserve">100.00 </w:t>
            </w:r>
          </w:p>
        </w:tc>
      </w:tr>
    </w:tbl>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由表4.3-</w:t>
      </w:r>
      <w:r>
        <w:rPr>
          <w:rFonts w:hint="eastAsia" w:cs="Times New Roman"/>
          <w:color w:val="000000" w:themeColor="text1"/>
          <w14:textFill>
            <w14:solidFill>
              <w14:schemeClr w14:val="tx1"/>
            </w14:solidFill>
          </w14:textFill>
        </w:rPr>
        <w:t>3</w:t>
      </w:r>
      <w:r>
        <w:rPr>
          <w:rFonts w:cs="Times New Roman"/>
          <w:color w:val="000000" w:themeColor="text1"/>
          <w14:textFill>
            <w14:solidFill>
              <w14:schemeClr w14:val="tx1"/>
            </w14:solidFill>
          </w14:textFill>
        </w:rPr>
        <w:t>可看出，本次评价范围内</w:t>
      </w:r>
      <w:r>
        <w:rPr>
          <w:rFonts w:hint="eastAsia" w:cs="Times New Roman"/>
          <w:color w:val="000000" w:themeColor="text1"/>
          <w14:textFill>
            <w14:solidFill>
              <w14:schemeClr w14:val="tx1"/>
            </w14:solidFill>
          </w14:textFill>
        </w:rPr>
        <w:t>阔叶林植被</w:t>
      </w:r>
      <w:r>
        <w:rPr>
          <w:rFonts w:cs="Times New Roman"/>
          <w:color w:val="000000" w:themeColor="text1"/>
          <w14:textFill>
            <w14:solidFill>
              <w14:schemeClr w14:val="tx1"/>
            </w14:solidFill>
          </w14:textFill>
        </w:rPr>
        <w:t>占比最大，占评价面积的</w:t>
      </w:r>
      <w:r>
        <w:rPr>
          <w:rFonts w:hint="eastAsia" w:cs="Times New Roman"/>
          <w:color w:val="000000" w:themeColor="text1"/>
          <w14:textFill>
            <w14:solidFill>
              <w14:schemeClr w14:val="tx1"/>
            </w14:solidFill>
          </w14:textFill>
        </w:rPr>
        <w:t>50.59</w:t>
      </w:r>
      <w:r>
        <w:rPr>
          <w:rFonts w:cs="Times New Roman"/>
          <w:color w:val="000000" w:themeColor="text1"/>
          <w14:textFill>
            <w14:solidFill>
              <w14:schemeClr w14:val="tx1"/>
            </w14:solidFill>
          </w14:textFill>
        </w:rPr>
        <w:t>%，其次为</w:t>
      </w:r>
      <w:r>
        <w:rPr>
          <w:rFonts w:hint="eastAsia" w:cs="Times New Roman"/>
          <w:color w:val="000000" w:themeColor="text1"/>
          <w14:textFill>
            <w14:solidFill>
              <w14:schemeClr w14:val="tx1"/>
            </w14:solidFill>
          </w14:textFill>
        </w:rPr>
        <w:t>农田栽培</w:t>
      </w:r>
      <w:r>
        <w:rPr>
          <w:rFonts w:cs="Times New Roman"/>
          <w:color w:val="000000" w:themeColor="text1"/>
          <w14:textFill>
            <w14:solidFill>
              <w14:schemeClr w14:val="tx1"/>
            </w14:solidFill>
          </w14:textFill>
        </w:rPr>
        <w:t>植被，占评价面积的</w:t>
      </w:r>
      <w:r>
        <w:rPr>
          <w:rFonts w:hint="eastAsia" w:cs="Times New Roman"/>
          <w:color w:val="000000" w:themeColor="text1"/>
          <w14:textFill>
            <w14:solidFill>
              <w14:schemeClr w14:val="tx1"/>
            </w14:solidFill>
          </w14:textFill>
        </w:rPr>
        <w:t>35.63</w:t>
      </w:r>
      <w:r>
        <w:rPr>
          <w:rFonts w:cs="Times New Roman"/>
          <w:color w:val="000000" w:themeColor="text1"/>
          <w14:textFill>
            <w14:solidFill>
              <w14:schemeClr w14:val="tx1"/>
            </w14:solidFill>
          </w14:textFill>
        </w:rPr>
        <w:t>%，其他植被类型所占比例均低于10%，综上，本项目评价范围植被类型主要以阔叶林植被、</w:t>
      </w:r>
      <w:r>
        <w:rPr>
          <w:rFonts w:hint="eastAsia" w:cs="Times New Roman"/>
          <w:color w:val="000000" w:themeColor="text1"/>
          <w14:textFill>
            <w14:solidFill>
              <w14:schemeClr w14:val="tx1"/>
            </w14:solidFill>
          </w14:textFill>
        </w:rPr>
        <w:t>农田栽培植被</w:t>
      </w:r>
      <w:r>
        <w:rPr>
          <w:rFonts w:cs="Times New Roman"/>
          <w:color w:val="000000" w:themeColor="text1"/>
          <w14:textFill>
            <w14:solidFill>
              <w14:schemeClr w14:val="tx1"/>
            </w14:solidFill>
          </w14:textFill>
        </w:rPr>
        <w:t>占优。</w:t>
      </w:r>
    </w:p>
    <w:p>
      <w:pPr>
        <w:ind w:left="-120" w:firstLine="482"/>
        <w:rPr>
          <w:rFonts w:cs="Times New Roman"/>
          <w:b/>
          <w:bCs/>
          <w:color w:val="000000" w:themeColor="text1"/>
          <w:szCs w:val="24"/>
          <w14:textFill>
            <w14:solidFill>
              <w14:schemeClr w14:val="tx1"/>
            </w14:solidFill>
          </w14:textFill>
        </w:rPr>
      </w:pPr>
      <w:r>
        <w:rPr>
          <w:rFonts w:hint="eastAsia" w:cs="Times New Roman"/>
          <w:b/>
          <w:bCs/>
          <w:color w:val="000000" w:themeColor="text1"/>
          <w:szCs w:val="24"/>
          <w14:textFill>
            <w14:solidFill>
              <w14:schemeClr w14:val="tx1"/>
            </w14:solidFill>
          </w14:textFill>
        </w:rPr>
        <w:t>（2）</w:t>
      </w:r>
      <w:r>
        <w:rPr>
          <w:rFonts w:cs="Times New Roman"/>
          <w:b/>
          <w:bCs/>
          <w:color w:val="000000" w:themeColor="text1"/>
          <w:szCs w:val="24"/>
          <w14:textFill>
            <w14:solidFill>
              <w14:schemeClr w14:val="tx1"/>
            </w14:solidFill>
          </w14:textFill>
        </w:rPr>
        <w:t>珍稀保护植物及古树名木</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通过与《国家重点保护野生植物名录》（中国国家林业和草原局 农业农村部公告，2021年第15号）和《四川省人民政府关于公布四川省重点保护野生植物名录的通知》（川府函〔2016〕27号）名录对照可知，本项目评价区内未发现国家级、省级珍稀保护野生植物及古树名木。</w:t>
      </w:r>
    </w:p>
    <w:p>
      <w:pPr>
        <w:keepNext/>
        <w:keepLines/>
        <w:widowControl/>
        <w:ind w:firstLine="241" w:firstLineChars="0"/>
        <w:jc w:val="left"/>
        <w:outlineLvl w:val="2"/>
        <w:rPr>
          <w:rFonts w:cs="Times New Roman"/>
          <w:bCs/>
          <w:color w:val="000000" w:themeColor="text1"/>
          <w:kern w:val="0"/>
          <w:szCs w:val="24"/>
          <w14:textFill>
            <w14:solidFill>
              <w14:schemeClr w14:val="tx1"/>
            </w14:solidFill>
          </w14:textFill>
        </w:rPr>
      </w:pPr>
      <w:r>
        <w:rPr>
          <w:rFonts w:hint="eastAsia" w:cs="Times New Roman"/>
          <w:b/>
          <w:bCs/>
          <w:color w:val="000000" w:themeColor="text1"/>
          <w:kern w:val="0"/>
          <w:szCs w:val="24"/>
          <w14:textFill>
            <w14:solidFill>
              <w14:schemeClr w14:val="tx1"/>
            </w14:solidFill>
          </w14:textFill>
        </w:rPr>
        <w:t>4.3.5</w:t>
      </w:r>
      <w:r>
        <w:rPr>
          <w:rFonts w:cs="Times New Roman"/>
          <w:b/>
          <w:bCs/>
          <w:color w:val="000000" w:themeColor="text1"/>
          <w:kern w:val="0"/>
          <w:szCs w:val="24"/>
          <w14:textFill>
            <w14:solidFill>
              <w14:schemeClr w14:val="tx1"/>
            </w14:solidFill>
          </w14:textFill>
        </w:rPr>
        <w:t>景观生态体系现状调查</w:t>
      </w:r>
    </w:p>
    <w:p>
      <w:pPr>
        <w:ind w:firstLine="480"/>
        <w:rPr>
          <w:rFonts w:cs="Times New Roman"/>
          <w:color w:val="000000" w:themeColor="text1"/>
          <w14:textFill>
            <w14:solidFill>
              <w14:schemeClr w14:val="tx1"/>
            </w14:solidFill>
          </w14:textFill>
        </w:rPr>
      </w:pPr>
      <w:r>
        <w:rPr>
          <w:rFonts w:cs="Times New Roman"/>
          <w:color w:val="000000" w:themeColor="text1"/>
          <w:szCs w:val="24"/>
          <w14:textFill>
            <w14:solidFill>
              <w14:schemeClr w14:val="tx1"/>
            </w14:solidFill>
          </w14:textFill>
        </w:rPr>
        <w:t>景观（Landscape）的定义有多种表述，但大部分都是反映内陆地形、地貌或景色的，或是反映某一地理区域的综合地形特征。而景观生态学（LandscapeEcology）将景观定义为：“一个空间异质性的区域，由相互作用的拼块（patch）或生态系统组成，以相似的形式重复出现的生态体系”。为了深入认识评价范围内的环境特征，下面用景观生态学的原理和方法来研究生态体系的组成、特征、生产力及其稳定性</w:t>
      </w:r>
      <w:r>
        <w:rPr>
          <w:rFonts w:cs="Times New Roman"/>
          <w:color w:val="000000" w:themeColor="text1"/>
          <w14:textFill>
            <w14:solidFill>
              <w14:schemeClr w14:val="tx1"/>
            </w14:solidFill>
          </w14:textFill>
        </w:rPr>
        <w:t>。</w:t>
      </w:r>
    </w:p>
    <w:p>
      <w:pPr>
        <w:ind w:firstLine="480"/>
        <w:rPr>
          <w:rFonts w:cs="Times New Roman"/>
          <w:color w:val="000000" w:themeColor="text1"/>
          <w:szCs w:val="24"/>
          <w14:textFill>
            <w14:solidFill>
              <w14:schemeClr w14:val="tx1"/>
            </w14:solidFill>
          </w14:textFill>
        </w:rPr>
      </w:pPr>
      <w:bookmarkStart w:id="235" w:name="_Hlk118809647"/>
      <w:r>
        <w:rPr>
          <w:rFonts w:cs="Times New Roman"/>
          <w:color w:val="000000" w:themeColor="text1"/>
          <w:szCs w:val="24"/>
          <w14:textFill>
            <w14:solidFill>
              <w14:schemeClr w14:val="tx1"/>
            </w14:solidFill>
          </w14:textFill>
        </w:rPr>
        <w:t>按照生态学中景观的概念描述可知，景观生态体系的组成即生态系统或土地利用类型组成，因而可以用评价范围内的主要土地利用类型——森林、灌丛、灌草丛、耕地、河流水面、建设用地等生态系统作为景观体系的基本单元——拼块来进行景观分析。</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（1）柏木、麻栎、青冈、栓皮栎及乔木经济树种等为主的森林拼块属于人工栽培或干预后经过一段时间自然生长发育形成，具有一定人工性，属于环境资源拼块。该拼块广泛分布，连通程度较高。该拼块面积为</w:t>
      </w:r>
      <w:r>
        <w:rPr>
          <w:rFonts w:hint="eastAsia" w:cs="Times New Roman"/>
          <w:color w:val="000000" w:themeColor="text1"/>
          <w:szCs w:val="24"/>
          <w14:textFill>
            <w14:solidFill>
              <w14:schemeClr w14:val="tx1"/>
            </w14:solidFill>
          </w14:textFill>
        </w:rPr>
        <w:t>28.35</w:t>
      </w:r>
      <w:r>
        <w:rPr>
          <w:rFonts w:cs="Times New Roman"/>
          <w:color w:val="000000" w:themeColor="text1"/>
          <w:szCs w:val="24"/>
          <w14:textFill>
            <w14:solidFill>
              <w14:schemeClr w14:val="tx1"/>
            </w14:solidFill>
          </w14:textFill>
        </w:rPr>
        <w:t>hm²，约占评价区域总面积的</w:t>
      </w:r>
      <w:r>
        <w:rPr>
          <w:rFonts w:hint="eastAsia" w:cs="Times New Roman"/>
          <w:color w:val="000000" w:themeColor="text1"/>
          <w:szCs w:val="24"/>
          <w14:textFill>
            <w14:solidFill>
              <w14:schemeClr w14:val="tx1"/>
            </w14:solidFill>
          </w14:textFill>
        </w:rPr>
        <w:t>50.59</w:t>
      </w:r>
      <w:r>
        <w:rPr>
          <w:rFonts w:cs="Times New Roman"/>
          <w:color w:val="000000" w:themeColor="text1"/>
          <w:szCs w:val="24"/>
          <w14:textFill>
            <w14:solidFill>
              <w14:schemeClr w14:val="tx1"/>
            </w14:solidFill>
          </w14:textFill>
        </w:rPr>
        <w:t>%，是评价区内较最重要的景观拼块，对评价区内生态起着绝对作用。</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2）野桐、盐肤木、马桑、黄荆、火棘及灌木经济树种等为主的灌丛拼块属于人类活动影响下形成的干扰拼块，多分布在林地边缘地带或荒坡田坎，由于人类活动频繁，受干扰程度高，水土流失和生物多样性受损较严重。该拼块面积为</w:t>
      </w:r>
      <w:r>
        <w:rPr>
          <w:rFonts w:hint="eastAsia" w:cs="Times New Roman"/>
          <w:color w:val="000000" w:themeColor="text1"/>
          <w:szCs w:val="24"/>
          <w14:textFill>
            <w14:solidFill>
              <w14:schemeClr w14:val="tx1"/>
            </w14:solidFill>
          </w14:textFill>
        </w:rPr>
        <w:t>0.72</w:t>
      </w:r>
      <w:r>
        <w:rPr>
          <w:rFonts w:cs="Times New Roman"/>
          <w:color w:val="000000" w:themeColor="text1"/>
          <w:szCs w:val="24"/>
          <w14:textFill>
            <w14:solidFill>
              <w14:schemeClr w14:val="tx1"/>
            </w14:solidFill>
          </w14:textFill>
        </w:rPr>
        <w:t>hm²，占评价区域总面积的</w:t>
      </w:r>
      <w:r>
        <w:rPr>
          <w:rFonts w:hint="eastAsia" w:cs="Times New Roman"/>
          <w:color w:val="000000" w:themeColor="text1"/>
          <w:szCs w:val="24"/>
          <w14:textFill>
            <w14:solidFill>
              <w14:schemeClr w14:val="tx1"/>
            </w14:solidFill>
          </w14:textFill>
        </w:rPr>
        <w:t>1.28</w:t>
      </w:r>
      <w:r>
        <w:rPr>
          <w:rFonts w:cs="Times New Roman"/>
          <w:color w:val="000000" w:themeColor="text1"/>
          <w:szCs w:val="24"/>
          <w14:textFill>
            <w14:solidFill>
              <w14:schemeClr w14:val="tx1"/>
            </w14:solidFill>
          </w14:textFill>
        </w:rPr>
        <w:t>%，是评价区内重要的拼块之一。</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（3）芒、白茅、蕨、芒萁等为主的灌草丛拼块属于人类活动影响下形成的干扰拼块，分布广泛，由于人类活动频繁，受干扰程度高，水土流失和生物多样性受损较严重。该拼块面积为</w:t>
      </w:r>
      <w:r>
        <w:rPr>
          <w:rFonts w:hint="eastAsia" w:cs="Times New Roman"/>
          <w:color w:val="000000" w:themeColor="text1"/>
          <w:szCs w:val="24"/>
          <w14:textFill>
            <w14:solidFill>
              <w14:schemeClr w14:val="tx1"/>
            </w14:solidFill>
          </w14:textFill>
        </w:rPr>
        <w:t>1.29</w:t>
      </w:r>
      <w:r>
        <w:rPr>
          <w:rFonts w:cs="Times New Roman"/>
          <w:color w:val="000000" w:themeColor="text1"/>
          <w:szCs w:val="24"/>
          <w14:textFill>
            <w14:solidFill>
              <w14:schemeClr w14:val="tx1"/>
            </w14:solidFill>
          </w14:textFill>
        </w:rPr>
        <w:t>hm²，占评价区总面积的</w:t>
      </w:r>
      <w:r>
        <w:rPr>
          <w:rFonts w:hint="eastAsia" w:cs="Times New Roman"/>
          <w:color w:val="000000" w:themeColor="text1"/>
          <w:szCs w:val="24"/>
          <w14:textFill>
            <w14:solidFill>
              <w14:schemeClr w14:val="tx1"/>
            </w14:solidFill>
          </w14:textFill>
        </w:rPr>
        <w:t>2.30</w:t>
      </w:r>
      <w:r>
        <w:rPr>
          <w:rFonts w:cs="Times New Roman"/>
          <w:color w:val="000000" w:themeColor="text1"/>
          <w:szCs w:val="24"/>
          <w14:textFill>
            <w14:solidFill>
              <w14:schemeClr w14:val="tx1"/>
            </w14:solidFill>
          </w14:textFill>
        </w:rPr>
        <w:t>%。</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4）以水稻、玉米、红苕、棉花、花生、小麦、马铃薯、豌豆为主的耕地植被拼块属于人工引进的种植拼块。该拼块的生境、外貌及结构与水田均有明显区别，其生境一般比较干燥，地面具有一定坡度，作物种类比较多样化，并形成多种组合。该拼块面积为</w:t>
      </w:r>
      <w:r>
        <w:rPr>
          <w:rFonts w:hint="eastAsia" w:cs="Times New Roman"/>
          <w:color w:val="000000" w:themeColor="text1"/>
          <w:szCs w:val="24"/>
          <w14:textFill>
            <w14:solidFill>
              <w14:schemeClr w14:val="tx1"/>
            </w14:solidFill>
          </w14:textFill>
        </w:rPr>
        <w:t>19.97</w:t>
      </w:r>
      <w:r>
        <w:rPr>
          <w:rFonts w:cs="Times New Roman"/>
          <w:color w:val="000000" w:themeColor="text1"/>
          <w:szCs w:val="24"/>
          <w14:textFill>
            <w14:solidFill>
              <w14:schemeClr w14:val="tx1"/>
            </w14:solidFill>
          </w14:textFill>
        </w:rPr>
        <w:t>hm²，占评价区总面积的</w:t>
      </w:r>
      <w:r>
        <w:rPr>
          <w:rFonts w:hint="eastAsia" w:cs="Times New Roman"/>
          <w:color w:val="000000" w:themeColor="text1"/>
          <w:szCs w:val="24"/>
          <w14:textFill>
            <w14:solidFill>
              <w14:schemeClr w14:val="tx1"/>
            </w14:solidFill>
          </w14:textFill>
        </w:rPr>
        <w:t>35.63</w:t>
      </w:r>
      <w:r>
        <w:rPr>
          <w:rFonts w:cs="Times New Roman"/>
          <w:color w:val="000000" w:themeColor="text1"/>
          <w:szCs w:val="24"/>
          <w14:textFill>
            <w14:solidFill>
              <w14:schemeClr w14:val="tx1"/>
            </w14:solidFill>
          </w14:textFill>
        </w:rPr>
        <w:t>%。</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（5）以河流为主的水面拼块</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为自然或人工形成的水生生态系统，含河流水面和堰塘，属环境资源拼块。该拼块面积为</w:t>
      </w:r>
      <w:r>
        <w:rPr>
          <w:rFonts w:hint="eastAsia" w:cs="Times New Roman"/>
          <w:color w:val="000000" w:themeColor="text1"/>
          <w:szCs w:val="24"/>
          <w14:textFill>
            <w14:solidFill>
              <w14:schemeClr w14:val="tx1"/>
            </w14:solidFill>
          </w14:textFill>
        </w:rPr>
        <w:t>0.49</w:t>
      </w:r>
      <w:r>
        <w:rPr>
          <w:rFonts w:cs="Times New Roman"/>
          <w:color w:val="000000" w:themeColor="text1"/>
          <w:szCs w:val="24"/>
          <w14:textFill>
            <w14:solidFill>
              <w14:schemeClr w14:val="tx1"/>
            </w14:solidFill>
          </w14:textFill>
        </w:rPr>
        <w:t>hm²，占评价区总面积的</w:t>
      </w:r>
      <w:r>
        <w:rPr>
          <w:rFonts w:hint="eastAsia" w:cs="Times New Roman"/>
          <w:color w:val="000000" w:themeColor="text1"/>
          <w:szCs w:val="24"/>
          <w14:textFill>
            <w14:solidFill>
              <w14:schemeClr w14:val="tx1"/>
            </w14:solidFill>
          </w14:textFill>
        </w:rPr>
        <w:t>0.88</w:t>
      </w:r>
      <w:r>
        <w:rPr>
          <w:rFonts w:cs="Times New Roman"/>
          <w:color w:val="000000" w:themeColor="text1"/>
          <w:szCs w:val="24"/>
          <w14:textFill>
            <w14:solidFill>
              <w14:schemeClr w14:val="tx1"/>
            </w14:solidFill>
          </w14:textFill>
        </w:rPr>
        <w:t>%。</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（6）建设用地为主的人工生态系统拼块</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该拼块是人工建造引进的拼块，为人类的聚居地</w:t>
      </w:r>
      <w:r>
        <w:rPr>
          <w:rFonts w:hint="eastAsia" w:cs="Times New Roman"/>
          <w:color w:val="000000" w:themeColor="text1"/>
          <w:szCs w:val="24"/>
          <w14:textFill>
            <w14:solidFill>
              <w14:schemeClr w14:val="tx1"/>
            </w14:solidFill>
          </w14:textFill>
        </w:rPr>
        <w:t>及工况交通用地</w:t>
      </w:r>
      <w:r>
        <w:rPr>
          <w:rFonts w:cs="Times New Roman"/>
          <w:color w:val="000000" w:themeColor="text1"/>
          <w:szCs w:val="24"/>
          <w14:textFill>
            <w14:solidFill>
              <w14:schemeClr w14:val="tx1"/>
            </w14:solidFill>
          </w14:textFill>
        </w:rPr>
        <w:t>，是拼块中受人类干扰最明显的组分之一，表现在拼块外貌和结构上不再具有自然属性，更具社会性，该拼块在区内分布比较局限，在村寨所在地有成片分布。该拼块面积为</w:t>
      </w:r>
      <w:r>
        <w:rPr>
          <w:rFonts w:hint="eastAsia" w:cs="Times New Roman"/>
          <w:color w:val="000000" w:themeColor="text1"/>
          <w:szCs w:val="24"/>
          <w14:textFill>
            <w14:solidFill>
              <w14:schemeClr w14:val="tx1"/>
            </w14:solidFill>
          </w14:textFill>
        </w:rPr>
        <w:t>5.22</w:t>
      </w:r>
      <w:r>
        <w:rPr>
          <w:rFonts w:cs="Times New Roman"/>
          <w:color w:val="000000" w:themeColor="text1"/>
          <w:szCs w:val="24"/>
          <w14:textFill>
            <w14:solidFill>
              <w14:schemeClr w14:val="tx1"/>
            </w14:solidFill>
          </w14:textFill>
        </w:rPr>
        <w:t>hm²，占评价区总面积的</w:t>
      </w:r>
      <w:r>
        <w:rPr>
          <w:rFonts w:hint="eastAsia" w:cs="Times New Roman"/>
          <w:color w:val="000000" w:themeColor="text1"/>
          <w:szCs w:val="24"/>
          <w14:textFill>
            <w14:solidFill>
              <w14:schemeClr w14:val="tx1"/>
            </w14:solidFill>
          </w14:textFill>
        </w:rPr>
        <w:t>9.32</w:t>
      </w:r>
      <w:r>
        <w:rPr>
          <w:rFonts w:cs="Times New Roman"/>
          <w:color w:val="000000" w:themeColor="text1"/>
          <w:szCs w:val="24"/>
          <w14:textFill>
            <w14:solidFill>
              <w14:schemeClr w14:val="tx1"/>
            </w14:solidFill>
          </w14:textFill>
        </w:rPr>
        <w:t>%。</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以上拼块类型构成了本区景观生态体系，它们之间既相互联系又相互制约。</w:t>
      </w:r>
      <w:bookmarkEnd w:id="235"/>
    </w:p>
    <w:p>
      <w:pPr>
        <w:keepNext/>
        <w:keepLines/>
        <w:widowControl/>
        <w:ind w:firstLine="241" w:firstLineChars="0"/>
        <w:jc w:val="left"/>
        <w:outlineLvl w:val="2"/>
        <w:rPr>
          <w:rFonts w:cs="Times New Roman"/>
          <w:bCs/>
          <w:color w:val="000000" w:themeColor="text1"/>
          <w:kern w:val="0"/>
          <w:szCs w:val="24"/>
          <w14:textFill>
            <w14:solidFill>
              <w14:schemeClr w14:val="tx1"/>
            </w14:solidFill>
          </w14:textFill>
        </w:rPr>
      </w:pPr>
      <w:r>
        <w:rPr>
          <w:rFonts w:hint="eastAsia" w:cs="Times New Roman"/>
          <w:b/>
          <w:bCs/>
          <w:color w:val="000000" w:themeColor="text1"/>
          <w:kern w:val="0"/>
          <w:szCs w:val="24"/>
          <w14:textFill>
            <w14:solidFill>
              <w14:schemeClr w14:val="tx1"/>
            </w14:solidFill>
          </w14:textFill>
        </w:rPr>
        <w:t>4.3.6</w:t>
      </w:r>
      <w:r>
        <w:rPr>
          <w:rFonts w:cs="Times New Roman"/>
          <w:b/>
          <w:bCs/>
          <w:color w:val="000000" w:themeColor="text1"/>
          <w:kern w:val="0"/>
          <w:szCs w:val="24"/>
          <w14:textFill>
            <w14:solidFill>
              <w14:schemeClr w14:val="tx1"/>
            </w14:solidFill>
          </w14:textFill>
        </w:rPr>
        <w:t>生态系统类型调查与评价</w:t>
      </w:r>
    </w:p>
    <w:p>
      <w:pPr>
        <w:ind w:firstLine="480"/>
        <w:rPr>
          <w:rFonts w:cs="Times New Roman"/>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根据地形地貌、土地利用类型以及植被类型的不同，将评价范围内生态系统划分为不同的类型。</w:t>
      </w:r>
      <w:r>
        <w:rPr>
          <w:rFonts w:cs="Times New Roman"/>
          <w:color w:val="000000" w:themeColor="text1"/>
          <w:szCs w:val="24"/>
          <w14:textFill>
            <w14:solidFill>
              <w14:schemeClr w14:val="tx1"/>
            </w14:solidFill>
          </w14:textFill>
        </w:rPr>
        <w:t>调查显示，评价范围内生态系统类型主要包括阔叶林生态系统、阔叶灌丛生态系统、草丛生态系统、河流生态系统、湖泊生态系统、耕地生态系统、居住地生态系统、工矿交通生态系统。生态系统整体开发强度大，区域内森林多为人工林，少量为次生林。评价区生态系统类型分布特征及解译结果见表</w:t>
      </w:r>
      <w:r>
        <w:rPr>
          <w:rFonts w:hint="eastAsia" w:cs="Times New Roman"/>
          <w:color w:val="000000" w:themeColor="text1"/>
          <w:szCs w:val="24"/>
          <w14:textFill>
            <w14:solidFill>
              <w14:schemeClr w14:val="tx1"/>
            </w14:solidFill>
          </w14:textFill>
        </w:rPr>
        <w:t>4.3-4</w:t>
      </w:r>
      <w:r>
        <w:rPr>
          <w:rFonts w:cs="Times New Roman"/>
          <w:color w:val="000000" w:themeColor="text1"/>
          <w:szCs w:val="24"/>
          <w14:textFill>
            <w14:solidFill>
              <w14:schemeClr w14:val="tx1"/>
            </w14:solidFill>
          </w14:textFill>
        </w:rPr>
        <w:t>。</w:t>
      </w:r>
    </w:p>
    <w:p>
      <w:pPr>
        <w:widowControl/>
        <w:ind w:firstLine="0" w:firstLineChars="0"/>
        <w:jc w:val="center"/>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表4.3-</w:t>
      </w:r>
      <w:r>
        <w:rPr>
          <w:rFonts w:hint="eastAsia" w:cs="Times New Roman"/>
          <w:color w:val="000000" w:themeColor="text1"/>
          <w:szCs w:val="24"/>
          <w14:textFill>
            <w14:solidFill>
              <w14:schemeClr w14:val="tx1"/>
            </w14:solidFill>
          </w14:textFill>
        </w:rPr>
        <w:t>4</w:t>
      </w:r>
      <w:r>
        <w:rPr>
          <w:rFonts w:cs="Times New Roman"/>
          <w:color w:val="000000" w:themeColor="text1"/>
          <w:szCs w:val="24"/>
          <w14:textFill>
            <w14:solidFill>
              <w14:schemeClr w14:val="tx1"/>
            </w14:solidFill>
          </w14:textFill>
        </w:rPr>
        <w:t xml:space="preserve">  生态系统类型面积统计表</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003"/>
        <w:gridCol w:w="2813"/>
        <w:gridCol w:w="271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61" w:type="pct"/>
            <w:vMerge w:val="restart"/>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cs="Times New Roman"/>
                <w:color w:val="000000" w:themeColor="text1"/>
                <w:kern w:val="0"/>
                <w:sz w:val="22"/>
                <w:szCs w:val="21"/>
                <w:lang w:eastAsia="en-US" w:bidi="ar"/>
                <w14:textFill>
                  <w14:solidFill>
                    <w14:schemeClr w14:val="tx1"/>
                  </w14:solidFill>
                </w14:textFill>
              </w:rPr>
              <w:t>生态系统类型</w:t>
            </w:r>
          </w:p>
        </w:tc>
        <w:tc>
          <w:tcPr>
            <w:tcW w:w="3238" w:type="pct"/>
            <w:gridSpan w:val="2"/>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cs="Times New Roman"/>
                <w:color w:val="000000" w:themeColor="text1"/>
                <w:kern w:val="0"/>
                <w:sz w:val="22"/>
                <w:szCs w:val="21"/>
                <w:lang w:eastAsia="en-US" w:bidi="ar"/>
                <w14:textFill>
                  <w14:solidFill>
                    <w14:schemeClr w14:val="tx1"/>
                  </w14:solidFill>
                </w14:textFill>
              </w:rPr>
              <w:t>评价区范围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61" w:type="pct"/>
            <w:vMerge w:val="continue"/>
            <w:shd w:val="clear" w:color="auto" w:fill="auto"/>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p>
        </w:tc>
        <w:tc>
          <w:tcPr>
            <w:tcW w:w="1649" w:type="pct"/>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cs="Times New Roman"/>
                <w:color w:val="000000" w:themeColor="text1"/>
                <w:kern w:val="0"/>
                <w:sz w:val="22"/>
                <w:szCs w:val="21"/>
                <w:lang w:eastAsia="en-US" w:bidi="ar"/>
                <w14:textFill>
                  <w14:solidFill>
                    <w14:schemeClr w14:val="tx1"/>
                  </w14:solidFill>
                </w14:textFill>
              </w:rPr>
              <w:t>面积（hm</w:t>
            </w:r>
            <w:r>
              <w:rPr>
                <w:rFonts w:cs="Times New Roman"/>
                <w:color w:val="000000" w:themeColor="text1"/>
                <w:kern w:val="0"/>
                <w:sz w:val="22"/>
                <w:szCs w:val="21"/>
                <w:vertAlign w:val="superscript"/>
                <w:lang w:eastAsia="en-US" w:bidi="ar"/>
                <w14:textFill>
                  <w14:solidFill>
                    <w14:schemeClr w14:val="tx1"/>
                  </w14:solidFill>
                </w14:textFill>
              </w:rPr>
              <w:t>2</w:t>
            </w:r>
            <w:r>
              <w:rPr>
                <w:rFonts w:cs="Times New Roman"/>
                <w:color w:val="000000" w:themeColor="text1"/>
                <w:kern w:val="0"/>
                <w:sz w:val="22"/>
                <w:szCs w:val="21"/>
                <w:lang w:eastAsia="en-US" w:bidi="ar"/>
                <w14:textFill>
                  <w14:solidFill>
                    <w14:schemeClr w14:val="tx1"/>
                  </w14:solidFill>
                </w14:textFill>
              </w:rPr>
              <w:t>）</w:t>
            </w:r>
          </w:p>
        </w:tc>
        <w:tc>
          <w:tcPr>
            <w:tcW w:w="1589" w:type="pct"/>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cs="Times New Roman"/>
                <w:color w:val="000000" w:themeColor="text1"/>
                <w:kern w:val="0"/>
                <w:sz w:val="22"/>
                <w:szCs w:val="21"/>
                <w:lang w:eastAsia="en-US" w:bidi="ar"/>
                <w14:textFill>
                  <w14:solidFill>
                    <w14:schemeClr w14:val="tx1"/>
                  </w14:solidFill>
                </w14:textFill>
              </w:rPr>
              <w:t>占比（%）</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阔叶林生态系统</w:t>
            </w:r>
          </w:p>
        </w:tc>
        <w:tc>
          <w:tcPr>
            <w:tcW w:w="2813" w:type="dxa"/>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 xml:space="preserve">28.35 </w:t>
            </w:r>
          </w:p>
        </w:tc>
        <w:tc>
          <w:tcPr>
            <w:tcW w:w="2710" w:type="dxa"/>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 xml:space="preserve">50.59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阔叶灌丛生态系统</w:t>
            </w:r>
          </w:p>
        </w:tc>
        <w:tc>
          <w:tcPr>
            <w:tcW w:w="2813" w:type="dxa"/>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0.72</w:t>
            </w:r>
          </w:p>
        </w:tc>
        <w:tc>
          <w:tcPr>
            <w:tcW w:w="2710" w:type="dxa"/>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 xml:space="preserve">1.28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草丛生态系统</w:t>
            </w:r>
          </w:p>
        </w:tc>
        <w:tc>
          <w:tcPr>
            <w:tcW w:w="2813" w:type="dxa"/>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1.29</w:t>
            </w:r>
          </w:p>
        </w:tc>
        <w:tc>
          <w:tcPr>
            <w:tcW w:w="2710" w:type="dxa"/>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 xml:space="preserve">2.30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湖泊生态系统</w:t>
            </w:r>
          </w:p>
        </w:tc>
        <w:tc>
          <w:tcPr>
            <w:tcW w:w="2813" w:type="dxa"/>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0.49</w:t>
            </w:r>
          </w:p>
        </w:tc>
        <w:tc>
          <w:tcPr>
            <w:tcW w:w="2710" w:type="dxa"/>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 xml:space="preserve">0.88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耕地生态系统</w:t>
            </w:r>
          </w:p>
        </w:tc>
        <w:tc>
          <w:tcPr>
            <w:tcW w:w="2813" w:type="dxa"/>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19.97</w:t>
            </w:r>
          </w:p>
        </w:tc>
        <w:tc>
          <w:tcPr>
            <w:tcW w:w="2710" w:type="dxa"/>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 xml:space="preserve">35.63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居住地生态系统</w:t>
            </w:r>
          </w:p>
        </w:tc>
        <w:tc>
          <w:tcPr>
            <w:tcW w:w="2813" w:type="dxa"/>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1.02</w:t>
            </w:r>
          </w:p>
        </w:tc>
        <w:tc>
          <w:tcPr>
            <w:tcW w:w="2710" w:type="dxa"/>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 xml:space="preserve">1.82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工矿交通生态系统</w:t>
            </w:r>
          </w:p>
        </w:tc>
        <w:tc>
          <w:tcPr>
            <w:tcW w:w="2813" w:type="dxa"/>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4.20</w:t>
            </w:r>
          </w:p>
        </w:tc>
        <w:tc>
          <w:tcPr>
            <w:tcW w:w="2710" w:type="dxa"/>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 xml:space="preserve">7.50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61" w:type="pct"/>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合计</w:t>
            </w:r>
          </w:p>
        </w:tc>
        <w:tc>
          <w:tcPr>
            <w:tcW w:w="2813" w:type="dxa"/>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 xml:space="preserve">56.05 </w:t>
            </w:r>
          </w:p>
        </w:tc>
        <w:tc>
          <w:tcPr>
            <w:tcW w:w="2710" w:type="dxa"/>
            <w:shd w:val="clear" w:color="auto" w:fill="auto"/>
            <w:noWrap/>
            <w:vAlign w:val="center"/>
          </w:tcPr>
          <w:p>
            <w:pPr>
              <w:widowControl/>
              <w:adjustRightInd/>
              <w:snapToGrid/>
              <w:spacing w:line="240" w:lineRule="auto"/>
              <w:ind w:firstLine="0" w:firstLineChars="0"/>
              <w:jc w:val="center"/>
              <w:textAlignment w:val="bottom"/>
              <w:rPr>
                <w:rFonts w:cs="Times New Roman"/>
                <w:color w:val="000000" w:themeColor="text1"/>
                <w:kern w:val="0"/>
                <w:sz w:val="22"/>
                <w:szCs w:val="21"/>
                <w:lang w:eastAsia="en-US" w:bidi="ar"/>
                <w14:textFill>
                  <w14:solidFill>
                    <w14:schemeClr w14:val="tx1"/>
                  </w14:solidFill>
                </w14:textFill>
              </w:rPr>
            </w:pPr>
            <w:r>
              <w:rPr>
                <w:rFonts w:hint="eastAsia" w:cs="Times New Roman"/>
                <w:color w:val="000000" w:themeColor="text1"/>
                <w:kern w:val="0"/>
                <w:sz w:val="22"/>
                <w:szCs w:val="21"/>
                <w:lang w:bidi="ar"/>
                <w14:textFill>
                  <w14:solidFill>
                    <w14:schemeClr w14:val="tx1"/>
                  </w14:solidFill>
                </w14:textFill>
              </w:rPr>
              <w:t xml:space="preserve">100.00 </w:t>
            </w:r>
          </w:p>
        </w:tc>
      </w:tr>
    </w:tbl>
    <w:p>
      <w:pPr>
        <w:ind w:firstLine="480"/>
        <w:rPr>
          <w:rFonts w:cs="Times New Roman"/>
          <w:bCs/>
          <w:color w:val="000000" w:themeColor="text1"/>
          <w:szCs w:val="24"/>
          <w14:textFill>
            <w14:solidFill>
              <w14:schemeClr w14:val="tx1"/>
            </w14:solidFill>
          </w14:textFill>
        </w:rPr>
      </w:pPr>
      <w:r>
        <w:rPr>
          <w:rFonts w:hint="eastAsia" w:cs="Times New Roman"/>
          <w:bCs/>
          <w:color w:val="000000" w:themeColor="text1"/>
          <w:szCs w:val="24"/>
          <w14:textFill>
            <w14:solidFill>
              <w14:schemeClr w14:val="tx1"/>
            </w14:solidFill>
          </w14:textFill>
        </w:rPr>
        <w:t>由表4.3-4可看出，</w:t>
      </w:r>
      <w:r>
        <w:rPr>
          <w:rFonts w:cs="Times New Roman"/>
          <w:bCs/>
          <w:color w:val="000000" w:themeColor="text1"/>
          <w:szCs w:val="24"/>
          <w14:textFill>
            <w14:solidFill>
              <w14:schemeClr w14:val="tx1"/>
            </w14:solidFill>
          </w14:textFill>
        </w:rPr>
        <w:t>评价范围内的森林生态系统占绝对优势，面积</w:t>
      </w:r>
      <w:r>
        <w:rPr>
          <w:rFonts w:hint="eastAsia" w:cs="Times New Roman"/>
          <w:bCs/>
          <w:color w:val="000000" w:themeColor="text1"/>
          <w:szCs w:val="24"/>
          <w14:textFill>
            <w14:solidFill>
              <w14:schemeClr w14:val="tx1"/>
            </w14:solidFill>
          </w14:textFill>
        </w:rPr>
        <w:t>28.35</w:t>
      </w:r>
      <w:r>
        <w:rPr>
          <w:rFonts w:cs="Times New Roman"/>
          <w:bCs/>
          <w:color w:val="000000" w:themeColor="text1"/>
          <w:szCs w:val="24"/>
          <w14:textFill>
            <w14:solidFill>
              <w14:schemeClr w14:val="tx1"/>
            </w14:solidFill>
          </w14:textFill>
        </w:rPr>
        <w:t>hm</w:t>
      </w:r>
      <w:r>
        <w:rPr>
          <w:rFonts w:cs="Times New Roman"/>
          <w:bCs/>
          <w:color w:val="000000" w:themeColor="text1"/>
          <w:szCs w:val="24"/>
          <w:vertAlign w:val="superscript"/>
          <w14:textFill>
            <w14:solidFill>
              <w14:schemeClr w14:val="tx1"/>
            </w14:solidFill>
          </w14:textFill>
        </w:rPr>
        <w:t>2</w:t>
      </w:r>
      <w:r>
        <w:rPr>
          <w:rFonts w:cs="Times New Roman"/>
          <w:bCs/>
          <w:color w:val="000000" w:themeColor="text1"/>
          <w:szCs w:val="24"/>
          <w14:textFill>
            <w14:solidFill>
              <w14:schemeClr w14:val="tx1"/>
            </w14:solidFill>
          </w14:textFill>
        </w:rPr>
        <w:t>，占比</w:t>
      </w:r>
      <w:r>
        <w:rPr>
          <w:rFonts w:hint="eastAsia" w:cs="Times New Roman"/>
          <w:bCs/>
          <w:color w:val="000000" w:themeColor="text1"/>
          <w:szCs w:val="24"/>
          <w14:textFill>
            <w14:solidFill>
              <w14:schemeClr w14:val="tx1"/>
            </w14:solidFill>
          </w14:textFill>
        </w:rPr>
        <w:t>50.59</w:t>
      </w:r>
      <w:r>
        <w:rPr>
          <w:rFonts w:cs="Times New Roman"/>
          <w:bCs/>
          <w:color w:val="000000" w:themeColor="text1"/>
          <w:szCs w:val="24"/>
          <w14:textFill>
            <w14:solidFill>
              <w14:schemeClr w14:val="tx1"/>
            </w14:solidFill>
          </w14:textFill>
        </w:rPr>
        <w:t>%。森林生态系统是以乔木为主的生物群落以及其非生物环境综合组成的陆地生态系统，生态系统中的植物以乔木为主，也有少量灌木和草本植物，还有不同种类的动物资源。森林生态系统生态服务功能高，在涵养水源、净化空气、保持水土、吸烟滞尘、改变区域水热状况等方面有着突出的作用。</w:t>
      </w:r>
    </w:p>
    <w:p>
      <w:pPr>
        <w:keepNext/>
        <w:keepLines/>
        <w:widowControl/>
        <w:ind w:firstLine="241" w:firstLineChars="0"/>
        <w:jc w:val="left"/>
        <w:outlineLvl w:val="2"/>
        <w:rPr>
          <w:rFonts w:cs="Times New Roman"/>
          <w:bCs/>
          <w:color w:val="000000" w:themeColor="text1"/>
          <w:kern w:val="0"/>
          <w:szCs w:val="24"/>
          <w14:textFill>
            <w14:solidFill>
              <w14:schemeClr w14:val="tx1"/>
            </w14:solidFill>
          </w14:textFill>
        </w:rPr>
      </w:pPr>
      <w:bookmarkStart w:id="236" w:name="_Toc26940"/>
      <w:r>
        <w:rPr>
          <w:rFonts w:hint="eastAsia" w:cs="Times New Roman"/>
          <w:b/>
          <w:bCs/>
          <w:color w:val="000000" w:themeColor="text1"/>
          <w:kern w:val="0"/>
          <w:szCs w:val="24"/>
          <w14:textFill>
            <w14:solidFill>
              <w14:schemeClr w14:val="tx1"/>
            </w14:solidFill>
          </w14:textFill>
        </w:rPr>
        <w:t>4.3.7</w:t>
      </w:r>
      <w:r>
        <w:rPr>
          <w:rFonts w:cs="Times New Roman"/>
          <w:b/>
          <w:bCs/>
          <w:color w:val="000000" w:themeColor="text1"/>
          <w:kern w:val="0"/>
          <w:szCs w:val="24"/>
          <w14:textFill>
            <w14:solidFill>
              <w14:schemeClr w14:val="tx1"/>
            </w14:solidFill>
          </w14:textFill>
        </w:rPr>
        <w:t>物种多样性分析</w:t>
      </w:r>
      <w:bookmarkEnd w:id="236"/>
    </w:p>
    <w:p>
      <w:pPr>
        <w:ind w:left="60" w:right="100"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评价区地处亚热带常绿阔叶林区域，气候温暖湿润，区内丘陵、低山分布其间，植被类型主要有马尾松、柏木、麻栎、青冈、栓皮栎等森林植被以及野桐、盐肤木、马桑、黄荆、火棘、芒、白茅、蕨、芒萁等为主的灌草丛植被，群落结构和组成相对复杂，但均为当地常见类型，分布较广。</w:t>
      </w:r>
    </w:p>
    <w:p>
      <w:pPr>
        <w:keepNext/>
        <w:keepLines/>
        <w:widowControl/>
        <w:ind w:firstLine="241" w:firstLineChars="0"/>
        <w:jc w:val="left"/>
        <w:outlineLvl w:val="2"/>
        <w:rPr>
          <w:rFonts w:cs="Times New Roman"/>
          <w:bCs/>
          <w:color w:val="000000" w:themeColor="text1"/>
          <w:kern w:val="0"/>
          <w:szCs w:val="24"/>
          <w14:textFill>
            <w14:solidFill>
              <w14:schemeClr w14:val="tx1"/>
            </w14:solidFill>
          </w14:textFill>
        </w:rPr>
      </w:pPr>
      <w:r>
        <w:rPr>
          <w:rFonts w:hint="eastAsia" w:cs="Times New Roman"/>
          <w:b/>
          <w:bCs/>
          <w:color w:val="000000" w:themeColor="text1"/>
          <w:kern w:val="0"/>
          <w:szCs w:val="24"/>
          <w14:textFill>
            <w14:solidFill>
              <w14:schemeClr w14:val="tx1"/>
            </w14:solidFill>
          </w14:textFill>
        </w:rPr>
        <w:t>4.3.8</w:t>
      </w:r>
      <w:r>
        <w:rPr>
          <w:rFonts w:cs="Times New Roman"/>
          <w:b/>
          <w:bCs/>
          <w:color w:val="000000" w:themeColor="text1"/>
          <w:kern w:val="0"/>
          <w:szCs w:val="24"/>
          <w14:textFill>
            <w14:solidFill>
              <w14:schemeClr w14:val="tx1"/>
            </w14:solidFill>
          </w14:textFill>
        </w:rPr>
        <w:t>动物现状调查</w:t>
      </w:r>
      <w:r>
        <w:rPr>
          <w:rFonts w:hint="eastAsia" w:cs="Times New Roman"/>
          <w:b/>
          <w:bCs/>
          <w:color w:val="000000" w:themeColor="text1"/>
          <w:kern w:val="0"/>
          <w:szCs w:val="24"/>
          <w14:textFill>
            <w14:solidFill>
              <w14:schemeClr w14:val="tx1"/>
            </w14:solidFill>
          </w14:textFill>
        </w:rPr>
        <w:t>与评价</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由于项目评价范围现有土地开发利用程度较高，人类活动对当地野生动物影响较大，野生动物组成比较简单，种类较少，多为鸟类和小型啮齿类动物</w:t>
      </w:r>
      <w:r>
        <w:rPr>
          <w:rFonts w:hint="eastAsia" w:cs="Times New Roman"/>
          <w:color w:val="000000" w:themeColor="text1"/>
          <w14:textFill>
            <w14:solidFill>
              <w14:schemeClr w14:val="tx1"/>
            </w14:solidFill>
          </w14:textFill>
        </w:rPr>
        <w:t>。</w:t>
      </w:r>
    </w:p>
    <w:p>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根据收集资料及现场走访，评价范围内兽类主要为</w:t>
      </w:r>
      <w:r>
        <w:rPr>
          <w:rFonts w:cs="Times New Roman"/>
          <w:color w:val="000000" w:themeColor="text1"/>
          <w14:textFill>
            <w14:solidFill>
              <w14:schemeClr w14:val="tx1"/>
            </w14:solidFill>
          </w14:textFill>
        </w:rPr>
        <w:t>黄鼬、草兔、社鼠等。鸟类分布</w:t>
      </w:r>
      <w:r>
        <w:rPr>
          <w:rFonts w:hint="eastAsia" w:cs="Times New Roman"/>
          <w:color w:val="000000" w:themeColor="text1"/>
          <w14:textFill>
            <w14:solidFill>
              <w14:schemeClr w14:val="tx1"/>
            </w14:solidFill>
          </w14:textFill>
        </w:rPr>
        <w:t>有</w:t>
      </w:r>
      <w:r>
        <w:rPr>
          <w:rFonts w:cs="Times New Roman"/>
          <w:color w:val="000000" w:themeColor="text1"/>
          <w14:textFill>
            <w14:solidFill>
              <w14:schemeClr w14:val="tx1"/>
            </w14:solidFill>
          </w14:textFill>
        </w:rPr>
        <w:t>白鹭、赤麻鸭</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雉鸡、山斑鸠、大杜鹃、树麻雀、噪鹃</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家燕、毛脚燕、普通翠鸟等。</w:t>
      </w:r>
      <w:r>
        <w:rPr>
          <w:rFonts w:hint="eastAsia" w:cs="Times New Roman"/>
          <w:color w:val="000000" w:themeColor="text1"/>
          <w14:textFill>
            <w14:solidFill>
              <w14:schemeClr w14:val="tx1"/>
            </w14:solidFill>
          </w14:textFill>
        </w:rPr>
        <w:t>爬行动物偶有发现黄文石龙子、</w:t>
      </w:r>
      <w:r>
        <w:rPr>
          <w:rFonts w:cs="Times New Roman"/>
          <w:color w:val="000000" w:themeColor="text1"/>
          <w14:textFill>
            <w14:solidFill>
              <w14:schemeClr w14:val="tx1"/>
            </w14:solidFill>
          </w14:textFill>
        </w:rPr>
        <w:t>翠青蛇、赤链蛇、乌梢蛇、王锦蛇等种类。</w:t>
      </w:r>
      <w:r>
        <w:rPr>
          <w:rFonts w:hint="eastAsia" w:cs="Times New Roman"/>
          <w:color w:val="000000" w:themeColor="text1"/>
          <w14:textFill>
            <w14:solidFill>
              <w14:schemeClr w14:val="tx1"/>
            </w14:solidFill>
          </w14:textFill>
        </w:rPr>
        <w:t>两栖动物分布有</w:t>
      </w:r>
      <w:r>
        <w:rPr>
          <w:rFonts w:cs="Times New Roman"/>
          <w:color w:val="000000" w:themeColor="text1"/>
          <w14:textFill>
            <w14:solidFill>
              <w14:schemeClr w14:val="tx1"/>
            </w14:solidFill>
          </w14:textFill>
        </w:rPr>
        <w:t>中华蟾蜍、黑眶蟾蜍、黑斑侧褶蛙</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花臭蛙</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泽陆蛙</w:t>
      </w:r>
      <w:r>
        <w:rPr>
          <w:rFonts w:hint="eastAsia" w:cs="Times New Roman"/>
          <w:color w:val="000000" w:themeColor="text1"/>
          <w14:textFill>
            <w14:solidFill>
              <w14:schemeClr w14:val="tx1"/>
            </w14:solidFill>
          </w14:textFill>
        </w:rPr>
        <w:t>等</w:t>
      </w:r>
      <w:r>
        <w:rPr>
          <w:rFonts w:cs="Times New Roman"/>
          <w:color w:val="000000" w:themeColor="text1"/>
          <w14:textFill>
            <w14:solidFill>
              <w14:schemeClr w14:val="tx1"/>
            </w14:solidFill>
          </w14:textFill>
        </w:rPr>
        <w:t>。</w:t>
      </w:r>
    </w:p>
    <w:p>
      <w:pPr>
        <w:ind w:left="60" w:right="100"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根据现场调查，评价范围内未发现国家重点保护野生动物和四川省重点保护野生动物</w:t>
      </w:r>
      <w:r>
        <w:rPr>
          <w:rFonts w:cs="Times New Roman"/>
          <w:color w:val="000000" w:themeColor="text1"/>
          <w14:textFill>
            <w14:solidFill>
              <w14:schemeClr w14:val="tx1"/>
            </w14:solidFill>
          </w14:textFill>
        </w:rPr>
        <w:t>。</w:t>
      </w:r>
    </w:p>
    <w:p>
      <w:pPr>
        <w:keepNext/>
        <w:keepLines/>
        <w:widowControl/>
        <w:ind w:firstLine="0" w:firstLineChars="0"/>
        <w:jc w:val="left"/>
        <w:outlineLvl w:val="2"/>
        <w:rPr>
          <w:rFonts w:cs="Times New Roman"/>
          <w:bCs/>
          <w:color w:val="000000" w:themeColor="text1"/>
          <w:kern w:val="0"/>
          <w:szCs w:val="24"/>
          <w14:textFill>
            <w14:solidFill>
              <w14:schemeClr w14:val="tx1"/>
            </w14:solidFill>
          </w14:textFill>
        </w:rPr>
      </w:pPr>
      <w:r>
        <w:rPr>
          <w:rFonts w:cs="Times New Roman"/>
          <w:b/>
          <w:bCs/>
          <w:color w:val="000000" w:themeColor="text1"/>
          <w:kern w:val="0"/>
          <w:szCs w:val="24"/>
          <w14:textFill>
            <w14:solidFill>
              <w14:schemeClr w14:val="tx1"/>
            </w14:solidFill>
          </w14:textFill>
        </w:rPr>
        <w:t>4.3.</w:t>
      </w:r>
      <w:r>
        <w:rPr>
          <w:rFonts w:hint="eastAsia" w:cs="Times New Roman"/>
          <w:b/>
          <w:bCs/>
          <w:color w:val="000000" w:themeColor="text1"/>
          <w:kern w:val="0"/>
          <w:szCs w:val="24"/>
          <w14:textFill>
            <w14:solidFill>
              <w14:schemeClr w14:val="tx1"/>
            </w14:solidFill>
          </w14:textFill>
        </w:rPr>
        <w:t>9水土流失现状调查</w:t>
      </w:r>
    </w:p>
    <w:p>
      <w:pPr>
        <w:widowControl/>
        <w:spacing w:before="35"/>
        <w:ind w:left="138" w:firstLine="480"/>
        <w:jc w:val="left"/>
        <w:rPr>
          <w:rFonts w:cs="Times New Roman"/>
          <w:kern w:val="0"/>
          <w:szCs w:val="24"/>
        </w:rPr>
      </w:pPr>
      <w:r>
        <w:rPr>
          <w:rFonts w:cs="Times New Roman"/>
          <w:kern w:val="0"/>
          <w:szCs w:val="24"/>
        </w:rPr>
        <w:t>根据《宣汉县水土保持重点防治分区图》，项目所在区域为重点</w:t>
      </w:r>
      <w:r>
        <w:rPr>
          <w:rFonts w:hint="eastAsia" w:cs="Times New Roman"/>
          <w:kern w:val="0"/>
          <w:szCs w:val="24"/>
        </w:rPr>
        <w:t>防治</w:t>
      </w:r>
      <w:r>
        <w:rPr>
          <w:rFonts w:cs="Times New Roman"/>
          <w:kern w:val="0"/>
          <w:szCs w:val="24"/>
        </w:rPr>
        <w:t>区。</w:t>
      </w:r>
    </w:p>
    <w:p>
      <w:pPr>
        <w:widowControl/>
        <w:spacing w:before="35"/>
        <w:ind w:left="138" w:firstLine="480"/>
        <w:jc w:val="left"/>
        <w:rPr>
          <w:rFonts w:cs="Times New Roman"/>
          <w:kern w:val="0"/>
          <w:szCs w:val="24"/>
        </w:rPr>
      </w:pPr>
      <w:r>
        <w:rPr>
          <w:rFonts w:cs="Times New Roman"/>
          <w:kern w:val="0"/>
          <w:szCs w:val="24"/>
        </w:rPr>
        <w:t>按照《四川省水土保持规划（2015-2030年）》，宣汉县，属于米仓山、大巴山山地保水保土生态维护区。</w:t>
      </w:r>
    </w:p>
    <w:p>
      <w:pPr>
        <w:ind w:firstLine="480"/>
        <w:rPr>
          <w:rFonts w:cs="Times New Roman"/>
          <w:bCs/>
          <w:color w:val="000000" w:themeColor="text1"/>
          <w:szCs w:val="24"/>
          <w14:textFill>
            <w14:solidFill>
              <w14:schemeClr w14:val="tx1"/>
            </w14:solidFill>
          </w14:textFill>
        </w:rPr>
      </w:pPr>
      <w:r>
        <w:rPr>
          <w:rFonts w:cs="Times New Roman"/>
        </w:rPr>
        <w:t>米仓山、大巴山山地保水保土生态维护区土壤侵蚀主要是水蚀，水蚀强度以轻度和中度为主。本区主要问题为森林分布不均，荒山荒坡面积较大，部分土地石质化，土壤水源涵养能力较差。水土保持功能为水源涵养和土壤保持。水土保持模式以自然修复为主，同时搞好水土保持综合治理。营造水源涵养林、水土保持林，着重发展经济林和速生丰产林。同时，控制生产建设项目对植被的破坏，防止其对生态环境和生态系统的不利影响。对局部连片坡耕地进行综合治理，合理推广适宜的保土耕作措施，增加地面覆盖，改良土壤，减少水土流失</w:t>
      </w:r>
      <w:r>
        <w:rPr>
          <w:rFonts w:cs="Times New Roman"/>
          <w:bCs/>
          <w:color w:val="000000" w:themeColor="text1"/>
          <w:szCs w:val="24"/>
          <w14:textFill>
            <w14:solidFill>
              <w14:schemeClr w14:val="tx1"/>
            </w14:solidFill>
          </w14:textFill>
        </w:rPr>
        <w:t>。</w:t>
      </w:r>
      <w:bookmarkEnd w:id="232"/>
    </w:p>
    <w:p>
      <w:pPr>
        <w:keepNext/>
        <w:keepLines/>
        <w:widowControl/>
        <w:ind w:firstLine="0" w:firstLineChars="0"/>
        <w:jc w:val="left"/>
        <w:outlineLvl w:val="2"/>
        <w:rPr>
          <w:rFonts w:cs="Times New Roman"/>
          <w:b/>
          <w:bCs/>
          <w:color w:val="000000" w:themeColor="text1"/>
          <w:kern w:val="0"/>
          <w:szCs w:val="24"/>
          <w14:textFill>
            <w14:solidFill>
              <w14:schemeClr w14:val="tx1"/>
            </w14:solidFill>
          </w14:textFill>
        </w:rPr>
      </w:pPr>
      <w:r>
        <w:rPr>
          <w:rFonts w:hint="eastAsia" w:cs="Times New Roman"/>
          <w:b/>
          <w:bCs/>
          <w:color w:val="000000" w:themeColor="text1"/>
          <w:kern w:val="0"/>
          <w:szCs w:val="24"/>
          <w14:textFill>
            <w14:solidFill>
              <w14:schemeClr w14:val="tx1"/>
            </w14:solidFill>
          </w14:textFill>
        </w:rPr>
        <w:t>4.3.10生态环境现状调查与评价结论</w:t>
      </w:r>
    </w:p>
    <w:p>
      <w:pPr>
        <w:widowControl/>
        <w:spacing w:before="35"/>
        <w:ind w:left="138" w:firstLine="480"/>
        <w:jc w:val="left"/>
        <w:rPr>
          <w:rFonts w:cs="Times New Roman"/>
          <w:kern w:val="0"/>
          <w:szCs w:val="24"/>
        </w:rPr>
      </w:pPr>
      <w:r>
        <w:rPr>
          <w:rFonts w:cs="Times New Roman"/>
          <w:kern w:val="0"/>
          <w:szCs w:val="24"/>
        </w:rPr>
        <w:t>评价区生态系统类型主要包括</w:t>
      </w:r>
      <w:r>
        <w:rPr>
          <w:rFonts w:cs="Times New Roman"/>
          <w:color w:val="000000" w:themeColor="text1"/>
          <w:kern w:val="0"/>
          <w:szCs w:val="24"/>
          <w14:textFill>
            <w14:solidFill>
              <w14:schemeClr w14:val="tx1"/>
            </w14:solidFill>
          </w14:textFill>
        </w:rPr>
        <w:t>阔叶林生态系统、阔叶灌丛生态系统、草丛生态系统、河流生态系统、湖泊生态系统、耕地生态系统、居住地生态系统、工矿交通生态系统</w:t>
      </w:r>
      <w:r>
        <w:rPr>
          <w:rFonts w:cs="Times New Roman"/>
          <w:kern w:val="0"/>
          <w:szCs w:val="24"/>
        </w:rPr>
        <w:t>，同时，本项目评价范围内的生态系统完整性受人类干预影响较大，局部区域干扰较小。根据调查，地表植被多为人工林和农田植被，人为活动较频繁，常见野生动物主要有</w:t>
      </w:r>
      <w:r>
        <w:rPr>
          <w:rFonts w:hint="eastAsia" w:cs="Times New Roman"/>
          <w:kern w:val="0"/>
          <w:szCs w:val="24"/>
        </w:rPr>
        <w:t>常见鸟类、</w:t>
      </w:r>
      <w:r>
        <w:rPr>
          <w:rFonts w:ascii="宋体" w:hAnsi="宋体" w:cs="Times New Roman"/>
          <w:color w:val="000000" w:themeColor="text1"/>
          <w:kern w:val="0"/>
          <w:szCs w:val="24"/>
          <w14:textFill>
            <w14:solidFill>
              <w14:schemeClr w14:val="tx1"/>
            </w14:solidFill>
          </w14:textFill>
        </w:rPr>
        <w:t>小型啮齿类</w:t>
      </w:r>
      <w:r>
        <w:rPr>
          <w:rFonts w:hint="eastAsia" w:ascii="宋体" w:hAnsi="宋体" w:cs="Times New Roman"/>
          <w:color w:val="000000" w:themeColor="text1"/>
          <w:kern w:val="0"/>
          <w:szCs w:val="24"/>
          <w14:textFill>
            <w14:solidFill>
              <w14:schemeClr w14:val="tx1"/>
            </w14:solidFill>
          </w14:textFill>
        </w:rPr>
        <w:t>动物、爬行类动物</w:t>
      </w:r>
      <w:r>
        <w:rPr>
          <w:rFonts w:cs="Times New Roman"/>
          <w:kern w:val="0"/>
          <w:szCs w:val="24"/>
        </w:rPr>
        <w:t>等。评价区范围内未发现国家重点保护野生植物、四川省重点保护野生植物、国家重点保护野生动物、四川省重点保护野生动物。</w:t>
      </w:r>
    </w:p>
    <w:p>
      <w:pPr>
        <w:ind w:firstLine="480"/>
        <w:rPr>
          <w:rFonts w:eastAsia="黑体" w:cs="Times New Roman"/>
          <w:bCs/>
          <w:color w:val="000000" w:themeColor="text1"/>
          <w:kern w:val="44"/>
          <w:sz w:val="32"/>
          <w:szCs w:val="44"/>
          <w14:textFill>
            <w14:solidFill>
              <w14:schemeClr w14:val="tx1"/>
            </w14:solidFill>
          </w14:textFill>
        </w:rPr>
      </w:pPr>
      <w:r>
        <w:rPr>
          <w:rFonts w:cs="Times New Roman"/>
          <w:color w:val="000000" w:themeColor="text1"/>
          <w14:textFill>
            <w14:solidFill>
              <w14:schemeClr w14:val="tx1"/>
            </w14:solidFill>
          </w14:textFill>
        </w:rPr>
        <w:br w:type="page"/>
      </w:r>
    </w:p>
    <w:p>
      <w:pPr>
        <w:pStyle w:val="2"/>
      </w:pPr>
      <w:bookmarkStart w:id="237" w:name="_Toc164667025"/>
      <w:r>
        <w:rPr>
          <w:rFonts w:hint="eastAsia"/>
        </w:rPr>
        <w:t xml:space="preserve">5 </w:t>
      </w:r>
      <w:r>
        <w:t>环境影响预测与评价</w:t>
      </w:r>
      <w:bookmarkEnd w:id="237"/>
    </w:p>
    <w:p>
      <w:pPr>
        <w:pStyle w:val="3"/>
      </w:pPr>
      <w:bookmarkStart w:id="238" w:name="5.1施工期环境影响分析"/>
      <w:bookmarkEnd w:id="238"/>
      <w:bookmarkStart w:id="239" w:name="_bookmark28"/>
      <w:bookmarkEnd w:id="239"/>
      <w:bookmarkStart w:id="240" w:name="_Toc164667026"/>
      <w:r>
        <w:rPr>
          <w:rFonts w:hint="eastAsia"/>
        </w:rPr>
        <w:t>5.1</w:t>
      </w:r>
      <w:r>
        <w:t>施工期环境影响分析</w:t>
      </w:r>
      <w:bookmarkEnd w:id="240"/>
    </w:p>
    <w:p>
      <w:pPr>
        <w:pStyle w:val="4"/>
        <w:ind w:firstLine="241"/>
        <w:rPr>
          <w:b w:val="0"/>
        </w:rPr>
      </w:pPr>
      <w:bookmarkStart w:id="241" w:name="_Toc120173150"/>
      <w:r>
        <w:rPr>
          <w:rFonts w:hint="eastAsia"/>
        </w:rPr>
        <w:t>5.1.1</w:t>
      </w:r>
      <w:r>
        <w:t>施工期生态环境影响分析</w:t>
      </w:r>
      <w:bookmarkEnd w:id="241"/>
    </w:p>
    <w:p>
      <w:pPr>
        <w:pStyle w:val="5"/>
      </w:pPr>
      <w:r>
        <w:t>5.1.1.1对土地利用类型的影响</w:t>
      </w:r>
    </w:p>
    <w:p>
      <w:pPr>
        <w:ind w:firstLine="480"/>
        <w:rPr>
          <w:rFonts w:cs="Times New Roman"/>
          <w:color w:val="000000" w:themeColor="text1"/>
          <w14:textFill>
            <w14:solidFill>
              <w14:schemeClr w14:val="tx1"/>
            </w14:solidFill>
          </w14:textFill>
        </w:rPr>
      </w:pPr>
      <w:r>
        <w:rPr>
          <w:rFonts w:cs="Times New Roman"/>
          <w:bCs/>
          <w:color w:val="000000" w:themeColor="text1"/>
          <w14:textFill>
            <w14:solidFill>
              <w14:schemeClr w14:val="tx1"/>
            </w14:solidFill>
          </w14:textFill>
        </w:rPr>
        <w:t>施工期占地内容为井场、井场边坡、进场道路、放喷池、放喷管线、施工便道、表土堆场、生活营地，具体占地情况见下表</w:t>
      </w:r>
      <w:r>
        <w:rPr>
          <w:rFonts w:cs="Times New Roman"/>
          <w:color w:val="000000" w:themeColor="text1"/>
          <w14:textFill>
            <w14:solidFill>
              <w14:schemeClr w14:val="tx1"/>
            </w14:solidFill>
          </w14:textFill>
        </w:rPr>
        <w:t>。</w:t>
      </w:r>
    </w:p>
    <w:p>
      <w:pPr>
        <w:pStyle w:val="95"/>
      </w:pPr>
      <w:r>
        <w:t>表</w:t>
      </w:r>
      <w:r>
        <w:fldChar w:fldCharType="begin"/>
      </w:r>
      <w:r>
        <w:instrText xml:space="preserve"> STYLEREF 2 \s </w:instrText>
      </w:r>
      <w:r>
        <w:fldChar w:fldCharType="separate"/>
      </w:r>
      <w:r>
        <w:t>5.1</w:t>
      </w:r>
      <w:r>
        <w:fldChar w:fldCharType="end"/>
      </w:r>
      <w:r>
        <w:noBreakHyphen/>
      </w:r>
      <w:r>
        <w:fldChar w:fldCharType="begin"/>
      </w:r>
      <w:r>
        <w:instrText xml:space="preserve"> SEQ 表 \* ARABIC \s 2 </w:instrText>
      </w:r>
      <w:r>
        <w:fldChar w:fldCharType="separate"/>
      </w:r>
      <w:r>
        <w:t>1</w:t>
      </w:r>
      <w:r>
        <w:fldChar w:fldCharType="end"/>
      </w:r>
      <w:r>
        <w:t xml:space="preserve"> 工程</w:t>
      </w:r>
      <w:r>
        <w:rPr>
          <w:rFonts w:hint="eastAsia"/>
        </w:rPr>
        <w:t>新增</w:t>
      </w:r>
      <w:r>
        <w:t>占地类型一览表   单位：m</w:t>
      </w:r>
      <w:r>
        <w:rPr>
          <w:vertAlign w:val="superscript"/>
        </w:rPr>
        <w:t>2</w:t>
      </w:r>
    </w:p>
    <w:tbl>
      <w:tblPr>
        <w:tblStyle w:val="52"/>
        <w:tblW w:w="88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555"/>
        <w:gridCol w:w="1270"/>
        <w:gridCol w:w="1276"/>
        <w:gridCol w:w="1985"/>
        <w:gridCol w:w="965"/>
        <w:gridCol w:w="175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1555" w:type="dxa"/>
            <w:vMerge w:val="restart"/>
            <w:vAlign w:val="center"/>
          </w:tcPr>
          <w:p>
            <w:pPr>
              <w:pStyle w:val="294"/>
            </w:pPr>
            <w:r>
              <w:t>项目组成</w:t>
            </w:r>
          </w:p>
        </w:tc>
        <w:tc>
          <w:tcPr>
            <w:tcW w:w="4531" w:type="dxa"/>
            <w:gridSpan w:val="3"/>
            <w:vAlign w:val="center"/>
          </w:tcPr>
          <w:p>
            <w:pPr>
              <w:pStyle w:val="294"/>
            </w:pPr>
            <w:r>
              <w:t>占地类型</w:t>
            </w:r>
          </w:p>
        </w:tc>
        <w:tc>
          <w:tcPr>
            <w:tcW w:w="965" w:type="dxa"/>
            <w:vMerge w:val="restart"/>
            <w:vAlign w:val="center"/>
          </w:tcPr>
          <w:p>
            <w:pPr>
              <w:pStyle w:val="294"/>
            </w:pPr>
            <w:r>
              <w:t>合计</w:t>
            </w:r>
          </w:p>
        </w:tc>
        <w:tc>
          <w:tcPr>
            <w:tcW w:w="1753" w:type="dxa"/>
            <w:vMerge w:val="restart"/>
            <w:vAlign w:val="center"/>
          </w:tcPr>
          <w:p>
            <w:pPr>
              <w:pStyle w:val="294"/>
            </w:pPr>
            <w:r>
              <w:t>占地性质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555" w:type="dxa"/>
            <w:vMerge w:val="continue"/>
            <w:vAlign w:val="center"/>
          </w:tcPr>
          <w:p>
            <w:pPr>
              <w:pStyle w:val="294"/>
            </w:pPr>
          </w:p>
        </w:tc>
        <w:tc>
          <w:tcPr>
            <w:tcW w:w="1270" w:type="dxa"/>
            <w:vAlign w:val="center"/>
          </w:tcPr>
          <w:p>
            <w:pPr>
              <w:pStyle w:val="294"/>
            </w:pPr>
            <w:r>
              <w:t>林地</w:t>
            </w:r>
          </w:p>
        </w:tc>
        <w:tc>
          <w:tcPr>
            <w:tcW w:w="1276" w:type="dxa"/>
            <w:vAlign w:val="center"/>
          </w:tcPr>
          <w:p>
            <w:pPr>
              <w:pStyle w:val="294"/>
            </w:pPr>
            <w:r>
              <w:t>耕地</w:t>
            </w:r>
          </w:p>
        </w:tc>
        <w:tc>
          <w:tcPr>
            <w:tcW w:w="1985" w:type="dxa"/>
            <w:vAlign w:val="center"/>
          </w:tcPr>
          <w:p>
            <w:pPr>
              <w:pStyle w:val="294"/>
            </w:pPr>
            <w:r>
              <w:t>其他</w:t>
            </w:r>
            <w:r>
              <w:rPr>
                <w:rFonts w:hint="eastAsia"/>
              </w:rPr>
              <w:t>（工况用地）</w:t>
            </w:r>
          </w:p>
        </w:tc>
        <w:tc>
          <w:tcPr>
            <w:tcW w:w="965" w:type="dxa"/>
            <w:vMerge w:val="continue"/>
            <w:vAlign w:val="center"/>
          </w:tcPr>
          <w:p>
            <w:pPr>
              <w:pStyle w:val="294"/>
            </w:pPr>
          </w:p>
        </w:tc>
        <w:tc>
          <w:tcPr>
            <w:tcW w:w="1753"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555" w:type="dxa"/>
            <w:vAlign w:val="center"/>
          </w:tcPr>
          <w:p>
            <w:pPr>
              <w:pStyle w:val="294"/>
            </w:pPr>
            <w:r>
              <w:t>新建井场用地</w:t>
            </w:r>
          </w:p>
        </w:tc>
        <w:tc>
          <w:tcPr>
            <w:tcW w:w="1270" w:type="dxa"/>
            <w:vAlign w:val="center"/>
          </w:tcPr>
          <w:p>
            <w:pPr>
              <w:pStyle w:val="294"/>
            </w:pPr>
            <w:r>
              <w:t>239</w:t>
            </w:r>
          </w:p>
        </w:tc>
        <w:tc>
          <w:tcPr>
            <w:tcW w:w="1276" w:type="dxa"/>
            <w:vAlign w:val="center"/>
          </w:tcPr>
          <w:p>
            <w:pPr>
              <w:pStyle w:val="294"/>
            </w:pPr>
            <w:r>
              <w:rPr>
                <w:rFonts w:hint="eastAsia"/>
              </w:rPr>
              <w:t>4</w:t>
            </w:r>
            <w:r>
              <w:t>354</w:t>
            </w:r>
          </w:p>
        </w:tc>
        <w:tc>
          <w:tcPr>
            <w:tcW w:w="1985" w:type="dxa"/>
            <w:vAlign w:val="center"/>
          </w:tcPr>
          <w:p>
            <w:pPr>
              <w:pStyle w:val="294"/>
            </w:pPr>
            <w:r>
              <w:t>/</w:t>
            </w:r>
          </w:p>
        </w:tc>
        <w:tc>
          <w:tcPr>
            <w:tcW w:w="965" w:type="dxa"/>
            <w:vAlign w:val="center"/>
          </w:tcPr>
          <w:p>
            <w:pPr>
              <w:pStyle w:val="294"/>
            </w:pPr>
            <w:r>
              <w:t>4593</w:t>
            </w:r>
          </w:p>
        </w:tc>
        <w:tc>
          <w:tcPr>
            <w:tcW w:w="1753" w:type="dxa"/>
            <w:vMerge w:val="restart"/>
            <w:vAlign w:val="center"/>
          </w:tcPr>
          <w:p>
            <w:pPr>
              <w:pStyle w:val="294"/>
            </w:pPr>
            <w:r>
              <w:rPr>
                <w:color w:val="000000" w:themeColor="text1"/>
                <w14:textFill>
                  <w14:solidFill>
                    <w14:schemeClr w14:val="tx1"/>
                  </w14:solidFill>
                </w14:textFill>
              </w:rPr>
              <w:t>临时占地（</w:t>
            </w:r>
            <w:r>
              <w:t>占用基本农田</w:t>
            </w:r>
            <w:r>
              <w:rPr>
                <w:rFonts w:hint="eastAsia"/>
              </w:rPr>
              <w:t>约</w:t>
            </w:r>
            <w:r>
              <w:t>10207</w:t>
            </w:r>
            <w:r>
              <w:rPr>
                <w:color w:val="000000" w:themeColor="text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555" w:type="dxa"/>
            <w:vAlign w:val="center"/>
          </w:tcPr>
          <w:p>
            <w:pPr>
              <w:pStyle w:val="294"/>
            </w:pPr>
            <w:r>
              <w:t>井场边坡用地</w:t>
            </w:r>
          </w:p>
        </w:tc>
        <w:tc>
          <w:tcPr>
            <w:tcW w:w="1270" w:type="dxa"/>
            <w:vAlign w:val="center"/>
          </w:tcPr>
          <w:p>
            <w:pPr>
              <w:pStyle w:val="294"/>
            </w:pPr>
            <w:r>
              <w:rPr>
                <w:rFonts w:hint="eastAsia"/>
              </w:rPr>
              <w:t>694</w:t>
            </w:r>
          </w:p>
        </w:tc>
        <w:tc>
          <w:tcPr>
            <w:tcW w:w="1276" w:type="dxa"/>
            <w:vAlign w:val="center"/>
          </w:tcPr>
          <w:p>
            <w:pPr>
              <w:pStyle w:val="294"/>
            </w:pPr>
            <w:r>
              <w:rPr>
                <w:rFonts w:hint="eastAsia"/>
              </w:rPr>
              <w:t>1289</w:t>
            </w:r>
          </w:p>
        </w:tc>
        <w:tc>
          <w:tcPr>
            <w:tcW w:w="1985" w:type="dxa"/>
            <w:vAlign w:val="center"/>
          </w:tcPr>
          <w:p>
            <w:pPr>
              <w:pStyle w:val="294"/>
            </w:pPr>
            <w:r>
              <w:rPr>
                <w:rFonts w:hint="eastAsia"/>
              </w:rPr>
              <w:t>/</w:t>
            </w:r>
          </w:p>
        </w:tc>
        <w:tc>
          <w:tcPr>
            <w:tcW w:w="965" w:type="dxa"/>
            <w:vAlign w:val="center"/>
          </w:tcPr>
          <w:p>
            <w:pPr>
              <w:pStyle w:val="294"/>
            </w:pPr>
            <w:r>
              <w:t>1983</w:t>
            </w:r>
          </w:p>
        </w:tc>
        <w:tc>
          <w:tcPr>
            <w:tcW w:w="1753"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555" w:type="dxa"/>
            <w:vAlign w:val="center"/>
          </w:tcPr>
          <w:p>
            <w:pPr>
              <w:pStyle w:val="294"/>
            </w:pPr>
            <w:r>
              <w:t>进场道路用地</w:t>
            </w:r>
          </w:p>
        </w:tc>
        <w:tc>
          <w:tcPr>
            <w:tcW w:w="1270" w:type="dxa"/>
            <w:vAlign w:val="center"/>
          </w:tcPr>
          <w:p>
            <w:pPr>
              <w:pStyle w:val="294"/>
            </w:pPr>
            <w:r>
              <w:rPr>
                <w:rFonts w:hint="eastAsia"/>
              </w:rPr>
              <w:t>/</w:t>
            </w:r>
          </w:p>
        </w:tc>
        <w:tc>
          <w:tcPr>
            <w:tcW w:w="1276" w:type="dxa"/>
            <w:vAlign w:val="center"/>
          </w:tcPr>
          <w:p>
            <w:pPr>
              <w:pStyle w:val="294"/>
            </w:pPr>
            <w:r>
              <w:rPr>
                <w:rFonts w:hint="eastAsia"/>
              </w:rPr>
              <w:t>2120</w:t>
            </w:r>
          </w:p>
        </w:tc>
        <w:tc>
          <w:tcPr>
            <w:tcW w:w="1985" w:type="dxa"/>
          </w:tcPr>
          <w:p>
            <w:pPr>
              <w:pStyle w:val="294"/>
            </w:pPr>
            <w:r>
              <w:rPr>
                <w:rFonts w:hint="eastAsia"/>
              </w:rPr>
              <w:t>/</w:t>
            </w:r>
          </w:p>
        </w:tc>
        <w:tc>
          <w:tcPr>
            <w:tcW w:w="965" w:type="dxa"/>
            <w:vAlign w:val="center"/>
          </w:tcPr>
          <w:p>
            <w:pPr>
              <w:pStyle w:val="294"/>
            </w:pPr>
            <w:r>
              <w:t>2120</w:t>
            </w:r>
          </w:p>
        </w:tc>
        <w:tc>
          <w:tcPr>
            <w:tcW w:w="1753"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555" w:type="dxa"/>
            <w:vAlign w:val="center"/>
          </w:tcPr>
          <w:p>
            <w:pPr>
              <w:pStyle w:val="294"/>
            </w:pPr>
            <w:r>
              <w:t>放喷管线用地</w:t>
            </w:r>
          </w:p>
        </w:tc>
        <w:tc>
          <w:tcPr>
            <w:tcW w:w="1270" w:type="dxa"/>
            <w:vAlign w:val="center"/>
          </w:tcPr>
          <w:p>
            <w:pPr>
              <w:pStyle w:val="294"/>
            </w:pPr>
            <w:r>
              <w:rPr>
                <w:rFonts w:hint="eastAsia"/>
              </w:rPr>
              <w:t>225</w:t>
            </w:r>
          </w:p>
        </w:tc>
        <w:tc>
          <w:tcPr>
            <w:tcW w:w="1276" w:type="dxa"/>
            <w:vAlign w:val="center"/>
          </w:tcPr>
          <w:p>
            <w:pPr>
              <w:pStyle w:val="294"/>
            </w:pPr>
            <w:r>
              <w:rPr>
                <w:rFonts w:hint="eastAsia"/>
              </w:rPr>
              <w:t>779</w:t>
            </w:r>
          </w:p>
        </w:tc>
        <w:tc>
          <w:tcPr>
            <w:tcW w:w="1985" w:type="dxa"/>
          </w:tcPr>
          <w:p>
            <w:pPr>
              <w:pStyle w:val="294"/>
            </w:pPr>
            <w:r>
              <w:rPr>
                <w:rFonts w:hint="eastAsia"/>
              </w:rPr>
              <w:t>/</w:t>
            </w:r>
          </w:p>
        </w:tc>
        <w:tc>
          <w:tcPr>
            <w:tcW w:w="965" w:type="dxa"/>
            <w:vAlign w:val="center"/>
          </w:tcPr>
          <w:p>
            <w:pPr>
              <w:pStyle w:val="294"/>
            </w:pPr>
            <w:r>
              <w:t>1004</w:t>
            </w:r>
          </w:p>
        </w:tc>
        <w:tc>
          <w:tcPr>
            <w:tcW w:w="1753"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555" w:type="dxa"/>
            <w:vAlign w:val="center"/>
          </w:tcPr>
          <w:p>
            <w:pPr>
              <w:pStyle w:val="294"/>
            </w:pPr>
            <w:r>
              <w:t>表土堆场</w:t>
            </w:r>
          </w:p>
        </w:tc>
        <w:tc>
          <w:tcPr>
            <w:tcW w:w="1270" w:type="dxa"/>
            <w:vAlign w:val="center"/>
          </w:tcPr>
          <w:p>
            <w:pPr>
              <w:pStyle w:val="294"/>
            </w:pPr>
            <w:r>
              <w:rPr>
                <w:rFonts w:hint="eastAsia"/>
              </w:rPr>
              <w:t>/</w:t>
            </w:r>
          </w:p>
        </w:tc>
        <w:tc>
          <w:tcPr>
            <w:tcW w:w="1276" w:type="dxa"/>
            <w:vAlign w:val="center"/>
          </w:tcPr>
          <w:p>
            <w:pPr>
              <w:pStyle w:val="294"/>
            </w:pPr>
            <w:r>
              <w:rPr>
                <w:rFonts w:hint="eastAsia"/>
              </w:rPr>
              <w:t>1352</w:t>
            </w:r>
          </w:p>
        </w:tc>
        <w:tc>
          <w:tcPr>
            <w:tcW w:w="1985" w:type="dxa"/>
            <w:vAlign w:val="center"/>
          </w:tcPr>
          <w:p>
            <w:pPr>
              <w:pStyle w:val="294"/>
            </w:pPr>
            <w:r>
              <w:rPr>
                <w:rFonts w:hint="eastAsia"/>
              </w:rPr>
              <w:t>/</w:t>
            </w:r>
          </w:p>
        </w:tc>
        <w:tc>
          <w:tcPr>
            <w:tcW w:w="965" w:type="dxa"/>
            <w:vAlign w:val="center"/>
          </w:tcPr>
          <w:p>
            <w:pPr>
              <w:pStyle w:val="294"/>
            </w:pPr>
            <w:r>
              <w:t>1352</w:t>
            </w:r>
          </w:p>
        </w:tc>
        <w:tc>
          <w:tcPr>
            <w:tcW w:w="1753"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555" w:type="dxa"/>
            <w:vAlign w:val="center"/>
          </w:tcPr>
          <w:p>
            <w:pPr>
              <w:pStyle w:val="294"/>
            </w:pPr>
            <w:r>
              <w:t>生活营地</w:t>
            </w:r>
          </w:p>
        </w:tc>
        <w:tc>
          <w:tcPr>
            <w:tcW w:w="1270" w:type="dxa"/>
            <w:vAlign w:val="center"/>
          </w:tcPr>
          <w:p>
            <w:pPr>
              <w:pStyle w:val="294"/>
            </w:pPr>
            <w:r>
              <w:rPr>
                <w:rFonts w:hint="eastAsia"/>
              </w:rPr>
              <w:t>/</w:t>
            </w:r>
          </w:p>
        </w:tc>
        <w:tc>
          <w:tcPr>
            <w:tcW w:w="1276" w:type="dxa"/>
            <w:vAlign w:val="center"/>
          </w:tcPr>
          <w:p>
            <w:pPr>
              <w:pStyle w:val="294"/>
            </w:pPr>
            <w:r>
              <w:rPr>
                <w:rFonts w:hint="eastAsia"/>
              </w:rPr>
              <w:t>1541</w:t>
            </w:r>
          </w:p>
        </w:tc>
        <w:tc>
          <w:tcPr>
            <w:tcW w:w="1985" w:type="dxa"/>
          </w:tcPr>
          <w:p>
            <w:pPr>
              <w:pStyle w:val="294"/>
            </w:pPr>
            <w:r>
              <w:rPr>
                <w:rFonts w:hint="eastAsia"/>
              </w:rPr>
              <w:t>/</w:t>
            </w:r>
          </w:p>
        </w:tc>
        <w:tc>
          <w:tcPr>
            <w:tcW w:w="965" w:type="dxa"/>
            <w:vAlign w:val="center"/>
          </w:tcPr>
          <w:p>
            <w:pPr>
              <w:pStyle w:val="294"/>
            </w:pPr>
            <w:r>
              <w:t>1541</w:t>
            </w:r>
          </w:p>
        </w:tc>
        <w:tc>
          <w:tcPr>
            <w:tcW w:w="1753"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555" w:type="dxa"/>
            <w:vAlign w:val="center"/>
          </w:tcPr>
          <w:p>
            <w:pPr>
              <w:pStyle w:val="294"/>
            </w:pPr>
            <w:r>
              <w:t>合计</w:t>
            </w:r>
          </w:p>
        </w:tc>
        <w:tc>
          <w:tcPr>
            <w:tcW w:w="1270" w:type="dxa"/>
            <w:vAlign w:val="bottom"/>
          </w:tcPr>
          <w:p>
            <w:pPr>
              <w:pStyle w:val="294"/>
            </w:pPr>
            <w:r>
              <w:rPr>
                <w:rFonts w:hint="eastAsia"/>
              </w:rPr>
              <w:t>1158</w:t>
            </w:r>
          </w:p>
        </w:tc>
        <w:tc>
          <w:tcPr>
            <w:tcW w:w="1276" w:type="dxa"/>
            <w:vAlign w:val="bottom"/>
          </w:tcPr>
          <w:p>
            <w:pPr>
              <w:pStyle w:val="294"/>
            </w:pPr>
            <w:r>
              <w:rPr>
                <w:rFonts w:hint="eastAsia"/>
              </w:rPr>
              <w:t>11435</w:t>
            </w:r>
          </w:p>
        </w:tc>
        <w:tc>
          <w:tcPr>
            <w:tcW w:w="1985" w:type="dxa"/>
            <w:vAlign w:val="bottom"/>
          </w:tcPr>
          <w:p>
            <w:pPr>
              <w:pStyle w:val="294"/>
            </w:pPr>
            <w:r>
              <w:rPr>
                <w:rFonts w:hint="eastAsia"/>
              </w:rPr>
              <w:t>/</w:t>
            </w:r>
          </w:p>
        </w:tc>
        <w:tc>
          <w:tcPr>
            <w:tcW w:w="965" w:type="dxa"/>
            <w:vAlign w:val="bottom"/>
          </w:tcPr>
          <w:p>
            <w:pPr>
              <w:pStyle w:val="294"/>
            </w:pPr>
            <w:r>
              <w:t>12593</w:t>
            </w:r>
          </w:p>
        </w:tc>
        <w:tc>
          <w:tcPr>
            <w:tcW w:w="1753" w:type="dxa"/>
            <w:vAlign w:val="center"/>
          </w:tcPr>
          <w:p>
            <w:pPr>
              <w:pStyle w:val="294"/>
            </w:pPr>
            <w:r>
              <w:rPr>
                <w:rFonts w:hint="eastAsia"/>
              </w:rPr>
              <w:t>/</w:t>
            </w:r>
          </w:p>
        </w:tc>
      </w:tr>
    </w:tbl>
    <w:p>
      <w:pPr>
        <w:spacing w:before="120" w:beforeLines="5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由于施工占地将会改变占地区土地利用方式，减少地表植被。占地主要以</w:t>
      </w:r>
      <w:r>
        <w:rPr>
          <w:rFonts w:cs="Times New Roman"/>
          <w:color w:val="000000" w:themeColor="text1"/>
          <w:kern w:val="0"/>
          <w14:textFill>
            <w14:solidFill>
              <w14:schemeClr w14:val="tx1"/>
            </w14:solidFill>
          </w14:textFill>
        </w:rPr>
        <w:t>新建井场和井场边坡</w:t>
      </w:r>
      <w:r>
        <w:rPr>
          <w:rFonts w:cs="Times New Roman"/>
          <w:color w:val="000000" w:themeColor="text1"/>
          <w14:textFill>
            <w14:solidFill>
              <w14:schemeClr w14:val="tx1"/>
            </w14:solidFill>
          </w14:textFill>
        </w:rPr>
        <w:t>为主，面积6576m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；占地类型以</w:t>
      </w:r>
      <w:r>
        <w:rPr>
          <w:rFonts w:hint="eastAsia" w:cs="Times New Roman"/>
          <w:color w:val="000000" w:themeColor="text1"/>
          <w14:textFill>
            <w14:solidFill>
              <w14:schemeClr w14:val="tx1"/>
            </w14:solidFill>
          </w14:textFill>
        </w:rPr>
        <w:t>耕地</w:t>
      </w:r>
      <w:r>
        <w:rPr>
          <w:rFonts w:cs="Times New Roman"/>
          <w:color w:val="000000" w:themeColor="text1"/>
          <w14:textFill>
            <w14:solidFill>
              <w14:schemeClr w14:val="tx1"/>
            </w14:solidFill>
          </w14:textFill>
        </w:rPr>
        <w:t>为主，面积5643m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。这些新增占地将使占用的地表植被被剥离，在一定时间内改变土地利用的类型，但施工时间较短，施工结束后临时占地区将采取土地整平、植被恢复等措施，不会长期改变土地</w:t>
      </w:r>
      <w:r>
        <w:rPr>
          <w:rFonts w:hint="eastAsia" w:cs="Times New Roman"/>
          <w:color w:val="000000" w:themeColor="text1"/>
          <w14:textFill>
            <w14:solidFill>
              <w14:schemeClr w14:val="tx1"/>
            </w14:solidFill>
          </w14:textFill>
        </w:rPr>
        <w:t>类型</w:t>
      </w:r>
      <w:r>
        <w:rPr>
          <w:rFonts w:cs="Times New Roman"/>
          <w:color w:val="000000" w:themeColor="text1"/>
          <w14:textFill>
            <w14:solidFill>
              <w14:schemeClr w14:val="tx1"/>
            </w14:solidFill>
          </w14:textFill>
        </w:rPr>
        <w:t>，综合来看，整体上不会改变评价区内现有的土地利用类型的基本格局。</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由于本项目在建设期间会剥离表土、产生一定的裸露地面，出现地表植被破坏，施工区较易产生水土流失等特点，在项目建设中应当尽可能减少对土地的占用，严格在征地红线范围内施工，最大限度节约土地资源。</w:t>
      </w:r>
    </w:p>
    <w:p>
      <w:pPr>
        <w:pStyle w:val="5"/>
      </w:pPr>
      <w:r>
        <w:rPr>
          <w:rFonts w:hint="eastAsia"/>
        </w:rPr>
        <w:t>5.1.1.2</w:t>
      </w:r>
      <w:r>
        <w:t>对植被及生物量的影响</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（1）项目占地</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项目占地主要包井场、井场边坡、进场道路、放喷池、放喷管线、施工便道、表土堆场、生活营地，占地总面积12593m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，占地范围内不涉及国家保护野生植物和四川省重点保护野生植物。</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项目占地施工损毁的植被类型属于评价范围内普遍分布的类型，主要有马尾松、青冈、麻栎、栓皮栎等乔木林地及</w:t>
      </w:r>
      <w:r>
        <w:rPr>
          <w:rFonts w:hint="eastAsia" w:cs="Times New Roman"/>
          <w:color w:val="000000" w:themeColor="text1"/>
          <w14:textFill>
            <w14:solidFill>
              <w14:schemeClr w14:val="tx1"/>
            </w14:solidFill>
          </w14:textFill>
        </w:rPr>
        <w:t>农作为耕地</w:t>
      </w:r>
      <w:r>
        <w:rPr>
          <w:rFonts w:cs="Times New Roman"/>
          <w:color w:val="000000" w:themeColor="text1"/>
          <w14:textFill>
            <w14:solidFill>
              <w14:schemeClr w14:val="tx1"/>
            </w14:solidFill>
          </w14:textFill>
        </w:rPr>
        <w:t>，其物区系组成成分不会发生变化；因项目占地面积小，损失的只是局部群落及部分生产力和生物量，占评价区总生产力和总生物量的占比极低。</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（2）人员进驻及施工活动</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在项目建设期间，大量人员和车辆、机械的进场和建设活动将给施工区的生态环境造成一定的影响。施工人员的活动等都会对生活在本区域内的植被产生影响，主要表现在施工人员活动产生的废水、废渣、废气等废弃物对生态环境的影响等方面。施工区表土剥离、废水处理设施等施工活动对生态环境的影响最大，但是由于施工是临时的，在施工结束后随着临时用地区土地整平、植被更新恢复措施的实施，其影响会得到逐步恢复的。</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由上可见，项目施工占地12593m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使得在栖息在这片土上的生物资源受到影响，部分草地植被因生境发生改变而死亡，以此为栖息地的其他动物、微生物则失去原栖息场所，导致动、植物资源量减少，生物量受到一定影响。但项目占地相对整个宣汉县比例则极小，不会对该地区造成较大影响，同时，退役后，随着设施拆除、封井及植被恢复措施的实施及植被自然演替更新，占地影响也将逐渐消失。</w:t>
      </w:r>
    </w:p>
    <w:p>
      <w:pPr>
        <w:pStyle w:val="5"/>
      </w:pPr>
      <w:r>
        <w:rPr>
          <w:rFonts w:hint="eastAsia"/>
        </w:rPr>
        <w:t>5.1.1.3</w:t>
      </w:r>
      <w:r>
        <w:t>对景观生态的影响分析</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（1）对自然生态体系稳定性的影响</w:t>
      </w:r>
      <w:r>
        <w:rPr>
          <w:rFonts w:cs="Times New Roman"/>
          <w:b/>
          <w:bCs/>
          <w:color w:val="000000" w:themeColor="text1"/>
          <w:kern w:val="0"/>
          <w:szCs w:val="24"/>
          <w14:textFill>
            <w14:solidFill>
              <w14:schemeClr w14:val="tx1"/>
            </w14:solidFill>
          </w14:textFill>
        </w:rPr>
        <w:t>预测</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cs="Times New Roman"/>
          <w:color w:val="000000" w:themeColor="text1"/>
          <w14:textFill>
            <w14:solidFill>
              <w14:schemeClr w14:val="tx1"/>
            </w14:solidFill>
          </w14:textFill>
        </w:rPr>
        <w:t>恢复力稳定性影响分析</w:t>
      </w:r>
    </w:p>
    <w:p>
      <w:pPr>
        <w:ind w:firstLine="480"/>
        <w:rPr>
          <w:rFonts w:cs="Times New Roman"/>
          <w:color w:val="000000" w:themeColor="text1"/>
          <w14:textFill>
            <w14:solidFill>
              <w14:schemeClr w14:val="tx1"/>
            </w14:solidFill>
          </w14:textFill>
        </w:rPr>
      </w:pPr>
      <w:r>
        <w:rPr>
          <w:rFonts w:cs="Times New Roman"/>
          <w:bCs/>
          <w:color w:val="000000" w:themeColor="text1"/>
          <w14:textFill>
            <w14:solidFill>
              <w14:schemeClr w14:val="tx1"/>
            </w14:solidFill>
          </w14:textFill>
        </w:rPr>
        <w:t>对景观生态体系稳定状况的影响可以从恢复稳定性和阻抗稳定性两方面进行分析。恢复稳定性的度量通常采取对植被生物量进行度量的方法进行度量。项目建设会使评价区内自然生态体系的植被生物总量减少，评价范围域内景观生态体系有一定影响，退役后，随着设施拆除、植被恢复措施的实施及植被自然演替更新等，将会使项目占地区生态环境质量得到较大改善，植被会朝着正向演替方向发展，逐步恢复景观稳定性</w:t>
      </w:r>
      <w:r>
        <w:rPr>
          <w:rFonts w:cs="Times New Roman"/>
          <w:color w:val="000000" w:themeColor="text1"/>
          <w14:textFill>
            <w14:solidFill>
              <w14:schemeClr w14:val="tx1"/>
            </w14:solidFill>
          </w14:textFill>
        </w:rPr>
        <w:t>。</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rFonts w:cs="Times New Roman"/>
          <w:color w:val="000000" w:themeColor="text1"/>
          <w14:textFill>
            <w14:solidFill>
              <w14:schemeClr w14:val="tx1"/>
            </w14:solidFill>
          </w14:textFill>
        </w:rPr>
        <w:t>抵抗力稳定性影响分析</w:t>
      </w:r>
    </w:p>
    <w:p>
      <w:pPr>
        <w:ind w:firstLine="480"/>
        <w:rPr>
          <w:rFonts w:cs="Times New Roman"/>
          <w:color w:val="000000" w:themeColor="text1"/>
          <w14:textFill>
            <w14:solidFill>
              <w14:schemeClr w14:val="tx1"/>
            </w14:solidFill>
          </w14:textFill>
        </w:rPr>
      </w:pPr>
      <w:r>
        <w:rPr>
          <w:rFonts w:cs="Times New Roman"/>
          <w:bCs/>
          <w:color w:val="000000" w:themeColor="text1"/>
          <w14:textFill>
            <w14:solidFill>
              <w14:schemeClr w14:val="tx1"/>
            </w14:solidFill>
          </w14:textFill>
        </w:rPr>
        <w:t>占地损失的物种如马尾松、青冈、麻栎、栓皮栎等群系均属广布种，对物种种类没有影响，仅损失部分生物量。在景观异质性影响方面，本评价范围的森林、灌丛、草地、耕地拼块在项目实施后所发生的变化主要是拼块面积的变化，而在拼块数量（密度）、拼块频率等要素特征上发生变化较小，随着设施拆除、植被恢复措施的实施及植被自然演替更新等，评价范围内森林植被还将是当地的模地，模地不会动摇，景观的异质性不会发生质的变化</w:t>
      </w:r>
      <w:r>
        <w:rPr>
          <w:rFonts w:cs="Times New Roman"/>
          <w:color w:val="000000" w:themeColor="text1"/>
          <w14:textFill>
            <w14:solidFill>
              <w14:schemeClr w14:val="tx1"/>
            </w14:solidFill>
          </w14:textFill>
        </w:rPr>
        <w:t>。</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（2）景观生态体系质量影响</w:t>
      </w:r>
      <w:r>
        <w:rPr>
          <w:rFonts w:cs="Times New Roman"/>
          <w:b/>
          <w:bCs/>
          <w:color w:val="000000" w:themeColor="text1"/>
          <w:kern w:val="0"/>
          <w:szCs w:val="24"/>
          <w14:textFill>
            <w14:solidFill>
              <w14:schemeClr w14:val="tx1"/>
            </w14:solidFill>
          </w14:textFill>
        </w:rPr>
        <w:t>预测</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森林拼块与耕地的景观优势度远高于其他拼块，属模地，在评价范围内占有十分重要的地位。项目实施后，对当地的自然系统造成一定损害，但各拼块的优势度值变化较小，生态环境不会发生质的变化。</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（3）对自然景观协调性影响预测</w:t>
      </w:r>
    </w:p>
    <w:p>
      <w:pPr>
        <w:ind w:firstLine="480"/>
        <w:rPr>
          <w:rFonts w:cs="Times New Roman"/>
          <w:color w:val="000000" w:themeColor="text1"/>
          <w14:textFill>
            <w14:solidFill>
              <w14:schemeClr w14:val="tx1"/>
            </w14:solidFill>
          </w14:textFill>
        </w:rPr>
      </w:pPr>
      <w:r>
        <w:rPr>
          <w:rFonts w:cs="Times New Roman"/>
          <w:bCs/>
          <w:color w:val="000000" w:themeColor="text1"/>
          <w14:textFill>
            <w14:solidFill>
              <w14:schemeClr w14:val="tx1"/>
            </w14:solidFill>
          </w14:textFill>
        </w:rPr>
        <w:t>项目施工在视觉上会对项目区产生一定的影响，占据一定的数据空间及景观节点，尤其是与周边绿色植被环境形成明显的视觉异质性；施工便道等线性工程会形成景观廊道，将不可避免的改变沿线传统的视觉环境。本项目施工对周边原本连续的自然景观环境形成切割，对其空间连续性造成一定的破坏。切割山坡、植被，使绿色的背景呈现出明显的人工印迹。建议在项目退役后及时拆除临时建筑设施，恢复植被，尽量采用以当地乡土灌草先锋物种种植为首选的临时植被恢复工程，增加与周围自然景观的协调性</w:t>
      </w:r>
      <w:r>
        <w:rPr>
          <w:rFonts w:cs="Times New Roman"/>
          <w:color w:val="000000" w:themeColor="text1"/>
          <w14:textFill>
            <w14:solidFill>
              <w14:schemeClr w14:val="tx1"/>
            </w14:solidFill>
          </w14:textFill>
        </w:rPr>
        <w:t>。</w:t>
      </w:r>
    </w:p>
    <w:p>
      <w:pPr>
        <w:pStyle w:val="5"/>
      </w:pPr>
      <w:r>
        <w:rPr>
          <w:rFonts w:hint="eastAsia"/>
        </w:rPr>
        <w:t>5.1.1.4</w:t>
      </w:r>
      <w:r>
        <w:t>对生态系统类型影响分析</w:t>
      </w:r>
    </w:p>
    <w:p>
      <w:pPr>
        <w:pStyle w:val="5"/>
      </w:pPr>
      <w:r>
        <w:t>5.1.1.5对生态系统结构稳定性分析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w:t>
      </w:r>
      <w:r>
        <w:rPr>
          <w:rFonts w:hint="eastAsia" w:cs="Times New Roman"/>
          <w:color w:val="000000" w:themeColor="text1"/>
          <w14:textFill>
            <w14:solidFill>
              <w14:schemeClr w14:val="tx1"/>
            </w14:solidFill>
          </w14:textFill>
        </w:rPr>
        <w:t>新增</w:t>
      </w:r>
      <w:r>
        <w:rPr>
          <w:rFonts w:cs="Times New Roman"/>
          <w:color w:val="000000" w:themeColor="text1"/>
          <w14:textFill>
            <w14:solidFill>
              <w14:schemeClr w14:val="tx1"/>
            </w14:solidFill>
          </w14:textFill>
        </w:rPr>
        <w:t>占地主要为井场、井场边坡、进场道路、放喷池、放喷管线、施工便道、表土堆场、生活营地占地，占地总面积12593m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项目建设不会对该区域植被分布情况和植被群落结构造成大的改变，项目对评价区内的草地自然生态系统的类型完整性和结构稳定性影响较小，可忽略不计；随着退役后占地设施拆除和地形地貌以及植被恢复措施的实施，评价区内各生态系统（尤其是森林、灌丛和草地）面积、结构和功能会得到恢复；各类生态系统的结构与功能完整性、以及生态服务功能的完整性并不会受到项目施工运营的直接影响，依然具有维持良性发展的潜力。</w:t>
      </w:r>
    </w:p>
    <w:p>
      <w:pPr>
        <w:pStyle w:val="5"/>
      </w:pPr>
      <w:r>
        <w:rPr>
          <w:rFonts w:hint="eastAsia"/>
        </w:rPr>
        <w:t>5.1.1.6</w:t>
      </w:r>
      <w:r>
        <w:t>对生态系统完整性的影响分析</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1、对生态效能的影响</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项目施工占用的植被均属于当地常见的物种，项目建设虽然会对该区域的生态环境和生态效能产生一定影响，但是局部植被资源的减少对区域生态效能影响不大。同时，项目在设计与施工各个环节中采取多种水土保持措施，项目退役后通过地形地貌及植被更新恢复，可保持较稳定的生态系统，因此项目建设对生态效能的影响可忽略不计。</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2、对景观风貌的影响</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项目建设产生的表土剥离、运输等活动，均会影响土体的结构，降低原来地表的固土保水能力，改变其结构特征，自然景观受到一定影响，但在项目退役后，随着占地设施拆除及植被自然恢复，项目区范围内的动、植物的繁衍条件将得以恢复，景观风貌也会逐步恢复。</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3、对环境质量的影响</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项目建设过程中将造成一定的地表植被破坏，加剧水土流失；占地区表土剥离、运输、堆放等过程产生的扬尘和粉尘，造成小部分空气环境污染；施工中产生的废水、生活污水可能引起周边水质暂时的污染。但其不利影响是短暂的，项目建设过程中采取的技术措施可最大程度减少负面影响，项目建设对环境质量的影响很小。</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4、对物种多样性的影响</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项目占地范围自然植被类型主要有马尾松、青冈、麻栎、栓皮栎</w:t>
      </w:r>
      <w:r>
        <w:rPr>
          <w:rFonts w:hint="eastAsia" w:cs="Times New Roman"/>
          <w:bCs/>
          <w:color w:val="000000" w:themeColor="text1"/>
          <w14:textFill>
            <w14:solidFill>
              <w14:schemeClr w14:val="tx1"/>
            </w14:solidFill>
          </w14:textFill>
        </w:rPr>
        <w:t>及</w:t>
      </w:r>
      <w:r>
        <w:rPr>
          <w:rFonts w:cs="Times New Roman"/>
          <w:bCs/>
          <w:color w:val="000000" w:themeColor="text1"/>
          <w14:textFill>
            <w14:solidFill>
              <w14:schemeClr w14:val="tx1"/>
            </w14:solidFill>
          </w14:textFill>
        </w:rPr>
        <w:t>农作物等常见植被，群落结构和组成相对简单，且均为当地常见类型，分布较广，施工期对生物群落多样性、生态系统多样性及完整性的影响较小，项目占地不会对用地范围物种多样性和生态功能产生较大影响。</w:t>
      </w:r>
    </w:p>
    <w:p>
      <w:pPr>
        <w:ind w:firstLine="480"/>
        <w:rPr>
          <w:rFonts w:cs="Times New Roman"/>
          <w:color w:val="000000" w:themeColor="text1"/>
          <w14:textFill>
            <w14:solidFill>
              <w14:schemeClr w14:val="tx1"/>
            </w14:solidFill>
          </w14:textFill>
        </w:rPr>
      </w:pPr>
      <w:r>
        <w:rPr>
          <w:rFonts w:cs="Times New Roman"/>
          <w:bCs/>
          <w:color w:val="000000" w:themeColor="text1"/>
          <w14:textFill>
            <w14:solidFill>
              <w14:schemeClr w14:val="tx1"/>
            </w14:solidFill>
          </w14:textFill>
        </w:rPr>
        <w:t>综上所述，项目建设对项目区及周边区域生态效能、景观风貌、环境质量、物种多样性等生态因子影响很小，项目建设不会对区域生态完整性产生影响</w:t>
      </w:r>
      <w:r>
        <w:rPr>
          <w:rFonts w:cs="Times New Roman"/>
          <w:color w:val="000000" w:themeColor="text1"/>
          <w14:textFill>
            <w14:solidFill>
              <w14:schemeClr w14:val="tx1"/>
            </w14:solidFill>
          </w14:textFill>
        </w:rPr>
        <w:t>。</w:t>
      </w:r>
    </w:p>
    <w:p>
      <w:pPr>
        <w:pStyle w:val="5"/>
      </w:pPr>
      <w:r>
        <w:rPr>
          <w:rFonts w:hint="eastAsia"/>
        </w:rPr>
        <w:t>5.1.1.7</w:t>
      </w:r>
      <w:r>
        <w:t>对生态系统服务功能的影响分析</w:t>
      </w:r>
    </w:p>
    <w:p>
      <w:pPr>
        <w:pStyle w:val="129"/>
        <w:ind w:firstLine="480"/>
        <w:rPr>
          <w:bCs/>
          <w:color w:val="000000" w:themeColor="text1"/>
          <w14:textFill>
            <w14:solidFill>
              <w14:schemeClr w14:val="tx1"/>
            </w14:solidFill>
          </w14:textFill>
        </w:rPr>
      </w:pPr>
      <w:r>
        <w:rPr>
          <w:bCs/>
          <w:color w:val="000000" w:themeColor="text1"/>
          <w14:textFill>
            <w14:solidFill>
              <w14:schemeClr w14:val="tx1"/>
            </w14:solidFill>
          </w14:textFill>
        </w:rPr>
        <w:t>（1）水土流失与水源涵养功能的影响</w:t>
      </w:r>
    </w:p>
    <w:p>
      <w:pPr>
        <w:pStyle w:val="129"/>
        <w:ind w:firstLine="480"/>
        <w:rPr>
          <w:bCs/>
          <w:color w:val="000000" w:themeColor="text1"/>
          <w14:textFill>
            <w14:solidFill>
              <w14:schemeClr w14:val="tx1"/>
            </w14:solidFill>
          </w14:textFill>
        </w:rPr>
      </w:pPr>
      <w:bookmarkStart w:id="242" w:name="_Hlk145532519"/>
      <w:r>
        <w:rPr>
          <w:bCs/>
          <w:color w:val="000000" w:themeColor="text1"/>
          <w14:textFill>
            <w14:solidFill>
              <w14:schemeClr w14:val="tx1"/>
            </w14:solidFill>
          </w14:textFill>
        </w:rPr>
        <w:t>评价区地表植被覆盖度高，但由于地形地貌的特殊性和降水量较大等特点使得水力侵蚀过程明显。项目建设对评价区水土流失的影响主要集中在项目建设期施工占地，如果不能及时采取相应的防护措施处理或治理，会造成新的水土流失。在项目施工过程中要尽量减少了对周边区域地表植被的破坏，并对填挖高度进行严格的控制。</w:t>
      </w:r>
    </w:p>
    <w:p>
      <w:pPr>
        <w:pStyle w:val="129"/>
        <w:ind w:firstLine="480"/>
        <w:rPr>
          <w:bCs/>
          <w:color w:val="000000" w:themeColor="text1"/>
          <w14:textFill>
            <w14:solidFill>
              <w14:schemeClr w14:val="tx1"/>
            </w14:solidFill>
          </w14:textFill>
        </w:rPr>
      </w:pPr>
      <w:r>
        <w:rPr>
          <w:bCs/>
          <w:color w:val="000000" w:themeColor="text1"/>
          <w14:textFill>
            <w14:solidFill>
              <w14:schemeClr w14:val="tx1"/>
            </w14:solidFill>
          </w14:textFill>
        </w:rPr>
        <w:t>森林和灌草丛等在评价区内发挥着较为重要的水源涵养功能，因此在施工结束及运营阶段应特别注重林草种植和植被恢复，通过增加植被覆盖，促进土壤蓄渗降水；而乔灌的枯枝落叶层吸收水分等方式对水资源进行充分利用，尽量选择乡土阔叶植物作为恢复树种，注意因地制宜和加强管理</w:t>
      </w:r>
      <w:bookmarkEnd w:id="242"/>
      <w:r>
        <w:rPr>
          <w:bCs/>
          <w:color w:val="000000" w:themeColor="text1"/>
          <w14:textFill>
            <w14:solidFill>
              <w14:schemeClr w14:val="tx1"/>
            </w14:solidFill>
          </w14:textFill>
        </w:rPr>
        <w:t>。</w:t>
      </w:r>
    </w:p>
    <w:p>
      <w:pPr>
        <w:pStyle w:val="129"/>
        <w:ind w:firstLine="480"/>
        <w:rPr>
          <w:bCs/>
          <w:color w:val="000000" w:themeColor="text1"/>
          <w14:textFill>
            <w14:solidFill>
              <w14:schemeClr w14:val="tx1"/>
            </w14:solidFill>
          </w14:textFill>
        </w:rPr>
      </w:pPr>
      <w:r>
        <w:rPr>
          <w:bCs/>
          <w:color w:val="000000" w:themeColor="text1"/>
          <w14:textFill>
            <w14:solidFill>
              <w14:schemeClr w14:val="tx1"/>
            </w14:solidFill>
          </w14:textFill>
        </w:rPr>
        <w:t>（2）对其它生态服务功能的影响</w:t>
      </w:r>
    </w:p>
    <w:p>
      <w:pPr>
        <w:pStyle w:val="129"/>
        <w:ind w:firstLine="480"/>
        <w:rPr>
          <w:bCs/>
          <w:color w:val="000000" w:themeColor="text1"/>
          <w14:textFill>
            <w14:solidFill>
              <w14:schemeClr w14:val="tx1"/>
            </w14:solidFill>
          </w14:textFill>
        </w:rPr>
      </w:pPr>
      <w:r>
        <w:rPr>
          <w:bCs/>
          <w:color w:val="000000" w:themeColor="text1"/>
          <w14:textFill>
            <w14:solidFill>
              <w14:schemeClr w14:val="tx1"/>
            </w14:solidFill>
          </w14:textFill>
        </w:rPr>
        <w:t>评价区内陆生生态资源除具有防止水土流失和水源涵养功能外，还具有保育土壤功能、净化大气环境、固碳释放以及积累营养物质等多种生态服务功能。其中保育土壤主要是指森林中活地被物和凋落物层层截留降水，降低水滴对表土的冲击和地表径流的侵蚀作用；同时林木根系固持土壤，防止土壤崩塌泻溜，减少土壤肥力损失以及改善土壤结构的功能，这就要求施工和试采期间的闲置土地及裸地应及时种植植被，以减少土壤养分的流失。本项目建设尽管占用了部分乔灌草丛等自然生态系统，部分改变了土地利用类型，但对评价区内自然生态系统肩负的维持生物多样性、净化空气、调节小气候等生态服务功能的影响还是非常间接和有限的。</w:t>
      </w:r>
    </w:p>
    <w:p>
      <w:pPr>
        <w:ind w:firstLine="480"/>
        <w:rPr>
          <w:rFonts w:cs="Times New Roman"/>
          <w:color w:val="000000" w:themeColor="text1"/>
          <w14:textFill>
            <w14:solidFill>
              <w14:schemeClr w14:val="tx1"/>
            </w14:solidFill>
          </w14:textFill>
        </w:rPr>
      </w:pPr>
      <w:r>
        <w:rPr>
          <w:rFonts w:cs="Times New Roman"/>
          <w:bCs/>
          <w:color w:val="000000" w:themeColor="text1"/>
          <w14:textFill>
            <w14:solidFill>
              <w14:schemeClr w14:val="tx1"/>
            </w14:solidFill>
          </w14:textFill>
        </w:rPr>
        <w:t>综上所述，本项目的建设对评价范围生态环境会有一定的影响，但不会显著改变评价范围的植物物种多样性状况、植被组成类型、动物多样性和种群结构组成。项目建设对景观生态系统的影响范围有限，评价范围内各类拼块构成、廊道类型和基质特点、各类环境资源拼块优势度等景观格局和动态不会发生明显变化；森林生态系统、灌丛和草地生态系统和河流生态系统的稳定性和景观完整性没有显著影响。在采取植被恢复、水土流失防治措施、野生动植物保护等措施的情况下，本项目造成的生态影响可得到有效减缓，生态系统的稳定性尚好</w:t>
      </w:r>
      <w:r>
        <w:rPr>
          <w:rFonts w:cs="Times New Roman"/>
          <w:color w:val="000000" w:themeColor="text1"/>
          <w14:textFill>
            <w14:solidFill>
              <w14:schemeClr w14:val="tx1"/>
            </w14:solidFill>
          </w14:textFill>
        </w:rPr>
        <w:t>。</w:t>
      </w:r>
    </w:p>
    <w:p>
      <w:pPr>
        <w:pStyle w:val="5"/>
      </w:pPr>
      <w:r>
        <w:rPr>
          <w:rFonts w:hint="eastAsia"/>
        </w:rPr>
        <w:t>5.1.1.8</w:t>
      </w:r>
      <w:r>
        <w:t>对物种多样性的影响分析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建设影响的只是占地范围内的物种多样性，由原来的耕地、林地、灌草丛生态系统临时变为工矿用地生态系统，损失的只是占地期限内占地范围的生物量和生产力，不会产生时间或空间的累计作用，不会导致生境丧失、退化及破碎化、生态系统退化、生物多样性下降等情况发生，且管道施工等临时占地部分施工结束后立即对占地进行植被恢复或复垦，可进一步降低对生物多样性的影响。</w:t>
      </w:r>
    </w:p>
    <w:p>
      <w:pPr>
        <w:pStyle w:val="5"/>
      </w:pPr>
      <w:r>
        <w:rPr>
          <w:rFonts w:hint="eastAsia"/>
        </w:rPr>
        <w:t>5.1.1.9</w:t>
      </w:r>
      <w:r>
        <w:t>对陆生野生动物的影响分析</w:t>
      </w:r>
    </w:p>
    <w:p>
      <w:pPr>
        <w:ind w:firstLine="480"/>
        <w:rPr>
          <w:rFonts w:cs="Times New Roman"/>
          <w:bCs/>
          <w:color w:val="000000" w:themeColor="text1"/>
          <w14:textFill>
            <w14:solidFill>
              <w14:schemeClr w14:val="tx1"/>
            </w14:solidFill>
          </w14:textFill>
        </w:rPr>
      </w:pPr>
      <w:r>
        <w:rPr>
          <w:rFonts w:hint="eastAsia" w:ascii="宋体" w:hAnsi="宋体" w:cs="宋体"/>
          <w:bCs/>
          <w:color w:val="000000" w:themeColor="text1"/>
          <w14:textFill>
            <w14:solidFill>
              <w14:schemeClr w14:val="tx1"/>
            </w14:solidFill>
          </w14:textFill>
        </w:rPr>
        <w:t>①</w:t>
      </w:r>
      <w:r>
        <w:rPr>
          <w:rFonts w:cs="Times New Roman"/>
          <w:bCs/>
          <w:color w:val="000000" w:themeColor="text1"/>
          <w14:textFill>
            <w14:solidFill>
              <w14:schemeClr w14:val="tx1"/>
            </w14:solidFill>
          </w14:textFill>
        </w:rPr>
        <w:t>施工占地</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项目占地类型主要为乔灌草及耕地。生活在这类土地的动物均为常见种，如鸟、兔、鼠类等，施工占地等会改变周边小生境，对其生存环境有短暂影响，对于依赖灌草丛为栖息、活动、隐蔽场所的野生动物来说，其生境在某种程度上会受到一定的影响，但在非施工区也可以找到相同或相似生境，可迁移到合适生境中生活，对其生存不会造成威胁，项目退役后这类动物还可迁回。对于迁移能力弱的动物，因占地面积较少，损失只局限于少数个体，不会对种群数量产生影响。</w:t>
      </w:r>
    </w:p>
    <w:p>
      <w:pPr>
        <w:ind w:firstLine="480"/>
        <w:rPr>
          <w:rFonts w:cs="Times New Roman"/>
          <w:bCs/>
          <w:color w:val="000000" w:themeColor="text1"/>
          <w14:textFill>
            <w14:solidFill>
              <w14:schemeClr w14:val="tx1"/>
            </w14:solidFill>
          </w14:textFill>
        </w:rPr>
      </w:pPr>
      <w:r>
        <w:rPr>
          <w:rFonts w:hint="eastAsia" w:ascii="宋体" w:hAnsi="宋体" w:cs="宋体"/>
          <w:bCs/>
          <w:color w:val="000000" w:themeColor="text1"/>
          <w:lang w:eastAsia="ja-JP"/>
          <w14:textFill>
            <w14:solidFill>
              <w14:schemeClr w14:val="tx1"/>
            </w14:solidFill>
          </w14:textFill>
        </w:rPr>
        <w:t>②</w:t>
      </w:r>
      <w:r>
        <w:rPr>
          <w:rFonts w:cs="Times New Roman"/>
          <w:bCs/>
          <w:color w:val="000000" w:themeColor="text1"/>
          <w14:textFill>
            <w14:solidFill>
              <w14:schemeClr w14:val="tx1"/>
            </w14:solidFill>
          </w14:textFill>
        </w:rPr>
        <w:t>施工人员非法捕猎</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由于施工人员进入，可能有非法捕猎，直接杀死动物、鸟类。可通过加强教育宣传来杜绝此类行为。</w:t>
      </w:r>
    </w:p>
    <w:p>
      <w:pPr>
        <w:ind w:firstLine="480"/>
        <w:rPr>
          <w:rFonts w:cs="Times New Roman"/>
          <w:bCs/>
          <w:color w:val="000000" w:themeColor="text1"/>
          <w:lang w:eastAsia="ja-JP"/>
          <w14:textFill>
            <w14:solidFill>
              <w14:schemeClr w14:val="tx1"/>
            </w14:solidFill>
          </w14:textFill>
        </w:rPr>
      </w:pPr>
      <w:r>
        <w:rPr>
          <w:rFonts w:hint="eastAsia" w:ascii="宋体" w:hAnsi="宋体" w:cs="宋体"/>
          <w:bCs/>
          <w:color w:val="000000" w:themeColor="text1"/>
          <w:lang w:eastAsia="ja-JP"/>
          <w14:textFill>
            <w14:solidFill>
              <w14:schemeClr w14:val="tx1"/>
            </w14:solidFill>
          </w14:textFill>
        </w:rPr>
        <w:t>③</w:t>
      </w:r>
      <w:r>
        <w:rPr>
          <w:rFonts w:cs="Times New Roman"/>
          <w:bCs/>
          <w:color w:val="000000" w:themeColor="text1"/>
          <w:lang w:eastAsia="ja-JP"/>
          <w14:textFill>
            <w14:solidFill>
              <w14:schemeClr w14:val="tx1"/>
            </w14:solidFill>
          </w14:textFill>
        </w:rPr>
        <w:t>施工活动</w:t>
      </w:r>
    </w:p>
    <w:p>
      <w:pPr>
        <w:ind w:firstLine="480"/>
        <w:rPr>
          <w:rFonts w:cs="Times New Roman"/>
          <w:color w:val="000000" w:themeColor="text1"/>
          <w14:textFill>
            <w14:solidFill>
              <w14:schemeClr w14:val="tx1"/>
            </w14:solidFill>
          </w14:textFill>
        </w:rPr>
      </w:pPr>
      <w:r>
        <w:rPr>
          <w:rFonts w:cs="Times New Roman"/>
          <w:bCs/>
          <w:color w:val="000000" w:themeColor="text1"/>
          <w14:textFill>
            <w14:solidFill>
              <w14:schemeClr w14:val="tx1"/>
            </w14:solidFill>
          </w14:textFill>
        </w:rPr>
        <w:t>项目施工可直接破坏一些分布在施工区域内动物的生存环境，如一些蛇类、蛙类和鼠类等的栖息洞穴；项目施工还可直接杀死一些生活在施工区域内的动物，这些动物主要是无迁移能力或迁移能力较弱的幼体及在施工时还栖息在洞穴内的部分蛇类、蛙类和鼠类等。由于施工区的范围有限，上述两种情况不会对动物组成和多度产生较大影响。项目施工对其它动物的影响主要还是间接影响，即施工噪声迫使绝大多数动物的成体通过迁移方式远离施工区，但当施工结束后，施工区域内或施工区附近的植被逐渐恢复，这些动物又会逐渐返回</w:t>
      </w:r>
      <w:r>
        <w:rPr>
          <w:rFonts w:cs="Times New Roman"/>
          <w:color w:val="000000" w:themeColor="text1"/>
          <w14:textFill>
            <w14:solidFill>
              <w14:schemeClr w14:val="tx1"/>
            </w14:solidFill>
          </w14:textFill>
        </w:rPr>
        <w:t>。</w:t>
      </w:r>
    </w:p>
    <w:p>
      <w:pPr>
        <w:pStyle w:val="5"/>
      </w:pPr>
      <w:r>
        <w:rPr>
          <w:rFonts w:hint="eastAsia"/>
        </w:rPr>
        <w:t>5.1.1.10</w:t>
      </w:r>
      <w:r>
        <w:t>对重点保护野生动植物的影响分析</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根据实地调查，在项目评价区内未发现上述国家和省级重点保护野生植物。</w:t>
      </w:r>
    </w:p>
    <w:p>
      <w:pPr>
        <w:pStyle w:val="5"/>
      </w:pPr>
      <w:r>
        <w:rPr>
          <w:rFonts w:hint="eastAsia"/>
        </w:rPr>
        <w:t>5.1.1.11</w:t>
      </w:r>
      <w:r>
        <w:t>对天然林、公益林及生态红线影响分析</w:t>
      </w:r>
    </w:p>
    <w:p>
      <w:pPr>
        <w:ind w:firstLine="480"/>
        <w:rPr>
          <w:rFonts w:cs="Times New Roman"/>
          <w:bCs/>
          <w:color w:val="000000" w:themeColor="text1"/>
          <w14:textFill>
            <w14:solidFill>
              <w14:schemeClr w14:val="tx1"/>
            </w14:solidFill>
          </w14:textFill>
        </w:rPr>
      </w:pPr>
      <w:r>
        <w:rPr>
          <w:rFonts w:cs="Times New Roman"/>
          <w:color w:val="000000" w:themeColor="text1"/>
          <w:szCs w:val="20"/>
          <w14:textFill>
            <w14:solidFill>
              <w14:schemeClr w14:val="tx1"/>
            </w14:solidFill>
          </w14:textFill>
        </w:rPr>
        <w:t>项目井场占地不涉及天然林、公益林，因此对天然林、公益林的结构、稳定性无明显影响</w:t>
      </w:r>
      <w:r>
        <w:rPr>
          <w:rFonts w:cs="Times New Roman"/>
          <w:bCs/>
          <w:color w:val="000000" w:themeColor="text1"/>
          <w14:textFill>
            <w14:solidFill>
              <w14:schemeClr w14:val="tx1"/>
            </w14:solidFill>
          </w14:textFill>
        </w:rPr>
        <w:t>。</w:t>
      </w:r>
    </w:p>
    <w:p>
      <w:pPr>
        <w:pStyle w:val="5"/>
      </w:pPr>
      <w:r>
        <w:t>5.1.1.12水土流失影响分析</w:t>
      </w:r>
    </w:p>
    <w:p>
      <w:pPr>
        <w:ind w:firstLine="480"/>
        <w:rPr>
          <w:rFonts w:cs="Times New Roman"/>
          <w:bCs/>
          <w:color w:val="000000" w:themeColor="text1"/>
          <w14:textFill>
            <w14:solidFill>
              <w14:schemeClr w14:val="tx1"/>
            </w14:solidFill>
          </w14:textFill>
        </w:rPr>
      </w:pPr>
      <w:r>
        <w:rPr>
          <w:rFonts w:cs="Times New Roman"/>
          <w:bCs/>
          <w:color w:val="000000" w:themeColor="text1"/>
          <w:szCs w:val="24"/>
          <w14:textFill>
            <w14:solidFill>
              <w14:schemeClr w14:val="tx1"/>
            </w14:solidFill>
          </w14:textFill>
        </w:rPr>
        <w:t>根据达州市水利局《关于水土保持“两区”划分的公告》，本项目涉及水土流失重点预防区</w:t>
      </w:r>
      <w:r>
        <w:rPr>
          <w:rFonts w:cs="Times New Roman"/>
          <w:bCs/>
          <w:color w:val="000000" w:themeColor="text1"/>
          <w14:textFill>
            <w14:solidFill>
              <w14:schemeClr w14:val="tx1"/>
            </w14:solidFill>
          </w14:textFill>
        </w:rPr>
        <w:t>，本项目在建设和运营期间必须加强水土保持工作，最大限度地减少工程建设造成的水土流失危害。</w:t>
      </w:r>
    </w:p>
    <w:p>
      <w:pPr>
        <w:ind w:firstLine="480"/>
        <w:rPr>
          <w:rFonts w:cs="Times New Roman"/>
          <w:bCs/>
          <w:color w:val="000000" w:themeColor="text1"/>
          <w14:textFill>
            <w14:solidFill>
              <w14:schemeClr w14:val="tx1"/>
            </w14:solidFill>
          </w14:textFill>
        </w:rPr>
      </w:pPr>
      <w:bookmarkStart w:id="243" w:name="_Hlk51604865"/>
      <w:r>
        <w:rPr>
          <w:rFonts w:cs="Times New Roman"/>
          <w:bCs/>
          <w:color w:val="000000" w:themeColor="text1"/>
          <w14:textFill>
            <w14:solidFill>
              <w14:schemeClr w14:val="tx1"/>
            </w14:solidFill>
          </w14:textFill>
        </w:rPr>
        <w:t>根据区域水土流失资料分析及水土流失现状调查，项目区水土流失类型主要为水力侵蚀，水力侵蚀以轻度和中度为主。</w:t>
      </w:r>
      <w:bookmarkEnd w:id="243"/>
      <w:r>
        <w:rPr>
          <w:rFonts w:cs="Times New Roman"/>
          <w:bCs/>
          <w:color w:val="000000" w:themeColor="text1"/>
          <w14:textFill>
            <w14:solidFill>
              <w14:schemeClr w14:val="tx1"/>
            </w14:solidFill>
          </w14:textFill>
        </w:rPr>
        <w:t>本项目对区域水土流失的影响主要是施工期的短暂影响，其引发水土流失的主要因素有：土石方及表土的大量堆放；井场等基建造成的地表裸露；基础施工等对原地形地貌、植被等产生的扰动、破坏或再塑等。</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本工程地处土石山区，水土流失形式以水力侵蚀为主，主要表现为面蚀。工程属于建设生产类项目，水土流失主要发生在施工期。根据主体工程提供的设计资料和基建施工工艺，分析本项目施工期可能造成的水土流失危害主要有：</w:t>
      </w:r>
    </w:p>
    <w:p>
      <w:pPr>
        <w:ind w:firstLine="480"/>
        <w:rPr>
          <w:rFonts w:cs="Times New Roman"/>
          <w:bCs/>
          <w:color w:val="000000" w:themeColor="text1"/>
          <w14:textFill>
            <w14:solidFill>
              <w14:schemeClr w14:val="tx1"/>
            </w14:solidFill>
          </w14:textFill>
        </w:rPr>
      </w:pPr>
      <w:r>
        <w:rPr>
          <w:rFonts w:hint="eastAsia" w:ascii="宋体" w:hAnsi="宋体" w:cs="宋体"/>
          <w:bCs/>
          <w:color w:val="000000" w:themeColor="text1"/>
          <w14:textFill>
            <w14:solidFill>
              <w14:schemeClr w14:val="tx1"/>
            </w14:solidFill>
          </w14:textFill>
        </w:rPr>
        <w:t>①</w:t>
      </w:r>
      <w:r>
        <w:rPr>
          <w:rFonts w:cs="Times New Roman"/>
          <w:bCs/>
          <w:color w:val="000000" w:themeColor="text1"/>
          <w14:textFill>
            <w14:solidFill>
              <w14:schemeClr w14:val="tx1"/>
            </w14:solidFill>
          </w14:textFill>
        </w:rPr>
        <w:t>项目建设损坏了原区域的林地等水土保持设施，使原有区域失去了基本的水土保持功能，使区内水资源失去保护屏障，加大水土流失强度。</w:t>
      </w:r>
    </w:p>
    <w:p>
      <w:pPr>
        <w:ind w:firstLine="480"/>
        <w:rPr>
          <w:rFonts w:cs="Times New Roman"/>
          <w:bCs/>
          <w:color w:val="000000" w:themeColor="text1"/>
          <w14:textFill>
            <w14:solidFill>
              <w14:schemeClr w14:val="tx1"/>
            </w14:solidFill>
          </w14:textFill>
        </w:rPr>
      </w:pPr>
      <w:r>
        <w:rPr>
          <w:rFonts w:hint="eastAsia" w:ascii="宋体" w:hAnsi="宋体" w:cs="宋体"/>
          <w:bCs/>
          <w:color w:val="000000" w:themeColor="text1"/>
          <w14:textFill>
            <w14:solidFill>
              <w14:schemeClr w14:val="tx1"/>
            </w14:solidFill>
          </w14:textFill>
        </w:rPr>
        <w:t>②</w:t>
      </w:r>
      <w:r>
        <w:rPr>
          <w:rFonts w:cs="Times New Roman"/>
          <w:bCs/>
          <w:color w:val="000000" w:themeColor="text1"/>
          <w14:textFill>
            <w14:solidFill>
              <w14:schemeClr w14:val="tx1"/>
            </w14:solidFill>
          </w14:textFill>
        </w:rPr>
        <w:t>工程在建设期间，有较大面积的土石方开挖，造成地表裸露面积较大。在不能及时实施挡墙、排水等措施情况下，裸露地表造成水土流失，表土、土石方堆体易发生坍塌等灾害。</w:t>
      </w:r>
    </w:p>
    <w:p>
      <w:pPr>
        <w:ind w:firstLine="480"/>
        <w:rPr>
          <w:rFonts w:cs="Times New Roman"/>
          <w:bCs/>
          <w:color w:val="000000" w:themeColor="text1"/>
          <w14:textFill>
            <w14:solidFill>
              <w14:schemeClr w14:val="tx1"/>
            </w14:solidFill>
          </w14:textFill>
        </w:rPr>
      </w:pPr>
      <w:r>
        <w:rPr>
          <w:rFonts w:hint="eastAsia" w:ascii="宋体" w:hAnsi="宋体" w:cs="宋体"/>
          <w:bCs/>
          <w:color w:val="000000" w:themeColor="text1"/>
          <w14:textFill>
            <w14:solidFill>
              <w14:schemeClr w14:val="tx1"/>
            </w14:solidFill>
          </w14:textFill>
        </w:rPr>
        <w:t>③</w:t>
      </w:r>
      <w:r>
        <w:rPr>
          <w:rFonts w:cs="Times New Roman"/>
          <w:bCs/>
          <w:color w:val="000000" w:themeColor="text1"/>
          <w14:textFill>
            <w14:solidFill>
              <w14:schemeClr w14:val="tx1"/>
            </w14:solidFill>
          </w14:textFill>
        </w:rPr>
        <w:t>较严重的水土流失将直接对项目下游地势较低的耕地、道路等造成直接危害。大量流失的泥沙将会淤积排洪沟，降低其调洪、泄洪能力，对下游植被也会造成一定的影响。</w:t>
      </w:r>
    </w:p>
    <w:p>
      <w:pPr>
        <w:ind w:firstLine="480"/>
        <w:rPr>
          <w:rFonts w:cs="Times New Roman"/>
          <w:bCs/>
          <w:color w:val="000000" w:themeColor="text1"/>
          <w14:textFill>
            <w14:solidFill>
              <w14:schemeClr w14:val="tx1"/>
            </w14:solidFill>
          </w14:textFill>
        </w:rPr>
      </w:pPr>
      <w:r>
        <w:rPr>
          <w:rFonts w:hint="eastAsia" w:ascii="宋体" w:hAnsi="宋体" w:cs="宋体"/>
          <w:bCs/>
          <w:color w:val="000000" w:themeColor="text1"/>
          <w14:textFill>
            <w14:solidFill>
              <w14:schemeClr w14:val="tx1"/>
            </w14:solidFill>
          </w14:textFill>
        </w:rPr>
        <w:t>④</w:t>
      </w:r>
      <w:r>
        <w:rPr>
          <w:rFonts w:cs="Times New Roman"/>
          <w:bCs/>
          <w:color w:val="000000" w:themeColor="text1"/>
          <w14:textFill>
            <w14:solidFill>
              <w14:schemeClr w14:val="tx1"/>
            </w14:solidFill>
          </w14:textFill>
        </w:rPr>
        <w:t>项目区为西南土石山区的低山丘陵地貌，土层较薄，农作物产量低。工程建设过程中扰动破坏原地貌及植被，使土体松散，抗冲性能和抗蚀性能降低，尤其在雨季，易产生水土流失，严重的水土流失使土层进一步瘠薄，土地生产能力逐渐下降，农作物和植被逐渐失去生存环境，导致区域生态环境逐渐恶化。</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因此本项目应严格按照水保方案要求落实水土保持措施。拟建项目开挖面积小，施工期短，土石方就近占地进行临时堆放，无转运丢弃，实际新增水土流失量小。钻前工程剥离表土若随意堆放将引起水土流失，影响植被生长。项目设计将表土堆场，设挡土墙、截水沟、排水沟，可有效减少水土流失，同时利用土工布或塑料膜遮盖或采用水泥砂浆抹面的方法来减少水土流失。完钻后耕植土作为表层的覆土复植用，对表土堆场地进行复垦。通过该措施，拟建项目大大减小了土石方开挖引起的水土流失量。本次建设过程中，拟在征地范围内沿井场和表土堆场四周修建截、排水沟，将场内雨水排出，防止场内充水及水流往下渗透，以保护井场和表土堆场边坡稳定；在井场道路、放喷池等内侧布置排水沟等排水措施，以减少水土流失。</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在采取如水土保持措施后，泥土的拦截率可达80%以上，土的流失量大大减少，最终的水土流失量控制在较低水平，使本项目的水土保持工作得以有效完成。拟建项目由于占地面积小，土石方量小，且施工时间短，工程实际新增的水土流失量小，在环境可接受范围内。该项目应编制水土保持方案并按照方案落实水土保持措施，水保措施应与本项目提出的生态恢复措施结合。恢复植被选择应考虑水土保持功能和生态修复功能。通过落实相应的水土保持措施，总体水土流失量小，对水土流失重点治理区影响很小。</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环评要求：项目在开工前，应根据国家有关要求编制项目水土保持方案或采取有效水保措施，确保本项目的水土保持工作得以有效完成。</w:t>
      </w:r>
    </w:p>
    <w:p>
      <w:pPr>
        <w:adjustRightInd/>
        <w:snapToGrid/>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综上，本项目实施后，经严格落实水保措施及本环评报告提出的相关水土保持措施及生态恢复措施后，其区域水土流失现象能得到相应地减缓。</w:t>
      </w:r>
    </w:p>
    <w:p>
      <w:pPr>
        <w:pStyle w:val="5"/>
      </w:pPr>
      <w:r>
        <w:t>5.1.1.13项目实施可能导致外来物种造成生态危害的风险分析</w:t>
      </w:r>
    </w:p>
    <w:p>
      <w:pPr>
        <w:ind w:firstLine="480"/>
        <w:rPr>
          <w:rFonts w:cs="Times New Roman"/>
          <w:color w:val="000000" w:themeColor="text1"/>
          <w14:textFill>
            <w14:solidFill>
              <w14:schemeClr w14:val="tx1"/>
            </w14:solidFill>
          </w14:textFill>
        </w:rPr>
      </w:pPr>
      <w:r>
        <w:rPr>
          <w:rFonts w:cs="Times New Roman"/>
          <w:bCs/>
          <w:color w:val="000000" w:themeColor="text1"/>
          <w14:textFill>
            <w14:solidFill>
              <w14:schemeClr w14:val="tx1"/>
            </w14:solidFill>
          </w14:textFill>
        </w:rPr>
        <w:t>工程施工和运行期间，导致外来物种入侵的途径只有在植被恢复阶段，如果盲目引进不经过筛选的物种，可能导致外来物种入侵情况的发生。这就要求我们在项目施工和运行期间，加大宣传力度，对外来物种的危害以及传播途径向施工人员进行宣传；对现有的外来种，利用工程施工的机会，对有种子的植物要现场烧毁，以防种子扩散。在选择绿化树种和水土保持植物中坚决杜绝使用外来植物，尽可能使用乡土树种</w:t>
      </w:r>
    </w:p>
    <w:p>
      <w:pPr>
        <w:pStyle w:val="4"/>
        <w:ind w:firstLine="241"/>
        <w:rPr>
          <w:b w:val="0"/>
        </w:rPr>
      </w:pPr>
      <w:bookmarkStart w:id="244" w:name="_Toc120173151"/>
      <w:r>
        <w:rPr>
          <w:rFonts w:hint="eastAsia"/>
        </w:rPr>
        <w:t>5.1.2</w:t>
      </w:r>
      <w:r>
        <w:t>施工期钻前工程环境影响分析</w:t>
      </w:r>
      <w:bookmarkEnd w:id="244"/>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1、大气环境影响分析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（1）废气源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钻前施工人员多为临时聘请的当地民工，租住在附近农户家中，钻前工程不设集中生活营区，无集中生活废气排放。</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钻前工程大气污染物主要为施工粉尘、运输和作业车辆排放的汽车尾气，但属短期影响（钻前施工工期约90天）。粉尘主要源于材料运输、使用过程中的粉尘散落；修筑钻井场地和井场外道路的挖填方转运过程中的二次扬尘。</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（2）大气环境影响分析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钻前施工对环境空气的影响主要是道路扬尘及燃油动力机械废气。扬尘主要来自施工现场运输车辆、筑路机械作业过程中扬起的灰尘。据经验数据，在风速为1.2m/s或2.4m/s下土方和灰土的装卸、运输、施工或现场施工以及石料运输时距离50~150m处下风方向粉尘浓度为11.7～5.0mg/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。项目所在区域的年平均风速为1.5m/s，风速较小，产生的扬尘量小。</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施工单位采取硬化进出口、冲洗、洒水等措施控制扬尘，设置车辆冲洗设施对驶出工地的车辆进行冲洗。对露天堆放河沙、石粉、水泥、灰浆、灰膏等易扬撒的物料予以覆盖，对开挖施工作业面（点）洒水降尘，临时表土堆场洒水、覆盖降尘，密闭运输渣土、砂石等易撒漏扬散物质。</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中华人民共和国大气污染防治法》实施办法（2018修订）相关要求，建设单位要加强对建设工地的监督检查，督促施工单位落实降尘、压尘和抑尘措施。钻前工程施工时间较短，完成后影响即可消失，无长期影响，通过采取降措施，对区域环境影响小。</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各类燃油动力机械在现场进行场地挖填、运输、施工等作业时，排放的废气中含CO和NOx等污染物，由于施工的燃油机械为间断施工，加之污染物排放量小，对环境空气的不利影响很小，施工结束后，影响将消失。</w:t>
      </w:r>
    </w:p>
    <w:p>
      <w:pPr>
        <w:ind w:firstLine="482"/>
        <w:rPr>
          <w:rFonts w:cs="Times New Roman"/>
          <w:color w:val="000000" w:themeColor="text1"/>
          <w14:textFill>
            <w14:solidFill>
              <w14:schemeClr w14:val="tx1"/>
            </w14:solidFill>
          </w14:textFill>
        </w:rPr>
      </w:pPr>
      <w:r>
        <w:rPr>
          <w:rFonts w:cs="Times New Roman"/>
          <w:b/>
          <w:color w:val="000000" w:themeColor="text1"/>
          <w14:textFill>
            <w14:solidFill>
              <w14:schemeClr w14:val="tx1"/>
            </w14:solidFill>
          </w14:textFill>
        </w:rPr>
        <w:t>综上所述，由于钻前工程废气产生量较少、施工期短，对当地环境空气影响较小</w:t>
      </w:r>
      <w:r>
        <w:rPr>
          <w:rFonts w:cs="Times New Roman"/>
          <w:b/>
          <w:bCs/>
          <w:color w:val="000000" w:themeColor="text1"/>
          <w14:textFill>
            <w14:solidFill>
              <w14:schemeClr w14:val="tx1"/>
            </w14:solidFill>
          </w14:textFill>
        </w:rPr>
        <w:t>。</w:t>
      </w:r>
    </w:p>
    <w:p>
      <w:pPr>
        <w:ind w:firstLine="480"/>
        <w:rPr>
          <w:rFonts w:eastAsia="黑体" w:cs="Times New Roman"/>
          <w:bCs/>
          <w:color w:val="000000" w:themeColor="text1"/>
          <w:szCs w:val="24"/>
          <w14:textFill>
            <w14:solidFill>
              <w14:schemeClr w14:val="tx1"/>
            </w14:solidFill>
          </w14:textFill>
        </w:rPr>
      </w:pPr>
      <w:r>
        <w:rPr>
          <w:rFonts w:eastAsia="黑体" w:cs="Times New Roman"/>
          <w:bCs/>
          <w:color w:val="000000" w:themeColor="text1"/>
          <w:szCs w:val="24"/>
          <w14:textFill>
            <w14:solidFill>
              <w14:schemeClr w14:val="tx1"/>
            </w14:solidFill>
          </w14:textFill>
        </w:rPr>
        <w:t>2、地表水环境影响分析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钻前工程水环境的影响主要是生活污水和施工废水。生活污水来自施工人员，施工期间生活污水产生量小，</w:t>
      </w:r>
      <w:r>
        <w:rPr>
          <w:rFonts w:cs="Times New Roman"/>
          <w:bCs/>
          <w:color w:val="000000" w:themeColor="text1"/>
          <w14:textFill>
            <w14:solidFill>
              <w14:schemeClr w14:val="tx1"/>
            </w14:solidFill>
          </w14:textFill>
        </w:rPr>
        <w:t>依托站场已建的厕所收集后由密闭罐车定期拉运至周边生活污水处理厂处理</w:t>
      </w:r>
      <w:r>
        <w:rPr>
          <w:rFonts w:cs="Times New Roman"/>
          <w:color w:val="000000" w:themeColor="text1"/>
          <w14:textFill>
            <w14:solidFill>
              <w14:schemeClr w14:val="tx1"/>
            </w14:solidFill>
          </w14:textFill>
        </w:rPr>
        <w:t>，对当地水环境的影响小。施工废水来自施工场地等施工过程遇雨产生的地表径流，径流雨水中夹带有悬浮物；井场基础建设产生的废水主要来自砂石骨料加工、混凝土拌和及养护等过程中，经隔油池沉淀处理后回用于洒水降尘。施工单位通过定期检查，减少油类物质对周边土壤的影响。采取上述措施后对区域地表水环境基本无影响。</w:t>
      </w:r>
    </w:p>
    <w:p>
      <w:pPr>
        <w:ind w:firstLine="480"/>
        <w:rPr>
          <w:rFonts w:eastAsia="黑体" w:cs="Times New Roman"/>
          <w:bCs/>
          <w:color w:val="000000" w:themeColor="text1"/>
          <w:szCs w:val="24"/>
          <w14:textFill>
            <w14:solidFill>
              <w14:schemeClr w14:val="tx1"/>
            </w14:solidFill>
          </w14:textFill>
        </w:rPr>
      </w:pPr>
      <w:r>
        <w:rPr>
          <w:rFonts w:eastAsia="黑体" w:cs="Times New Roman"/>
          <w:bCs/>
          <w:color w:val="000000" w:themeColor="text1"/>
          <w:szCs w:val="24"/>
          <w14:textFill>
            <w14:solidFill>
              <w14:schemeClr w14:val="tx1"/>
            </w14:solidFill>
          </w14:textFill>
        </w:rPr>
        <w:t>3、地下水和土壤环境影响分析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钻前工程对地下水和土壤环境的影响主要是施工废水及原辅材料泄露进入地下水和土壤环境，对其造成污染。钻前施工对沉淀池进行防渗，机具材料堆放于防渗垫上面，因此，采取上述措施后钻前工程对区域地下水和土壤环境基本无影响。</w:t>
      </w:r>
    </w:p>
    <w:p>
      <w:pPr>
        <w:ind w:firstLine="480"/>
        <w:rPr>
          <w:rFonts w:eastAsia="黑体" w:cs="Times New Roman"/>
          <w:bCs/>
          <w:color w:val="000000" w:themeColor="text1"/>
          <w:szCs w:val="24"/>
          <w14:textFill>
            <w14:solidFill>
              <w14:schemeClr w14:val="tx1"/>
            </w14:solidFill>
          </w14:textFill>
        </w:rPr>
      </w:pPr>
      <w:r>
        <w:rPr>
          <w:rFonts w:eastAsia="黑体" w:cs="Times New Roman"/>
          <w:bCs/>
          <w:color w:val="000000" w:themeColor="text1"/>
          <w:szCs w:val="24"/>
          <w14:textFill>
            <w14:solidFill>
              <w14:schemeClr w14:val="tx1"/>
            </w14:solidFill>
          </w14:textFill>
        </w:rPr>
        <w:t>4、固废影响分析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井场为新建，钻前工程工程量小，时间短，工程弃土主要为井场设备基础施工产生的弃土与拆除工程产生的建筑弃渣，这些弃土用于井场平整，无弃渣产生。钻前工程产生其他的建筑废料和生活垃圾产生量较少，建筑垃圾用于井场平整或统一收集清运至政府指定地点，生活垃圾收集后依托当地环卫部门处理，对环境影响小。</w:t>
      </w:r>
    </w:p>
    <w:p>
      <w:pPr>
        <w:ind w:firstLine="480"/>
        <w:rPr>
          <w:rFonts w:cs="Times New Roman"/>
          <w:color w:val="000000" w:themeColor="text1"/>
          <w:sz w:val="22"/>
          <w:szCs w:val="24"/>
          <w14:textFill>
            <w14:solidFill>
              <w14:schemeClr w14:val="tx1"/>
            </w14:solidFill>
          </w14:textFill>
        </w:rPr>
      </w:pPr>
      <w:r>
        <w:rPr>
          <w:rFonts w:eastAsia="黑体" w:cs="Times New Roman"/>
          <w:bCs/>
          <w:color w:val="000000" w:themeColor="text1"/>
          <w:szCs w:val="24"/>
          <w14:textFill>
            <w14:solidFill>
              <w14:schemeClr w14:val="tx1"/>
            </w14:solidFill>
          </w14:textFill>
        </w:rPr>
        <w:t>5、声环境影响分析</w:t>
      </w:r>
    </w:p>
    <w:p>
      <w:pPr>
        <w:widowControl/>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钻前工程施工噪声主要来自施工机械和运输车辆产生的噪声，施工噪声影响虽然是暂时的，但施工过程中采用的施工机械一般都具有噪声高、无规则等特点，如不加以控制，将会对施工区域周边环境产生一定的影响。</w:t>
      </w:r>
    </w:p>
    <w:p>
      <w:pPr>
        <w:widowControl/>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（1）施工噪声预测模式</w:t>
      </w:r>
    </w:p>
    <w:p>
      <w:pPr>
        <w:widowControl/>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施工噪声可近似视为点声源处理，根据点声源噪声衰减模式，估算出离声源不同距离处的噪声值，预测模式如下：</w:t>
      </w:r>
    </w:p>
    <w:p>
      <w:pPr>
        <w:widowControl/>
        <w:ind w:firstLine="480"/>
        <w:rPr>
          <w:rFonts w:cs="Times New Roman"/>
          <w:color w:val="000000" w:themeColor="text1"/>
          <w:kern w:val="0"/>
          <w14:textFill>
            <w14:solidFill>
              <w14:schemeClr w14:val="tx1"/>
            </w14:solidFill>
          </w14:textFill>
        </w:rPr>
      </w:pPr>
      <m:oMathPara>
        <m:oMath>
          <m:sSub>
            <m:sSubPr>
              <m:ctrlPr>
                <w:rPr>
                  <w:rFonts w:ascii="Cambria Math" w:hAnsi="Cambria Math" w:cs="Times New Roman"/>
                  <w:color w:val="000000" w:themeColor="text1"/>
                  <w:kern w:val="0"/>
                  <w14:textFill>
                    <w14:solidFill>
                      <w14:schemeClr w14:val="tx1"/>
                    </w14:solidFill>
                  </w14:textFill>
                </w:rPr>
              </m:ctrlPr>
            </m:sSubPr>
            <m:e>
              <m:r>
                <m:rPr/>
                <w:rPr>
                  <w:rFonts w:ascii="Cambria Math" w:hAnsi="Cambria Math" w:cs="Times New Roman"/>
                  <w:color w:val="000000" w:themeColor="text1"/>
                  <w:kern w:val="0"/>
                  <w14:textFill>
                    <w14:solidFill>
                      <w14:schemeClr w14:val="tx1"/>
                    </w14:solidFill>
                  </w14:textFill>
                </w:rPr>
                <m:t>L</m:t>
              </m:r>
              <m:ctrlPr>
                <w:rPr>
                  <w:rFonts w:ascii="Cambria Math" w:hAnsi="Cambria Math" w:cs="Times New Roman"/>
                  <w:color w:val="000000" w:themeColor="text1"/>
                  <w:kern w:val="0"/>
                  <w14:textFill>
                    <w14:solidFill>
                      <w14:schemeClr w14:val="tx1"/>
                    </w14:solidFill>
                  </w14:textFill>
                </w:rPr>
              </m:ctrlPr>
            </m:e>
            <m:sub>
              <m:r>
                <m:rPr/>
                <w:rPr>
                  <w:rFonts w:ascii="Cambria Math" w:hAnsi="Cambria Math" w:cs="Times New Roman"/>
                  <w:color w:val="000000" w:themeColor="text1"/>
                  <w:kern w:val="0"/>
                  <w14:textFill>
                    <w14:solidFill>
                      <w14:schemeClr w14:val="tx1"/>
                    </w14:solidFill>
                  </w14:textFill>
                </w:rPr>
                <m:t>A</m:t>
              </m:r>
              <m:ctrlPr>
                <w:rPr>
                  <w:rFonts w:ascii="Cambria Math" w:hAnsi="Cambria Math" w:cs="Times New Roman"/>
                  <w:color w:val="000000" w:themeColor="text1"/>
                  <w:kern w:val="0"/>
                  <w14:textFill>
                    <w14:solidFill>
                      <w14:schemeClr w14:val="tx1"/>
                    </w14:solidFill>
                  </w14:textFill>
                </w:rPr>
              </m:ctrlPr>
            </m:sub>
          </m:sSub>
          <m:r>
            <m:rPr>
              <m:sty m:val="p"/>
            </m:rPr>
            <w:rPr>
              <w:rFonts w:ascii="Cambria Math" w:hAnsi="Cambria Math" w:cs="Times New Roman"/>
              <w:color w:val="000000" w:themeColor="text1"/>
              <w:kern w:val="0"/>
              <w14:textFill>
                <w14:solidFill>
                  <w14:schemeClr w14:val="tx1"/>
                </w14:solidFill>
              </w14:textFill>
            </w:rPr>
            <m:t>（</m:t>
          </m:r>
          <m:r>
            <m:rPr/>
            <w:rPr>
              <w:rFonts w:ascii="Cambria Math" w:hAnsi="Cambria Math" w:cs="Times New Roman"/>
              <w:color w:val="000000" w:themeColor="text1"/>
              <w:kern w:val="0"/>
              <w14:textFill>
                <w14:solidFill>
                  <w14:schemeClr w14:val="tx1"/>
                </w14:solidFill>
              </w14:textFill>
            </w:rPr>
            <m:t>r</m:t>
          </m:r>
          <m:r>
            <m:rPr>
              <m:sty m:val="p"/>
            </m:rPr>
            <w:rPr>
              <w:rFonts w:ascii="Cambria Math" w:hAnsi="Cambria Math" w:cs="Times New Roman"/>
              <w:color w:val="000000" w:themeColor="text1"/>
              <w:kern w:val="0"/>
              <w14:textFill>
                <w14:solidFill>
                  <w14:schemeClr w14:val="tx1"/>
                </w14:solidFill>
              </w14:textFill>
            </w:rPr>
            <m:t>）=</m:t>
          </m:r>
          <m:sSub>
            <m:sSubPr>
              <m:ctrlPr>
                <w:rPr>
                  <w:rFonts w:ascii="Cambria Math" w:hAnsi="Cambria Math" w:cs="Times New Roman"/>
                  <w:color w:val="000000" w:themeColor="text1"/>
                  <w:kern w:val="0"/>
                  <w14:textFill>
                    <w14:solidFill>
                      <w14:schemeClr w14:val="tx1"/>
                    </w14:solidFill>
                  </w14:textFill>
                </w:rPr>
              </m:ctrlPr>
            </m:sSubPr>
            <m:e>
              <m:r>
                <m:rPr/>
                <w:rPr>
                  <w:rFonts w:ascii="Cambria Math" w:hAnsi="Cambria Math" w:cs="Times New Roman"/>
                  <w:color w:val="000000" w:themeColor="text1"/>
                  <w:kern w:val="0"/>
                  <w14:textFill>
                    <w14:solidFill>
                      <w14:schemeClr w14:val="tx1"/>
                    </w14:solidFill>
                  </w14:textFill>
                </w:rPr>
                <m:t>L</m:t>
              </m:r>
              <m:ctrlPr>
                <w:rPr>
                  <w:rFonts w:ascii="Cambria Math" w:hAnsi="Cambria Math" w:cs="Times New Roman"/>
                  <w:color w:val="000000" w:themeColor="text1"/>
                  <w:kern w:val="0"/>
                  <w14:textFill>
                    <w14:solidFill>
                      <w14:schemeClr w14:val="tx1"/>
                    </w14:solidFill>
                  </w14:textFill>
                </w:rPr>
              </m:ctrlPr>
            </m:e>
            <m:sub>
              <m:r>
                <m:rPr/>
                <w:rPr>
                  <w:rFonts w:ascii="Cambria Math" w:hAnsi="Cambria Math" w:cs="Times New Roman"/>
                  <w:color w:val="000000" w:themeColor="text1"/>
                  <w:kern w:val="0"/>
                  <w14:textFill>
                    <w14:solidFill>
                      <w14:schemeClr w14:val="tx1"/>
                    </w14:solidFill>
                  </w14:textFill>
                </w:rPr>
                <m:t>A</m:t>
              </m:r>
              <m:ctrlPr>
                <w:rPr>
                  <w:rFonts w:ascii="Cambria Math" w:hAnsi="Cambria Math" w:cs="Times New Roman"/>
                  <w:color w:val="000000" w:themeColor="text1"/>
                  <w:kern w:val="0"/>
                  <w14:textFill>
                    <w14:solidFill>
                      <w14:schemeClr w14:val="tx1"/>
                    </w14:solidFill>
                  </w14:textFill>
                </w:rPr>
              </m:ctrlPr>
            </m:sub>
          </m:sSub>
          <m:r>
            <m:rPr>
              <m:sty m:val="p"/>
            </m:rPr>
            <w:rPr>
              <w:rFonts w:ascii="Cambria Math" w:hAnsi="Cambria Math" w:cs="Times New Roman"/>
              <w:color w:val="000000" w:themeColor="text1"/>
              <w:kern w:val="0"/>
              <w14:textFill>
                <w14:solidFill>
                  <w14:schemeClr w14:val="tx1"/>
                </w14:solidFill>
              </w14:textFill>
            </w:rPr>
            <m:t>（</m:t>
          </m:r>
          <m:r>
            <m:rPr/>
            <w:rPr>
              <w:rFonts w:ascii="Cambria Math" w:hAnsi="Cambria Math" w:cs="Times New Roman"/>
              <w:color w:val="000000" w:themeColor="text1"/>
              <w:kern w:val="0"/>
              <w14:textFill>
                <w14:solidFill>
                  <w14:schemeClr w14:val="tx1"/>
                </w14:solidFill>
              </w14:textFill>
            </w:rPr>
            <m:t>ro</m:t>
          </m:r>
          <m:r>
            <m:rPr>
              <m:sty m:val="p"/>
            </m:rPr>
            <w:rPr>
              <w:rFonts w:ascii="Cambria Math" w:hAnsi="Cambria Math" w:cs="Times New Roman"/>
              <w:color w:val="000000" w:themeColor="text1"/>
              <w:kern w:val="0"/>
              <w14:textFill>
                <w14:solidFill>
                  <w14:schemeClr w14:val="tx1"/>
                </w14:solidFill>
              </w14:textFill>
            </w:rPr>
            <m:t>）−20</m:t>
          </m:r>
          <m:sSub>
            <m:sSubPr>
              <m:ctrlPr>
                <w:rPr>
                  <w:rFonts w:ascii="Cambria Math" w:hAnsi="Cambria Math" w:cs="Times New Roman"/>
                  <w:color w:val="000000" w:themeColor="text1"/>
                  <w:kern w:val="0"/>
                  <w14:textFill>
                    <w14:solidFill>
                      <w14:schemeClr w14:val="tx1"/>
                    </w14:solidFill>
                  </w14:textFill>
                </w:rPr>
              </m:ctrlPr>
            </m:sSubPr>
            <m:e>
              <m:r>
                <m:rPr/>
                <w:rPr>
                  <w:rFonts w:ascii="Cambria Math" w:hAnsi="Cambria Math" w:cs="Times New Roman"/>
                  <w:color w:val="000000" w:themeColor="text1"/>
                  <w:kern w:val="0"/>
                  <w14:textFill>
                    <w14:solidFill>
                      <w14:schemeClr w14:val="tx1"/>
                    </w14:solidFill>
                  </w14:textFill>
                </w:rPr>
                <m:t>L</m:t>
              </m:r>
              <m:ctrlPr>
                <w:rPr>
                  <w:rFonts w:ascii="Cambria Math" w:hAnsi="Cambria Math" w:cs="Times New Roman"/>
                  <w:color w:val="000000" w:themeColor="text1"/>
                  <w:kern w:val="0"/>
                  <w14:textFill>
                    <w14:solidFill>
                      <w14:schemeClr w14:val="tx1"/>
                    </w14:solidFill>
                  </w14:textFill>
                </w:rPr>
              </m:ctrlPr>
            </m:e>
            <m:sub>
              <m:r>
                <m:rPr/>
                <w:rPr>
                  <w:rFonts w:ascii="Cambria Math" w:hAnsi="Cambria Math" w:cs="Times New Roman"/>
                  <w:color w:val="000000" w:themeColor="text1"/>
                  <w:kern w:val="0"/>
                  <w14:textFill>
                    <w14:solidFill>
                      <w14:schemeClr w14:val="tx1"/>
                    </w14:solidFill>
                  </w14:textFill>
                </w:rPr>
                <m:t>g</m:t>
              </m:r>
              <m:ctrlPr>
                <w:rPr>
                  <w:rFonts w:ascii="Cambria Math" w:hAnsi="Cambria Math" w:cs="Times New Roman"/>
                  <w:color w:val="000000" w:themeColor="text1"/>
                  <w:kern w:val="0"/>
                  <w14:textFill>
                    <w14:solidFill>
                      <w14:schemeClr w14:val="tx1"/>
                    </w14:solidFill>
                  </w14:textFill>
                </w:rPr>
              </m:ctrlPr>
            </m:sub>
          </m:sSub>
          <m:d>
            <m:dPr>
              <m:ctrlPr>
                <w:rPr>
                  <w:rFonts w:ascii="Cambria Math" w:hAnsi="Cambria Math" w:cs="Times New Roman"/>
                  <w:color w:val="000000" w:themeColor="text1"/>
                  <w:kern w:val="0"/>
                  <w14:textFill>
                    <w14:solidFill>
                      <w14:schemeClr w14:val="tx1"/>
                    </w14:solidFill>
                  </w14:textFill>
                </w:rPr>
              </m:ctrlPr>
            </m:dPr>
            <m:e>
              <m:f>
                <m:fPr>
                  <m:type m:val="lin"/>
                  <m:ctrlPr>
                    <w:rPr>
                      <w:rFonts w:ascii="Cambria Math" w:hAnsi="Cambria Math" w:cs="Times New Roman"/>
                      <w:color w:val="000000" w:themeColor="text1"/>
                      <w:kern w:val="0"/>
                      <w14:textFill>
                        <w14:solidFill>
                          <w14:schemeClr w14:val="tx1"/>
                        </w14:solidFill>
                      </w14:textFill>
                    </w:rPr>
                  </m:ctrlPr>
                </m:fPr>
                <m:num>
                  <m:r>
                    <m:rPr/>
                    <w:rPr>
                      <w:rFonts w:ascii="Cambria Math" w:hAnsi="Cambria Math" w:cs="Times New Roman"/>
                      <w:color w:val="000000" w:themeColor="text1"/>
                      <w:kern w:val="0"/>
                      <w14:textFill>
                        <w14:solidFill>
                          <w14:schemeClr w14:val="tx1"/>
                        </w14:solidFill>
                      </w14:textFill>
                    </w:rPr>
                    <m:t>r</m:t>
                  </m:r>
                  <m:ctrlPr>
                    <w:rPr>
                      <w:rFonts w:ascii="Cambria Math" w:hAnsi="Cambria Math" w:cs="Times New Roman"/>
                      <w:color w:val="000000" w:themeColor="text1"/>
                      <w:kern w:val="0"/>
                      <w14:textFill>
                        <w14:solidFill>
                          <w14:schemeClr w14:val="tx1"/>
                        </w14:solidFill>
                      </w14:textFill>
                    </w:rPr>
                  </m:ctrlPr>
                </m:num>
                <m:den>
                  <m:sSub>
                    <m:sSubPr>
                      <m:ctrlPr>
                        <w:rPr>
                          <w:rFonts w:ascii="Cambria Math" w:hAnsi="Cambria Math" w:cs="Times New Roman"/>
                          <w:color w:val="000000" w:themeColor="text1"/>
                          <w:kern w:val="0"/>
                          <w14:textFill>
                            <w14:solidFill>
                              <w14:schemeClr w14:val="tx1"/>
                            </w14:solidFill>
                          </w14:textFill>
                        </w:rPr>
                      </m:ctrlPr>
                    </m:sSubPr>
                    <m:e>
                      <m:r>
                        <m:rPr/>
                        <w:rPr>
                          <w:rFonts w:ascii="Cambria Math" w:hAnsi="Cambria Math" w:cs="Times New Roman"/>
                          <w:color w:val="000000" w:themeColor="text1"/>
                          <w:kern w:val="0"/>
                          <w14:textFill>
                            <w14:solidFill>
                              <w14:schemeClr w14:val="tx1"/>
                            </w14:solidFill>
                          </w14:textFill>
                        </w:rPr>
                        <m:t>r</m:t>
                      </m:r>
                      <m:ctrlPr>
                        <w:rPr>
                          <w:rFonts w:ascii="Cambria Math" w:hAnsi="Cambria Math" w:cs="Times New Roman"/>
                          <w:color w:val="000000" w:themeColor="text1"/>
                          <w:kern w:val="0"/>
                          <w14:textFill>
                            <w14:solidFill>
                              <w14:schemeClr w14:val="tx1"/>
                            </w14:solidFill>
                          </w14:textFill>
                        </w:rPr>
                      </m:ctrlPr>
                    </m:e>
                    <m:sub>
                      <m:r>
                        <m:rPr/>
                        <w:rPr>
                          <w:rFonts w:ascii="Cambria Math" w:hAnsi="Cambria Math" w:cs="Times New Roman"/>
                          <w:color w:val="000000" w:themeColor="text1"/>
                          <w:kern w:val="0"/>
                          <w14:textFill>
                            <w14:solidFill>
                              <w14:schemeClr w14:val="tx1"/>
                            </w14:solidFill>
                          </w14:textFill>
                        </w:rPr>
                        <m:t>o</m:t>
                      </m:r>
                      <m:ctrlPr>
                        <w:rPr>
                          <w:rFonts w:ascii="Cambria Math" w:hAnsi="Cambria Math" w:cs="Times New Roman"/>
                          <w:color w:val="000000" w:themeColor="text1"/>
                          <w:kern w:val="0"/>
                          <w14:textFill>
                            <w14:solidFill>
                              <w14:schemeClr w14:val="tx1"/>
                            </w14:solidFill>
                          </w14:textFill>
                        </w:rPr>
                      </m:ctrlPr>
                    </m:sub>
                  </m:sSub>
                  <m:ctrlPr>
                    <w:rPr>
                      <w:rFonts w:ascii="Cambria Math" w:hAnsi="Cambria Math" w:cs="Times New Roman"/>
                      <w:color w:val="000000" w:themeColor="text1"/>
                      <w:kern w:val="0"/>
                      <w14:textFill>
                        <w14:solidFill>
                          <w14:schemeClr w14:val="tx1"/>
                        </w14:solidFill>
                      </w14:textFill>
                    </w:rPr>
                  </m:ctrlPr>
                </m:den>
              </m:f>
              <m:ctrlPr>
                <w:rPr>
                  <w:rFonts w:ascii="Cambria Math" w:hAnsi="Cambria Math" w:cs="Times New Roman"/>
                  <w:color w:val="000000" w:themeColor="text1"/>
                  <w:kern w:val="0"/>
                  <w14:textFill>
                    <w14:solidFill>
                      <w14:schemeClr w14:val="tx1"/>
                    </w14:solidFill>
                  </w14:textFill>
                </w:rPr>
              </m:ctrlPr>
            </m:e>
          </m:d>
          <m:r>
            <m:rPr>
              <m:sty m:val="p"/>
            </m:rPr>
            <w:rPr>
              <w:rFonts w:ascii="Cambria Math" w:hAnsi="Cambria Math" w:cs="Times New Roman"/>
              <w:color w:val="000000" w:themeColor="text1"/>
              <w:kern w:val="0"/>
              <w14:textFill>
                <w14:solidFill>
                  <w14:schemeClr w14:val="tx1"/>
                </w14:solidFill>
              </w14:textFill>
            </w:rPr>
            <m:t>−</m:t>
          </m:r>
          <m:r>
            <m:rPr/>
            <w:rPr>
              <w:rFonts w:ascii="Cambria Math" w:hAnsi="Cambria Math" w:cs="Times New Roman"/>
              <w:color w:val="000000" w:themeColor="text1"/>
              <w:kern w:val="0"/>
              <w14:textFill>
                <w14:solidFill>
                  <w14:schemeClr w14:val="tx1"/>
                </w14:solidFill>
              </w14:textFill>
            </w:rPr>
            <m:t>ΔL</m:t>
          </m:r>
        </m:oMath>
      </m:oMathPara>
    </w:p>
    <w:p>
      <w:pPr>
        <w:widowControl/>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式中：L</w:t>
      </w:r>
      <w:r>
        <w:rPr>
          <w:rFonts w:cs="Times New Roman"/>
          <w:color w:val="000000" w:themeColor="text1"/>
          <w:kern w:val="0"/>
          <w:vertAlign w:val="subscript"/>
          <w14:textFill>
            <w14:solidFill>
              <w14:schemeClr w14:val="tx1"/>
            </w14:solidFill>
          </w14:textFill>
        </w:rPr>
        <w:t>A</w:t>
      </w:r>
      <w:r>
        <w:rPr>
          <w:rFonts w:cs="Times New Roman"/>
          <w:color w:val="000000" w:themeColor="text1"/>
          <w:kern w:val="0"/>
          <w14:textFill>
            <w14:solidFill>
              <w14:schemeClr w14:val="tx1"/>
            </w14:solidFill>
          </w14:textFill>
        </w:rPr>
        <w:t>（r）—距声源r处的施工噪声预测值，dB（A）；</w:t>
      </w:r>
    </w:p>
    <w:p>
      <w:pPr>
        <w:widowControl/>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 xml:space="preserve">           LA（r0）—距声源r</w:t>
      </w:r>
      <w:r>
        <w:rPr>
          <w:rFonts w:cs="Times New Roman"/>
          <w:color w:val="000000" w:themeColor="text1"/>
          <w:kern w:val="0"/>
          <w:vertAlign w:val="subscript"/>
          <w14:textFill>
            <w14:solidFill>
              <w14:schemeClr w14:val="tx1"/>
            </w14:solidFill>
          </w14:textFill>
        </w:rPr>
        <w:t>0</w:t>
      </w:r>
      <w:r>
        <w:rPr>
          <w:rFonts w:cs="Times New Roman"/>
          <w:color w:val="000000" w:themeColor="text1"/>
          <w:kern w:val="0"/>
          <w14:textFill>
            <w14:solidFill>
              <w14:schemeClr w14:val="tx1"/>
            </w14:solidFill>
          </w14:textFill>
        </w:rPr>
        <w:t>处的参考声压级，dB（A）；</w:t>
      </w:r>
    </w:p>
    <w:p>
      <w:pPr>
        <w:widowControl/>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 xml:space="preserve">           r—预测点距声源的距离，m；</w:t>
      </w:r>
    </w:p>
    <w:p>
      <w:pPr>
        <w:widowControl/>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 xml:space="preserve">           r</w:t>
      </w:r>
      <w:r>
        <w:rPr>
          <w:rFonts w:cs="Times New Roman"/>
          <w:color w:val="000000" w:themeColor="text1"/>
          <w:kern w:val="0"/>
          <w:vertAlign w:val="subscript"/>
          <w14:textFill>
            <w14:solidFill>
              <w14:schemeClr w14:val="tx1"/>
            </w14:solidFill>
          </w14:textFill>
        </w:rPr>
        <w:t>0</w:t>
      </w:r>
      <w:r>
        <w:rPr>
          <w:rFonts w:cs="Times New Roman"/>
          <w:color w:val="000000" w:themeColor="text1"/>
          <w:kern w:val="0"/>
          <w14:textFill>
            <w14:solidFill>
              <w14:schemeClr w14:val="tx1"/>
            </w14:solidFill>
          </w14:textFill>
        </w:rPr>
        <w:t>—参考点距声源的距离，m。</w:t>
      </w:r>
    </w:p>
    <w:p>
      <w:pPr>
        <w:widowControl/>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 xml:space="preserve">          </w:t>
      </w:r>
      <w:r>
        <w:rPr>
          <w:rFonts w:cs="Times New Roman"/>
          <w:color w:val="000000" w:themeColor="text1"/>
          <w:kern w:val="0"/>
          <w14:textFill>
            <w14:solidFill>
              <w14:schemeClr w14:val="tx1"/>
            </w14:solidFill>
          </w14:textFill>
        </w:rPr>
        <w:object>
          <v:shape id="_x0000_i1028" o:spt="75" type="#_x0000_t75" style="height:10.9pt;width:17.6pt;" o:ole="t" filled="f" o:preferrelative="t" stroked="f" coordsize="21600,21600">
            <v:path/>
            <v:fill on="f" focussize="0,0"/>
            <v:stroke on="f" joinstyle="miter"/>
            <v:imagedata r:id="rId64" o:title=""/>
            <o:lock v:ext="edit" aspectratio="t"/>
            <w10:wrap type="none"/>
            <w10:anchorlock/>
          </v:shape>
          <o:OLEObject Type="Embed" ProgID="Equation.2" ShapeID="_x0000_i1028" DrawAspect="Content" ObjectID="_1468075728" r:id="rId63">
            <o:LockedField>false</o:LockedField>
          </o:OLEObject>
        </w:object>
      </w:r>
      <w:r>
        <w:rPr>
          <w:rFonts w:cs="Times New Roman"/>
          <w:color w:val="000000" w:themeColor="text1"/>
          <w:kern w:val="0"/>
          <w14:textFill>
            <w14:solidFill>
              <w14:schemeClr w14:val="tx1"/>
            </w14:solidFill>
          </w14:textFill>
        </w:rPr>
        <w:t>—各种衰减量（除发散衰减外），dB（A）。室外噪声源</w:t>
      </w:r>
      <w:r>
        <w:rPr>
          <w:rFonts w:cs="Times New Roman"/>
          <w:color w:val="000000" w:themeColor="text1"/>
          <w:kern w:val="0"/>
          <w14:textFill>
            <w14:solidFill>
              <w14:schemeClr w14:val="tx1"/>
            </w14:solidFill>
          </w14:textFill>
        </w:rPr>
        <w:object>
          <v:shape id="_x0000_i1029" o:spt="75" type="#_x0000_t75" style="height:10.9pt;width:17.6pt;" o:ole="t" filled="f" o:preferrelative="t" stroked="f" coordsize="21600,21600">
            <v:path/>
            <v:fill on="f" focussize="0,0"/>
            <v:stroke on="f" joinstyle="miter"/>
            <v:imagedata r:id="rId64" o:title=""/>
            <o:lock v:ext="edit" aspectratio="t"/>
            <w10:wrap type="none"/>
            <w10:anchorlock/>
          </v:shape>
          <o:OLEObject Type="Embed" ProgID="Equation.2" ShapeID="_x0000_i1029" DrawAspect="Content" ObjectID="_1468075729" r:id="rId65">
            <o:LockedField>false</o:LockedField>
          </o:OLEObject>
        </w:object>
      </w:r>
      <w:r>
        <w:rPr>
          <w:rFonts w:cs="Times New Roman"/>
          <w:color w:val="000000" w:themeColor="text1"/>
          <w:kern w:val="0"/>
          <w14:textFill>
            <w14:solidFill>
              <w14:schemeClr w14:val="tx1"/>
            </w14:solidFill>
          </w14:textFill>
        </w:rPr>
        <w:t>取为零。</w:t>
      </w:r>
    </w:p>
    <w:p>
      <w:pPr>
        <w:widowControl/>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根据工程设计，本项目仅白天施工，夜间不施工。根据噪声衰减模式，各施工机具声源在不同距离处的噪声影响值参见表5.1-1。</w:t>
      </w:r>
    </w:p>
    <w:p>
      <w:pPr>
        <w:pStyle w:val="95"/>
      </w:pPr>
      <w:r>
        <w:t>表5.1-1  主要施工机械在不同距离的噪声值  单位：dB（A）</w:t>
      </w:r>
    </w:p>
    <w:tbl>
      <w:tblPr>
        <w:tblStyle w:val="52"/>
        <w:tblW w:w="485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724"/>
        <w:gridCol w:w="1081"/>
        <w:gridCol w:w="754"/>
        <w:gridCol w:w="800"/>
        <w:gridCol w:w="800"/>
        <w:gridCol w:w="805"/>
        <w:gridCol w:w="785"/>
        <w:gridCol w:w="785"/>
        <w:gridCol w:w="887"/>
        <w:gridCol w:w="849"/>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40" w:type="dxa"/>
            <w:vMerge w:val="restart"/>
            <w:vAlign w:val="center"/>
          </w:tcPr>
          <w:p>
            <w:pPr>
              <w:widowControl/>
              <w:adjustRightInd/>
              <w:snapToGrid/>
              <w:spacing w:line="240" w:lineRule="auto"/>
              <w:ind w:firstLine="0" w:firstLineChars="0"/>
              <w:jc w:val="center"/>
              <w:rPr>
                <w:rFonts w:cs="Times New Roman"/>
                <w:b/>
                <w:color w:val="000000" w:themeColor="text1"/>
                <w:kern w:val="0"/>
                <w:sz w:val="21"/>
                <w:szCs w:val="21"/>
                <w14:textFill>
                  <w14:solidFill>
                    <w14:schemeClr w14:val="tx1"/>
                  </w14:solidFill>
                </w14:textFill>
              </w:rPr>
            </w:pPr>
            <w:r>
              <w:rPr>
                <w:rFonts w:cs="Times New Roman"/>
                <w:b/>
                <w:color w:val="000000" w:themeColor="text1"/>
                <w:kern w:val="0"/>
                <w:sz w:val="21"/>
                <w:szCs w:val="21"/>
                <w14:textFill>
                  <w14:solidFill>
                    <w14:schemeClr w14:val="tx1"/>
                  </w14:solidFill>
                </w14:textFill>
              </w:rPr>
              <w:t>序号</w:t>
            </w:r>
          </w:p>
        </w:tc>
        <w:tc>
          <w:tcPr>
            <w:tcW w:w="1117" w:type="dxa"/>
            <w:vMerge w:val="restart"/>
            <w:vAlign w:val="center"/>
          </w:tcPr>
          <w:p>
            <w:pPr>
              <w:widowControl/>
              <w:adjustRightInd/>
              <w:snapToGrid/>
              <w:spacing w:line="240" w:lineRule="auto"/>
              <w:ind w:firstLine="0" w:firstLineChars="0"/>
              <w:jc w:val="center"/>
              <w:rPr>
                <w:rFonts w:cs="Times New Roman"/>
                <w:b/>
                <w:color w:val="000000" w:themeColor="text1"/>
                <w:kern w:val="0"/>
                <w:sz w:val="21"/>
                <w:szCs w:val="21"/>
                <w14:textFill>
                  <w14:solidFill>
                    <w14:schemeClr w14:val="tx1"/>
                  </w14:solidFill>
                </w14:textFill>
              </w:rPr>
            </w:pPr>
            <w:r>
              <w:rPr>
                <w:rFonts w:cs="Times New Roman"/>
                <w:b/>
                <w:color w:val="000000" w:themeColor="text1"/>
                <w:kern w:val="0"/>
                <w:sz w:val="21"/>
                <w:szCs w:val="21"/>
                <w14:textFill>
                  <w14:solidFill>
                    <w14:schemeClr w14:val="tx1"/>
                  </w14:solidFill>
                </w14:textFill>
              </w:rPr>
              <w:t>施工</w:t>
            </w:r>
          </w:p>
          <w:p>
            <w:pPr>
              <w:widowControl/>
              <w:adjustRightInd/>
              <w:snapToGrid/>
              <w:spacing w:line="240" w:lineRule="auto"/>
              <w:ind w:firstLine="0" w:firstLineChars="0"/>
              <w:jc w:val="center"/>
              <w:rPr>
                <w:rFonts w:cs="Times New Roman"/>
                <w:b/>
                <w:color w:val="000000" w:themeColor="text1"/>
                <w:kern w:val="0"/>
                <w:sz w:val="21"/>
                <w:szCs w:val="21"/>
                <w14:textFill>
                  <w14:solidFill>
                    <w14:schemeClr w14:val="tx1"/>
                  </w14:solidFill>
                </w14:textFill>
              </w:rPr>
            </w:pPr>
            <w:r>
              <w:rPr>
                <w:rFonts w:cs="Times New Roman"/>
                <w:b/>
                <w:color w:val="000000" w:themeColor="text1"/>
                <w:kern w:val="0"/>
                <w:sz w:val="21"/>
                <w:szCs w:val="21"/>
                <w14:textFill>
                  <w14:solidFill>
                    <w14:schemeClr w14:val="tx1"/>
                  </w14:solidFill>
                </w14:textFill>
              </w:rPr>
              <w:t>机具</w:t>
            </w:r>
          </w:p>
        </w:tc>
        <w:tc>
          <w:tcPr>
            <w:tcW w:w="6602" w:type="dxa"/>
            <w:gridSpan w:val="8"/>
            <w:vAlign w:val="center"/>
          </w:tcPr>
          <w:p>
            <w:pPr>
              <w:widowControl/>
              <w:adjustRightInd/>
              <w:snapToGrid/>
              <w:spacing w:line="240" w:lineRule="auto"/>
              <w:ind w:firstLine="0" w:firstLineChars="0"/>
              <w:jc w:val="center"/>
              <w:rPr>
                <w:rFonts w:cs="Times New Roman"/>
                <w:b/>
                <w:color w:val="000000" w:themeColor="text1"/>
                <w:kern w:val="0"/>
                <w:sz w:val="21"/>
                <w:szCs w:val="21"/>
                <w14:textFill>
                  <w14:solidFill>
                    <w14:schemeClr w14:val="tx1"/>
                  </w14:solidFill>
                </w14:textFill>
              </w:rPr>
            </w:pPr>
            <w:r>
              <w:rPr>
                <w:rFonts w:cs="Times New Roman"/>
                <w:b/>
                <w:color w:val="000000" w:themeColor="text1"/>
                <w:kern w:val="0"/>
                <w:sz w:val="21"/>
                <w:szCs w:val="21"/>
                <w14:textFill>
                  <w14:solidFill>
                    <w14:schemeClr w14:val="tx1"/>
                  </w14:solidFill>
                </w14:textFill>
              </w:rPr>
              <w:t>预测距离（m）</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0" w:type="auto"/>
            <w:vMerge w:val="continue"/>
            <w:vAlign w:val="center"/>
          </w:tcPr>
          <w:p>
            <w:pPr>
              <w:widowControl/>
              <w:adjustRightInd/>
              <w:snapToGrid/>
              <w:spacing w:line="240" w:lineRule="auto"/>
              <w:ind w:firstLine="0" w:firstLineChars="0"/>
              <w:jc w:val="center"/>
              <w:rPr>
                <w:rFonts w:cs="Times New Roman"/>
                <w:b/>
                <w:color w:val="000000" w:themeColor="text1"/>
                <w:kern w:val="0"/>
                <w:sz w:val="21"/>
                <w:szCs w:val="21"/>
                <w14:textFill>
                  <w14:solidFill>
                    <w14:schemeClr w14:val="tx1"/>
                  </w14:solidFill>
                </w14:textFill>
              </w:rPr>
            </w:pPr>
          </w:p>
        </w:tc>
        <w:tc>
          <w:tcPr>
            <w:tcW w:w="0" w:type="auto"/>
            <w:vMerge w:val="continue"/>
            <w:vAlign w:val="center"/>
          </w:tcPr>
          <w:p>
            <w:pPr>
              <w:widowControl/>
              <w:adjustRightInd/>
              <w:snapToGrid/>
              <w:spacing w:line="240" w:lineRule="auto"/>
              <w:ind w:firstLine="0" w:firstLineChars="0"/>
              <w:jc w:val="center"/>
              <w:rPr>
                <w:rFonts w:cs="Times New Roman"/>
                <w:b/>
                <w:color w:val="000000" w:themeColor="text1"/>
                <w:kern w:val="0"/>
                <w:sz w:val="21"/>
                <w:szCs w:val="21"/>
                <w14:textFill>
                  <w14:solidFill>
                    <w14:schemeClr w14:val="tx1"/>
                  </w14:solidFill>
                </w14:textFill>
              </w:rPr>
            </w:pPr>
          </w:p>
        </w:tc>
        <w:tc>
          <w:tcPr>
            <w:tcW w:w="772" w:type="dxa"/>
            <w:vAlign w:val="center"/>
          </w:tcPr>
          <w:p>
            <w:pPr>
              <w:widowControl/>
              <w:adjustRightInd/>
              <w:snapToGrid/>
              <w:spacing w:line="240" w:lineRule="auto"/>
              <w:ind w:firstLine="0" w:firstLineChars="0"/>
              <w:jc w:val="center"/>
              <w:rPr>
                <w:rFonts w:cs="Times New Roman"/>
                <w:b/>
                <w:color w:val="000000" w:themeColor="text1"/>
                <w:kern w:val="0"/>
                <w:sz w:val="21"/>
                <w:szCs w:val="21"/>
                <w14:textFill>
                  <w14:solidFill>
                    <w14:schemeClr w14:val="tx1"/>
                  </w14:solidFill>
                </w14:textFill>
              </w:rPr>
            </w:pPr>
            <w:r>
              <w:rPr>
                <w:rFonts w:cs="Times New Roman"/>
                <w:b/>
                <w:color w:val="000000" w:themeColor="text1"/>
                <w:sz w:val="21"/>
                <w:szCs w:val="21"/>
                <w14:textFill>
                  <w14:solidFill>
                    <w14:schemeClr w14:val="tx1"/>
                  </w14:solidFill>
                </w14:textFill>
              </w:rPr>
              <w:t>10</w:t>
            </w:r>
          </w:p>
        </w:tc>
        <w:tc>
          <w:tcPr>
            <w:tcW w:w="820" w:type="dxa"/>
            <w:vAlign w:val="center"/>
          </w:tcPr>
          <w:p>
            <w:pPr>
              <w:widowControl/>
              <w:adjustRightInd/>
              <w:snapToGrid/>
              <w:spacing w:line="240" w:lineRule="auto"/>
              <w:ind w:firstLine="0" w:firstLineChars="0"/>
              <w:jc w:val="center"/>
              <w:rPr>
                <w:rFonts w:cs="Times New Roman"/>
                <w:b/>
                <w:color w:val="000000" w:themeColor="text1"/>
                <w:kern w:val="0"/>
                <w:sz w:val="21"/>
                <w:szCs w:val="21"/>
                <w14:textFill>
                  <w14:solidFill>
                    <w14:schemeClr w14:val="tx1"/>
                  </w14:solidFill>
                </w14:textFill>
              </w:rPr>
            </w:pPr>
            <w:r>
              <w:rPr>
                <w:rFonts w:cs="Times New Roman"/>
                <w:b/>
                <w:color w:val="000000" w:themeColor="text1"/>
                <w:sz w:val="21"/>
                <w:szCs w:val="21"/>
                <w14:textFill>
                  <w14:solidFill>
                    <w14:schemeClr w14:val="tx1"/>
                  </w14:solidFill>
                </w14:textFill>
              </w:rPr>
              <w:t>30</w:t>
            </w:r>
          </w:p>
        </w:tc>
        <w:tc>
          <w:tcPr>
            <w:tcW w:w="820" w:type="dxa"/>
            <w:vAlign w:val="center"/>
          </w:tcPr>
          <w:p>
            <w:pPr>
              <w:widowControl/>
              <w:adjustRightInd/>
              <w:snapToGrid/>
              <w:spacing w:line="240" w:lineRule="auto"/>
              <w:ind w:firstLine="0" w:firstLineChars="0"/>
              <w:jc w:val="center"/>
              <w:rPr>
                <w:rFonts w:cs="Times New Roman"/>
                <w:b/>
                <w:color w:val="000000" w:themeColor="text1"/>
                <w:kern w:val="0"/>
                <w:sz w:val="21"/>
                <w:szCs w:val="21"/>
                <w14:textFill>
                  <w14:solidFill>
                    <w14:schemeClr w14:val="tx1"/>
                  </w14:solidFill>
                </w14:textFill>
              </w:rPr>
            </w:pPr>
            <w:r>
              <w:rPr>
                <w:rFonts w:cs="Times New Roman"/>
                <w:b/>
                <w:color w:val="000000" w:themeColor="text1"/>
                <w:sz w:val="21"/>
                <w:szCs w:val="21"/>
                <w14:textFill>
                  <w14:solidFill>
                    <w14:schemeClr w14:val="tx1"/>
                  </w14:solidFill>
                </w14:textFill>
              </w:rPr>
              <w:t>50</w:t>
            </w:r>
          </w:p>
        </w:tc>
        <w:tc>
          <w:tcPr>
            <w:tcW w:w="820" w:type="dxa"/>
            <w:vAlign w:val="center"/>
          </w:tcPr>
          <w:p>
            <w:pPr>
              <w:widowControl/>
              <w:adjustRightInd/>
              <w:snapToGrid/>
              <w:spacing w:line="240" w:lineRule="auto"/>
              <w:ind w:firstLine="0" w:firstLineChars="0"/>
              <w:jc w:val="center"/>
              <w:rPr>
                <w:rFonts w:cs="Times New Roman"/>
                <w:b/>
                <w:color w:val="000000" w:themeColor="text1"/>
                <w:kern w:val="0"/>
                <w:sz w:val="21"/>
                <w:szCs w:val="21"/>
                <w14:textFill>
                  <w14:solidFill>
                    <w14:schemeClr w14:val="tx1"/>
                  </w14:solidFill>
                </w14:textFill>
              </w:rPr>
            </w:pPr>
            <w:r>
              <w:rPr>
                <w:rFonts w:cs="Times New Roman"/>
                <w:b/>
                <w:color w:val="000000" w:themeColor="text1"/>
                <w:sz w:val="21"/>
                <w:szCs w:val="21"/>
                <w14:textFill>
                  <w14:solidFill>
                    <w14:schemeClr w14:val="tx1"/>
                  </w14:solidFill>
                </w14:textFill>
              </w:rPr>
              <w:t>100</w:t>
            </w:r>
          </w:p>
        </w:tc>
        <w:tc>
          <w:tcPr>
            <w:tcW w:w="799" w:type="dxa"/>
            <w:vAlign w:val="center"/>
          </w:tcPr>
          <w:p>
            <w:pPr>
              <w:widowControl/>
              <w:adjustRightInd/>
              <w:snapToGrid/>
              <w:spacing w:line="240" w:lineRule="auto"/>
              <w:ind w:firstLine="0" w:firstLineChars="0"/>
              <w:jc w:val="center"/>
              <w:rPr>
                <w:rFonts w:cs="Times New Roman"/>
                <w:b/>
                <w:color w:val="000000" w:themeColor="text1"/>
                <w:kern w:val="0"/>
                <w:sz w:val="21"/>
                <w:szCs w:val="21"/>
                <w14:textFill>
                  <w14:solidFill>
                    <w14:schemeClr w14:val="tx1"/>
                  </w14:solidFill>
                </w14:textFill>
              </w:rPr>
            </w:pPr>
            <w:r>
              <w:rPr>
                <w:rFonts w:cs="Times New Roman"/>
                <w:b/>
                <w:color w:val="000000" w:themeColor="text1"/>
                <w:sz w:val="21"/>
                <w:szCs w:val="21"/>
                <w14:textFill>
                  <w14:solidFill>
                    <w14:schemeClr w14:val="tx1"/>
                  </w14:solidFill>
                </w14:textFill>
              </w:rPr>
              <w:t>150</w:t>
            </w:r>
          </w:p>
        </w:tc>
        <w:tc>
          <w:tcPr>
            <w:tcW w:w="799" w:type="dxa"/>
            <w:vAlign w:val="center"/>
          </w:tcPr>
          <w:p>
            <w:pPr>
              <w:widowControl/>
              <w:adjustRightInd/>
              <w:snapToGrid/>
              <w:spacing w:line="240" w:lineRule="auto"/>
              <w:ind w:firstLine="0" w:firstLineChars="0"/>
              <w:jc w:val="center"/>
              <w:rPr>
                <w:rFonts w:cs="Times New Roman"/>
                <w:b/>
                <w:color w:val="000000" w:themeColor="text1"/>
                <w:kern w:val="0"/>
                <w:sz w:val="21"/>
                <w:szCs w:val="21"/>
                <w14:textFill>
                  <w14:solidFill>
                    <w14:schemeClr w14:val="tx1"/>
                  </w14:solidFill>
                </w14:textFill>
              </w:rPr>
            </w:pPr>
            <w:r>
              <w:rPr>
                <w:rFonts w:cs="Times New Roman"/>
                <w:b/>
                <w:color w:val="000000" w:themeColor="text1"/>
                <w:sz w:val="21"/>
                <w:szCs w:val="21"/>
                <w14:textFill>
                  <w14:solidFill>
                    <w14:schemeClr w14:val="tx1"/>
                  </w14:solidFill>
                </w14:textFill>
              </w:rPr>
              <w:t>200</w:t>
            </w:r>
          </w:p>
        </w:tc>
        <w:tc>
          <w:tcPr>
            <w:tcW w:w="906" w:type="dxa"/>
            <w:vAlign w:val="center"/>
          </w:tcPr>
          <w:p>
            <w:pPr>
              <w:widowControl/>
              <w:adjustRightInd/>
              <w:snapToGrid/>
              <w:spacing w:line="240" w:lineRule="auto"/>
              <w:ind w:firstLine="0" w:firstLineChars="0"/>
              <w:jc w:val="center"/>
              <w:rPr>
                <w:rFonts w:cs="Times New Roman"/>
                <w:b/>
                <w:color w:val="000000" w:themeColor="text1"/>
                <w:kern w:val="0"/>
                <w:sz w:val="21"/>
                <w:szCs w:val="21"/>
                <w14:textFill>
                  <w14:solidFill>
                    <w14:schemeClr w14:val="tx1"/>
                  </w14:solidFill>
                </w14:textFill>
              </w:rPr>
            </w:pPr>
            <w:r>
              <w:rPr>
                <w:rFonts w:cs="Times New Roman"/>
                <w:b/>
                <w:color w:val="000000" w:themeColor="text1"/>
                <w:sz w:val="21"/>
                <w:szCs w:val="21"/>
                <w14:textFill>
                  <w14:solidFill>
                    <w14:schemeClr w14:val="tx1"/>
                  </w14:solidFill>
                </w14:textFill>
              </w:rPr>
              <w:t>250</w:t>
            </w:r>
          </w:p>
        </w:tc>
        <w:tc>
          <w:tcPr>
            <w:tcW w:w="866" w:type="dxa"/>
            <w:vAlign w:val="center"/>
          </w:tcPr>
          <w:p>
            <w:pPr>
              <w:widowControl/>
              <w:adjustRightInd/>
              <w:snapToGrid/>
              <w:spacing w:line="240" w:lineRule="auto"/>
              <w:ind w:firstLine="0" w:firstLineChars="0"/>
              <w:jc w:val="center"/>
              <w:rPr>
                <w:rFonts w:cs="Times New Roman"/>
                <w:b/>
                <w:color w:val="000000" w:themeColor="text1"/>
                <w:kern w:val="0"/>
                <w:sz w:val="21"/>
                <w:szCs w:val="21"/>
                <w14:textFill>
                  <w14:solidFill>
                    <w14:schemeClr w14:val="tx1"/>
                  </w14:solidFill>
                </w14:textFill>
              </w:rPr>
            </w:pPr>
            <w:r>
              <w:rPr>
                <w:rFonts w:cs="Times New Roman"/>
                <w:b/>
                <w:color w:val="000000" w:themeColor="text1"/>
                <w:sz w:val="21"/>
                <w:szCs w:val="21"/>
                <w14:textFill>
                  <w14:solidFill>
                    <w14:schemeClr w14:val="tx1"/>
                  </w14:solidFill>
                </w14:textFill>
              </w:rPr>
              <w:t>280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40"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w:t>
            </w:r>
          </w:p>
        </w:tc>
        <w:tc>
          <w:tcPr>
            <w:tcW w:w="1117"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推土机</w:t>
            </w:r>
          </w:p>
        </w:tc>
        <w:tc>
          <w:tcPr>
            <w:tcW w:w="772"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79</w:t>
            </w:r>
          </w:p>
        </w:tc>
        <w:tc>
          <w:tcPr>
            <w:tcW w:w="820"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69</w:t>
            </w:r>
          </w:p>
        </w:tc>
        <w:tc>
          <w:tcPr>
            <w:tcW w:w="820"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65</w:t>
            </w:r>
          </w:p>
        </w:tc>
        <w:tc>
          <w:tcPr>
            <w:tcW w:w="820"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59</w:t>
            </w:r>
          </w:p>
        </w:tc>
        <w:tc>
          <w:tcPr>
            <w:tcW w:w="799"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55</w:t>
            </w:r>
          </w:p>
        </w:tc>
        <w:tc>
          <w:tcPr>
            <w:tcW w:w="799"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54</w:t>
            </w:r>
          </w:p>
        </w:tc>
        <w:tc>
          <w:tcPr>
            <w:tcW w:w="906"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51</w:t>
            </w:r>
          </w:p>
        </w:tc>
        <w:tc>
          <w:tcPr>
            <w:tcW w:w="866"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40"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w:t>
            </w:r>
          </w:p>
        </w:tc>
        <w:tc>
          <w:tcPr>
            <w:tcW w:w="1117"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挖掘机</w:t>
            </w:r>
          </w:p>
        </w:tc>
        <w:tc>
          <w:tcPr>
            <w:tcW w:w="772"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78</w:t>
            </w:r>
          </w:p>
        </w:tc>
        <w:tc>
          <w:tcPr>
            <w:tcW w:w="820"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68</w:t>
            </w:r>
          </w:p>
        </w:tc>
        <w:tc>
          <w:tcPr>
            <w:tcW w:w="820"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64</w:t>
            </w:r>
          </w:p>
        </w:tc>
        <w:tc>
          <w:tcPr>
            <w:tcW w:w="820"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58</w:t>
            </w:r>
          </w:p>
        </w:tc>
        <w:tc>
          <w:tcPr>
            <w:tcW w:w="799"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54</w:t>
            </w:r>
          </w:p>
        </w:tc>
        <w:tc>
          <w:tcPr>
            <w:tcW w:w="799"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53</w:t>
            </w:r>
          </w:p>
        </w:tc>
        <w:tc>
          <w:tcPr>
            <w:tcW w:w="906"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50</w:t>
            </w:r>
          </w:p>
        </w:tc>
        <w:tc>
          <w:tcPr>
            <w:tcW w:w="866"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49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40"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w:t>
            </w:r>
          </w:p>
        </w:tc>
        <w:tc>
          <w:tcPr>
            <w:tcW w:w="1117"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载重机车</w:t>
            </w:r>
          </w:p>
        </w:tc>
        <w:tc>
          <w:tcPr>
            <w:tcW w:w="772"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76</w:t>
            </w:r>
          </w:p>
        </w:tc>
        <w:tc>
          <w:tcPr>
            <w:tcW w:w="820"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66</w:t>
            </w:r>
          </w:p>
        </w:tc>
        <w:tc>
          <w:tcPr>
            <w:tcW w:w="820"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62</w:t>
            </w:r>
          </w:p>
        </w:tc>
        <w:tc>
          <w:tcPr>
            <w:tcW w:w="820"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56</w:t>
            </w:r>
          </w:p>
        </w:tc>
        <w:tc>
          <w:tcPr>
            <w:tcW w:w="799"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52</w:t>
            </w:r>
          </w:p>
        </w:tc>
        <w:tc>
          <w:tcPr>
            <w:tcW w:w="799"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51</w:t>
            </w:r>
          </w:p>
        </w:tc>
        <w:tc>
          <w:tcPr>
            <w:tcW w:w="906"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48</w:t>
            </w:r>
          </w:p>
        </w:tc>
        <w:tc>
          <w:tcPr>
            <w:tcW w:w="866"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47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40"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w:t>
            </w:r>
          </w:p>
        </w:tc>
        <w:tc>
          <w:tcPr>
            <w:tcW w:w="1117" w:type="dxa"/>
            <w:vAlign w:val="center"/>
          </w:tcPr>
          <w:p>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空压机</w:t>
            </w:r>
          </w:p>
        </w:tc>
        <w:tc>
          <w:tcPr>
            <w:tcW w:w="772"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81</w:t>
            </w:r>
          </w:p>
        </w:tc>
        <w:tc>
          <w:tcPr>
            <w:tcW w:w="820"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71</w:t>
            </w:r>
          </w:p>
        </w:tc>
        <w:tc>
          <w:tcPr>
            <w:tcW w:w="820"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67</w:t>
            </w:r>
          </w:p>
        </w:tc>
        <w:tc>
          <w:tcPr>
            <w:tcW w:w="820"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61</w:t>
            </w:r>
          </w:p>
        </w:tc>
        <w:tc>
          <w:tcPr>
            <w:tcW w:w="799"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57</w:t>
            </w:r>
          </w:p>
        </w:tc>
        <w:tc>
          <w:tcPr>
            <w:tcW w:w="799"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55</w:t>
            </w:r>
          </w:p>
        </w:tc>
        <w:tc>
          <w:tcPr>
            <w:tcW w:w="906"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53</w:t>
            </w:r>
          </w:p>
        </w:tc>
        <w:tc>
          <w:tcPr>
            <w:tcW w:w="866" w:type="dxa"/>
            <w:vAlign w:val="center"/>
          </w:tcPr>
          <w:p>
            <w:pPr>
              <w:widowControl/>
              <w:adjustRightInd/>
              <w:snapToGrid/>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52</w:t>
            </w:r>
          </w:p>
        </w:tc>
      </w:tr>
    </w:tbl>
    <w:p>
      <w:pPr>
        <w:widowControl/>
        <w:spacing w:before="120" w:beforeLines="50"/>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根据预测结果，在距离施工机械约36m处噪声级低于70dB（A），即施工区边界外36m处可满足《建筑施工场界环境噪声排放标准》（GB12523-2011）。</w:t>
      </w:r>
    </w:p>
    <w:p>
      <w:pPr>
        <w:widowControl/>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（2）施工期噪声对敏感点的影响分析</w:t>
      </w:r>
    </w:p>
    <w:p>
      <w:pPr>
        <w:widowControl/>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按《声环境质量标准》（GB3096-2008）2类标准评价（昼间小于等于60分贝），昼间距离施工区约113m可满足标准要求，夜间不施工。</w:t>
      </w:r>
    </w:p>
    <w:p>
      <w:pPr>
        <w:widowControl/>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项目周边的敏感点均为分散的敏感点，居民数量不多，钻前施工约90天，噪声对周边环境及居民点的影响时间是有限的，周边靠近井场侧居民点昼间未出现超标现象；在工程在施工时，应选择合理的施工时间，白天施工时尽量避开居民午休时间，且优化总平面布置，避免高噪声设备布置在靠近居民点侧，以此来降低噪声对附近居民的影响，同时应加强与周边居民点的沟通，取得居民谅解，做到超标不扰民。</w:t>
      </w:r>
    </w:p>
    <w:p>
      <w:pPr>
        <w:pStyle w:val="4"/>
        <w:ind w:firstLine="241"/>
        <w:rPr>
          <w:b w:val="0"/>
        </w:rPr>
      </w:pPr>
      <w:bookmarkStart w:id="245" w:name="_Toc120173152"/>
      <w:r>
        <w:rPr>
          <w:rFonts w:hint="eastAsia"/>
        </w:rPr>
        <w:t>5.1.3</w:t>
      </w:r>
      <w:r>
        <w:t>施工期钻井工程环境影响分析</w:t>
      </w:r>
      <w:bookmarkEnd w:id="245"/>
    </w:p>
    <w:p>
      <w:pPr>
        <w:ind w:firstLine="480"/>
        <w:rPr>
          <w:rFonts w:eastAsia="黑体" w:cs="Times New Roman"/>
          <w:bCs/>
          <w:color w:val="000000" w:themeColor="text1"/>
          <w:szCs w:val="24"/>
          <w14:textFill>
            <w14:solidFill>
              <w14:schemeClr w14:val="tx1"/>
            </w14:solidFill>
          </w14:textFill>
        </w:rPr>
      </w:pPr>
      <w:r>
        <w:rPr>
          <w:rFonts w:eastAsia="黑体" w:cs="Times New Roman"/>
          <w:bCs/>
          <w:color w:val="000000" w:themeColor="text1"/>
          <w:szCs w:val="24"/>
          <w14:textFill>
            <w14:solidFill>
              <w14:schemeClr w14:val="tx1"/>
            </w14:solidFill>
          </w14:textFill>
        </w:rPr>
        <w:t>1、大气环境影响分析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本项目钻井阶段废气主要为备用柴油机/发电机废气、事故放喷废气、压裂作业废气、无组织挥发性废气、气体钻粉尘、完井测试放喷废气。</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（1）备用柴油机/发电机废气</w:t>
      </w:r>
      <w:r>
        <w:rPr>
          <w:rFonts w:cs="Times New Roman"/>
          <w:b/>
          <w:color w:val="000000" w:themeColor="text1"/>
          <w:szCs w:val="24"/>
          <w14:textFill>
            <w14:solidFill>
              <w14:schemeClr w14:val="tx1"/>
            </w14:solidFill>
          </w14:textFill>
        </w:rPr>
        <w:t>影响分析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钻井期间，电力由当地电网提供，钻井作业期间停电等紧急情况下柴油发电机组废气主要污染物为NOx、SO</w:t>
      </w:r>
      <w:r>
        <w:rPr>
          <w:rFonts w:cs="Times New Roman"/>
          <w:color w:val="000000" w:themeColor="text1"/>
          <w:vertAlign w:val="subscript"/>
          <w14:textFill>
            <w14:solidFill>
              <w14:schemeClr w14:val="tx1"/>
            </w14:solidFill>
          </w14:textFill>
        </w:rPr>
        <w:t>2</w:t>
      </w:r>
      <w:r>
        <w:rPr>
          <w:rFonts w:cs="Times New Roman"/>
          <w:color w:val="000000" w:themeColor="text1"/>
          <w14:textFill>
            <w14:solidFill>
              <w14:schemeClr w14:val="tx1"/>
            </w14:solidFill>
          </w14:textFill>
        </w:rPr>
        <w:t>、颗粒物，虽然柴油机自带排气筒距离地面约6m，未达到15m，但由于在设备上升高排气筒技术上难实行，设备自身是环保达标设备，采用设备自带排气筒排气影响范围小，影响时间短，且根据2017.1.12环保部长《关于GB16297-1996 的适用范围的回复》，对“</w:t>
      </w:r>
      <w:r>
        <w:rPr>
          <w:rFonts w:cs="Times New Roman"/>
          <w:bCs/>
          <w:color w:val="000000" w:themeColor="text1"/>
          <w14:textFill>
            <w14:solidFill>
              <w14:schemeClr w14:val="tx1"/>
            </w14:solidFill>
          </w14:textFill>
        </w:rPr>
        <w:t>固定式柴油发电机排气筒高度和排放速率暂不作要求</w:t>
      </w:r>
      <w:r>
        <w:rPr>
          <w:rFonts w:cs="Times New Roman"/>
          <w:color w:val="000000" w:themeColor="text1"/>
          <w14:textFill>
            <w14:solidFill>
              <w14:schemeClr w14:val="tx1"/>
            </w14:solidFill>
          </w14:textFill>
        </w:rPr>
        <w:t>”，因此可不新增措施。</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本工程钻井期柴油动力机和发电机废气排放量为</w:t>
      </w:r>
      <w:r>
        <w:rPr>
          <w:rFonts w:cs="Times New Roman"/>
          <w:snapToGrid w:val="0"/>
          <w:color w:val="000000" w:themeColor="text1"/>
          <w14:textFill>
            <w14:solidFill>
              <w14:schemeClr w14:val="tx1"/>
            </w14:solidFill>
          </w14:textFill>
        </w:rPr>
        <w:t>11420</w:t>
      </w:r>
      <w:r>
        <w:rPr>
          <w:rFonts w:cs="Times New Roman"/>
          <w:color w:val="000000" w:themeColor="text1"/>
          <w14:textFill>
            <w14:solidFill>
              <w14:schemeClr w14:val="tx1"/>
            </w14:solidFill>
          </w14:textFill>
        </w:rPr>
        <w:t>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/h，NOx排放速率约为1.72kg/h，SO</w:t>
      </w:r>
      <w:r>
        <w:rPr>
          <w:rFonts w:cs="Times New Roman"/>
          <w:color w:val="000000" w:themeColor="text1"/>
          <w:vertAlign w:val="subscript"/>
          <w14:textFill>
            <w14:solidFill>
              <w14:schemeClr w14:val="tx1"/>
            </w14:solidFill>
          </w14:textFill>
        </w:rPr>
        <w:t>2</w:t>
      </w:r>
      <w:r>
        <w:rPr>
          <w:rFonts w:cs="Times New Roman"/>
          <w:color w:val="000000" w:themeColor="text1"/>
          <w14:textFill>
            <w14:solidFill>
              <w14:schemeClr w14:val="tx1"/>
            </w14:solidFill>
          </w14:textFill>
        </w:rPr>
        <w:t>排放速率约为0.011kg/h，颗粒物排放速率约为0.48kg/h，属连续排放。燃料废气释放到环境空气中后将很快被稀释，且其影响的持续时间较短，影响范围仅局限于钻井架周围较小范围内。钻井作业的柴油机为流动废气污染源，不会同时同地进行，实际上钻井过程中，柴油机废气对环境空气的影响很小，不会改变敏感点环境功能，钻井期间的大气污染物将随钻井工程的结束而消除</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所以本项目钻井期柴油机烟气对大气环境影响是有限的，能为环境所接受。</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（2）事故放喷废气</w:t>
      </w:r>
      <w:r>
        <w:rPr>
          <w:rFonts w:cs="Times New Roman"/>
          <w:b/>
          <w:color w:val="000000" w:themeColor="text1"/>
          <w:szCs w:val="24"/>
          <w14:textFill>
            <w14:solidFill>
              <w14:schemeClr w14:val="tx1"/>
            </w14:solidFill>
          </w14:textFill>
        </w:rPr>
        <w:t>影响分析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事故放喷是由于地层高压异常导致的，在石油天然气行业是低概率事件。事故放喷主产物是含硫天然气燃烧后产生的CO</w:t>
      </w:r>
      <w:r>
        <w:rPr>
          <w:rFonts w:cs="Times New Roman"/>
          <w:color w:val="000000" w:themeColor="text1"/>
          <w:vertAlign w:val="subscript"/>
          <w14:textFill>
            <w14:solidFill>
              <w14:schemeClr w14:val="tx1"/>
            </w14:solidFill>
          </w14:textFill>
        </w:rPr>
        <w:t>2</w:t>
      </w:r>
      <w:r>
        <w:rPr>
          <w:rFonts w:cs="Times New Roman"/>
          <w:color w:val="000000" w:themeColor="text1"/>
          <w14:textFill>
            <w14:solidFill>
              <w14:schemeClr w14:val="tx1"/>
            </w14:solidFill>
          </w14:textFill>
        </w:rPr>
        <w:t>和SO</w:t>
      </w:r>
      <w:r>
        <w:rPr>
          <w:rFonts w:cs="Times New Roman"/>
          <w:color w:val="000000" w:themeColor="text1"/>
          <w:vertAlign w:val="subscript"/>
          <w14:textFill>
            <w14:solidFill>
              <w14:schemeClr w14:val="tx1"/>
            </w14:solidFill>
          </w14:textFill>
        </w:rPr>
        <w:t>2</w:t>
      </w:r>
      <w:r>
        <w:rPr>
          <w:rFonts w:cs="Times New Roman"/>
          <w:color w:val="000000" w:themeColor="text1"/>
          <w14:textFill>
            <w14:solidFill>
              <w14:schemeClr w14:val="tx1"/>
            </w14:solidFill>
          </w14:textFill>
        </w:rPr>
        <w:t>。事故放喷时间持续较短，且通过专用的放喷管线将天然气引至放喷池进行点火放喷，属临时排放，且建设单位在发生事故放喷时制定了紧急预案，对周边居民实施临时疏散，因此事故放喷对周边人群健康基本无影响，对环境影响也较小。</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放喷前建设单位应对距离井口500m范围内的居民临时撤离，并建立警戒点进行24小时警戒，严禁居民靠近，以减轻放喷废气对这些居民的影响。由于测试放喷时间一般为3小时，属短期排放，不会形成长期环境影响，短期影响也可控制在周边居民健康安全限值以下，污染物排放随测试放喷的结束而停止，不会长期存在，不会影响区域环境空气功能区划。</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（3）压裂作业废气</w:t>
      </w:r>
      <w:r>
        <w:rPr>
          <w:rFonts w:cs="Times New Roman"/>
          <w:b/>
          <w:color w:val="000000" w:themeColor="text1"/>
          <w:szCs w:val="24"/>
          <w14:textFill>
            <w14:solidFill>
              <w14:schemeClr w14:val="tx1"/>
            </w14:solidFill>
          </w14:textFill>
        </w:rPr>
        <w:t>影响分析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压裂作业废气主要为压裂车施工机械尾气，主要污染物为NO</w:t>
      </w:r>
      <w:r>
        <w:rPr>
          <w:rFonts w:cs="Times New Roman"/>
          <w:color w:val="000000" w:themeColor="text1"/>
          <w:vertAlign w:val="subscript"/>
          <w14:textFill>
            <w14:solidFill>
              <w14:schemeClr w14:val="tx1"/>
            </w14:solidFill>
          </w14:textFill>
        </w:rPr>
        <w:t>X</w:t>
      </w:r>
      <w:r>
        <w:rPr>
          <w:rFonts w:cs="Times New Roman"/>
          <w:color w:val="000000" w:themeColor="text1"/>
          <w14:textFill>
            <w14:solidFill>
              <w14:schemeClr w14:val="tx1"/>
            </w14:solidFill>
          </w14:textFill>
        </w:rPr>
        <w:t>、烟尘及少量CO，设施采用合格燃油、加强设备保养减少尾气排放量。压裂作业持续时间较短、污染物产生量小，对当地大气环境影响较小，影响可接受。</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（4）无组织挥发性废气</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为天然气钻井及试采工程，除燃油机械使用过程中产生的少量无组织挥发性有机物排放外，属于钻井施工过程中无组织排放源，无组织挥发性有机物排放量小，通过自然扩散可有效降低其影响，对周边环境影响甚微。</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（5）测试放喷废气</w:t>
      </w:r>
      <w:r>
        <w:rPr>
          <w:rFonts w:cs="Times New Roman"/>
          <w:b/>
          <w:color w:val="000000" w:themeColor="text1"/>
          <w:szCs w:val="24"/>
          <w14:textFill>
            <w14:solidFill>
              <w14:schemeClr w14:val="tx1"/>
            </w14:solidFill>
          </w14:textFill>
        </w:rPr>
        <w:t>影响分析</w:t>
      </w:r>
    </w:p>
    <w:p>
      <w:pPr>
        <w:ind w:firstLine="480"/>
        <w:rPr>
          <w:rFonts w:cs="Times New Roman"/>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测试放喷废气采用地面灼烧处理，放喷池地势空旷，该技术在钻井工程中广泛应用，技术成熟可靠，措施可行，</w:t>
      </w:r>
      <w:r>
        <w:rPr>
          <w:rFonts w:cs="Times New Roman"/>
          <w:color w:val="000000" w:themeColor="text1"/>
          <w:szCs w:val="24"/>
          <w14:textFill>
            <w14:solidFill>
              <w14:schemeClr w14:val="tx1"/>
            </w14:solidFill>
          </w14:textFill>
        </w:rPr>
        <w:t>其主要污染物为CO</w:t>
      </w:r>
      <w:r>
        <w:rPr>
          <w:rFonts w:cs="Times New Roman"/>
          <w:color w:val="000000" w:themeColor="text1"/>
          <w:szCs w:val="24"/>
          <w:vertAlign w:val="subscript"/>
          <w14:textFill>
            <w14:solidFill>
              <w14:schemeClr w14:val="tx1"/>
            </w14:solidFill>
          </w14:textFill>
        </w:rPr>
        <w:t>2</w:t>
      </w:r>
      <w:r>
        <w:rPr>
          <w:rFonts w:cs="Times New Roman"/>
          <w:color w:val="000000" w:themeColor="text1"/>
          <w:szCs w:val="24"/>
          <w14:textFill>
            <w14:solidFill>
              <w14:schemeClr w14:val="tx1"/>
            </w14:solidFill>
          </w14:textFill>
        </w:rPr>
        <w:t>和SO</w:t>
      </w:r>
      <w:r>
        <w:rPr>
          <w:rFonts w:cs="Times New Roman"/>
          <w:color w:val="000000" w:themeColor="text1"/>
          <w:szCs w:val="24"/>
          <w:vertAlign w:val="subscript"/>
          <w14:textFill>
            <w14:solidFill>
              <w14:schemeClr w14:val="tx1"/>
            </w14:solidFill>
          </w14:textFill>
        </w:rPr>
        <w:t>2</w:t>
      </w:r>
      <w:r>
        <w:rPr>
          <w:rFonts w:cs="Times New Roman"/>
          <w:color w:val="000000" w:themeColor="text1"/>
          <w14:textFill>
            <w14:solidFill>
              <w14:schemeClr w14:val="tx1"/>
            </w14:solidFill>
          </w14:textFill>
        </w:rPr>
        <w:t>等，放喷时间短，属临时排放，类比区域已完钻井测试情况，测试放喷废气对大气环境的影响是可接受的。</w:t>
      </w:r>
      <w:r>
        <w:rPr>
          <w:rFonts w:cs="Times New Roman"/>
          <w:color w:val="000000" w:themeColor="text1"/>
          <w:szCs w:val="24"/>
          <w14:textFill>
            <w14:solidFill>
              <w14:schemeClr w14:val="tx1"/>
            </w14:solidFill>
          </w14:textFill>
        </w:rPr>
        <w:t>并将随测试放喷的结束而消除，对周边大气环境影响较小。</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（6）空气钻粉尘影响分析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在空气钻阶段，压缩气体将井底岩屑等带出地面过程中，会产生一定的粉尘。根据工艺设计，在压缩空气将携带的岩屑带入污水池前，通过向排砂管内加水洗涤，废水和岩屑进入污水池，极少量粉尘由压缩空气带入环境中，</w:t>
      </w:r>
      <w:r>
        <w:rPr>
          <w:rFonts w:cs="Times New Roman"/>
          <w:color w:val="000000" w:themeColor="text1"/>
          <w:szCs w:val="24"/>
          <w14:textFill>
            <w14:solidFill>
              <w14:schemeClr w14:val="tx1"/>
            </w14:solidFill>
          </w14:textFill>
        </w:rPr>
        <w:t>空气钻产生的粉尘采用水雾喷嘴进行降尘处理后对外环境影响可接受。</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总之，钻井期间废气污染物排放量少，且排放时间短，对井场所在地大气环境影响甚微。</w:t>
      </w:r>
    </w:p>
    <w:p>
      <w:pPr>
        <w:ind w:firstLine="480"/>
        <w:rPr>
          <w:rFonts w:eastAsia="黑体" w:cs="Times New Roman"/>
          <w:bCs/>
          <w:color w:val="000000" w:themeColor="text1"/>
          <w:szCs w:val="24"/>
          <w14:textFill>
            <w14:solidFill>
              <w14:schemeClr w14:val="tx1"/>
            </w14:solidFill>
          </w14:textFill>
        </w:rPr>
      </w:pPr>
      <w:r>
        <w:rPr>
          <w:rFonts w:eastAsia="黑体" w:cs="Times New Roman"/>
          <w:bCs/>
          <w:color w:val="000000" w:themeColor="text1"/>
          <w:szCs w:val="24"/>
          <w14:textFill>
            <w14:solidFill>
              <w14:schemeClr w14:val="tx1"/>
            </w14:solidFill>
          </w14:textFill>
        </w:rPr>
        <w:t>2、地表水环境影响分析</w:t>
      </w:r>
    </w:p>
    <w:p>
      <w:pPr>
        <w:ind w:firstLine="482"/>
        <w:rPr>
          <w:rFonts w:cs="Times New Roman"/>
          <w:color w:val="000000" w:themeColor="text1"/>
          <w14:textFill>
            <w14:solidFill>
              <w14:schemeClr w14:val="tx1"/>
            </w14:solidFill>
          </w14:textFill>
        </w:rPr>
      </w:pPr>
      <w:r>
        <w:rPr>
          <w:rFonts w:cs="Times New Roman"/>
          <w:b/>
          <w:bCs/>
          <w:color w:val="000000" w:themeColor="text1"/>
          <w14:textFill>
            <w14:solidFill>
              <w14:schemeClr w14:val="tx1"/>
            </w14:solidFill>
          </w14:textFill>
        </w:rPr>
        <w:t>（1）场地渗透、外溢对地表水环境影响分析</w:t>
      </w:r>
    </w:p>
    <w:p>
      <w:pPr>
        <w:ind w:firstLine="480"/>
        <w:rPr>
          <w:rFonts w:cs="Times New Roman"/>
          <w:bCs/>
          <w:color w:val="000000" w:themeColor="text1"/>
          <w14:textFill>
            <w14:solidFill>
              <w14:schemeClr w14:val="tx1"/>
            </w14:solidFill>
          </w14:textFill>
        </w:rPr>
      </w:pPr>
      <w:r>
        <w:rPr>
          <w:rFonts w:cs="Times New Roman"/>
          <w:color w:val="000000" w:themeColor="text1"/>
          <w14:textFill>
            <w14:solidFill>
              <w14:schemeClr w14:val="tx1"/>
            </w14:solidFill>
          </w14:textFill>
        </w:rPr>
        <w:t>本项目井口设置方井，用于收集钻井过程中散落的泥浆和污水，泥浆泵入泥浆罐回收利用，废水通过污水泵泵入泥浆不落地系统内处理回用。</w:t>
      </w:r>
      <w:r>
        <w:rPr>
          <w:rFonts w:cs="Times New Roman"/>
          <w:bCs/>
          <w:color w:val="000000" w:themeColor="text1"/>
          <w14:textFill>
            <w14:solidFill>
              <w14:schemeClr w14:val="tx1"/>
            </w14:solidFill>
          </w14:textFill>
        </w:rPr>
        <w:t>钻井期生活污水依托站场已建的厕所收集后由密闭罐车定期拉运至周边生活污水处理厂处理；项目产生的钻井废水、洗井废水和压裂返排液被贮存于井场泥浆不落地装置污水罐、放喷池中。根据工程分析中的废水收集回用措施可知，泥浆不落地装置污水罐、放喷池容积能够满足钻井废水、洗井废水、压裂返排液贮存要求；当发生事故排水时，废水直接汇入泥浆不落地装置或放喷池中，不会造成废水外溢。另外，在工程设计时，泥浆不落地装置污水罐、放喷池均比地面高且有遮雨篷遮盖，可防止周边雨水汇入；井场周围设置雨水沟，井场周边雨水均不会进入井场内，井场内的雨水则顺着地势而排入四周的雨水沟；泥浆不落地装置上方配备了防雨棚，这样可避免因雨水进入集污池而增加废水量。本项目采用雨污分流，井场四周设置排水沟，并设置集水坑，初期雨水收集后与钻井废水合并处理，后期雨水依靠井站设置的地面坡度和内外环沟的阀门控制，就地散排至排水沟，排出场外。若场内雨水被污染流入外环沟，则需封闭外环沟后由作业队伍从集水坑抽汲至泥浆不落地装置或放喷池。</w:t>
      </w:r>
    </w:p>
    <w:p>
      <w:pPr>
        <w:ind w:firstLine="480"/>
        <w:rPr>
          <w:rFonts w:cs="Times New Roman"/>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区域内雨水排入山间冲沟，井场场地内及场地周围地表水仅在暴雨期间会对附近冲沟造成影响，属于正常的雨水排放，雨水通过山间冲沟最终汇入后河，不会对其水体功能造成影响。在暴雨期间应加强内外环沟的开闭工作，保证井场内初期雨水不流出井场。</w:t>
      </w:r>
      <w:r>
        <w:rPr>
          <w:rFonts w:cs="Times New Roman"/>
          <w:color w:val="000000" w:themeColor="text1"/>
          <w14:textFill>
            <w14:solidFill>
              <w14:schemeClr w14:val="tx1"/>
            </w14:solidFill>
          </w14:textFill>
        </w:rPr>
        <w:t>另外，井场采取防渗措施，泥浆不落地工艺区、井口区域、循环罐区、钻井固废暂存区、柴油罐区、发电机区、放喷池等均采取防渗处理，有效避免废水通过漏失和渗漏进入当地环境中。</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在采取上述措施后，废水以漏失、渗透、外溢等方式进入地表水环境的量极少，类比本项目已实施钻井情况，预计不会对周边河流等水环境造成污染影响，对地表水环境影响很小。</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（2）项目用水对区域水资源影响分析</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施工期的生产用水根据施工期附近地表水存储情况就近采用后河河水，生活用水通过车辆拉运桶装水至场地。由于项目距离后河较近，后河水量充沛，项目生产用水量少，合理安排施工季节，尽量不在枯水期取水，用水前做好与当地主管部门沟通协调工作，项目取水不会对周边耕地等用水造成影响；若必须在枯水期取水要首先满足下游生态流量和管理部门的要求。</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（3）对区域地表水</w:t>
      </w:r>
      <w:r>
        <w:rPr>
          <w:rFonts w:cs="Times New Roman"/>
          <w:b/>
          <w:color w:val="000000" w:themeColor="text1"/>
          <w:szCs w:val="24"/>
          <w14:textFill>
            <w14:solidFill>
              <w14:schemeClr w14:val="tx1"/>
            </w14:solidFill>
          </w14:textFill>
        </w:rPr>
        <w:t>影响分析</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钻井期生活污水依托站场已建的厕所收集后由密闭罐车定期拉运至周边生活污水处理厂处理；项目产生的钻井废水经固控设备固液分离后满足要求的全部回用于钻井过程，</w:t>
      </w:r>
      <w:r>
        <w:rPr>
          <w:rFonts w:cs="Times New Roman"/>
          <w:bCs/>
          <w:color w:val="000000" w:themeColor="text1"/>
          <w:szCs w:val="24"/>
          <w14:textFill>
            <w14:solidFill>
              <w14:schemeClr w14:val="tx1"/>
            </w14:solidFill>
          </w14:textFill>
        </w:rPr>
        <w:t>剩余废水经预处理后由罐车拉运至赵家坝污水处理站达标后管输至普光11井回注站回注，不外排</w:t>
      </w:r>
      <w:r>
        <w:rPr>
          <w:rFonts w:cs="Times New Roman"/>
          <w:bCs/>
          <w:color w:val="000000" w:themeColor="text1"/>
          <w14:textFill>
            <w14:solidFill>
              <w14:schemeClr w14:val="tx1"/>
            </w14:solidFill>
          </w14:textFill>
        </w:rPr>
        <w:t>；</w:t>
      </w:r>
      <w:r>
        <w:rPr>
          <w:rFonts w:cs="Times New Roman"/>
          <w:color w:val="000000" w:themeColor="text1"/>
          <w14:textFill>
            <w14:solidFill>
              <w14:schemeClr w14:val="tx1"/>
            </w14:solidFill>
          </w14:textFill>
        </w:rPr>
        <w:t>压裂返排液及洗井废水临时暂存于放喷池或者污水罐，优先回用于钻井工段及周边平台钻井工段，不能回用的用罐车拉运至赵家坝污水处理站处理达标后经普光11井回注站回注</w:t>
      </w:r>
      <w:r>
        <w:rPr>
          <w:rFonts w:cs="Times New Roman"/>
          <w:bCs/>
          <w:color w:val="000000" w:themeColor="text1"/>
          <w14:textFill>
            <w14:solidFill>
              <w14:schemeClr w14:val="tx1"/>
            </w14:solidFill>
          </w14:textFill>
        </w:rPr>
        <w:t>，不外排；初期雨水收集后进入泥浆不落地处理系统处理后用于配置钻井液。项目废水产生量少，经处理达标后污染物排放量也少，对当地地表水环境的影响在可接受范围内。</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（4）对项目周边耕地</w:t>
      </w:r>
      <w:r>
        <w:rPr>
          <w:rFonts w:cs="Times New Roman"/>
          <w:b/>
          <w:color w:val="000000" w:themeColor="text1"/>
          <w:szCs w:val="24"/>
          <w14:textFill>
            <w14:solidFill>
              <w14:schemeClr w14:val="tx1"/>
            </w14:solidFill>
          </w14:textFill>
        </w:rPr>
        <w:t>影响分析</w:t>
      </w:r>
    </w:p>
    <w:p>
      <w:pPr>
        <w:ind w:firstLine="480"/>
        <w:rPr>
          <w:rFonts w:cs="Times New Roman"/>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井场钻井所有设备均设置了混凝土基础，并在设备周边均设置了排污沟；在井场所有没有设置混凝土基础区域不会进行设备安装、检修等工作，因此不会有废油产生于该区域。在雨季时，雨水冲刷混凝土基础及设备的雨水会进入设备周边的混凝土排污沟，经过集污坑隔油沉淀后废水进入废水罐，废油回用或委托有资质单位处理；井场内其他非混凝土基础部分没有废油产生，雨水则直接进入场界周边的排水沟排入周围环境，对周边耕地影响甚微。</w:t>
      </w:r>
    </w:p>
    <w:p>
      <w:pPr>
        <w:ind w:firstLine="480"/>
        <w:rPr>
          <w:rFonts w:eastAsia="黑体" w:cs="Times New Roman"/>
          <w:bCs/>
          <w:color w:val="000000" w:themeColor="text1"/>
          <w:szCs w:val="24"/>
          <w14:textFill>
            <w14:solidFill>
              <w14:schemeClr w14:val="tx1"/>
            </w14:solidFill>
          </w14:textFill>
        </w:rPr>
      </w:pPr>
      <w:bookmarkStart w:id="246" w:name="5.1.3施工期噪声环境影响分析"/>
      <w:bookmarkEnd w:id="246"/>
      <w:bookmarkStart w:id="247" w:name="5.1.1施工期大气环境影响分析"/>
      <w:bookmarkEnd w:id="247"/>
      <w:r>
        <w:rPr>
          <w:rFonts w:eastAsia="黑体" w:cs="Times New Roman"/>
          <w:bCs/>
          <w:color w:val="000000" w:themeColor="text1"/>
          <w:szCs w:val="24"/>
          <w14:textFill>
            <w14:solidFill>
              <w14:schemeClr w14:val="tx1"/>
            </w14:solidFill>
          </w14:textFill>
        </w:rPr>
        <w:t>3、施工期噪声环境影响分析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该项目钻井期间噪声影响主要来源于柴油发电机（备用）、钻机、泥浆泵、振动筛、离心机等设备产生的连续机械噪声；此外，在完井压裂和油气测试过程将产生压裂设备噪声和测试放喷噪声。</w:t>
      </w:r>
    </w:p>
    <w:p>
      <w:pPr>
        <w:widowControl/>
        <w:ind w:firstLine="482"/>
        <w:jc w:val="left"/>
        <w:rPr>
          <w:rFonts w:cs="Times New Roman"/>
          <w:b/>
          <w:bCs/>
          <w:color w:val="000000" w:themeColor="text1"/>
          <w:kern w:val="0"/>
          <w:szCs w:val="24"/>
          <w14:textFill>
            <w14:solidFill>
              <w14:schemeClr w14:val="tx1"/>
            </w14:solidFill>
          </w14:textFill>
        </w:rPr>
      </w:pPr>
      <w:r>
        <w:rPr>
          <w:rFonts w:cs="Times New Roman"/>
          <w:b/>
          <w:bCs/>
          <w:color w:val="000000" w:themeColor="text1"/>
          <w:kern w:val="0"/>
          <w:szCs w:val="24"/>
          <w14:textFill>
            <w14:solidFill>
              <w14:schemeClr w14:val="tx1"/>
            </w14:solidFill>
          </w14:textFill>
        </w:rPr>
        <w:t>（1）预测步骤</w:t>
      </w:r>
    </w:p>
    <w:p>
      <w:pPr>
        <w:widowControl/>
        <w:ind w:firstLine="480"/>
        <w:jc w:val="left"/>
        <w:rPr>
          <w:rFonts w:cs="Times New Roman"/>
          <w:color w:val="000000" w:themeColor="text1"/>
          <w:kern w:val="0"/>
          <w:szCs w:val="24"/>
          <w14:textFill>
            <w14:solidFill>
              <w14:schemeClr w14:val="tx1"/>
            </w14:solidFill>
          </w14:textFill>
        </w:rPr>
      </w:pPr>
      <w:r>
        <w:rPr>
          <w:rFonts w:cs="Times New Roman"/>
          <w:color w:val="000000" w:themeColor="text1"/>
          <w:kern w:val="0"/>
          <w:szCs w:val="24"/>
          <w14:textFill>
            <w14:solidFill>
              <w14:schemeClr w14:val="tx1"/>
            </w14:solidFill>
          </w14:textFill>
        </w:rPr>
        <w:t>1）建立坐标系，确定各声源坐标和预测点坐标，并根据声源性质以及预测点与声源之间的距离等情况。</w:t>
      </w:r>
    </w:p>
    <w:p>
      <w:pPr>
        <w:widowControl/>
        <w:ind w:firstLine="480"/>
        <w:jc w:val="left"/>
        <w:rPr>
          <w:rFonts w:cs="Times New Roman"/>
          <w:color w:val="000000" w:themeColor="text1"/>
          <w:kern w:val="0"/>
          <w:szCs w:val="24"/>
          <w14:textFill>
            <w14:solidFill>
              <w14:schemeClr w14:val="tx1"/>
            </w14:solidFill>
          </w14:textFill>
        </w:rPr>
      </w:pPr>
      <w:r>
        <w:rPr>
          <w:rFonts w:cs="Times New Roman"/>
          <w:color w:val="000000" w:themeColor="text1"/>
          <w:kern w:val="0"/>
          <w:szCs w:val="24"/>
          <w14:textFill>
            <w14:solidFill>
              <w14:schemeClr w14:val="tx1"/>
            </w14:solidFill>
          </w14:textFill>
        </w:rPr>
        <w:t>2）根据已获得的声源源强的数据和各声源到预测点的声波传播条件资料，计算出噪声从各声源传播到预测点的声衰减量，由此计算出各声源单独作用在预测点时产生的A声级。</w:t>
      </w:r>
    </w:p>
    <w:p>
      <w:pPr>
        <w:widowControl/>
        <w:ind w:firstLine="482"/>
        <w:jc w:val="left"/>
        <w:rPr>
          <w:rFonts w:cs="Times New Roman"/>
          <w:b/>
          <w:bCs/>
          <w:color w:val="000000" w:themeColor="text1"/>
          <w:kern w:val="0"/>
          <w:szCs w:val="24"/>
          <w14:textFill>
            <w14:solidFill>
              <w14:schemeClr w14:val="tx1"/>
            </w14:solidFill>
          </w14:textFill>
        </w:rPr>
      </w:pPr>
      <w:r>
        <w:rPr>
          <w:rFonts w:cs="Times New Roman"/>
          <w:b/>
          <w:bCs/>
          <w:color w:val="000000" w:themeColor="text1"/>
          <w:kern w:val="0"/>
          <w:szCs w:val="24"/>
          <w14:textFill>
            <w14:solidFill>
              <w14:schemeClr w14:val="tx1"/>
            </w14:solidFill>
          </w14:textFill>
        </w:rPr>
        <w:t>（2）源强</w:t>
      </w:r>
    </w:p>
    <w:p>
      <w:pPr>
        <w:widowControl/>
        <w:ind w:firstLine="480"/>
        <w:jc w:val="left"/>
        <w:rPr>
          <w:rFonts w:cs="Times New Roman"/>
          <w:color w:val="000000" w:themeColor="text1"/>
          <w:kern w:val="0"/>
          <w:szCs w:val="24"/>
          <w14:textFill>
            <w14:solidFill>
              <w14:schemeClr w14:val="tx1"/>
            </w14:solidFill>
          </w14:textFill>
        </w:rPr>
      </w:pPr>
      <w:r>
        <w:rPr>
          <w:rFonts w:cs="Times New Roman"/>
          <w:color w:val="000000" w:themeColor="text1"/>
          <w:kern w:val="0"/>
          <w:szCs w:val="24"/>
          <w14:textFill>
            <w14:solidFill>
              <w14:schemeClr w14:val="tx1"/>
            </w14:solidFill>
          </w14:textFill>
        </w:rPr>
        <w:t>钻井工程优先采用市政供电，停电等非正常工况时使用柴油发电机供电，可能会对周围居民产生影响。本项目井场设柴油动力机3台（2用1备），本项目预测考虑最不利情况下使用柴油动力机、发电机钻井作业对周围人居环境产生的影响。则井场钻井阶段钻井噪声主要来源于3台（2用1备）柴油机、2台发电机（1用1备）、1套钻井设备、3台空压机、2台增压机、2台泥浆泵、2台振动筛等设备产生的机械噪声；此外，在测试放喷和事故工况下将产生气流噪声。井场噪声源见</w:t>
      </w:r>
      <w:r>
        <w:rPr>
          <w:rFonts w:cs="Times New Roman"/>
          <w:color w:val="000000" w:themeColor="text1"/>
          <w:kern w:val="0"/>
          <w:szCs w:val="24"/>
          <w14:textFill>
            <w14:solidFill>
              <w14:schemeClr w14:val="tx1"/>
            </w14:solidFill>
          </w14:textFill>
        </w:rPr>
        <w:fldChar w:fldCharType="begin"/>
      </w:r>
      <w:r>
        <w:rPr>
          <w:rFonts w:cs="Times New Roman"/>
          <w:color w:val="000000" w:themeColor="text1"/>
          <w:kern w:val="0"/>
          <w:szCs w:val="24"/>
          <w14:textFill>
            <w14:solidFill>
              <w14:schemeClr w14:val="tx1"/>
            </w14:solidFill>
          </w14:textFill>
        </w:rPr>
        <w:instrText xml:space="preserve"> REF _Ref141209662 \h  \* MERGEFORMAT </w:instrText>
      </w:r>
      <w:r>
        <w:rPr>
          <w:rFonts w:cs="Times New Roman"/>
          <w:color w:val="000000" w:themeColor="text1"/>
          <w:kern w:val="0"/>
          <w:szCs w:val="24"/>
          <w14:textFill>
            <w14:solidFill>
              <w14:schemeClr w14:val="tx1"/>
            </w14:solidFill>
          </w14:textFill>
        </w:rPr>
        <w:fldChar w:fldCharType="separate"/>
      </w:r>
      <w:r>
        <w:rPr>
          <w:rFonts w:cs="Times New Roman"/>
          <w:color w:val="000000" w:themeColor="text1"/>
          <w:kern w:val="0"/>
          <w:szCs w:val="24"/>
          <w14:textFill>
            <w14:solidFill>
              <w14:schemeClr w14:val="tx1"/>
            </w14:solidFill>
          </w14:textFill>
        </w:rPr>
        <w:t>表5.1</w:t>
      </w:r>
      <w:r>
        <w:rPr>
          <w:rFonts w:cs="Times New Roman"/>
          <w:color w:val="000000" w:themeColor="text1"/>
          <w:kern w:val="0"/>
          <w:szCs w:val="24"/>
          <w14:textFill>
            <w14:solidFill>
              <w14:schemeClr w14:val="tx1"/>
            </w14:solidFill>
          </w14:textFill>
        </w:rPr>
        <w:noBreakHyphen/>
      </w:r>
      <w:r>
        <w:rPr>
          <w:rFonts w:cs="Times New Roman"/>
          <w:color w:val="000000" w:themeColor="text1"/>
          <w:kern w:val="0"/>
          <w:szCs w:val="24"/>
          <w14:textFill>
            <w14:solidFill>
              <w14:schemeClr w14:val="tx1"/>
            </w14:solidFill>
          </w14:textFill>
        </w:rPr>
        <w:t>2</w:t>
      </w:r>
      <w:r>
        <w:rPr>
          <w:rFonts w:cs="Times New Roman"/>
          <w:color w:val="000000" w:themeColor="text1"/>
          <w:kern w:val="0"/>
          <w:szCs w:val="24"/>
          <w14:textFill>
            <w14:solidFill>
              <w14:schemeClr w14:val="tx1"/>
            </w14:solidFill>
          </w14:textFill>
        </w:rPr>
        <w:fldChar w:fldCharType="end"/>
      </w:r>
      <w:r>
        <w:rPr>
          <w:rFonts w:cs="Times New Roman"/>
          <w:color w:val="000000" w:themeColor="text1"/>
          <w:kern w:val="0"/>
          <w:szCs w:val="24"/>
          <w14:textFill>
            <w14:solidFill>
              <w14:schemeClr w14:val="tx1"/>
            </w14:solidFill>
          </w14:textFill>
        </w:rPr>
        <w:t>：</w:t>
      </w:r>
    </w:p>
    <w:p>
      <w:pPr>
        <w:pStyle w:val="95"/>
      </w:pPr>
      <w:bookmarkStart w:id="248" w:name="_Ref141209662"/>
      <w:bookmarkStart w:id="249" w:name="_Hlk140760288"/>
      <w:r>
        <w:t>表</w:t>
      </w:r>
      <w:r>
        <w:fldChar w:fldCharType="begin"/>
      </w:r>
      <w:r>
        <w:instrText xml:space="preserve"> STYLEREF 2 \s </w:instrText>
      </w:r>
      <w:r>
        <w:fldChar w:fldCharType="separate"/>
      </w:r>
      <w:r>
        <w:t>5.1</w:t>
      </w:r>
      <w:r>
        <w:fldChar w:fldCharType="end"/>
      </w:r>
      <w:r>
        <w:noBreakHyphen/>
      </w:r>
      <w:r>
        <w:fldChar w:fldCharType="begin"/>
      </w:r>
      <w:r>
        <w:instrText xml:space="preserve"> SEQ 表 \* ARABIC \s 2 </w:instrText>
      </w:r>
      <w:r>
        <w:fldChar w:fldCharType="separate"/>
      </w:r>
      <w:r>
        <w:t>2</w:t>
      </w:r>
      <w:r>
        <w:fldChar w:fldCharType="end"/>
      </w:r>
      <w:bookmarkEnd w:id="248"/>
      <w:r>
        <w:t>钻井工程主要噪声源强调查清单</w:t>
      </w:r>
    </w:p>
    <w:tbl>
      <w:tblPr>
        <w:tblStyle w:val="52"/>
        <w:tblW w:w="893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3" w:type="dxa"/>
          <w:bottom w:w="0" w:type="dxa"/>
          <w:right w:w="23" w:type="dxa"/>
        </w:tblCellMar>
      </w:tblPr>
      <w:tblGrid>
        <w:gridCol w:w="399"/>
        <w:gridCol w:w="1439"/>
        <w:gridCol w:w="567"/>
        <w:gridCol w:w="567"/>
        <w:gridCol w:w="567"/>
        <w:gridCol w:w="709"/>
        <w:gridCol w:w="1276"/>
        <w:gridCol w:w="850"/>
        <w:gridCol w:w="1134"/>
        <w:gridCol w:w="712"/>
        <w:gridCol w:w="71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jc w:val="center"/>
        </w:trPr>
        <w:tc>
          <w:tcPr>
            <w:tcW w:w="399" w:type="dxa"/>
            <w:vMerge w:val="restart"/>
            <w:tcBorders>
              <w:top w:val="single" w:color="auto" w:sz="8" w:space="0"/>
              <w:left w:val="single" w:color="auto" w:sz="8" w:space="0"/>
              <w:bottom w:val="single" w:color="auto" w:sz="4" w:space="0"/>
            </w:tcBorders>
            <w:vAlign w:val="center"/>
          </w:tcPr>
          <w:p>
            <w:pPr>
              <w:pStyle w:val="294"/>
            </w:pPr>
            <w:r>
              <w:t>序号</w:t>
            </w:r>
          </w:p>
        </w:tc>
        <w:tc>
          <w:tcPr>
            <w:tcW w:w="1439" w:type="dxa"/>
            <w:vMerge w:val="restart"/>
            <w:tcBorders>
              <w:top w:val="single" w:color="auto" w:sz="8" w:space="0"/>
              <w:bottom w:val="single" w:color="auto" w:sz="4" w:space="0"/>
            </w:tcBorders>
            <w:vAlign w:val="center"/>
          </w:tcPr>
          <w:p>
            <w:pPr>
              <w:pStyle w:val="294"/>
            </w:pPr>
            <w:r>
              <w:t>声源名称</w:t>
            </w:r>
          </w:p>
        </w:tc>
        <w:tc>
          <w:tcPr>
            <w:tcW w:w="567" w:type="dxa"/>
            <w:vMerge w:val="restart"/>
            <w:tcBorders>
              <w:top w:val="single" w:color="auto" w:sz="8" w:space="0"/>
              <w:bottom w:val="single" w:color="auto" w:sz="4" w:space="0"/>
            </w:tcBorders>
            <w:vAlign w:val="center"/>
          </w:tcPr>
          <w:p>
            <w:pPr>
              <w:pStyle w:val="294"/>
            </w:pPr>
            <w:r>
              <w:t>型号</w:t>
            </w:r>
          </w:p>
        </w:tc>
        <w:tc>
          <w:tcPr>
            <w:tcW w:w="1843" w:type="dxa"/>
            <w:gridSpan w:val="3"/>
            <w:tcBorders>
              <w:top w:val="single" w:color="auto" w:sz="8" w:space="0"/>
              <w:bottom w:val="single" w:color="auto" w:sz="4" w:space="0"/>
            </w:tcBorders>
            <w:vAlign w:val="center"/>
          </w:tcPr>
          <w:p>
            <w:pPr>
              <w:pStyle w:val="294"/>
            </w:pPr>
            <w:r>
              <w:t>空间相对位置/m</w:t>
            </w:r>
          </w:p>
        </w:tc>
        <w:tc>
          <w:tcPr>
            <w:tcW w:w="2126" w:type="dxa"/>
            <w:gridSpan w:val="2"/>
            <w:tcBorders>
              <w:top w:val="single" w:color="auto" w:sz="8" w:space="0"/>
              <w:bottom w:val="single" w:color="auto" w:sz="4" w:space="0"/>
            </w:tcBorders>
            <w:vAlign w:val="center"/>
          </w:tcPr>
          <w:p>
            <w:pPr>
              <w:pStyle w:val="294"/>
            </w:pPr>
            <w:r>
              <w:t>声源源强</w:t>
            </w:r>
          </w:p>
        </w:tc>
        <w:tc>
          <w:tcPr>
            <w:tcW w:w="1134" w:type="dxa"/>
            <w:vMerge w:val="restart"/>
            <w:tcBorders>
              <w:top w:val="single" w:color="auto" w:sz="8" w:space="0"/>
              <w:bottom w:val="single" w:color="auto" w:sz="4" w:space="0"/>
            </w:tcBorders>
            <w:vAlign w:val="center"/>
          </w:tcPr>
          <w:p>
            <w:pPr>
              <w:pStyle w:val="294"/>
            </w:pPr>
            <w:r>
              <w:t>声源控制措施</w:t>
            </w:r>
          </w:p>
        </w:tc>
        <w:tc>
          <w:tcPr>
            <w:tcW w:w="712" w:type="dxa"/>
            <w:vMerge w:val="restart"/>
            <w:tcBorders>
              <w:top w:val="single" w:color="auto" w:sz="8" w:space="0"/>
              <w:bottom w:val="single" w:color="auto" w:sz="4" w:space="0"/>
            </w:tcBorders>
            <w:vAlign w:val="center"/>
          </w:tcPr>
          <w:p>
            <w:pPr>
              <w:pStyle w:val="294"/>
            </w:pPr>
            <w:r>
              <w:t>控制后噪声强度/dB(A)</w:t>
            </w:r>
          </w:p>
        </w:tc>
        <w:tc>
          <w:tcPr>
            <w:tcW w:w="712" w:type="dxa"/>
            <w:vMerge w:val="restart"/>
            <w:tcBorders>
              <w:top w:val="single" w:color="auto" w:sz="8" w:space="0"/>
              <w:bottom w:val="single" w:color="auto" w:sz="4" w:space="0"/>
              <w:right w:val="single" w:color="auto" w:sz="8" w:space="0"/>
            </w:tcBorders>
            <w:vAlign w:val="center"/>
          </w:tcPr>
          <w:p>
            <w:pPr>
              <w:pStyle w:val="294"/>
            </w:pPr>
            <w:r>
              <w:t>运行时段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jc w:val="center"/>
        </w:trPr>
        <w:tc>
          <w:tcPr>
            <w:tcW w:w="399" w:type="dxa"/>
            <w:vMerge w:val="continue"/>
            <w:tcBorders>
              <w:top w:val="single" w:color="auto" w:sz="4" w:space="0"/>
              <w:left w:val="single" w:color="auto" w:sz="8" w:space="0"/>
              <w:bottom w:val="single" w:color="auto" w:sz="4" w:space="0"/>
            </w:tcBorders>
            <w:shd w:val="clear" w:color="auto" w:fill="FFFFFF"/>
            <w:vAlign w:val="center"/>
          </w:tcPr>
          <w:p>
            <w:pPr>
              <w:pStyle w:val="294"/>
            </w:pPr>
          </w:p>
        </w:tc>
        <w:tc>
          <w:tcPr>
            <w:tcW w:w="1439" w:type="dxa"/>
            <w:vMerge w:val="continue"/>
            <w:tcBorders>
              <w:top w:val="single" w:color="auto" w:sz="4" w:space="0"/>
              <w:bottom w:val="single" w:color="auto" w:sz="4" w:space="0"/>
            </w:tcBorders>
            <w:shd w:val="clear" w:color="auto" w:fill="FFFFFF"/>
            <w:vAlign w:val="center"/>
          </w:tcPr>
          <w:p>
            <w:pPr>
              <w:pStyle w:val="294"/>
            </w:pPr>
          </w:p>
        </w:tc>
        <w:tc>
          <w:tcPr>
            <w:tcW w:w="567" w:type="dxa"/>
            <w:vMerge w:val="continue"/>
            <w:tcBorders>
              <w:top w:val="single" w:color="auto" w:sz="4" w:space="0"/>
              <w:bottom w:val="single" w:color="auto" w:sz="4" w:space="0"/>
            </w:tcBorders>
            <w:shd w:val="clear" w:color="auto" w:fill="FFFFFF"/>
            <w:vAlign w:val="center"/>
          </w:tcPr>
          <w:p>
            <w:pPr>
              <w:pStyle w:val="294"/>
            </w:pPr>
          </w:p>
        </w:tc>
        <w:tc>
          <w:tcPr>
            <w:tcW w:w="567" w:type="dxa"/>
            <w:tcBorders>
              <w:top w:val="single" w:color="auto" w:sz="4" w:space="0"/>
              <w:bottom w:val="single" w:color="auto" w:sz="4" w:space="0"/>
            </w:tcBorders>
            <w:shd w:val="clear" w:color="auto" w:fill="FFFFFF"/>
            <w:vAlign w:val="center"/>
          </w:tcPr>
          <w:p>
            <w:pPr>
              <w:pStyle w:val="294"/>
            </w:pPr>
            <w:r>
              <w:t>X</w:t>
            </w:r>
          </w:p>
        </w:tc>
        <w:tc>
          <w:tcPr>
            <w:tcW w:w="567" w:type="dxa"/>
            <w:tcBorders>
              <w:top w:val="single" w:color="auto" w:sz="4" w:space="0"/>
              <w:bottom w:val="single" w:color="auto" w:sz="4" w:space="0"/>
            </w:tcBorders>
            <w:shd w:val="clear" w:color="auto" w:fill="FFFFFF"/>
            <w:vAlign w:val="center"/>
          </w:tcPr>
          <w:p>
            <w:pPr>
              <w:pStyle w:val="294"/>
            </w:pPr>
            <w:r>
              <w:t>Y</w:t>
            </w:r>
          </w:p>
        </w:tc>
        <w:tc>
          <w:tcPr>
            <w:tcW w:w="709" w:type="dxa"/>
            <w:tcBorders>
              <w:top w:val="single" w:color="auto" w:sz="4" w:space="0"/>
              <w:bottom w:val="single" w:color="auto" w:sz="4" w:space="0"/>
            </w:tcBorders>
            <w:shd w:val="clear" w:color="auto" w:fill="FFFFFF"/>
            <w:vAlign w:val="center"/>
          </w:tcPr>
          <w:p>
            <w:pPr>
              <w:pStyle w:val="294"/>
            </w:pPr>
            <w:r>
              <w:t>Z</w:t>
            </w:r>
          </w:p>
        </w:tc>
        <w:tc>
          <w:tcPr>
            <w:tcW w:w="1276" w:type="dxa"/>
            <w:tcBorders>
              <w:top w:val="single" w:color="auto" w:sz="4" w:space="0"/>
              <w:bottom w:val="single" w:color="auto" w:sz="4" w:space="0"/>
            </w:tcBorders>
            <w:shd w:val="clear" w:color="auto" w:fill="FFFFFF"/>
            <w:vAlign w:val="center"/>
          </w:tcPr>
          <w:p>
            <w:pPr>
              <w:pStyle w:val="294"/>
            </w:pPr>
            <w:r>
              <w:t>（声压级/距声源距离）/（dB(A)/m）</w:t>
            </w:r>
          </w:p>
        </w:tc>
        <w:tc>
          <w:tcPr>
            <w:tcW w:w="850" w:type="dxa"/>
            <w:tcBorders>
              <w:top w:val="single" w:color="auto" w:sz="4" w:space="0"/>
              <w:bottom w:val="single" w:color="auto" w:sz="4" w:space="0"/>
            </w:tcBorders>
            <w:shd w:val="clear" w:color="auto" w:fill="FFFFFF"/>
            <w:vAlign w:val="center"/>
          </w:tcPr>
          <w:p>
            <w:pPr>
              <w:pStyle w:val="294"/>
            </w:pPr>
            <w:r>
              <w:t>等效声功率级/dB(A)</w:t>
            </w:r>
          </w:p>
        </w:tc>
        <w:tc>
          <w:tcPr>
            <w:tcW w:w="1134" w:type="dxa"/>
            <w:vMerge w:val="continue"/>
            <w:tcBorders>
              <w:top w:val="single" w:color="auto" w:sz="4" w:space="0"/>
              <w:bottom w:val="single" w:color="auto" w:sz="4" w:space="0"/>
            </w:tcBorders>
            <w:shd w:val="clear" w:color="auto" w:fill="FFFFFF"/>
            <w:vAlign w:val="center"/>
          </w:tcPr>
          <w:p>
            <w:pPr>
              <w:pStyle w:val="294"/>
            </w:pPr>
          </w:p>
        </w:tc>
        <w:tc>
          <w:tcPr>
            <w:tcW w:w="712" w:type="dxa"/>
            <w:vMerge w:val="continue"/>
            <w:tcBorders>
              <w:top w:val="single" w:color="auto" w:sz="4" w:space="0"/>
              <w:bottom w:val="single" w:color="auto" w:sz="4" w:space="0"/>
            </w:tcBorders>
            <w:shd w:val="clear" w:color="auto" w:fill="FFFFFF"/>
            <w:vAlign w:val="center"/>
          </w:tcPr>
          <w:p>
            <w:pPr>
              <w:pStyle w:val="294"/>
            </w:pPr>
          </w:p>
        </w:tc>
        <w:tc>
          <w:tcPr>
            <w:tcW w:w="712" w:type="dxa"/>
            <w:vMerge w:val="continue"/>
            <w:tcBorders>
              <w:top w:val="single" w:color="auto" w:sz="4" w:space="0"/>
              <w:bottom w:val="single" w:color="auto" w:sz="4" w:space="0"/>
              <w:right w:val="single" w:color="auto" w:sz="8" w:space="0"/>
            </w:tcBorders>
            <w:shd w:val="clear" w:color="auto" w:fill="FFFFFF"/>
            <w:vAlign w:val="center"/>
          </w:tcPr>
          <w:p>
            <w:pPr>
              <w:pStyle w:val="29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tcBorders>
              <w:top w:val="single" w:color="auto" w:sz="4" w:space="0"/>
              <w:left w:val="single" w:color="auto" w:sz="8" w:space="0"/>
              <w:bottom w:val="single" w:color="auto" w:sz="4" w:space="0"/>
            </w:tcBorders>
            <w:shd w:val="clear" w:color="auto" w:fill="FFFFFF"/>
            <w:vAlign w:val="center"/>
          </w:tcPr>
          <w:p>
            <w:pPr>
              <w:pStyle w:val="294"/>
              <w:numPr>
                <w:ilvl w:val="0"/>
                <w:numId w:val="6"/>
              </w:numPr>
            </w:pPr>
          </w:p>
        </w:tc>
        <w:tc>
          <w:tcPr>
            <w:tcW w:w="1439" w:type="dxa"/>
            <w:tcBorders>
              <w:top w:val="single" w:color="auto" w:sz="4" w:space="0"/>
              <w:bottom w:val="single" w:color="auto" w:sz="4" w:space="0"/>
            </w:tcBorders>
            <w:shd w:val="clear" w:color="auto" w:fill="FFFFFF"/>
            <w:vAlign w:val="center"/>
          </w:tcPr>
          <w:p>
            <w:pPr>
              <w:pStyle w:val="294"/>
            </w:pPr>
            <w:r>
              <w:t>钻机1台</w:t>
            </w:r>
          </w:p>
        </w:tc>
        <w:tc>
          <w:tcPr>
            <w:tcW w:w="567" w:type="dxa"/>
            <w:tcBorders>
              <w:top w:val="single" w:color="auto" w:sz="4" w:space="0"/>
              <w:bottom w:val="single" w:color="auto" w:sz="4" w:space="0"/>
            </w:tcBorders>
            <w:shd w:val="clear" w:color="auto" w:fill="FFFFFF"/>
            <w:vAlign w:val="center"/>
          </w:tcPr>
          <w:p>
            <w:pPr>
              <w:pStyle w:val="294"/>
            </w:pPr>
            <w:r>
              <w:t>ZJ70</w:t>
            </w:r>
          </w:p>
        </w:tc>
        <w:tc>
          <w:tcPr>
            <w:tcW w:w="567" w:type="dxa"/>
            <w:tcBorders>
              <w:top w:val="single" w:color="auto" w:sz="4" w:space="0"/>
              <w:bottom w:val="single" w:color="auto" w:sz="4" w:space="0"/>
            </w:tcBorders>
            <w:shd w:val="clear" w:color="auto" w:fill="FFFFFF"/>
            <w:vAlign w:val="center"/>
          </w:tcPr>
          <w:p>
            <w:pPr>
              <w:pStyle w:val="294"/>
            </w:pPr>
            <w:r>
              <w:t>0</w:t>
            </w:r>
          </w:p>
        </w:tc>
        <w:tc>
          <w:tcPr>
            <w:tcW w:w="567" w:type="dxa"/>
            <w:tcBorders>
              <w:top w:val="single" w:color="auto" w:sz="4" w:space="0"/>
              <w:bottom w:val="single" w:color="auto" w:sz="4" w:space="0"/>
            </w:tcBorders>
            <w:shd w:val="clear" w:color="auto" w:fill="FFFFFF"/>
            <w:vAlign w:val="center"/>
          </w:tcPr>
          <w:p>
            <w:pPr>
              <w:pStyle w:val="294"/>
            </w:pPr>
            <w:r>
              <w:t>0</w:t>
            </w:r>
          </w:p>
        </w:tc>
        <w:tc>
          <w:tcPr>
            <w:tcW w:w="709" w:type="dxa"/>
            <w:tcBorders>
              <w:top w:val="single" w:color="auto" w:sz="4" w:space="0"/>
              <w:bottom w:val="single" w:color="auto" w:sz="4" w:space="0"/>
            </w:tcBorders>
            <w:shd w:val="clear" w:color="auto" w:fill="FFFFFF"/>
            <w:vAlign w:val="center"/>
          </w:tcPr>
          <w:p>
            <w:pPr>
              <w:pStyle w:val="294"/>
            </w:pPr>
            <w:r>
              <w:t>0</w:t>
            </w:r>
          </w:p>
        </w:tc>
        <w:tc>
          <w:tcPr>
            <w:tcW w:w="1276" w:type="dxa"/>
            <w:tcBorders>
              <w:top w:val="single" w:color="auto" w:sz="4" w:space="0"/>
              <w:bottom w:val="single" w:color="auto" w:sz="4" w:space="0"/>
            </w:tcBorders>
            <w:shd w:val="clear" w:color="auto" w:fill="FFFFFF"/>
            <w:vAlign w:val="center"/>
          </w:tcPr>
          <w:p>
            <w:pPr>
              <w:pStyle w:val="294"/>
            </w:pPr>
            <w:r>
              <w:t>1</w:t>
            </w:r>
          </w:p>
        </w:tc>
        <w:tc>
          <w:tcPr>
            <w:tcW w:w="850" w:type="dxa"/>
            <w:tcBorders>
              <w:top w:val="single" w:color="auto" w:sz="4" w:space="0"/>
              <w:bottom w:val="single" w:color="auto" w:sz="4" w:space="0"/>
            </w:tcBorders>
            <w:shd w:val="clear" w:color="auto" w:fill="FFFFFF"/>
            <w:vAlign w:val="center"/>
          </w:tcPr>
          <w:p>
            <w:pPr>
              <w:pStyle w:val="294"/>
            </w:pPr>
            <w:r>
              <w:t>100</w:t>
            </w:r>
          </w:p>
        </w:tc>
        <w:tc>
          <w:tcPr>
            <w:tcW w:w="1134" w:type="dxa"/>
            <w:vMerge w:val="restart"/>
            <w:tcBorders>
              <w:top w:val="single" w:color="auto" w:sz="4" w:space="0"/>
              <w:bottom w:val="single" w:color="auto" w:sz="4" w:space="0"/>
            </w:tcBorders>
            <w:shd w:val="clear" w:color="auto" w:fill="FFFFFF"/>
            <w:vAlign w:val="center"/>
          </w:tcPr>
          <w:p>
            <w:pPr>
              <w:pStyle w:val="294"/>
            </w:pPr>
            <w:r>
              <w:t>置于钻井井场内，基础安装减振垫层</w:t>
            </w:r>
          </w:p>
        </w:tc>
        <w:tc>
          <w:tcPr>
            <w:tcW w:w="712" w:type="dxa"/>
            <w:tcBorders>
              <w:top w:val="single" w:color="auto" w:sz="4" w:space="0"/>
              <w:bottom w:val="single" w:color="auto" w:sz="4" w:space="0"/>
            </w:tcBorders>
            <w:shd w:val="clear" w:color="auto" w:fill="FFFFFF"/>
            <w:vAlign w:val="center"/>
          </w:tcPr>
          <w:p>
            <w:pPr>
              <w:pStyle w:val="294"/>
            </w:pPr>
            <w:r>
              <w:t>85</w:t>
            </w:r>
          </w:p>
        </w:tc>
        <w:tc>
          <w:tcPr>
            <w:tcW w:w="712" w:type="dxa"/>
            <w:tcBorders>
              <w:top w:val="single" w:color="auto" w:sz="4" w:space="0"/>
              <w:bottom w:val="single" w:color="auto" w:sz="4" w:space="0"/>
              <w:right w:val="single" w:color="auto" w:sz="8" w:space="0"/>
            </w:tcBorders>
            <w:shd w:val="clear" w:color="auto" w:fill="FFFFFF"/>
            <w:vAlign w:val="center"/>
          </w:tcPr>
          <w:p>
            <w:pPr>
              <w:pStyle w:val="294"/>
            </w:pPr>
            <w:r>
              <w:t>昼夜连续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tcBorders>
              <w:top w:val="single" w:color="auto" w:sz="4" w:space="0"/>
              <w:left w:val="single" w:color="auto" w:sz="8" w:space="0"/>
              <w:bottom w:val="single" w:color="auto" w:sz="4" w:space="0"/>
            </w:tcBorders>
            <w:shd w:val="clear" w:color="auto" w:fill="FFFFFF"/>
            <w:vAlign w:val="center"/>
          </w:tcPr>
          <w:p>
            <w:pPr>
              <w:pStyle w:val="294"/>
              <w:numPr>
                <w:ilvl w:val="0"/>
                <w:numId w:val="6"/>
              </w:numPr>
            </w:pPr>
          </w:p>
        </w:tc>
        <w:tc>
          <w:tcPr>
            <w:tcW w:w="1439" w:type="dxa"/>
            <w:tcBorders>
              <w:top w:val="single" w:color="auto" w:sz="4" w:space="0"/>
              <w:bottom w:val="single" w:color="auto" w:sz="4" w:space="0"/>
            </w:tcBorders>
            <w:shd w:val="clear" w:color="auto" w:fill="FFFFFF"/>
            <w:vAlign w:val="center"/>
          </w:tcPr>
          <w:p>
            <w:pPr>
              <w:pStyle w:val="294"/>
            </w:pPr>
            <w:r>
              <w:t>空压机3台</w:t>
            </w:r>
          </w:p>
        </w:tc>
        <w:tc>
          <w:tcPr>
            <w:tcW w:w="567" w:type="dxa"/>
            <w:tcBorders>
              <w:top w:val="single" w:color="auto" w:sz="4" w:space="0"/>
              <w:bottom w:val="single" w:color="auto" w:sz="4" w:space="0"/>
            </w:tcBorders>
            <w:shd w:val="clear" w:color="auto" w:fill="FFFFFF"/>
            <w:vAlign w:val="center"/>
          </w:tcPr>
          <w:p>
            <w:pPr>
              <w:pStyle w:val="294"/>
            </w:pPr>
            <w:r>
              <w:t>/</w:t>
            </w:r>
          </w:p>
        </w:tc>
        <w:tc>
          <w:tcPr>
            <w:tcW w:w="567" w:type="dxa"/>
            <w:tcBorders>
              <w:top w:val="single" w:color="auto" w:sz="4" w:space="0"/>
              <w:bottom w:val="single" w:color="auto" w:sz="4" w:space="0"/>
            </w:tcBorders>
            <w:shd w:val="clear" w:color="auto" w:fill="FFFFFF"/>
            <w:vAlign w:val="center"/>
          </w:tcPr>
          <w:p>
            <w:pPr>
              <w:pStyle w:val="294"/>
            </w:pPr>
            <w:r>
              <w:t>-14</w:t>
            </w:r>
          </w:p>
        </w:tc>
        <w:tc>
          <w:tcPr>
            <w:tcW w:w="567" w:type="dxa"/>
            <w:tcBorders>
              <w:top w:val="single" w:color="auto" w:sz="4" w:space="0"/>
              <w:bottom w:val="single" w:color="auto" w:sz="4" w:space="0"/>
            </w:tcBorders>
            <w:shd w:val="clear" w:color="auto" w:fill="FFFFFF"/>
            <w:vAlign w:val="center"/>
          </w:tcPr>
          <w:p>
            <w:pPr>
              <w:pStyle w:val="294"/>
            </w:pPr>
            <w:r>
              <w:t>-21</w:t>
            </w:r>
          </w:p>
        </w:tc>
        <w:tc>
          <w:tcPr>
            <w:tcW w:w="709" w:type="dxa"/>
            <w:tcBorders>
              <w:top w:val="single" w:color="auto" w:sz="4" w:space="0"/>
              <w:bottom w:val="single" w:color="auto" w:sz="4" w:space="0"/>
            </w:tcBorders>
            <w:shd w:val="clear" w:color="auto" w:fill="FFFFFF"/>
            <w:vAlign w:val="center"/>
          </w:tcPr>
          <w:p>
            <w:pPr>
              <w:pStyle w:val="294"/>
            </w:pPr>
            <w:r>
              <w:t>0.6</w:t>
            </w:r>
          </w:p>
        </w:tc>
        <w:tc>
          <w:tcPr>
            <w:tcW w:w="1276" w:type="dxa"/>
            <w:tcBorders>
              <w:top w:val="single" w:color="auto" w:sz="4" w:space="0"/>
              <w:bottom w:val="single" w:color="auto" w:sz="4" w:space="0"/>
            </w:tcBorders>
            <w:shd w:val="clear" w:color="auto" w:fill="FFFFFF"/>
            <w:vAlign w:val="center"/>
          </w:tcPr>
          <w:p>
            <w:pPr>
              <w:pStyle w:val="294"/>
            </w:pPr>
            <w:r>
              <w:t>1</w:t>
            </w:r>
          </w:p>
        </w:tc>
        <w:tc>
          <w:tcPr>
            <w:tcW w:w="850" w:type="dxa"/>
            <w:tcBorders>
              <w:top w:val="single" w:color="auto" w:sz="4" w:space="0"/>
              <w:bottom w:val="single" w:color="auto" w:sz="4" w:space="0"/>
            </w:tcBorders>
            <w:shd w:val="clear" w:color="auto" w:fill="FFFFFF"/>
            <w:vAlign w:val="center"/>
          </w:tcPr>
          <w:p>
            <w:pPr>
              <w:pStyle w:val="294"/>
            </w:pPr>
            <w:r>
              <w:t>95</w:t>
            </w:r>
          </w:p>
        </w:tc>
        <w:tc>
          <w:tcPr>
            <w:tcW w:w="1134" w:type="dxa"/>
            <w:vMerge w:val="continue"/>
            <w:tcBorders>
              <w:top w:val="single" w:color="auto" w:sz="4" w:space="0"/>
              <w:bottom w:val="single" w:color="auto" w:sz="4" w:space="0"/>
            </w:tcBorders>
            <w:shd w:val="clear" w:color="auto" w:fill="FFFFFF"/>
            <w:vAlign w:val="center"/>
          </w:tcPr>
          <w:p>
            <w:pPr>
              <w:pStyle w:val="294"/>
            </w:pPr>
          </w:p>
        </w:tc>
        <w:tc>
          <w:tcPr>
            <w:tcW w:w="712" w:type="dxa"/>
            <w:tcBorders>
              <w:top w:val="single" w:color="auto" w:sz="4" w:space="0"/>
              <w:bottom w:val="single" w:color="auto" w:sz="4" w:space="0"/>
            </w:tcBorders>
            <w:shd w:val="clear" w:color="auto" w:fill="FFFFFF"/>
            <w:vAlign w:val="center"/>
          </w:tcPr>
          <w:p>
            <w:pPr>
              <w:pStyle w:val="294"/>
            </w:pPr>
            <w:r>
              <w:t>80</w:t>
            </w:r>
          </w:p>
        </w:tc>
        <w:tc>
          <w:tcPr>
            <w:tcW w:w="712" w:type="dxa"/>
            <w:tcBorders>
              <w:top w:val="single" w:color="auto" w:sz="4" w:space="0"/>
              <w:bottom w:val="single" w:color="auto" w:sz="4" w:space="0"/>
              <w:right w:val="single" w:color="auto" w:sz="8" w:space="0"/>
            </w:tcBorders>
            <w:shd w:val="clear" w:color="auto" w:fill="FFFFFF"/>
            <w:vAlign w:val="center"/>
          </w:tcPr>
          <w:p>
            <w:pPr>
              <w:pStyle w:val="294"/>
            </w:pPr>
            <w:r>
              <w:t>昼夜连续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tcBorders>
              <w:top w:val="single" w:color="auto" w:sz="4" w:space="0"/>
              <w:left w:val="single" w:color="auto" w:sz="8" w:space="0"/>
              <w:bottom w:val="single" w:color="auto" w:sz="4" w:space="0"/>
            </w:tcBorders>
            <w:shd w:val="clear" w:color="auto" w:fill="FFFFFF"/>
            <w:vAlign w:val="center"/>
          </w:tcPr>
          <w:p>
            <w:pPr>
              <w:pStyle w:val="294"/>
              <w:numPr>
                <w:ilvl w:val="0"/>
                <w:numId w:val="6"/>
              </w:numPr>
            </w:pPr>
          </w:p>
        </w:tc>
        <w:tc>
          <w:tcPr>
            <w:tcW w:w="1439" w:type="dxa"/>
            <w:tcBorders>
              <w:top w:val="single" w:color="auto" w:sz="4" w:space="0"/>
              <w:bottom w:val="single" w:color="auto" w:sz="4" w:space="0"/>
            </w:tcBorders>
            <w:shd w:val="clear" w:color="auto" w:fill="FFFFFF"/>
            <w:vAlign w:val="center"/>
          </w:tcPr>
          <w:p>
            <w:pPr>
              <w:pStyle w:val="294"/>
            </w:pPr>
            <w:r>
              <w:t>增压机2台</w:t>
            </w:r>
          </w:p>
        </w:tc>
        <w:tc>
          <w:tcPr>
            <w:tcW w:w="567" w:type="dxa"/>
            <w:tcBorders>
              <w:top w:val="single" w:color="auto" w:sz="4" w:space="0"/>
              <w:bottom w:val="single" w:color="auto" w:sz="4" w:space="0"/>
            </w:tcBorders>
            <w:shd w:val="clear" w:color="auto" w:fill="FFFFFF"/>
            <w:vAlign w:val="center"/>
          </w:tcPr>
          <w:p>
            <w:pPr>
              <w:pStyle w:val="294"/>
            </w:pPr>
            <w:r>
              <w:t>/</w:t>
            </w:r>
          </w:p>
        </w:tc>
        <w:tc>
          <w:tcPr>
            <w:tcW w:w="567" w:type="dxa"/>
            <w:tcBorders>
              <w:top w:val="single" w:color="auto" w:sz="4" w:space="0"/>
              <w:bottom w:val="single" w:color="auto" w:sz="4" w:space="0"/>
            </w:tcBorders>
            <w:shd w:val="clear" w:color="auto" w:fill="FFFFFF"/>
            <w:vAlign w:val="center"/>
          </w:tcPr>
          <w:p>
            <w:pPr>
              <w:pStyle w:val="294"/>
            </w:pPr>
            <w:r>
              <w:t>-10</w:t>
            </w:r>
          </w:p>
        </w:tc>
        <w:tc>
          <w:tcPr>
            <w:tcW w:w="567" w:type="dxa"/>
            <w:tcBorders>
              <w:top w:val="single" w:color="auto" w:sz="4" w:space="0"/>
              <w:bottom w:val="single" w:color="auto" w:sz="4" w:space="0"/>
            </w:tcBorders>
            <w:shd w:val="clear" w:color="auto" w:fill="FFFFFF"/>
            <w:vAlign w:val="center"/>
          </w:tcPr>
          <w:p>
            <w:pPr>
              <w:pStyle w:val="294"/>
            </w:pPr>
            <w:r>
              <w:t>-25</w:t>
            </w:r>
          </w:p>
        </w:tc>
        <w:tc>
          <w:tcPr>
            <w:tcW w:w="709" w:type="dxa"/>
            <w:tcBorders>
              <w:top w:val="single" w:color="auto" w:sz="4" w:space="0"/>
              <w:bottom w:val="single" w:color="auto" w:sz="4" w:space="0"/>
            </w:tcBorders>
            <w:shd w:val="clear" w:color="auto" w:fill="FFFFFF"/>
            <w:vAlign w:val="center"/>
          </w:tcPr>
          <w:p>
            <w:pPr>
              <w:pStyle w:val="294"/>
            </w:pPr>
            <w:r>
              <w:t>1.6</w:t>
            </w:r>
          </w:p>
        </w:tc>
        <w:tc>
          <w:tcPr>
            <w:tcW w:w="1276" w:type="dxa"/>
            <w:tcBorders>
              <w:top w:val="single" w:color="auto" w:sz="4" w:space="0"/>
              <w:bottom w:val="single" w:color="auto" w:sz="4" w:space="0"/>
            </w:tcBorders>
            <w:shd w:val="clear" w:color="auto" w:fill="FFFFFF"/>
            <w:vAlign w:val="center"/>
          </w:tcPr>
          <w:p>
            <w:pPr>
              <w:pStyle w:val="294"/>
            </w:pPr>
            <w:r>
              <w:t>1</w:t>
            </w:r>
          </w:p>
        </w:tc>
        <w:tc>
          <w:tcPr>
            <w:tcW w:w="850" w:type="dxa"/>
            <w:tcBorders>
              <w:top w:val="single" w:color="auto" w:sz="4" w:space="0"/>
              <w:bottom w:val="single" w:color="auto" w:sz="4" w:space="0"/>
            </w:tcBorders>
            <w:shd w:val="clear" w:color="auto" w:fill="FFFFFF"/>
            <w:vAlign w:val="center"/>
          </w:tcPr>
          <w:p>
            <w:pPr>
              <w:pStyle w:val="294"/>
            </w:pPr>
            <w:r>
              <w:t>95</w:t>
            </w:r>
          </w:p>
        </w:tc>
        <w:tc>
          <w:tcPr>
            <w:tcW w:w="1134" w:type="dxa"/>
            <w:vMerge w:val="continue"/>
            <w:tcBorders>
              <w:top w:val="single" w:color="auto" w:sz="4" w:space="0"/>
              <w:bottom w:val="single" w:color="auto" w:sz="4" w:space="0"/>
            </w:tcBorders>
            <w:shd w:val="clear" w:color="auto" w:fill="FFFFFF"/>
            <w:vAlign w:val="center"/>
          </w:tcPr>
          <w:p>
            <w:pPr>
              <w:pStyle w:val="294"/>
            </w:pPr>
          </w:p>
        </w:tc>
        <w:tc>
          <w:tcPr>
            <w:tcW w:w="712" w:type="dxa"/>
            <w:tcBorders>
              <w:top w:val="single" w:color="auto" w:sz="4" w:space="0"/>
              <w:bottom w:val="single" w:color="auto" w:sz="4" w:space="0"/>
            </w:tcBorders>
            <w:shd w:val="clear" w:color="auto" w:fill="FFFFFF"/>
            <w:vAlign w:val="center"/>
          </w:tcPr>
          <w:p>
            <w:pPr>
              <w:pStyle w:val="294"/>
            </w:pPr>
            <w:r>
              <w:t>80</w:t>
            </w:r>
          </w:p>
        </w:tc>
        <w:tc>
          <w:tcPr>
            <w:tcW w:w="712" w:type="dxa"/>
            <w:tcBorders>
              <w:top w:val="single" w:color="auto" w:sz="4" w:space="0"/>
              <w:bottom w:val="single" w:color="auto" w:sz="4" w:space="0"/>
              <w:right w:val="single" w:color="auto" w:sz="8" w:space="0"/>
            </w:tcBorders>
            <w:shd w:val="clear" w:color="auto" w:fill="FFFFFF"/>
            <w:vAlign w:val="center"/>
          </w:tcPr>
          <w:p>
            <w:pPr>
              <w:pStyle w:val="294"/>
            </w:pPr>
            <w:r>
              <w:t>昼夜连续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tcBorders>
              <w:top w:val="single" w:color="auto" w:sz="4" w:space="0"/>
              <w:left w:val="single" w:color="auto" w:sz="8" w:space="0"/>
              <w:bottom w:val="single" w:color="auto" w:sz="4" w:space="0"/>
            </w:tcBorders>
            <w:shd w:val="clear" w:color="auto" w:fill="FFFFFF"/>
            <w:vAlign w:val="center"/>
          </w:tcPr>
          <w:p>
            <w:pPr>
              <w:pStyle w:val="294"/>
              <w:numPr>
                <w:ilvl w:val="0"/>
                <w:numId w:val="6"/>
              </w:numPr>
            </w:pPr>
          </w:p>
        </w:tc>
        <w:tc>
          <w:tcPr>
            <w:tcW w:w="1439" w:type="dxa"/>
            <w:tcBorders>
              <w:top w:val="single" w:color="auto" w:sz="4" w:space="0"/>
              <w:bottom w:val="single" w:color="auto" w:sz="4" w:space="0"/>
            </w:tcBorders>
            <w:shd w:val="clear" w:color="auto" w:fill="FFFFFF"/>
            <w:vAlign w:val="center"/>
          </w:tcPr>
          <w:p>
            <w:pPr>
              <w:pStyle w:val="294"/>
            </w:pPr>
            <w:r>
              <w:t>泥浆泵2台</w:t>
            </w:r>
          </w:p>
        </w:tc>
        <w:tc>
          <w:tcPr>
            <w:tcW w:w="567" w:type="dxa"/>
            <w:tcBorders>
              <w:top w:val="single" w:color="auto" w:sz="4" w:space="0"/>
              <w:bottom w:val="single" w:color="auto" w:sz="4" w:space="0"/>
            </w:tcBorders>
            <w:shd w:val="clear" w:color="auto" w:fill="FFFFFF"/>
            <w:vAlign w:val="center"/>
          </w:tcPr>
          <w:p>
            <w:pPr>
              <w:pStyle w:val="294"/>
            </w:pPr>
            <w:r>
              <w:t>/</w:t>
            </w:r>
          </w:p>
        </w:tc>
        <w:tc>
          <w:tcPr>
            <w:tcW w:w="567" w:type="dxa"/>
            <w:tcBorders>
              <w:top w:val="single" w:color="auto" w:sz="4" w:space="0"/>
              <w:bottom w:val="single" w:color="auto" w:sz="4" w:space="0"/>
            </w:tcBorders>
            <w:shd w:val="clear" w:color="auto" w:fill="FFFFFF"/>
            <w:vAlign w:val="center"/>
          </w:tcPr>
          <w:p>
            <w:pPr>
              <w:pStyle w:val="294"/>
            </w:pPr>
            <w:r>
              <w:t>-30</w:t>
            </w:r>
          </w:p>
        </w:tc>
        <w:tc>
          <w:tcPr>
            <w:tcW w:w="567" w:type="dxa"/>
            <w:tcBorders>
              <w:top w:val="single" w:color="auto" w:sz="4" w:space="0"/>
              <w:bottom w:val="single" w:color="auto" w:sz="4" w:space="0"/>
            </w:tcBorders>
            <w:shd w:val="clear" w:color="auto" w:fill="FFFFFF"/>
            <w:vAlign w:val="center"/>
          </w:tcPr>
          <w:p>
            <w:pPr>
              <w:pStyle w:val="294"/>
            </w:pPr>
            <w:r>
              <w:t>6</w:t>
            </w:r>
          </w:p>
        </w:tc>
        <w:tc>
          <w:tcPr>
            <w:tcW w:w="709" w:type="dxa"/>
            <w:tcBorders>
              <w:top w:val="single" w:color="auto" w:sz="4" w:space="0"/>
              <w:bottom w:val="single" w:color="auto" w:sz="4" w:space="0"/>
            </w:tcBorders>
            <w:shd w:val="clear" w:color="auto" w:fill="FFFFFF"/>
            <w:vAlign w:val="center"/>
          </w:tcPr>
          <w:p>
            <w:pPr>
              <w:pStyle w:val="294"/>
            </w:pPr>
            <w:r>
              <w:t>2.1</w:t>
            </w:r>
          </w:p>
        </w:tc>
        <w:tc>
          <w:tcPr>
            <w:tcW w:w="1276" w:type="dxa"/>
            <w:tcBorders>
              <w:top w:val="single" w:color="auto" w:sz="4" w:space="0"/>
              <w:bottom w:val="single" w:color="auto" w:sz="4" w:space="0"/>
            </w:tcBorders>
            <w:shd w:val="clear" w:color="auto" w:fill="FFFFFF"/>
            <w:vAlign w:val="center"/>
          </w:tcPr>
          <w:p>
            <w:pPr>
              <w:pStyle w:val="294"/>
            </w:pPr>
            <w:r>
              <w:t>1</w:t>
            </w:r>
          </w:p>
        </w:tc>
        <w:tc>
          <w:tcPr>
            <w:tcW w:w="850" w:type="dxa"/>
            <w:tcBorders>
              <w:top w:val="single" w:color="auto" w:sz="4" w:space="0"/>
              <w:bottom w:val="single" w:color="auto" w:sz="4" w:space="0"/>
            </w:tcBorders>
            <w:shd w:val="clear" w:color="auto" w:fill="FFFFFF"/>
            <w:vAlign w:val="center"/>
          </w:tcPr>
          <w:p>
            <w:pPr>
              <w:pStyle w:val="294"/>
            </w:pPr>
            <w:r>
              <w:t>90</w:t>
            </w:r>
          </w:p>
        </w:tc>
        <w:tc>
          <w:tcPr>
            <w:tcW w:w="1134" w:type="dxa"/>
            <w:vMerge w:val="continue"/>
            <w:tcBorders>
              <w:top w:val="single" w:color="auto" w:sz="4" w:space="0"/>
              <w:bottom w:val="single" w:color="auto" w:sz="4" w:space="0"/>
            </w:tcBorders>
            <w:shd w:val="clear" w:color="auto" w:fill="FFFFFF"/>
            <w:vAlign w:val="center"/>
          </w:tcPr>
          <w:p>
            <w:pPr>
              <w:pStyle w:val="294"/>
            </w:pPr>
          </w:p>
        </w:tc>
        <w:tc>
          <w:tcPr>
            <w:tcW w:w="712" w:type="dxa"/>
            <w:tcBorders>
              <w:top w:val="single" w:color="auto" w:sz="4" w:space="0"/>
              <w:bottom w:val="single" w:color="auto" w:sz="4" w:space="0"/>
            </w:tcBorders>
            <w:shd w:val="clear" w:color="auto" w:fill="FFFFFF"/>
            <w:vAlign w:val="center"/>
          </w:tcPr>
          <w:p>
            <w:pPr>
              <w:pStyle w:val="294"/>
            </w:pPr>
            <w:r>
              <w:t>75</w:t>
            </w:r>
          </w:p>
        </w:tc>
        <w:tc>
          <w:tcPr>
            <w:tcW w:w="712" w:type="dxa"/>
            <w:tcBorders>
              <w:top w:val="single" w:color="auto" w:sz="4" w:space="0"/>
              <w:bottom w:val="single" w:color="auto" w:sz="4" w:space="0"/>
              <w:right w:val="single" w:color="auto" w:sz="8" w:space="0"/>
            </w:tcBorders>
            <w:shd w:val="clear" w:color="auto" w:fill="FFFFFF"/>
            <w:vAlign w:val="center"/>
          </w:tcPr>
          <w:p>
            <w:pPr>
              <w:pStyle w:val="294"/>
            </w:pPr>
            <w:r>
              <w:t>昼夜连续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tcBorders>
              <w:top w:val="single" w:color="auto" w:sz="4" w:space="0"/>
              <w:left w:val="single" w:color="auto" w:sz="8" w:space="0"/>
              <w:bottom w:val="single" w:color="auto" w:sz="4" w:space="0"/>
            </w:tcBorders>
            <w:shd w:val="clear" w:color="auto" w:fill="FFFFFF"/>
            <w:vAlign w:val="center"/>
          </w:tcPr>
          <w:p>
            <w:pPr>
              <w:pStyle w:val="294"/>
              <w:numPr>
                <w:ilvl w:val="0"/>
                <w:numId w:val="6"/>
              </w:numPr>
            </w:pPr>
          </w:p>
        </w:tc>
        <w:tc>
          <w:tcPr>
            <w:tcW w:w="1439" w:type="dxa"/>
            <w:tcBorders>
              <w:top w:val="single" w:color="auto" w:sz="4" w:space="0"/>
              <w:bottom w:val="single" w:color="auto" w:sz="4" w:space="0"/>
            </w:tcBorders>
            <w:shd w:val="clear" w:color="auto" w:fill="FFFFFF"/>
            <w:vAlign w:val="center"/>
          </w:tcPr>
          <w:p>
            <w:pPr>
              <w:pStyle w:val="294"/>
            </w:pPr>
            <w:r>
              <w:t>振动筛2台</w:t>
            </w:r>
          </w:p>
        </w:tc>
        <w:tc>
          <w:tcPr>
            <w:tcW w:w="567" w:type="dxa"/>
            <w:tcBorders>
              <w:top w:val="single" w:color="auto" w:sz="4" w:space="0"/>
              <w:bottom w:val="single" w:color="auto" w:sz="4" w:space="0"/>
            </w:tcBorders>
            <w:shd w:val="clear" w:color="auto" w:fill="FFFFFF"/>
            <w:vAlign w:val="center"/>
          </w:tcPr>
          <w:p>
            <w:pPr>
              <w:pStyle w:val="294"/>
            </w:pPr>
            <w:r>
              <w:t>/</w:t>
            </w:r>
          </w:p>
        </w:tc>
        <w:tc>
          <w:tcPr>
            <w:tcW w:w="567" w:type="dxa"/>
            <w:tcBorders>
              <w:top w:val="single" w:color="auto" w:sz="4" w:space="0"/>
              <w:bottom w:val="single" w:color="auto" w:sz="4" w:space="0"/>
            </w:tcBorders>
            <w:shd w:val="clear" w:color="auto" w:fill="FFFFFF"/>
            <w:vAlign w:val="center"/>
          </w:tcPr>
          <w:p>
            <w:pPr>
              <w:pStyle w:val="294"/>
            </w:pPr>
            <w:r>
              <w:t>-30</w:t>
            </w:r>
          </w:p>
        </w:tc>
        <w:tc>
          <w:tcPr>
            <w:tcW w:w="567" w:type="dxa"/>
            <w:tcBorders>
              <w:top w:val="single" w:color="auto" w:sz="4" w:space="0"/>
              <w:bottom w:val="single" w:color="auto" w:sz="4" w:space="0"/>
            </w:tcBorders>
            <w:shd w:val="clear" w:color="auto" w:fill="FFFFFF"/>
            <w:vAlign w:val="center"/>
          </w:tcPr>
          <w:p>
            <w:pPr>
              <w:pStyle w:val="294"/>
            </w:pPr>
            <w:r>
              <w:t>10</w:t>
            </w:r>
          </w:p>
        </w:tc>
        <w:tc>
          <w:tcPr>
            <w:tcW w:w="709" w:type="dxa"/>
            <w:tcBorders>
              <w:top w:val="single" w:color="auto" w:sz="4" w:space="0"/>
              <w:bottom w:val="single" w:color="auto" w:sz="4" w:space="0"/>
            </w:tcBorders>
            <w:shd w:val="clear" w:color="auto" w:fill="FFFFFF"/>
            <w:vAlign w:val="center"/>
          </w:tcPr>
          <w:p>
            <w:pPr>
              <w:pStyle w:val="294"/>
            </w:pPr>
            <w:r>
              <w:t>1.6</w:t>
            </w:r>
          </w:p>
        </w:tc>
        <w:tc>
          <w:tcPr>
            <w:tcW w:w="1276" w:type="dxa"/>
            <w:tcBorders>
              <w:top w:val="single" w:color="auto" w:sz="4" w:space="0"/>
              <w:bottom w:val="single" w:color="auto" w:sz="4" w:space="0"/>
            </w:tcBorders>
            <w:shd w:val="clear" w:color="auto" w:fill="FFFFFF"/>
            <w:vAlign w:val="center"/>
          </w:tcPr>
          <w:p>
            <w:pPr>
              <w:pStyle w:val="294"/>
            </w:pPr>
            <w:r>
              <w:t>1</w:t>
            </w:r>
          </w:p>
        </w:tc>
        <w:tc>
          <w:tcPr>
            <w:tcW w:w="850" w:type="dxa"/>
            <w:tcBorders>
              <w:top w:val="single" w:color="auto" w:sz="4" w:space="0"/>
              <w:bottom w:val="single" w:color="auto" w:sz="4" w:space="0"/>
            </w:tcBorders>
            <w:shd w:val="clear" w:color="auto" w:fill="FFFFFF"/>
            <w:vAlign w:val="center"/>
          </w:tcPr>
          <w:p>
            <w:pPr>
              <w:pStyle w:val="294"/>
            </w:pPr>
            <w:r>
              <w:t>85</w:t>
            </w:r>
          </w:p>
        </w:tc>
        <w:tc>
          <w:tcPr>
            <w:tcW w:w="1134" w:type="dxa"/>
            <w:vMerge w:val="continue"/>
            <w:tcBorders>
              <w:top w:val="single" w:color="auto" w:sz="4" w:space="0"/>
              <w:bottom w:val="single" w:color="auto" w:sz="4" w:space="0"/>
            </w:tcBorders>
            <w:shd w:val="clear" w:color="auto" w:fill="FFFFFF"/>
            <w:vAlign w:val="center"/>
          </w:tcPr>
          <w:p>
            <w:pPr>
              <w:pStyle w:val="294"/>
            </w:pPr>
          </w:p>
        </w:tc>
        <w:tc>
          <w:tcPr>
            <w:tcW w:w="712" w:type="dxa"/>
            <w:tcBorders>
              <w:top w:val="single" w:color="auto" w:sz="4" w:space="0"/>
              <w:bottom w:val="single" w:color="auto" w:sz="4" w:space="0"/>
            </w:tcBorders>
            <w:shd w:val="clear" w:color="auto" w:fill="FFFFFF"/>
            <w:vAlign w:val="center"/>
          </w:tcPr>
          <w:p>
            <w:pPr>
              <w:pStyle w:val="294"/>
            </w:pPr>
            <w:r>
              <w:t>70</w:t>
            </w:r>
          </w:p>
        </w:tc>
        <w:tc>
          <w:tcPr>
            <w:tcW w:w="712" w:type="dxa"/>
            <w:tcBorders>
              <w:top w:val="single" w:color="auto" w:sz="4" w:space="0"/>
              <w:bottom w:val="single" w:color="auto" w:sz="4" w:space="0"/>
              <w:right w:val="single" w:color="auto" w:sz="8" w:space="0"/>
            </w:tcBorders>
            <w:shd w:val="clear" w:color="auto" w:fill="FFFFFF"/>
            <w:vAlign w:val="center"/>
          </w:tcPr>
          <w:p>
            <w:pPr>
              <w:pStyle w:val="294"/>
            </w:pPr>
            <w:r>
              <w:t>昼夜连续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tcBorders>
              <w:top w:val="single" w:color="auto" w:sz="4" w:space="0"/>
              <w:left w:val="single" w:color="auto" w:sz="8" w:space="0"/>
              <w:bottom w:val="single" w:color="auto" w:sz="4" w:space="0"/>
            </w:tcBorders>
            <w:shd w:val="clear" w:color="auto" w:fill="FFFFFF"/>
            <w:vAlign w:val="center"/>
          </w:tcPr>
          <w:p>
            <w:pPr>
              <w:pStyle w:val="294"/>
              <w:numPr>
                <w:ilvl w:val="0"/>
                <w:numId w:val="6"/>
              </w:numPr>
            </w:pPr>
          </w:p>
        </w:tc>
        <w:tc>
          <w:tcPr>
            <w:tcW w:w="1439" w:type="dxa"/>
            <w:tcBorders>
              <w:top w:val="single" w:color="auto" w:sz="4" w:space="0"/>
              <w:bottom w:val="single" w:color="auto" w:sz="4" w:space="0"/>
            </w:tcBorders>
            <w:shd w:val="clear" w:color="auto" w:fill="FFFFFF"/>
            <w:vAlign w:val="center"/>
          </w:tcPr>
          <w:p>
            <w:pPr>
              <w:pStyle w:val="294"/>
            </w:pPr>
            <w:r>
              <w:t>离心机</w:t>
            </w:r>
          </w:p>
        </w:tc>
        <w:tc>
          <w:tcPr>
            <w:tcW w:w="567" w:type="dxa"/>
            <w:tcBorders>
              <w:top w:val="single" w:color="auto" w:sz="4" w:space="0"/>
              <w:bottom w:val="single" w:color="auto" w:sz="4" w:space="0"/>
            </w:tcBorders>
            <w:shd w:val="clear" w:color="auto" w:fill="FFFFFF"/>
            <w:vAlign w:val="center"/>
          </w:tcPr>
          <w:p>
            <w:pPr>
              <w:pStyle w:val="294"/>
            </w:pPr>
            <w:r>
              <w:t>/</w:t>
            </w:r>
          </w:p>
        </w:tc>
        <w:tc>
          <w:tcPr>
            <w:tcW w:w="567" w:type="dxa"/>
            <w:tcBorders>
              <w:top w:val="single" w:color="auto" w:sz="4" w:space="0"/>
              <w:bottom w:val="single" w:color="auto" w:sz="4" w:space="0"/>
            </w:tcBorders>
            <w:shd w:val="clear" w:color="auto" w:fill="FFFFFF"/>
            <w:vAlign w:val="center"/>
          </w:tcPr>
          <w:p>
            <w:pPr>
              <w:pStyle w:val="294"/>
            </w:pPr>
            <w:r>
              <w:t>-35</w:t>
            </w:r>
          </w:p>
        </w:tc>
        <w:tc>
          <w:tcPr>
            <w:tcW w:w="567" w:type="dxa"/>
            <w:tcBorders>
              <w:top w:val="single" w:color="auto" w:sz="4" w:space="0"/>
              <w:bottom w:val="single" w:color="auto" w:sz="4" w:space="0"/>
            </w:tcBorders>
            <w:shd w:val="clear" w:color="auto" w:fill="FFFFFF"/>
            <w:vAlign w:val="center"/>
          </w:tcPr>
          <w:p>
            <w:pPr>
              <w:pStyle w:val="294"/>
            </w:pPr>
            <w:r>
              <w:t>10</w:t>
            </w:r>
          </w:p>
        </w:tc>
        <w:tc>
          <w:tcPr>
            <w:tcW w:w="709" w:type="dxa"/>
            <w:tcBorders>
              <w:top w:val="single" w:color="auto" w:sz="4" w:space="0"/>
              <w:bottom w:val="single" w:color="auto" w:sz="4" w:space="0"/>
            </w:tcBorders>
            <w:shd w:val="clear" w:color="auto" w:fill="FFFFFF"/>
            <w:vAlign w:val="center"/>
          </w:tcPr>
          <w:p>
            <w:pPr>
              <w:pStyle w:val="294"/>
            </w:pPr>
            <w:r>
              <w:t>2.3</w:t>
            </w:r>
          </w:p>
        </w:tc>
        <w:tc>
          <w:tcPr>
            <w:tcW w:w="1276" w:type="dxa"/>
            <w:tcBorders>
              <w:top w:val="single" w:color="auto" w:sz="4" w:space="0"/>
              <w:bottom w:val="single" w:color="auto" w:sz="4" w:space="0"/>
            </w:tcBorders>
            <w:shd w:val="clear" w:color="auto" w:fill="FFFFFF"/>
            <w:vAlign w:val="center"/>
          </w:tcPr>
          <w:p>
            <w:pPr>
              <w:pStyle w:val="294"/>
            </w:pPr>
            <w:r>
              <w:t>1</w:t>
            </w:r>
          </w:p>
        </w:tc>
        <w:tc>
          <w:tcPr>
            <w:tcW w:w="850" w:type="dxa"/>
            <w:tcBorders>
              <w:top w:val="single" w:color="auto" w:sz="4" w:space="0"/>
              <w:bottom w:val="single" w:color="auto" w:sz="4" w:space="0"/>
            </w:tcBorders>
            <w:shd w:val="clear" w:color="auto" w:fill="FFFFFF"/>
            <w:vAlign w:val="center"/>
          </w:tcPr>
          <w:p>
            <w:pPr>
              <w:pStyle w:val="294"/>
            </w:pPr>
            <w:r>
              <w:t>85</w:t>
            </w:r>
          </w:p>
        </w:tc>
        <w:tc>
          <w:tcPr>
            <w:tcW w:w="1134" w:type="dxa"/>
            <w:vMerge w:val="continue"/>
            <w:tcBorders>
              <w:top w:val="single" w:color="auto" w:sz="4" w:space="0"/>
              <w:bottom w:val="single" w:color="auto" w:sz="4" w:space="0"/>
            </w:tcBorders>
            <w:shd w:val="clear" w:color="auto" w:fill="FFFFFF"/>
            <w:vAlign w:val="center"/>
          </w:tcPr>
          <w:p>
            <w:pPr>
              <w:pStyle w:val="294"/>
            </w:pPr>
          </w:p>
        </w:tc>
        <w:tc>
          <w:tcPr>
            <w:tcW w:w="712" w:type="dxa"/>
            <w:tcBorders>
              <w:top w:val="single" w:color="auto" w:sz="4" w:space="0"/>
              <w:bottom w:val="single" w:color="auto" w:sz="4" w:space="0"/>
            </w:tcBorders>
            <w:shd w:val="clear" w:color="auto" w:fill="FFFFFF"/>
            <w:vAlign w:val="center"/>
          </w:tcPr>
          <w:p>
            <w:pPr>
              <w:pStyle w:val="294"/>
            </w:pPr>
            <w:r>
              <w:t>70</w:t>
            </w:r>
          </w:p>
        </w:tc>
        <w:tc>
          <w:tcPr>
            <w:tcW w:w="712" w:type="dxa"/>
            <w:tcBorders>
              <w:top w:val="single" w:color="auto" w:sz="4" w:space="0"/>
              <w:bottom w:val="single" w:color="auto" w:sz="4" w:space="0"/>
              <w:right w:val="single" w:color="auto" w:sz="8" w:space="0"/>
            </w:tcBorders>
            <w:shd w:val="clear" w:color="auto" w:fill="FFFFFF"/>
            <w:vAlign w:val="center"/>
          </w:tcPr>
          <w:p>
            <w:pPr>
              <w:pStyle w:val="294"/>
            </w:pPr>
            <w:r>
              <w:t>昼夜连续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tcBorders>
              <w:top w:val="single" w:color="auto" w:sz="4" w:space="0"/>
              <w:left w:val="single" w:color="auto" w:sz="8" w:space="0"/>
              <w:bottom w:val="single" w:color="auto" w:sz="4" w:space="0"/>
            </w:tcBorders>
            <w:shd w:val="clear" w:color="auto" w:fill="FFFFFF"/>
            <w:vAlign w:val="center"/>
          </w:tcPr>
          <w:p>
            <w:pPr>
              <w:pStyle w:val="294"/>
              <w:numPr>
                <w:ilvl w:val="0"/>
                <w:numId w:val="6"/>
              </w:numPr>
            </w:pPr>
          </w:p>
        </w:tc>
        <w:tc>
          <w:tcPr>
            <w:tcW w:w="1439" w:type="dxa"/>
            <w:tcBorders>
              <w:top w:val="single" w:color="auto" w:sz="4" w:space="0"/>
              <w:bottom w:val="single" w:color="auto" w:sz="4" w:space="0"/>
            </w:tcBorders>
            <w:shd w:val="clear" w:color="auto" w:fill="FFFFFF"/>
            <w:vAlign w:val="center"/>
          </w:tcPr>
          <w:p>
            <w:pPr>
              <w:pStyle w:val="294"/>
            </w:pPr>
            <w:r>
              <w:t>泥浆不落地装置1</w:t>
            </w:r>
            <w:r>
              <w:rPr>
                <w:rFonts w:hint="eastAsia"/>
              </w:rPr>
              <w:t>套</w:t>
            </w:r>
          </w:p>
        </w:tc>
        <w:tc>
          <w:tcPr>
            <w:tcW w:w="567" w:type="dxa"/>
            <w:tcBorders>
              <w:top w:val="single" w:color="auto" w:sz="4" w:space="0"/>
              <w:bottom w:val="single" w:color="auto" w:sz="4" w:space="0"/>
            </w:tcBorders>
            <w:shd w:val="clear" w:color="auto" w:fill="FFFFFF"/>
            <w:vAlign w:val="center"/>
          </w:tcPr>
          <w:p>
            <w:pPr>
              <w:pStyle w:val="294"/>
            </w:pPr>
            <w:r>
              <w:t>/</w:t>
            </w:r>
          </w:p>
        </w:tc>
        <w:tc>
          <w:tcPr>
            <w:tcW w:w="567" w:type="dxa"/>
            <w:tcBorders>
              <w:top w:val="single" w:color="auto" w:sz="4" w:space="0"/>
              <w:bottom w:val="single" w:color="auto" w:sz="4" w:space="0"/>
            </w:tcBorders>
            <w:shd w:val="clear" w:color="auto" w:fill="FFFFFF"/>
            <w:vAlign w:val="center"/>
          </w:tcPr>
          <w:p>
            <w:pPr>
              <w:pStyle w:val="294"/>
            </w:pPr>
            <w:r>
              <w:t>0</w:t>
            </w:r>
          </w:p>
        </w:tc>
        <w:tc>
          <w:tcPr>
            <w:tcW w:w="567" w:type="dxa"/>
            <w:tcBorders>
              <w:top w:val="single" w:color="auto" w:sz="4" w:space="0"/>
              <w:bottom w:val="single" w:color="auto" w:sz="4" w:space="0"/>
            </w:tcBorders>
            <w:shd w:val="clear" w:color="auto" w:fill="FFFFFF"/>
            <w:vAlign w:val="center"/>
          </w:tcPr>
          <w:p>
            <w:pPr>
              <w:pStyle w:val="294"/>
            </w:pPr>
            <w:r>
              <w:t>12</w:t>
            </w:r>
          </w:p>
        </w:tc>
        <w:tc>
          <w:tcPr>
            <w:tcW w:w="709" w:type="dxa"/>
            <w:tcBorders>
              <w:top w:val="single" w:color="auto" w:sz="4" w:space="0"/>
              <w:bottom w:val="single" w:color="auto" w:sz="4" w:space="0"/>
            </w:tcBorders>
            <w:shd w:val="clear" w:color="auto" w:fill="FFFFFF"/>
            <w:vAlign w:val="center"/>
          </w:tcPr>
          <w:p>
            <w:pPr>
              <w:pStyle w:val="294"/>
            </w:pPr>
            <w:r>
              <w:t>2.2</w:t>
            </w:r>
          </w:p>
        </w:tc>
        <w:tc>
          <w:tcPr>
            <w:tcW w:w="1276" w:type="dxa"/>
            <w:tcBorders>
              <w:top w:val="single" w:color="auto" w:sz="4" w:space="0"/>
              <w:bottom w:val="single" w:color="auto" w:sz="4" w:space="0"/>
            </w:tcBorders>
            <w:shd w:val="clear" w:color="auto" w:fill="FFFFFF"/>
            <w:vAlign w:val="center"/>
          </w:tcPr>
          <w:p>
            <w:pPr>
              <w:pStyle w:val="294"/>
            </w:pPr>
            <w:r>
              <w:t>1</w:t>
            </w:r>
          </w:p>
        </w:tc>
        <w:tc>
          <w:tcPr>
            <w:tcW w:w="850" w:type="dxa"/>
            <w:tcBorders>
              <w:top w:val="single" w:color="auto" w:sz="4" w:space="0"/>
              <w:bottom w:val="single" w:color="auto" w:sz="4" w:space="0"/>
            </w:tcBorders>
            <w:shd w:val="clear" w:color="auto" w:fill="FFFFFF"/>
            <w:vAlign w:val="center"/>
          </w:tcPr>
          <w:p>
            <w:pPr>
              <w:pStyle w:val="294"/>
            </w:pPr>
            <w:r>
              <w:t>85</w:t>
            </w:r>
          </w:p>
        </w:tc>
        <w:tc>
          <w:tcPr>
            <w:tcW w:w="1134" w:type="dxa"/>
            <w:vMerge w:val="continue"/>
            <w:tcBorders>
              <w:top w:val="single" w:color="auto" w:sz="4" w:space="0"/>
              <w:bottom w:val="single" w:color="auto" w:sz="4" w:space="0"/>
            </w:tcBorders>
            <w:shd w:val="clear" w:color="auto" w:fill="FFFFFF"/>
            <w:vAlign w:val="center"/>
          </w:tcPr>
          <w:p>
            <w:pPr>
              <w:pStyle w:val="294"/>
            </w:pPr>
          </w:p>
        </w:tc>
        <w:tc>
          <w:tcPr>
            <w:tcW w:w="712" w:type="dxa"/>
            <w:tcBorders>
              <w:top w:val="single" w:color="auto" w:sz="4" w:space="0"/>
              <w:bottom w:val="single" w:color="auto" w:sz="4" w:space="0"/>
            </w:tcBorders>
            <w:shd w:val="clear" w:color="auto" w:fill="FFFFFF"/>
            <w:vAlign w:val="center"/>
          </w:tcPr>
          <w:p>
            <w:pPr>
              <w:pStyle w:val="294"/>
            </w:pPr>
            <w:r>
              <w:t>70</w:t>
            </w:r>
          </w:p>
        </w:tc>
        <w:tc>
          <w:tcPr>
            <w:tcW w:w="712" w:type="dxa"/>
            <w:tcBorders>
              <w:top w:val="single" w:color="auto" w:sz="4" w:space="0"/>
              <w:bottom w:val="single" w:color="auto" w:sz="4" w:space="0"/>
              <w:right w:val="single" w:color="auto" w:sz="8" w:space="0"/>
            </w:tcBorders>
            <w:shd w:val="clear" w:color="auto" w:fill="FFFFFF"/>
            <w:vAlign w:val="center"/>
          </w:tcPr>
          <w:p>
            <w:pPr>
              <w:pStyle w:val="294"/>
            </w:pPr>
            <w:r>
              <w:t>昼夜连续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tcBorders>
              <w:top w:val="single" w:color="auto" w:sz="4" w:space="0"/>
              <w:left w:val="single" w:color="auto" w:sz="8" w:space="0"/>
              <w:bottom w:val="single" w:color="auto" w:sz="4" w:space="0"/>
            </w:tcBorders>
            <w:shd w:val="clear" w:color="auto" w:fill="FFFFFF"/>
            <w:vAlign w:val="center"/>
          </w:tcPr>
          <w:p>
            <w:pPr>
              <w:pStyle w:val="294"/>
              <w:numPr>
                <w:ilvl w:val="0"/>
                <w:numId w:val="6"/>
              </w:numPr>
            </w:pPr>
          </w:p>
        </w:tc>
        <w:tc>
          <w:tcPr>
            <w:tcW w:w="1439" w:type="dxa"/>
            <w:tcBorders>
              <w:top w:val="single" w:color="auto" w:sz="4" w:space="0"/>
              <w:bottom w:val="single" w:color="auto" w:sz="4" w:space="0"/>
            </w:tcBorders>
            <w:shd w:val="clear" w:color="auto" w:fill="FFFFFF"/>
            <w:vAlign w:val="center"/>
          </w:tcPr>
          <w:p>
            <w:pPr>
              <w:pStyle w:val="294"/>
            </w:pPr>
            <w:r>
              <w:t>压裂设备</w:t>
            </w:r>
          </w:p>
        </w:tc>
        <w:tc>
          <w:tcPr>
            <w:tcW w:w="567" w:type="dxa"/>
            <w:tcBorders>
              <w:top w:val="single" w:color="auto" w:sz="4" w:space="0"/>
              <w:bottom w:val="single" w:color="auto" w:sz="4" w:space="0"/>
            </w:tcBorders>
            <w:shd w:val="clear" w:color="auto" w:fill="FFFFFF"/>
            <w:vAlign w:val="center"/>
          </w:tcPr>
          <w:p>
            <w:pPr>
              <w:pStyle w:val="294"/>
            </w:pPr>
            <w:r>
              <w:t>/</w:t>
            </w:r>
          </w:p>
        </w:tc>
        <w:tc>
          <w:tcPr>
            <w:tcW w:w="567" w:type="dxa"/>
            <w:tcBorders>
              <w:top w:val="single" w:color="auto" w:sz="4" w:space="0"/>
              <w:bottom w:val="single" w:color="auto" w:sz="4" w:space="0"/>
            </w:tcBorders>
            <w:shd w:val="clear" w:color="auto" w:fill="FFFFFF"/>
            <w:vAlign w:val="center"/>
          </w:tcPr>
          <w:p>
            <w:pPr>
              <w:pStyle w:val="294"/>
            </w:pPr>
            <w:r>
              <w:t>3</w:t>
            </w:r>
          </w:p>
        </w:tc>
        <w:tc>
          <w:tcPr>
            <w:tcW w:w="567" w:type="dxa"/>
            <w:tcBorders>
              <w:top w:val="single" w:color="auto" w:sz="4" w:space="0"/>
              <w:bottom w:val="single" w:color="auto" w:sz="4" w:space="0"/>
            </w:tcBorders>
            <w:shd w:val="clear" w:color="auto" w:fill="FFFFFF"/>
            <w:vAlign w:val="center"/>
          </w:tcPr>
          <w:p>
            <w:pPr>
              <w:pStyle w:val="294"/>
            </w:pPr>
            <w:r>
              <w:t>0</w:t>
            </w:r>
          </w:p>
        </w:tc>
        <w:tc>
          <w:tcPr>
            <w:tcW w:w="709" w:type="dxa"/>
            <w:tcBorders>
              <w:top w:val="single" w:color="auto" w:sz="4" w:space="0"/>
              <w:bottom w:val="single" w:color="auto" w:sz="4" w:space="0"/>
            </w:tcBorders>
            <w:shd w:val="clear" w:color="auto" w:fill="FFFFFF"/>
            <w:vAlign w:val="center"/>
          </w:tcPr>
          <w:p>
            <w:pPr>
              <w:pStyle w:val="294"/>
            </w:pPr>
            <w:r>
              <w:t>1.3</w:t>
            </w:r>
          </w:p>
        </w:tc>
        <w:tc>
          <w:tcPr>
            <w:tcW w:w="1276" w:type="dxa"/>
            <w:tcBorders>
              <w:top w:val="single" w:color="auto" w:sz="4" w:space="0"/>
              <w:bottom w:val="single" w:color="auto" w:sz="4" w:space="0"/>
            </w:tcBorders>
            <w:shd w:val="clear" w:color="auto" w:fill="FFFFFF"/>
            <w:vAlign w:val="center"/>
          </w:tcPr>
          <w:p>
            <w:pPr>
              <w:pStyle w:val="294"/>
            </w:pPr>
            <w:r>
              <w:t>1</w:t>
            </w:r>
          </w:p>
        </w:tc>
        <w:tc>
          <w:tcPr>
            <w:tcW w:w="850" w:type="dxa"/>
            <w:tcBorders>
              <w:top w:val="single" w:color="auto" w:sz="4" w:space="0"/>
              <w:bottom w:val="single" w:color="auto" w:sz="4" w:space="0"/>
            </w:tcBorders>
            <w:shd w:val="clear" w:color="auto" w:fill="FFFFFF"/>
            <w:vAlign w:val="center"/>
          </w:tcPr>
          <w:p>
            <w:pPr>
              <w:pStyle w:val="294"/>
            </w:pPr>
            <w:r>
              <w:t>100</w:t>
            </w:r>
          </w:p>
        </w:tc>
        <w:tc>
          <w:tcPr>
            <w:tcW w:w="1134" w:type="dxa"/>
            <w:tcBorders>
              <w:top w:val="single" w:color="auto" w:sz="4" w:space="0"/>
              <w:bottom w:val="single" w:color="auto" w:sz="4" w:space="0"/>
            </w:tcBorders>
            <w:shd w:val="clear" w:color="auto" w:fill="FFFFFF"/>
            <w:vAlign w:val="center"/>
          </w:tcPr>
          <w:p>
            <w:pPr>
              <w:pStyle w:val="294"/>
            </w:pPr>
            <w:r>
              <w:t>/</w:t>
            </w:r>
          </w:p>
        </w:tc>
        <w:tc>
          <w:tcPr>
            <w:tcW w:w="712" w:type="dxa"/>
            <w:tcBorders>
              <w:top w:val="single" w:color="auto" w:sz="4" w:space="0"/>
              <w:bottom w:val="single" w:color="auto" w:sz="4" w:space="0"/>
            </w:tcBorders>
            <w:shd w:val="clear" w:color="auto" w:fill="FFFFFF"/>
            <w:vAlign w:val="center"/>
          </w:tcPr>
          <w:p>
            <w:pPr>
              <w:pStyle w:val="294"/>
            </w:pPr>
            <w:r>
              <w:t>100</w:t>
            </w:r>
          </w:p>
        </w:tc>
        <w:tc>
          <w:tcPr>
            <w:tcW w:w="712" w:type="dxa"/>
            <w:tcBorders>
              <w:top w:val="single" w:color="auto" w:sz="4" w:space="0"/>
              <w:bottom w:val="single" w:color="auto" w:sz="4" w:space="0"/>
              <w:right w:val="single" w:color="auto" w:sz="8" w:space="0"/>
            </w:tcBorders>
            <w:shd w:val="clear" w:color="auto" w:fill="FFFFFF"/>
            <w:vAlign w:val="center"/>
          </w:tcPr>
          <w:p>
            <w:pPr>
              <w:pStyle w:val="294"/>
            </w:pPr>
            <w:r>
              <w:t>昼间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tcBorders>
              <w:top w:val="single" w:color="auto" w:sz="4" w:space="0"/>
              <w:left w:val="single" w:color="auto" w:sz="8" w:space="0"/>
              <w:bottom w:val="single" w:color="auto" w:sz="4" w:space="0"/>
            </w:tcBorders>
            <w:shd w:val="clear" w:color="auto" w:fill="FFFFFF"/>
            <w:vAlign w:val="center"/>
          </w:tcPr>
          <w:p>
            <w:pPr>
              <w:pStyle w:val="294"/>
              <w:numPr>
                <w:ilvl w:val="0"/>
                <w:numId w:val="6"/>
              </w:numPr>
            </w:pPr>
          </w:p>
        </w:tc>
        <w:tc>
          <w:tcPr>
            <w:tcW w:w="1439" w:type="dxa"/>
            <w:tcBorders>
              <w:top w:val="single" w:color="auto" w:sz="4" w:space="0"/>
              <w:bottom w:val="single" w:color="auto" w:sz="4" w:space="0"/>
            </w:tcBorders>
            <w:shd w:val="clear" w:color="auto" w:fill="FFFFFF"/>
            <w:vAlign w:val="center"/>
          </w:tcPr>
          <w:p>
            <w:pPr>
              <w:pStyle w:val="294"/>
            </w:pPr>
            <w:r>
              <w:t>备用柴油动力机</w:t>
            </w:r>
          </w:p>
        </w:tc>
        <w:tc>
          <w:tcPr>
            <w:tcW w:w="567" w:type="dxa"/>
            <w:tcBorders>
              <w:top w:val="single" w:color="auto" w:sz="4" w:space="0"/>
              <w:bottom w:val="single" w:color="auto" w:sz="4" w:space="0"/>
            </w:tcBorders>
            <w:shd w:val="clear" w:color="auto" w:fill="FFFFFF"/>
            <w:vAlign w:val="center"/>
          </w:tcPr>
          <w:p>
            <w:pPr>
              <w:pStyle w:val="294"/>
            </w:pPr>
            <w:r>
              <w:t>/</w:t>
            </w:r>
          </w:p>
        </w:tc>
        <w:tc>
          <w:tcPr>
            <w:tcW w:w="567" w:type="dxa"/>
            <w:tcBorders>
              <w:top w:val="single" w:color="auto" w:sz="4" w:space="0"/>
              <w:bottom w:val="single" w:color="auto" w:sz="4" w:space="0"/>
            </w:tcBorders>
            <w:shd w:val="clear" w:color="auto" w:fill="FFFFFF"/>
            <w:vAlign w:val="center"/>
          </w:tcPr>
          <w:p>
            <w:pPr>
              <w:pStyle w:val="294"/>
            </w:pPr>
            <w:r>
              <w:t>-40</w:t>
            </w:r>
          </w:p>
        </w:tc>
        <w:tc>
          <w:tcPr>
            <w:tcW w:w="567" w:type="dxa"/>
            <w:tcBorders>
              <w:top w:val="single" w:color="auto" w:sz="4" w:space="0"/>
              <w:bottom w:val="single" w:color="auto" w:sz="4" w:space="0"/>
            </w:tcBorders>
            <w:shd w:val="clear" w:color="auto" w:fill="FFFFFF"/>
            <w:vAlign w:val="center"/>
          </w:tcPr>
          <w:p>
            <w:pPr>
              <w:pStyle w:val="294"/>
            </w:pPr>
            <w:r>
              <w:t>-5</w:t>
            </w:r>
          </w:p>
        </w:tc>
        <w:tc>
          <w:tcPr>
            <w:tcW w:w="709" w:type="dxa"/>
            <w:tcBorders>
              <w:top w:val="single" w:color="auto" w:sz="4" w:space="0"/>
              <w:bottom w:val="single" w:color="auto" w:sz="4" w:space="0"/>
            </w:tcBorders>
            <w:shd w:val="clear" w:color="auto" w:fill="FFFFFF"/>
            <w:vAlign w:val="center"/>
          </w:tcPr>
          <w:p>
            <w:pPr>
              <w:pStyle w:val="294"/>
            </w:pPr>
            <w:r>
              <w:t>1.2</w:t>
            </w:r>
          </w:p>
        </w:tc>
        <w:tc>
          <w:tcPr>
            <w:tcW w:w="1276" w:type="dxa"/>
            <w:tcBorders>
              <w:top w:val="single" w:color="auto" w:sz="4" w:space="0"/>
              <w:bottom w:val="single" w:color="auto" w:sz="4" w:space="0"/>
            </w:tcBorders>
            <w:shd w:val="clear" w:color="auto" w:fill="FFFFFF"/>
            <w:vAlign w:val="center"/>
          </w:tcPr>
          <w:p>
            <w:pPr>
              <w:pStyle w:val="294"/>
            </w:pPr>
            <w:r>
              <w:t>1</w:t>
            </w:r>
          </w:p>
        </w:tc>
        <w:tc>
          <w:tcPr>
            <w:tcW w:w="850" w:type="dxa"/>
            <w:tcBorders>
              <w:top w:val="single" w:color="auto" w:sz="4" w:space="0"/>
              <w:bottom w:val="single" w:color="auto" w:sz="4" w:space="0"/>
            </w:tcBorders>
            <w:shd w:val="clear" w:color="auto" w:fill="FFFFFF"/>
            <w:vAlign w:val="center"/>
          </w:tcPr>
          <w:p>
            <w:pPr>
              <w:pStyle w:val="294"/>
            </w:pPr>
            <w:r>
              <w:t>110</w:t>
            </w:r>
          </w:p>
        </w:tc>
        <w:tc>
          <w:tcPr>
            <w:tcW w:w="1134" w:type="dxa"/>
            <w:tcBorders>
              <w:top w:val="single" w:color="auto" w:sz="4" w:space="0"/>
              <w:bottom w:val="single" w:color="auto" w:sz="4" w:space="0"/>
            </w:tcBorders>
            <w:shd w:val="clear" w:color="auto" w:fill="FFFFFF"/>
            <w:vAlign w:val="center"/>
          </w:tcPr>
          <w:p>
            <w:pPr>
              <w:pStyle w:val="294"/>
            </w:pPr>
            <w:r>
              <w:t>活动板房隔声，自带高质量消声器的柴油机</w:t>
            </w:r>
          </w:p>
        </w:tc>
        <w:tc>
          <w:tcPr>
            <w:tcW w:w="712" w:type="dxa"/>
            <w:tcBorders>
              <w:top w:val="single" w:color="auto" w:sz="4" w:space="0"/>
              <w:bottom w:val="single" w:color="auto" w:sz="4" w:space="0"/>
            </w:tcBorders>
            <w:shd w:val="clear" w:color="auto" w:fill="FFFFFF"/>
            <w:vAlign w:val="center"/>
          </w:tcPr>
          <w:p>
            <w:pPr>
              <w:pStyle w:val="294"/>
            </w:pPr>
            <w:r>
              <w:t>95</w:t>
            </w:r>
          </w:p>
        </w:tc>
        <w:tc>
          <w:tcPr>
            <w:tcW w:w="712" w:type="dxa"/>
            <w:tcBorders>
              <w:top w:val="single" w:color="auto" w:sz="4" w:space="0"/>
              <w:bottom w:val="single" w:color="auto" w:sz="4" w:space="0"/>
              <w:right w:val="single" w:color="auto" w:sz="8" w:space="0"/>
            </w:tcBorders>
            <w:shd w:val="clear" w:color="auto" w:fill="FFFFFF"/>
            <w:vAlign w:val="center"/>
          </w:tcPr>
          <w:p>
            <w:pPr>
              <w:pStyle w:val="294"/>
            </w:pPr>
            <w:r>
              <w:t>偶尔、连续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tcBorders>
              <w:top w:val="single" w:color="auto" w:sz="4" w:space="0"/>
              <w:left w:val="single" w:color="auto" w:sz="8" w:space="0"/>
              <w:bottom w:val="single" w:color="auto" w:sz="8" w:space="0"/>
            </w:tcBorders>
            <w:shd w:val="clear" w:color="auto" w:fill="FFFFFF"/>
            <w:vAlign w:val="center"/>
          </w:tcPr>
          <w:p>
            <w:pPr>
              <w:pStyle w:val="294"/>
              <w:numPr>
                <w:ilvl w:val="0"/>
                <w:numId w:val="6"/>
              </w:numPr>
            </w:pPr>
          </w:p>
        </w:tc>
        <w:tc>
          <w:tcPr>
            <w:tcW w:w="1439" w:type="dxa"/>
            <w:tcBorders>
              <w:top w:val="single" w:color="auto" w:sz="4" w:space="0"/>
              <w:bottom w:val="single" w:color="auto" w:sz="8" w:space="0"/>
            </w:tcBorders>
            <w:shd w:val="clear" w:color="auto" w:fill="FFFFFF"/>
            <w:vAlign w:val="center"/>
          </w:tcPr>
          <w:p>
            <w:pPr>
              <w:pStyle w:val="294"/>
            </w:pPr>
            <w:r>
              <w:t>备用柴油发电机</w:t>
            </w:r>
          </w:p>
        </w:tc>
        <w:tc>
          <w:tcPr>
            <w:tcW w:w="567" w:type="dxa"/>
            <w:tcBorders>
              <w:top w:val="single" w:color="auto" w:sz="4" w:space="0"/>
              <w:bottom w:val="single" w:color="auto" w:sz="8" w:space="0"/>
            </w:tcBorders>
            <w:shd w:val="clear" w:color="auto" w:fill="FFFFFF"/>
            <w:vAlign w:val="center"/>
          </w:tcPr>
          <w:p>
            <w:pPr>
              <w:pStyle w:val="294"/>
            </w:pPr>
            <w:r>
              <w:t>/</w:t>
            </w:r>
          </w:p>
        </w:tc>
        <w:tc>
          <w:tcPr>
            <w:tcW w:w="567" w:type="dxa"/>
            <w:tcBorders>
              <w:top w:val="single" w:color="auto" w:sz="4" w:space="0"/>
              <w:bottom w:val="single" w:color="auto" w:sz="8" w:space="0"/>
            </w:tcBorders>
            <w:shd w:val="clear" w:color="auto" w:fill="FFFFFF"/>
            <w:vAlign w:val="center"/>
          </w:tcPr>
          <w:p>
            <w:pPr>
              <w:pStyle w:val="294"/>
            </w:pPr>
            <w:r>
              <w:t>-40</w:t>
            </w:r>
          </w:p>
        </w:tc>
        <w:tc>
          <w:tcPr>
            <w:tcW w:w="567" w:type="dxa"/>
            <w:tcBorders>
              <w:top w:val="single" w:color="auto" w:sz="4" w:space="0"/>
              <w:bottom w:val="single" w:color="auto" w:sz="8" w:space="0"/>
            </w:tcBorders>
            <w:shd w:val="clear" w:color="auto" w:fill="FFFFFF"/>
            <w:vAlign w:val="center"/>
          </w:tcPr>
          <w:p>
            <w:pPr>
              <w:pStyle w:val="294"/>
            </w:pPr>
            <w:r>
              <w:t>-7</w:t>
            </w:r>
          </w:p>
        </w:tc>
        <w:tc>
          <w:tcPr>
            <w:tcW w:w="709" w:type="dxa"/>
            <w:tcBorders>
              <w:top w:val="single" w:color="auto" w:sz="4" w:space="0"/>
              <w:bottom w:val="single" w:color="auto" w:sz="8" w:space="0"/>
            </w:tcBorders>
            <w:shd w:val="clear" w:color="auto" w:fill="FFFFFF"/>
            <w:vAlign w:val="center"/>
          </w:tcPr>
          <w:p>
            <w:pPr>
              <w:pStyle w:val="294"/>
            </w:pPr>
            <w:r>
              <w:t>1.1</w:t>
            </w:r>
          </w:p>
        </w:tc>
        <w:tc>
          <w:tcPr>
            <w:tcW w:w="1276" w:type="dxa"/>
            <w:tcBorders>
              <w:top w:val="single" w:color="auto" w:sz="4" w:space="0"/>
              <w:bottom w:val="single" w:color="auto" w:sz="8" w:space="0"/>
            </w:tcBorders>
            <w:shd w:val="clear" w:color="auto" w:fill="FFFFFF"/>
            <w:vAlign w:val="center"/>
          </w:tcPr>
          <w:p>
            <w:pPr>
              <w:pStyle w:val="294"/>
            </w:pPr>
            <w:r>
              <w:t>1</w:t>
            </w:r>
          </w:p>
        </w:tc>
        <w:tc>
          <w:tcPr>
            <w:tcW w:w="850" w:type="dxa"/>
            <w:tcBorders>
              <w:top w:val="single" w:color="auto" w:sz="4" w:space="0"/>
              <w:bottom w:val="single" w:color="auto" w:sz="8" w:space="0"/>
            </w:tcBorders>
            <w:shd w:val="clear" w:color="auto" w:fill="FFFFFF"/>
            <w:vAlign w:val="center"/>
          </w:tcPr>
          <w:p>
            <w:pPr>
              <w:pStyle w:val="294"/>
            </w:pPr>
            <w:r>
              <w:t>105</w:t>
            </w:r>
          </w:p>
        </w:tc>
        <w:tc>
          <w:tcPr>
            <w:tcW w:w="1134" w:type="dxa"/>
            <w:tcBorders>
              <w:top w:val="single" w:color="auto" w:sz="4" w:space="0"/>
              <w:bottom w:val="single" w:color="auto" w:sz="8" w:space="0"/>
            </w:tcBorders>
            <w:shd w:val="clear" w:color="auto" w:fill="FFFFFF"/>
            <w:vAlign w:val="center"/>
          </w:tcPr>
          <w:p>
            <w:pPr>
              <w:pStyle w:val="294"/>
            </w:pPr>
            <w:r>
              <w:t>活动板房隔声，安装减振垫层</w:t>
            </w:r>
          </w:p>
        </w:tc>
        <w:tc>
          <w:tcPr>
            <w:tcW w:w="712" w:type="dxa"/>
            <w:tcBorders>
              <w:top w:val="single" w:color="auto" w:sz="4" w:space="0"/>
              <w:bottom w:val="single" w:color="auto" w:sz="8" w:space="0"/>
            </w:tcBorders>
            <w:shd w:val="clear" w:color="auto" w:fill="FFFFFF"/>
            <w:vAlign w:val="center"/>
          </w:tcPr>
          <w:p>
            <w:pPr>
              <w:pStyle w:val="294"/>
            </w:pPr>
            <w:r>
              <w:t>90</w:t>
            </w:r>
          </w:p>
        </w:tc>
        <w:tc>
          <w:tcPr>
            <w:tcW w:w="712" w:type="dxa"/>
            <w:tcBorders>
              <w:top w:val="single" w:color="auto" w:sz="4" w:space="0"/>
              <w:bottom w:val="single" w:color="auto" w:sz="8" w:space="0"/>
              <w:right w:val="single" w:color="auto" w:sz="8" w:space="0"/>
            </w:tcBorders>
            <w:shd w:val="clear" w:color="auto" w:fill="FFFFFF"/>
            <w:vAlign w:val="center"/>
          </w:tcPr>
          <w:p>
            <w:pPr>
              <w:pStyle w:val="294"/>
            </w:pPr>
            <w:r>
              <w:t>偶尔、连续</w:t>
            </w:r>
          </w:p>
        </w:tc>
      </w:tr>
    </w:tbl>
    <w:p>
      <w:pPr>
        <w:spacing w:line="240" w:lineRule="auto"/>
        <w:ind w:firstLine="420"/>
        <w:rPr>
          <w:rFonts w:cs="Times New Roman"/>
          <w:bCs/>
          <w:color w:val="000000" w:themeColor="text1"/>
          <w:szCs w:val="21"/>
          <w14:textFill>
            <w14:solidFill>
              <w14:schemeClr w14:val="tx1"/>
            </w14:solidFill>
          </w14:textFill>
        </w:rPr>
      </w:pPr>
      <w:r>
        <w:rPr>
          <w:rFonts w:cs="Times New Roman"/>
          <w:bCs/>
          <w:color w:val="000000" w:themeColor="text1"/>
          <w:sz w:val="21"/>
          <w:szCs w:val="18"/>
          <w14:textFill>
            <w14:solidFill>
              <w14:schemeClr w14:val="tx1"/>
            </w14:solidFill>
          </w14:textFill>
        </w:rPr>
        <w:t>注：表中坐标以普光3011-6井中心为坐标原点，沿东侧为X轴正方向，沿井场北侧为Y轴正方向</w:t>
      </w:r>
    </w:p>
    <w:bookmarkEnd w:id="249"/>
    <w:p>
      <w:pPr>
        <w:widowControl/>
        <w:spacing w:before="120" w:beforeLines="50"/>
        <w:ind w:firstLine="482"/>
        <w:jc w:val="left"/>
        <w:rPr>
          <w:rFonts w:cs="Times New Roman"/>
          <w:b/>
          <w:bCs/>
          <w:color w:val="000000" w:themeColor="text1"/>
          <w:kern w:val="0"/>
          <w:szCs w:val="24"/>
          <w14:textFill>
            <w14:solidFill>
              <w14:schemeClr w14:val="tx1"/>
            </w14:solidFill>
          </w14:textFill>
        </w:rPr>
      </w:pPr>
      <w:r>
        <w:rPr>
          <w:rFonts w:cs="Times New Roman"/>
          <w:b/>
          <w:bCs/>
          <w:color w:val="000000" w:themeColor="text1"/>
          <w:kern w:val="0"/>
          <w:szCs w:val="24"/>
          <w14:textFill>
            <w14:solidFill>
              <w14:schemeClr w14:val="tx1"/>
            </w14:solidFill>
          </w14:textFill>
        </w:rPr>
        <w:t>（3）钻井阶段场界噪声影响预测</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cs="Times New Roman"/>
          <w:color w:val="000000" w:themeColor="text1"/>
          <w14:textFill>
            <w14:solidFill>
              <w14:schemeClr w14:val="tx1"/>
            </w14:solidFill>
          </w14:textFill>
        </w:rPr>
        <w:t>预测方法</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本项目按照钻井过程中最大噪声影响情况，预测钻井平台场界和敏感点噪声值，并进行达标分析。</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rFonts w:cs="Times New Roman"/>
          <w:color w:val="000000" w:themeColor="text1"/>
          <w14:textFill>
            <w14:solidFill>
              <w14:schemeClr w14:val="tx1"/>
            </w14:solidFill>
          </w14:textFill>
        </w:rPr>
        <w:t>预测模式</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预测时考虑声源在传播过程中经过距离衰减，采用《环境影响评价技术导则 声环境》（HJ2.4-2021）中的点声源几何发散衰减模式进行计算，预测模式如下：</w:t>
      </w:r>
    </w:p>
    <w:p>
      <w:pPr>
        <w:ind w:firstLine="480"/>
        <w:rPr>
          <w:rFonts w:cs="Times New Roman"/>
          <w:bCs/>
          <w:color w:val="000000" w:themeColor="text1"/>
          <w:szCs w:val="32"/>
          <w14:textFill>
            <w14:solidFill>
              <w14:schemeClr w14:val="tx1"/>
            </w14:solidFill>
          </w14:textFill>
        </w:rPr>
      </w:pPr>
      <m:oMathPara>
        <m:oMath>
          <m:sSub>
            <m:sSubPr>
              <m:ctrlPr>
                <w:rPr>
                  <w:rFonts w:ascii="Cambria Math" w:hAnsi="Cambria Math" w:cs="Times New Roman"/>
                  <w:bCs/>
                  <w:i/>
                  <w:color w:val="000000" w:themeColor="text1"/>
                  <w:szCs w:val="24"/>
                  <w14:textFill>
                    <w14:solidFill>
                      <w14:schemeClr w14:val="tx1"/>
                    </w14:solidFill>
                  </w14:textFill>
                </w:rPr>
              </m:ctrlPr>
            </m:sSubPr>
            <m:e>
              <m:r>
                <m:rPr/>
                <w:rPr>
                  <w:rFonts w:ascii="Cambria Math" w:hAnsi="Cambria Math" w:cs="Times New Roman"/>
                  <w:color w:val="000000" w:themeColor="text1"/>
                  <w:szCs w:val="24"/>
                  <w14:textFill>
                    <w14:solidFill>
                      <w14:schemeClr w14:val="tx1"/>
                    </w14:solidFill>
                  </w14:textFill>
                </w:rPr>
                <m:t>L</m:t>
              </m:r>
              <m:ctrlPr>
                <w:rPr>
                  <w:rFonts w:ascii="Cambria Math" w:hAnsi="Cambria Math" w:cs="Times New Roman"/>
                  <w:bCs/>
                  <w:i/>
                  <w:color w:val="000000" w:themeColor="text1"/>
                  <w:szCs w:val="24"/>
                  <w14:textFill>
                    <w14:solidFill>
                      <w14:schemeClr w14:val="tx1"/>
                    </w14:solidFill>
                  </w14:textFill>
                </w:rPr>
              </m:ctrlPr>
            </m:e>
            <m:sub>
              <m:r>
                <m:rPr/>
                <w:rPr>
                  <w:rFonts w:ascii="Cambria Math" w:hAnsi="Cambria Math" w:cs="Times New Roman"/>
                  <w:color w:val="000000" w:themeColor="text1"/>
                  <w:szCs w:val="24"/>
                  <w14:textFill>
                    <w14:solidFill>
                      <w14:schemeClr w14:val="tx1"/>
                    </w14:solidFill>
                  </w14:textFill>
                </w:rPr>
                <m:t>A</m:t>
              </m:r>
              <m:ctrlPr>
                <w:rPr>
                  <w:rFonts w:ascii="Cambria Math" w:hAnsi="Cambria Math" w:cs="Times New Roman"/>
                  <w:bCs/>
                  <w:i/>
                  <w:color w:val="000000" w:themeColor="text1"/>
                  <w:szCs w:val="24"/>
                  <w14:textFill>
                    <w14:solidFill>
                      <w14:schemeClr w14:val="tx1"/>
                    </w14:solidFill>
                  </w14:textFill>
                </w:rPr>
              </m:ctrlPr>
            </m:sub>
          </m:sSub>
          <m:r>
            <m:rPr/>
            <w:rPr>
              <w:rFonts w:ascii="Cambria Math" w:hAnsi="Cambria Math" w:cs="Times New Roman"/>
              <w:color w:val="000000" w:themeColor="text1"/>
              <w:szCs w:val="24"/>
              <w14:textFill>
                <w14:solidFill>
                  <w14:schemeClr w14:val="tx1"/>
                </w14:solidFill>
              </w14:textFill>
            </w:rPr>
            <m:t>（r）=</m:t>
          </m:r>
          <m:sSub>
            <m:sSubPr>
              <m:ctrlPr>
                <w:rPr>
                  <w:rFonts w:ascii="Cambria Math" w:hAnsi="Cambria Math" w:cs="Times New Roman"/>
                  <w:bCs/>
                  <w:i/>
                  <w:color w:val="000000" w:themeColor="text1"/>
                  <w:szCs w:val="24"/>
                  <w14:textFill>
                    <w14:solidFill>
                      <w14:schemeClr w14:val="tx1"/>
                    </w14:solidFill>
                  </w14:textFill>
                </w:rPr>
              </m:ctrlPr>
            </m:sSubPr>
            <m:e>
              <m:r>
                <m:rPr/>
                <w:rPr>
                  <w:rFonts w:ascii="Cambria Math" w:hAnsi="Cambria Math" w:cs="Times New Roman"/>
                  <w:color w:val="000000" w:themeColor="text1"/>
                  <w:szCs w:val="24"/>
                  <w14:textFill>
                    <w14:solidFill>
                      <w14:schemeClr w14:val="tx1"/>
                    </w14:solidFill>
                  </w14:textFill>
                </w:rPr>
                <m:t>L</m:t>
              </m:r>
              <m:ctrlPr>
                <w:rPr>
                  <w:rFonts w:ascii="Cambria Math" w:hAnsi="Cambria Math" w:cs="Times New Roman"/>
                  <w:bCs/>
                  <w:i/>
                  <w:color w:val="000000" w:themeColor="text1"/>
                  <w:szCs w:val="24"/>
                  <w14:textFill>
                    <w14:solidFill>
                      <w14:schemeClr w14:val="tx1"/>
                    </w14:solidFill>
                  </w14:textFill>
                </w:rPr>
              </m:ctrlPr>
            </m:e>
            <m:sub>
              <m:r>
                <m:rPr/>
                <w:rPr>
                  <w:rFonts w:ascii="Cambria Math" w:hAnsi="Cambria Math" w:cs="Times New Roman"/>
                  <w:color w:val="000000" w:themeColor="text1"/>
                  <w:szCs w:val="24"/>
                  <w14:textFill>
                    <w14:solidFill>
                      <w14:schemeClr w14:val="tx1"/>
                    </w14:solidFill>
                  </w14:textFill>
                </w:rPr>
                <m:t>A</m:t>
              </m:r>
              <m:ctrlPr>
                <w:rPr>
                  <w:rFonts w:ascii="Cambria Math" w:hAnsi="Cambria Math" w:cs="Times New Roman"/>
                  <w:bCs/>
                  <w:i/>
                  <w:color w:val="000000" w:themeColor="text1"/>
                  <w:szCs w:val="24"/>
                  <w14:textFill>
                    <w14:solidFill>
                      <w14:schemeClr w14:val="tx1"/>
                    </w14:solidFill>
                  </w14:textFill>
                </w:rPr>
              </m:ctrlPr>
            </m:sub>
          </m:sSub>
          <m:r>
            <m:rPr/>
            <w:rPr>
              <w:rFonts w:ascii="Cambria Math" w:hAnsi="Cambria Math" w:cs="Times New Roman"/>
              <w:color w:val="000000" w:themeColor="text1"/>
              <w:szCs w:val="24"/>
              <w14:textFill>
                <w14:solidFill>
                  <w14:schemeClr w14:val="tx1"/>
                </w14:solidFill>
              </w14:textFill>
            </w:rPr>
            <m:t>（ro）−20</m:t>
          </m:r>
          <m:sSub>
            <m:sSubPr>
              <m:ctrlPr>
                <w:rPr>
                  <w:rFonts w:ascii="Cambria Math" w:hAnsi="Cambria Math" w:cs="Times New Roman"/>
                  <w:bCs/>
                  <w:i/>
                  <w:color w:val="000000" w:themeColor="text1"/>
                  <w:szCs w:val="24"/>
                  <w14:textFill>
                    <w14:solidFill>
                      <w14:schemeClr w14:val="tx1"/>
                    </w14:solidFill>
                  </w14:textFill>
                </w:rPr>
              </m:ctrlPr>
            </m:sSubPr>
            <m:e>
              <m:r>
                <m:rPr/>
                <w:rPr>
                  <w:rFonts w:ascii="Cambria Math" w:hAnsi="Cambria Math" w:cs="Times New Roman"/>
                  <w:color w:val="000000" w:themeColor="text1"/>
                  <w:szCs w:val="24"/>
                  <w14:textFill>
                    <w14:solidFill>
                      <w14:schemeClr w14:val="tx1"/>
                    </w14:solidFill>
                  </w14:textFill>
                </w:rPr>
                <m:t>L</m:t>
              </m:r>
              <m:ctrlPr>
                <w:rPr>
                  <w:rFonts w:ascii="Cambria Math" w:hAnsi="Cambria Math" w:cs="Times New Roman"/>
                  <w:bCs/>
                  <w:i/>
                  <w:color w:val="000000" w:themeColor="text1"/>
                  <w:szCs w:val="24"/>
                  <w14:textFill>
                    <w14:solidFill>
                      <w14:schemeClr w14:val="tx1"/>
                    </w14:solidFill>
                  </w14:textFill>
                </w:rPr>
              </m:ctrlPr>
            </m:e>
            <m:sub>
              <m:r>
                <m:rPr/>
                <w:rPr>
                  <w:rFonts w:ascii="Cambria Math" w:hAnsi="Cambria Math" w:cs="Times New Roman"/>
                  <w:color w:val="000000" w:themeColor="text1"/>
                  <w:szCs w:val="24"/>
                  <w14:textFill>
                    <w14:solidFill>
                      <w14:schemeClr w14:val="tx1"/>
                    </w14:solidFill>
                  </w14:textFill>
                </w:rPr>
                <m:t>g</m:t>
              </m:r>
              <m:ctrlPr>
                <w:rPr>
                  <w:rFonts w:ascii="Cambria Math" w:hAnsi="Cambria Math" w:cs="Times New Roman"/>
                  <w:bCs/>
                  <w:i/>
                  <w:color w:val="000000" w:themeColor="text1"/>
                  <w:szCs w:val="24"/>
                  <w14:textFill>
                    <w14:solidFill>
                      <w14:schemeClr w14:val="tx1"/>
                    </w14:solidFill>
                  </w14:textFill>
                </w:rPr>
              </m:ctrlPr>
            </m:sub>
          </m:sSub>
          <m:d>
            <m:dPr>
              <m:ctrlPr>
                <w:rPr>
                  <w:rFonts w:ascii="Cambria Math" w:hAnsi="Cambria Math" w:cs="Times New Roman"/>
                  <w:bCs/>
                  <w:i/>
                  <w:color w:val="000000" w:themeColor="text1"/>
                  <w:szCs w:val="24"/>
                  <w14:textFill>
                    <w14:solidFill>
                      <w14:schemeClr w14:val="tx1"/>
                    </w14:solidFill>
                  </w14:textFill>
                </w:rPr>
              </m:ctrlPr>
            </m:dPr>
            <m:e>
              <m:f>
                <m:fPr>
                  <m:type m:val="lin"/>
                  <m:ctrlPr>
                    <w:rPr>
                      <w:rFonts w:ascii="Cambria Math" w:hAnsi="Cambria Math" w:cs="Times New Roman"/>
                      <w:bCs/>
                      <w:i/>
                      <w:color w:val="000000" w:themeColor="text1"/>
                      <w:szCs w:val="24"/>
                      <w14:textFill>
                        <w14:solidFill>
                          <w14:schemeClr w14:val="tx1"/>
                        </w14:solidFill>
                      </w14:textFill>
                    </w:rPr>
                  </m:ctrlPr>
                </m:fPr>
                <m:num>
                  <m:r>
                    <m:rPr/>
                    <w:rPr>
                      <w:rFonts w:ascii="Cambria Math" w:hAnsi="Cambria Math" w:cs="Times New Roman"/>
                      <w:color w:val="000000" w:themeColor="text1"/>
                      <w:szCs w:val="24"/>
                      <w14:textFill>
                        <w14:solidFill>
                          <w14:schemeClr w14:val="tx1"/>
                        </w14:solidFill>
                      </w14:textFill>
                    </w:rPr>
                    <m:t>r</m:t>
                  </m:r>
                  <m:ctrlPr>
                    <w:rPr>
                      <w:rFonts w:ascii="Cambria Math" w:hAnsi="Cambria Math" w:cs="Times New Roman"/>
                      <w:bCs/>
                      <w:i/>
                      <w:color w:val="000000" w:themeColor="text1"/>
                      <w:szCs w:val="24"/>
                      <w14:textFill>
                        <w14:solidFill>
                          <w14:schemeClr w14:val="tx1"/>
                        </w14:solidFill>
                      </w14:textFill>
                    </w:rPr>
                  </m:ctrlPr>
                </m:num>
                <m:den>
                  <m:sSub>
                    <m:sSubPr>
                      <m:ctrlPr>
                        <w:rPr>
                          <w:rFonts w:ascii="Cambria Math" w:hAnsi="Cambria Math" w:cs="Times New Roman"/>
                          <w:bCs/>
                          <w:i/>
                          <w:color w:val="000000" w:themeColor="text1"/>
                          <w:szCs w:val="24"/>
                          <w14:textFill>
                            <w14:solidFill>
                              <w14:schemeClr w14:val="tx1"/>
                            </w14:solidFill>
                          </w14:textFill>
                        </w:rPr>
                      </m:ctrlPr>
                    </m:sSubPr>
                    <m:e>
                      <m:r>
                        <m:rPr/>
                        <w:rPr>
                          <w:rFonts w:ascii="Cambria Math" w:hAnsi="Cambria Math" w:cs="Times New Roman"/>
                          <w:color w:val="000000" w:themeColor="text1"/>
                          <w:szCs w:val="24"/>
                          <w14:textFill>
                            <w14:solidFill>
                              <w14:schemeClr w14:val="tx1"/>
                            </w14:solidFill>
                          </w14:textFill>
                        </w:rPr>
                        <m:t>r</m:t>
                      </m:r>
                      <m:ctrlPr>
                        <w:rPr>
                          <w:rFonts w:ascii="Cambria Math" w:hAnsi="Cambria Math" w:cs="Times New Roman"/>
                          <w:bCs/>
                          <w:i/>
                          <w:color w:val="000000" w:themeColor="text1"/>
                          <w:szCs w:val="24"/>
                          <w14:textFill>
                            <w14:solidFill>
                              <w14:schemeClr w14:val="tx1"/>
                            </w14:solidFill>
                          </w14:textFill>
                        </w:rPr>
                      </m:ctrlPr>
                    </m:e>
                    <m:sub>
                      <m:r>
                        <m:rPr/>
                        <w:rPr>
                          <w:rFonts w:ascii="Cambria Math" w:hAnsi="Cambria Math" w:cs="Times New Roman"/>
                          <w:color w:val="000000" w:themeColor="text1"/>
                          <w:szCs w:val="24"/>
                          <w14:textFill>
                            <w14:solidFill>
                              <w14:schemeClr w14:val="tx1"/>
                            </w14:solidFill>
                          </w14:textFill>
                        </w:rPr>
                        <m:t>o</m:t>
                      </m:r>
                      <m:ctrlPr>
                        <w:rPr>
                          <w:rFonts w:ascii="Cambria Math" w:hAnsi="Cambria Math" w:cs="Times New Roman"/>
                          <w:bCs/>
                          <w:i/>
                          <w:color w:val="000000" w:themeColor="text1"/>
                          <w:szCs w:val="24"/>
                          <w14:textFill>
                            <w14:solidFill>
                              <w14:schemeClr w14:val="tx1"/>
                            </w14:solidFill>
                          </w14:textFill>
                        </w:rPr>
                      </m:ctrlPr>
                    </m:sub>
                  </m:sSub>
                  <m:ctrlPr>
                    <w:rPr>
                      <w:rFonts w:ascii="Cambria Math" w:hAnsi="Cambria Math" w:cs="Times New Roman"/>
                      <w:bCs/>
                      <w:i/>
                      <w:color w:val="000000" w:themeColor="text1"/>
                      <w:szCs w:val="24"/>
                      <w14:textFill>
                        <w14:solidFill>
                          <w14:schemeClr w14:val="tx1"/>
                        </w14:solidFill>
                      </w14:textFill>
                    </w:rPr>
                  </m:ctrlPr>
                </m:den>
              </m:f>
              <m:ctrlPr>
                <w:rPr>
                  <w:rFonts w:ascii="Cambria Math" w:hAnsi="Cambria Math" w:cs="Times New Roman"/>
                  <w:bCs/>
                  <w:i/>
                  <w:color w:val="000000" w:themeColor="text1"/>
                  <w:szCs w:val="24"/>
                  <w14:textFill>
                    <w14:solidFill>
                      <w14:schemeClr w14:val="tx1"/>
                    </w14:solidFill>
                  </w14:textFill>
                </w:rPr>
              </m:ctrlPr>
            </m:e>
          </m:d>
          <m:r>
            <m:rPr/>
            <w:rPr>
              <w:rFonts w:ascii="Cambria Math" w:hAnsi="Cambria Math" w:cs="Times New Roman"/>
              <w:color w:val="000000" w:themeColor="text1"/>
              <w:szCs w:val="24"/>
              <w14:textFill>
                <w14:solidFill>
                  <w14:schemeClr w14:val="tx1"/>
                </w14:solidFill>
              </w14:textFill>
            </w:rPr>
            <m:t>−ΔL</m:t>
          </m:r>
        </m:oMath>
      </m:oMathPara>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式中：</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L</w:t>
      </w:r>
      <w:r>
        <w:rPr>
          <w:rFonts w:cs="Times New Roman"/>
          <w:color w:val="000000" w:themeColor="text1"/>
          <w:vertAlign w:val="subscript"/>
          <w14:textFill>
            <w14:solidFill>
              <w14:schemeClr w14:val="tx1"/>
            </w14:solidFill>
          </w14:textFill>
        </w:rPr>
        <w:t>A</w:t>
      </w:r>
      <w:r>
        <w:rPr>
          <w:rFonts w:cs="Times New Roman"/>
          <w:color w:val="000000" w:themeColor="text1"/>
          <w14:textFill>
            <w14:solidFill>
              <w14:schemeClr w14:val="tx1"/>
            </w14:solidFill>
          </w14:textFill>
        </w:rPr>
        <w:t>（r）—距声源r处的施工噪声预测值，dB（A）；</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L</w:t>
      </w:r>
      <w:r>
        <w:rPr>
          <w:rFonts w:cs="Times New Roman"/>
          <w:color w:val="000000" w:themeColor="text1"/>
          <w:vertAlign w:val="subscript"/>
          <w14:textFill>
            <w14:solidFill>
              <w14:schemeClr w14:val="tx1"/>
            </w14:solidFill>
          </w14:textFill>
        </w:rPr>
        <w:t>A</w:t>
      </w:r>
      <w:r>
        <w:rPr>
          <w:rFonts w:cs="Times New Roman"/>
          <w:color w:val="000000" w:themeColor="text1"/>
          <w14:textFill>
            <w14:solidFill>
              <w14:schemeClr w14:val="tx1"/>
            </w14:solidFill>
          </w14:textFill>
        </w:rPr>
        <w:t>（r</w:t>
      </w:r>
      <w:r>
        <w:rPr>
          <w:rFonts w:cs="Times New Roman"/>
          <w:color w:val="000000" w:themeColor="text1"/>
          <w:vertAlign w:val="subscript"/>
          <w14:textFill>
            <w14:solidFill>
              <w14:schemeClr w14:val="tx1"/>
            </w14:solidFill>
          </w14:textFill>
        </w:rPr>
        <w:t>0</w:t>
      </w:r>
      <w:r>
        <w:rPr>
          <w:rFonts w:cs="Times New Roman"/>
          <w:color w:val="000000" w:themeColor="text1"/>
          <w14:textFill>
            <w14:solidFill>
              <w14:schemeClr w14:val="tx1"/>
            </w14:solidFill>
          </w14:textFill>
        </w:rPr>
        <w:t>）—距声源r0处的参考声压级，dB（A）；</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r—预测点距声源的距离，m；</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r</w:t>
      </w:r>
      <w:r>
        <w:rPr>
          <w:rFonts w:cs="Times New Roman"/>
          <w:color w:val="000000" w:themeColor="text1"/>
          <w:vertAlign w:val="subscript"/>
          <w14:textFill>
            <w14:solidFill>
              <w14:schemeClr w14:val="tx1"/>
            </w14:solidFill>
          </w14:textFill>
        </w:rPr>
        <w:t>0</w:t>
      </w:r>
      <w:r>
        <w:rPr>
          <w:rFonts w:cs="Times New Roman"/>
          <w:color w:val="000000" w:themeColor="text1"/>
          <w14:textFill>
            <w14:solidFill>
              <w14:schemeClr w14:val="tx1"/>
            </w14:solidFill>
          </w14:textFill>
        </w:rPr>
        <w:t>—参考点距声源的距离，m。</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drawing>
          <wp:inline distT="0" distB="0" distL="0" distR="0">
            <wp:extent cx="180975" cy="180975"/>
            <wp:effectExtent l="0" t="0" r="9525" b="9525"/>
            <wp:docPr id="670032246" name="图片 67003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32246" name="图片 6700322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180975" cy="180975"/>
                    </a:xfrm>
                    <a:prstGeom prst="rect">
                      <a:avLst/>
                    </a:prstGeom>
                    <a:noFill/>
                    <a:ln>
                      <a:noFill/>
                    </a:ln>
                  </pic:spPr>
                </pic:pic>
              </a:graphicData>
            </a:graphic>
          </wp:inline>
        </w:drawing>
      </w:r>
      <w:r>
        <w:rPr>
          <w:rFonts w:cs="Times New Roman"/>
          <w:color w:val="000000" w:themeColor="text1"/>
          <w14:textFill>
            <w14:solidFill>
              <w14:schemeClr w14:val="tx1"/>
            </w14:solidFill>
          </w14:textFill>
        </w:rPr>
        <w:t>—各种衰减量（除发散衰减外），dB（A）。室外噪声源</w:t>
      </w:r>
      <w:r>
        <w:rPr>
          <w:rFonts w:cs="Times New Roman"/>
          <w:color w:val="000000" w:themeColor="text1"/>
          <w14:textFill>
            <w14:solidFill>
              <w14:schemeClr w14:val="tx1"/>
            </w14:solidFill>
          </w14:textFill>
        </w:rPr>
        <w:drawing>
          <wp:inline distT="0" distB="0" distL="0" distR="0">
            <wp:extent cx="180975" cy="180975"/>
            <wp:effectExtent l="0" t="0" r="9525" b="9525"/>
            <wp:docPr id="637849483" name="图片 63784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849483" name="图片 63784948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180975" cy="180975"/>
                    </a:xfrm>
                    <a:prstGeom prst="rect">
                      <a:avLst/>
                    </a:prstGeom>
                    <a:noFill/>
                    <a:ln>
                      <a:noFill/>
                    </a:ln>
                  </pic:spPr>
                </pic:pic>
              </a:graphicData>
            </a:graphic>
          </wp:inline>
        </w:drawing>
      </w:r>
      <w:r>
        <w:rPr>
          <w:rFonts w:cs="Times New Roman"/>
          <w:color w:val="000000" w:themeColor="text1"/>
          <w14:textFill>
            <w14:solidFill>
              <w14:schemeClr w14:val="tx1"/>
            </w14:solidFill>
          </w14:textFill>
        </w:rPr>
        <w:t>取为零。</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多个声源发出的噪声在同一受声点的共同影响，噪声在预测点处产生的等效声级贡献值叠加的计算公式如下：</w:t>
      </w:r>
    </w:p>
    <w:p>
      <w:pPr>
        <w:ind w:firstLine="480"/>
        <w:contextualSpacing/>
        <w:jc w:val="center"/>
        <w:rPr>
          <w:rFonts w:cs="Times New Roman"/>
          <w:color w:val="000000" w:themeColor="text1"/>
          <w:szCs w:val="24"/>
          <w14:textFill>
            <w14:solidFill>
              <w14:schemeClr w14:val="tx1"/>
            </w14:solidFill>
          </w14:textFill>
        </w:rPr>
      </w:pPr>
      <w:r>
        <w:rPr>
          <w:rFonts w:cs="Times New Roman"/>
          <w:color w:val="000000" w:themeColor="text1"/>
          <w:position w:val="-28"/>
          <w:szCs w:val="24"/>
          <w14:textFill>
            <w14:solidFill>
              <w14:schemeClr w14:val="tx1"/>
            </w14:solidFill>
          </w14:textFill>
        </w:rPr>
        <w:drawing>
          <wp:inline distT="0" distB="0" distL="0" distR="0">
            <wp:extent cx="1733550" cy="457200"/>
            <wp:effectExtent l="0" t="0" r="0" b="0"/>
            <wp:docPr id="551164088" name="图片 55116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164088" name="图片 55116408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1733550" cy="457200"/>
                    </a:xfrm>
                    <a:prstGeom prst="rect">
                      <a:avLst/>
                    </a:prstGeom>
                    <a:noFill/>
                    <a:ln>
                      <a:noFill/>
                    </a:ln>
                  </pic:spPr>
                </pic:pic>
              </a:graphicData>
            </a:graphic>
          </wp:inline>
        </w:drawing>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式中：</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L</w:t>
      </w:r>
      <w:r>
        <w:rPr>
          <w:rFonts w:cs="Times New Roman"/>
          <w:color w:val="000000" w:themeColor="text1"/>
          <w:vertAlign w:val="subscript"/>
          <w14:textFill>
            <w14:solidFill>
              <w14:schemeClr w14:val="tx1"/>
            </w14:solidFill>
          </w14:textFill>
        </w:rPr>
        <w:t>eqg</w:t>
      </w:r>
      <w:r>
        <w:rPr>
          <w:rFonts w:cs="Times New Roman"/>
          <w:color w:val="000000" w:themeColor="text1"/>
          <w14:textFill>
            <w14:solidFill>
              <w14:schemeClr w14:val="tx1"/>
            </w14:solidFill>
          </w14:textFill>
        </w:rPr>
        <w:t>—建设项目在预测点的等效声级贡献值，dB（A）；</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L</w:t>
      </w:r>
      <w:r>
        <w:rPr>
          <w:rFonts w:cs="Times New Roman"/>
          <w:color w:val="000000" w:themeColor="text1"/>
          <w:vertAlign w:val="subscript"/>
          <w14:textFill>
            <w14:solidFill>
              <w14:schemeClr w14:val="tx1"/>
            </w14:solidFill>
          </w14:textFill>
        </w:rPr>
        <w:t>Ai</w:t>
      </w:r>
      <w:r>
        <w:rPr>
          <w:rFonts w:cs="Times New Roman"/>
          <w:color w:val="000000" w:themeColor="text1"/>
          <w14:textFill>
            <w14:solidFill>
              <w14:schemeClr w14:val="tx1"/>
            </w14:solidFill>
          </w14:textFill>
        </w:rPr>
        <w:t>—i声源在预测点产生的A声级，dB（A）；</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T—预测计算的时间段，s；</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t</w:t>
      </w:r>
      <w:r>
        <w:rPr>
          <w:rFonts w:cs="Times New Roman"/>
          <w:color w:val="000000" w:themeColor="text1"/>
          <w:vertAlign w:val="subscript"/>
          <w14:textFill>
            <w14:solidFill>
              <w14:schemeClr w14:val="tx1"/>
            </w14:solidFill>
          </w14:textFill>
        </w:rPr>
        <w:t>i</w:t>
      </w:r>
      <w:r>
        <w:rPr>
          <w:rFonts w:cs="Times New Roman"/>
          <w:color w:val="000000" w:themeColor="text1"/>
          <w14:textFill>
            <w14:solidFill>
              <w14:schemeClr w14:val="tx1"/>
            </w14:solidFill>
          </w14:textFill>
        </w:rPr>
        <w:t>—i声源在T时段内的运行时间，s。</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 3 \* GB3 </w:instrText>
      </w:r>
      <w:r>
        <w:rPr>
          <w:rFonts w:cs="Times New Roman"/>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③</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场界噪声预测结果分析</w:t>
      </w:r>
    </w:p>
    <w:p>
      <w:pPr>
        <w:pStyle w:val="27"/>
        <w:ind w:firstLine="480"/>
        <w:rPr>
          <w:rFonts w:ascii="Times New Roman" w:hAnsi="Times New Roman"/>
          <w:color w:val="000000" w:themeColor="text1"/>
          <w:kern w:val="0"/>
          <w:szCs w:val="24"/>
          <w14:textFill>
            <w14:solidFill>
              <w14:schemeClr w14:val="tx1"/>
            </w14:solidFill>
          </w14:textFill>
        </w:rPr>
      </w:pPr>
      <w:r>
        <w:rPr>
          <w:rFonts w:ascii="Times New Roman" w:hAnsi="Times New Roman"/>
          <w:color w:val="000000" w:themeColor="text1"/>
          <w:kern w:val="0"/>
          <w:szCs w:val="24"/>
          <w14:textFill>
            <w14:solidFill>
              <w14:schemeClr w14:val="tx1"/>
            </w14:solidFill>
          </w14:textFill>
        </w:rPr>
        <w:t>根据上述预测模式，井场钻井噪声在各施工边界的噪声贡献值详见</w:t>
      </w:r>
      <w:r>
        <w:rPr>
          <w:rFonts w:ascii="Times New Roman" w:hAnsi="Times New Roman"/>
          <w:color w:val="000000" w:themeColor="text1"/>
          <w:kern w:val="0"/>
          <w:szCs w:val="24"/>
          <w14:textFill>
            <w14:solidFill>
              <w14:schemeClr w14:val="tx1"/>
            </w14:solidFill>
          </w14:textFill>
        </w:rPr>
        <w:fldChar w:fldCharType="begin"/>
      </w:r>
      <w:r>
        <w:rPr>
          <w:rFonts w:ascii="Times New Roman" w:hAnsi="Times New Roman"/>
          <w:color w:val="000000" w:themeColor="text1"/>
          <w:kern w:val="0"/>
          <w:szCs w:val="24"/>
          <w14:textFill>
            <w14:solidFill>
              <w14:schemeClr w14:val="tx1"/>
            </w14:solidFill>
          </w14:textFill>
        </w:rPr>
        <w:instrText xml:space="preserve"> REF _Ref144067328 \h  \* MERGEFORMAT </w:instrText>
      </w:r>
      <w:r>
        <w:rPr>
          <w:rFonts w:ascii="Times New Roman" w:hAnsi="Times New Roman"/>
          <w:color w:val="000000" w:themeColor="text1"/>
          <w:kern w:val="0"/>
          <w:szCs w:val="24"/>
          <w14:textFill>
            <w14:solidFill>
              <w14:schemeClr w14:val="tx1"/>
            </w14:solidFill>
          </w14:textFill>
        </w:rPr>
        <w:fldChar w:fldCharType="separate"/>
      </w:r>
      <w:r>
        <w:rPr>
          <w:rFonts w:ascii="Times New Roman" w:hAnsi="Times New Roman"/>
          <w:color w:val="000000" w:themeColor="text1"/>
          <w:kern w:val="0"/>
          <w:szCs w:val="24"/>
          <w14:textFill>
            <w14:solidFill>
              <w14:schemeClr w14:val="tx1"/>
            </w14:solidFill>
          </w14:textFill>
        </w:rPr>
        <w:t>表5.1</w:t>
      </w:r>
      <w:r>
        <w:rPr>
          <w:rFonts w:ascii="Times New Roman" w:hAnsi="Times New Roman"/>
          <w:color w:val="000000" w:themeColor="text1"/>
          <w:kern w:val="0"/>
          <w:szCs w:val="24"/>
          <w14:textFill>
            <w14:solidFill>
              <w14:schemeClr w14:val="tx1"/>
            </w14:solidFill>
          </w14:textFill>
        </w:rPr>
        <w:noBreakHyphen/>
      </w:r>
      <w:r>
        <w:rPr>
          <w:rFonts w:ascii="Times New Roman" w:hAnsi="Times New Roman"/>
          <w:color w:val="000000" w:themeColor="text1"/>
          <w:kern w:val="0"/>
          <w:szCs w:val="24"/>
          <w14:textFill>
            <w14:solidFill>
              <w14:schemeClr w14:val="tx1"/>
            </w14:solidFill>
          </w14:textFill>
        </w:rPr>
        <w:t>3</w:t>
      </w:r>
      <w:r>
        <w:rPr>
          <w:rFonts w:ascii="Times New Roman" w:hAnsi="Times New Roman"/>
          <w:color w:val="000000" w:themeColor="text1"/>
          <w:kern w:val="0"/>
          <w:szCs w:val="24"/>
          <w14:textFill>
            <w14:solidFill>
              <w14:schemeClr w14:val="tx1"/>
            </w14:solidFill>
          </w14:textFill>
        </w:rPr>
        <w:fldChar w:fldCharType="end"/>
      </w:r>
      <w:r>
        <w:rPr>
          <w:rFonts w:ascii="Times New Roman" w:hAnsi="Times New Roman"/>
          <w:color w:val="000000" w:themeColor="text1"/>
          <w:kern w:val="0"/>
          <w:szCs w:val="24"/>
          <w14:textFill>
            <w14:solidFill>
              <w14:schemeClr w14:val="tx1"/>
            </w14:solidFill>
          </w14:textFill>
        </w:rPr>
        <w:t>。</w:t>
      </w:r>
    </w:p>
    <w:p>
      <w:pPr>
        <w:pStyle w:val="95"/>
      </w:pPr>
      <w:bookmarkStart w:id="250" w:name="_Ref144067328"/>
      <w:r>
        <w:t>表</w:t>
      </w:r>
      <w:r>
        <w:fldChar w:fldCharType="begin"/>
      </w:r>
      <w:r>
        <w:instrText xml:space="preserve"> STYLEREF 2 \s </w:instrText>
      </w:r>
      <w:r>
        <w:fldChar w:fldCharType="separate"/>
      </w:r>
      <w:r>
        <w:t>5.1</w:t>
      </w:r>
      <w:r>
        <w:fldChar w:fldCharType="end"/>
      </w:r>
      <w:r>
        <w:noBreakHyphen/>
      </w:r>
      <w:r>
        <w:fldChar w:fldCharType="begin"/>
      </w:r>
      <w:r>
        <w:instrText xml:space="preserve"> SEQ 表 \* ARABIC \s 2 </w:instrText>
      </w:r>
      <w:r>
        <w:fldChar w:fldCharType="separate"/>
      </w:r>
      <w:r>
        <w:t>3</w:t>
      </w:r>
      <w:r>
        <w:fldChar w:fldCharType="end"/>
      </w:r>
      <w:bookmarkEnd w:id="250"/>
      <w:r>
        <w:t xml:space="preserve"> 本项目钻井噪声影响   单位：dB（A）</w:t>
      </w:r>
    </w:p>
    <w:tbl>
      <w:tblPr>
        <w:tblStyle w:val="52"/>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17"/>
        <w:gridCol w:w="834"/>
        <w:gridCol w:w="1954"/>
        <w:gridCol w:w="1154"/>
        <w:gridCol w:w="1156"/>
        <w:gridCol w:w="1154"/>
        <w:gridCol w:w="11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5" w:type="pct"/>
            <w:vMerge w:val="restart"/>
            <w:vAlign w:val="center"/>
          </w:tcPr>
          <w:p>
            <w:pPr>
              <w:pStyle w:val="294"/>
            </w:pPr>
            <w:r>
              <w:t>平台</w:t>
            </w:r>
          </w:p>
        </w:tc>
        <w:tc>
          <w:tcPr>
            <w:tcW w:w="489" w:type="pct"/>
            <w:vMerge w:val="restart"/>
            <w:vAlign w:val="center"/>
          </w:tcPr>
          <w:p>
            <w:pPr>
              <w:pStyle w:val="294"/>
            </w:pPr>
            <w:r>
              <w:t>预测工况</w:t>
            </w:r>
          </w:p>
        </w:tc>
        <w:tc>
          <w:tcPr>
            <w:tcW w:w="1146" w:type="pct"/>
            <w:vMerge w:val="restart"/>
            <w:vAlign w:val="center"/>
          </w:tcPr>
          <w:p>
            <w:pPr>
              <w:pStyle w:val="294"/>
            </w:pPr>
            <w:r>
              <w:t>场界</w:t>
            </w:r>
          </w:p>
        </w:tc>
        <w:tc>
          <w:tcPr>
            <w:tcW w:w="1355" w:type="pct"/>
            <w:gridSpan w:val="2"/>
            <w:vAlign w:val="center"/>
          </w:tcPr>
          <w:p>
            <w:pPr>
              <w:pStyle w:val="294"/>
            </w:pPr>
            <w:r>
              <w:t>贡献值</w:t>
            </w:r>
          </w:p>
        </w:tc>
        <w:tc>
          <w:tcPr>
            <w:tcW w:w="1355" w:type="pct"/>
            <w:gridSpan w:val="2"/>
            <w:vAlign w:val="center"/>
          </w:tcPr>
          <w:p>
            <w:pPr>
              <w:pStyle w:val="294"/>
            </w:pPr>
            <w:r>
              <w:t>超标值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5" w:type="pct"/>
            <w:vMerge w:val="continue"/>
            <w:vAlign w:val="center"/>
          </w:tcPr>
          <w:p>
            <w:pPr>
              <w:pStyle w:val="294"/>
            </w:pPr>
          </w:p>
        </w:tc>
        <w:tc>
          <w:tcPr>
            <w:tcW w:w="489" w:type="pct"/>
            <w:vMerge w:val="continue"/>
            <w:vAlign w:val="center"/>
          </w:tcPr>
          <w:p>
            <w:pPr>
              <w:pStyle w:val="294"/>
            </w:pPr>
          </w:p>
        </w:tc>
        <w:tc>
          <w:tcPr>
            <w:tcW w:w="1146" w:type="pct"/>
            <w:vMerge w:val="continue"/>
            <w:vAlign w:val="center"/>
          </w:tcPr>
          <w:p>
            <w:pPr>
              <w:pStyle w:val="294"/>
            </w:pPr>
          </w:p>
        </w:tc>
        <w:tc>
          <w:tcPr>
            <w:tcW w:w="677" w:type="pct"/>
            <w:vAlign w:val="center"/>
          </w:tcPr>
          <w:p>
            <w:pPr>
              <w:pStyle w:val="294"/>
            </w:pPr>
            <w:r>
              <w:t>昼间</w:t>
            </w:r>
          </w:p>
        </w:tc>
        <w:tc>
          <w:tcPr>
            <w:tcW w:w="678" w:type="pct"/>
            <w:vAlign w:val="center"/>
          </w:tcPr>
          <w:p>
            <w:pPr>
              <w:pStyle w:val="294"/>
            </w:pPr>
            <w:r>
              <w:t>夜间</w:t>
            </w:r>
          </w:p>
        </w:tc>
        <w:tc>
          <w:tcPr>
            <w:tcW w:w="677" w:type="pct"/>
            <w:vAlign w:val="center"/>
          </w:tcPr>
          <w:p>
            <w:pPr>
              <w:pStyle w:val="294"/>
            </w:pPr>
            <w:r>
              <w:t>昼间</w:t>
            </w:r>
          </w:p>
        </w:tc>
        <w:tc>
          <w:tcPr>
            <w:tcW w:w="678" w:type="pct"/>
            <w:vAlign w:val="center"/>
          </w:tcPr>
          <w:p>
            <w:pPr>
              <w:pStyle w:val="294"/>
            </w:pPr>
            <w: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5" w:type="pct"/>
            <w:vMerge w:val="restart"/>
            <w:vAlign w:val="center"/>
          </w:tcPr>
          <w:p>
            <w:pPr>
              <w:pStyle w:val="294"/>
            </w:pPr>
            <w:r>
              <w:t>普光3011-6井</w:t>
            </w:r>
          </w:p>
        </w:tc>
        <w:tc>
          <w:tcPr>
            <w:tcW w:w="489" w:type="pct"/>
            <w:vMerge w:val="restart"/>
            <w:vAlign w:val="center"/>
          </w:tcPr>
          <w:p>
            <w:pPr>
              <w:pStyle w:val="294"/>
            </w:pPr>
            <w:r>
              <w:t>网电供电</w:t>
            </w:r>
          </w:p>
        </w:tc>
        <w:tc>
          <w:tcPr>
            <w:tcW w:w="1146" w:type="pct"/>
          </w:tcPr>
          <w:p>
            <w:pPr>
              <w:pStyle w:val="294"/>
            </w:pPr>
            <w:r>
              <w:rPr>
                <w:rFonts w:hint="eastAsia"/>
              </w:rPr>
              <w:t>西南</w:t>
            </w:r>
            <w:r>
              <w:t>侧厂界</w:t>
            </w:r>
          </w:p>
        </w:tc>
        <w:tc>
          <w:tcPr>
            <w:tcW w:w="677" w:type="pct"/>
            <w:vAlign w:val="center"/>
          </w:tcPr>
          <w:p>
            <w:pPr>
              <w:pStyle w:val="294"/>
            </w:pPr>
            <w:r>
              <w:rPr>
                <w:rFonts w:hint="eastAsia"/>
              </w:rPr>
              <w:t>59.04</w:t>
            </w:r>
          </w:p>
        </w:tc>
        <w:tc>
          <w:tcPr>
            <w:tcW w:w="678" w:type="pct"/>
            <w:vAlign w:val="center"/>
          </w:tcPr>
          <w:p>
            <w:pPr>
              <w:pStyle w:val="294"/>
            </w:pPr>
            <w:r>
              <w:rPr>
                <w:rFonts w:hint="eastAsia"/>
              </w:rPr>
              <w:t>59.04</w:t>
            </w:r>
          </w:p>
        </w:tc>
        <w:tc>
          <w:tcPr>
            <w:tcW w:w="677" w:type="pct"/>
            <w:vAlign w:val="center"/>
          </w:tcPr>
          <w:p>
            <w:pPr>
              <w:pStyle w:val="294"/>
            </w:pPr>
            <w:r>
              <w:t>/</w:t>
            </w:r>
          </w:p>
        </w:tc>
        <w:tc>
          <w:tcPr>
            <w:tcW w:w="678" w:type="pct"/>
            <w:vAlign w:val="center"/>
          </w:tcPr>
          <w:p>
            <w:pPr>
              <w:pStyle w:val="294"/>
            </w:pPr>
            <w:r>
              <w:rPr>
                <w:rFonts w:hint="eastAsia"/>
              </w:rPr>
              <w:t>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5" w:type="pct"/>
            <w:vMerge w:val="continue"/>
            <w:vAlign w:val="center"/>
          </w:tcPr>
          <w:p>
            <w:pPr>
              <w:pStyle w:val="294"/>
            </w:pPr>
          </w:p>
        </w:tc>
        <w:tc>
          <w:tcPr>
            <w:tcW w:w="489" w:type="pct"/>
            <w:vMerge w:val="continue"/>
            <w:vAlign w:val="center"/>
          </w:tcPr>
          <w:p>
            <w:pPr>
              <w:pStyle w:val="294"/>
            </w:pPr>
          </w:p>
        </w:tc>
        <w:tc>
          <w:tcPr>
            <w:tcW w:w="1146" w:type="pct"/>
          </w:tcPr>
          <w:p>
            <w:pPr>
              <w:pStyle w:val="294"/>
            </w:pPr>
            <w:r>
              <w:rPr>
                <w:rFonts w:hint="eastAsia"/>
              </w:rPr>
              <w:t>北</w:t>
            </w:r>
            <w:r>
              <w:t>侧厂界</w:t>
            </w:r>
          </w:p>
        </w:tc>
        <w:tc>
          <w:tcPr>
            <w:tcW w:w="677" w:type="pct"/>
            <w:vAlign w:val="center"/>
          </w:tcPr>
          <w:p>
            <w:pPr>
              <w:pStyle w:val="294"/>
            </w:pPr>
            <w:r>
              <w:rPr>
                <w:rFonts w:hint="eastAsia"/>
              </w:rPr>
              <w:t>62.86</w:t>
            </w:r>
          </w:p>
        </w:tc>
        <w:tc>
          <w:tcPr>
            <w:tcW w:w="678" w:type="pct"/>
            <w:vAlign w:val="center"/>
          </w:tcPr>
          <w:p>
            <w:pPr>
              <w:pStyle w:val="294"/>
            </w:pPr>
            <w:r>
              <w:rPr>
                <w:rFonts w:hint="eastAsia"/>
              </w:rPr>
              <w:t>62.86</w:t>
            </w:r>
          </w:p>
        </w:tc>
        <w:tc>
          <w:tcPr>
            <w:tcW w:w="677" w:type="pct"/>
            <w:vAlign w:val="center"/>
          </w:tcPr>
          <w:p>
            <w:pPr>
              <w:pStyle w:val="294"/>
            </w:pPr>
            <w:r>
              <w:rPr>
                <w:rFonts w:hint="eastAsia"/>
              </w:rPr>
              <w:t>/</w:t>
            </w:r>
          </w:p>
        </w:tc>
        <w:tc>
          <w:tcPr>
            <w:tcW w:w="678" w:type="pct"/>
            <w:vAlign w:val="center"/>
          </w:tcPr>
          <w:p>
            <w:pPr>
              <w:pStyle w:val="294"/>
            </w:pPr>
            <w:r>
              <w:rPr>
                <w:rFonts w:hint="eastAsia"/>
              </w:rPr>
              <w:t>7.86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5" w:type="pct"/>
            <w:vMerge w:val="continue"/>
            <w:vAlign w:val="center"/>
          </w:tcPr>
          <w:p>
            <w:pPr>
              <w:pStyle w:val="294"/>
            </w:pPr>
          </w:p>
        </w:tc>
        <w:tc>
          <w:tcPr>
            <w:tcW w:w="489" w:type="pct"/>
            <w:vMerge w:val="continue"/>
            <w:vAlign w:val="center"/>
          </w:tcPr>
          <w:p>
            <w:pPr>
              <w:pStyle w:val="294"/>
            </w:pPr>
          </w:p>
        </w:tc>
        <w:tc>
          <w:tcPr>
            <w:tcW w:w="1146" w:type="pct"/>
          </w:tcPr>
          <w:p>
            <w:pPr>
              <w:pStyle w:val="294"/>
            </w:pPr>
            <w:r>
              <w:rPr>
                <w:rFonts w:hint="eastAsia"/>
              </w:rPr>
              <w:t>东南</w:t>
            </w:r>
            <w:r>
              <w:t>侧厂界</w:t>
            </w:r>
          </w:p>
        </w:tc>
        <w:tc>
          <w:tcPr>
            <w:tcW w:w="677" w:type="pct"/>
            <w:vAlign w:val="center"/>
          </w:tcPr>
          <w:p>
            <w:pPr>
              <w:pStyle w:val="294"/>
            </w:pPr>
            <w:r>
              <w:rPr>
                <w:rFonts w:hint="eastAsia"/>
              </w:rPr>
              <w:t>57.59</w:t>
            </w:r>
          </w:p>
        </w:tc>
        <w:tc>
          <w:tcPr>
            <w:tcW w:w="678" w:type="pct"/>
            <w:vAlign w:val="center"/>
          </w:tcPr>
          <w:p>
            <w:pPr>
              <w:pStyle w:val="294"/>
            </w:pPr>
            <w:r>
              <w:rPr>
                <w:rFonts w:hint="eastAsia"/>
              </w:rPr>
              <w:t>57.59</w:t>
            </w:r>
          </w:p>
        </w:tc>
        <w:tc>
          <w:tcPr>
            <w:tcW w:w="677" w:type="pct"/>
            <w:vAlign w:val="center"/>
          </w:tcPr>
          <w:p>
            <w:pPr>
              <w:pStyle w:val="294"/>
            </w:pPr>
            <w:r>
              <w:t>/</w:t>
            </w:r>
          </w:p>
        </w:tc>
        <w:tc>
          <w:tcPr>
            <w:tcW w:w="678" w:type="pct"/>
            <w:vAlign w:val="center"/>
          </w:tcPr>
          <w:p>
            <w:pPr>
              <w:pStyle w:val="294"/>
            </w:pPr>
            <w:r>
              <w:rPr>
                <w:rFonts w:hint="eastAsia"/>
              </w:rPr>
              <w:t>2.59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5" w:type="pct"/>
            <w:vMerge w:val="continue"/>
            <w:vAlign w:val="center"/>
          </w:tcPr>
          <w:p>
            <w:pPr>
              <w:pStyle w:val="294"/>
            </w:pPr>
          </w:p>
        </w:tc>
        <w:tc>
          <w:tcPr>
            <w:tcW w:w="489" w:type="pct"/>
            <w:vMerge w:val="restart"/>
            <w:vAlign w:val="center"/>
          </w:tcPr>
          <w:p>
            <w:pPr>
              <w:pStyle w:val="294"/>
            </w:pPr>
            <w:r>
              <w:t>柴油发电机供电</w:t>
            </w:r>
          </w:p>
        </w:tc>
        <w:tc>
          <w:tcPr>
            <w:tcW w:w="1146" w:type="pct"/>
          </w:tcPr>
          <w:p>
            <w:pPr>
              <w:pStyle w:val="294"/>
            </w:pPr>
            <w:r>
              <w:rPr>
                <w:rFonts w:hint="eastAsia"/>
              </w:rPr>
              <w:t>西南</w:t>
            </w:r>
            <w:r>
              <w:t>侧厂界</w:t>
            </w:r>
          </w:p>
        </w:tc>
        <w:tc>
          <w:tcPr>
            <w:tcW w:w="677" w:type="pct"/>
            <w:vAlign w:val="center"/>
          </w:tcPr>
          <w:p>
            <w:pPr>
              <w:pStyle w:val="294"/>
            </w:pPr>
            <w:r>
              <w:rPr>
                <w:rFonts w:hint="eastAsia"/>
              </w:rPr>
              <w:t>68.93</w:t>
            </w:r>
          </w:p>
        </w:tc>
        <w:tc>
          <w:tcPr>
            <w:tcW w:w="678" w:type="pct"/>
            <w:vAlign w:val="center"/>
          </w:tcPr>
          <w:p>
            <w:pPr>
              <w:pStyle w:val="294"/>
            </w:pPr>
            <w:r>
              <w:rPr>
                <w:rFonts w:hint="eastAsia"/>
              </w:rPr>
              <w:t>68.93</w:t>
            </w:r>
          </w:p>
        </w:tc>
        <w:tc>
          <w:tcPr>
            <w:tcW w:w="677" w:type="pct"/>
            <w:vAlign w:val="center"/>
          </w:tcPr>
          <w:p>
            <w:pPr>
              <w:pStyle w:val="294"/>
            </w:pPr>
            <w:r>
              <w:t>/</w:t>
            </w:r>
          </w:p>
        </w:tc>
        <w:tc>
          <w:tcPr>
            <w:tcW w:w="678" w:type="pct"/>
            <w:vAlign w:val="center"/>
          </w:tcPr>
          <w:p>
            <w:pPr>
              <w:pStyle w:val="294"/>
            </w:pPr>
            <w:r>
              <w:rPr>
                <w:rFonts w:hint="eastAsia"/>
              </w:rPr>
              <w:t>13.93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5" w:type="pct"/>
            <w:vMerge w:val="continue"/>
            <w:vAlign w:val="center"/>
          </w:tcPr>
          <w:p>
            <w:pPr>
              <w:pStyle w:val="294"/>
            </w:pPr>
          </w:p>
        </w:tc>
        <w:tc>
          <w:tcPr>
            <w:tcW w:w="489" w:type="pct"/>
            <w:vMerge w:val="continue"/>
            <w:vAlign w:val="center"/>
          </w:tcPr>
          <w:p>
            <w:pPr>
              <w:pStyle w:val="294"/>
            </w:pPr>
          </w:p>
        </w:tc>
        <w:tc>
          <w:tcPr>
            <w:tcW w:w="1146" w:type="pct"/>
            <w:vAlign w:val="center"/>
          </w:tcPr>
          <w:p>
            <w:pPr>
              <w:pStyle w:val="294"/>
            </w:pPr>
            <w:r>
              <w:rPr>
                <w:rFonts w:hint="eastAsia"/>
              </w:rPr>
              <w:t>北</w:t>
            </w:r>
            <w:r>
              <w:t>侧厂界</w:t>
            </w:r>
          </w:p>
        </w:tc>
        <w:tc>
          <w:tcPr>
            <w:tcW w:w="677" w:type="pct"/>
            <w:vAlign w:val="center"/>
          </w:tcPr>
          <w:p>
            <w:pPr>
              <w:pStyle w:val="294"/>
            </w:pPr>
            <w:r>
              <w:rPr>
                <w:rFonts w:hint="eastAsia"/>
              </w:rPr>
              <w:t>69.78</w:t>
            </w:r>
          </w:p>
        </w:tc>
        <w:tc>
          <w:tcPr>
            <w:tcW w:w="678" w:type="pct"/>
            <w:vAlign w:val="center"/>
          </w:tcPr>
          <w:p>
            <w:pPr>
              <w:pStyle w:val="294"/>
            </w:pPr>
            <w:r>
              <w:rPr>
                <w:rFonts w:hint="eastAsia"/>
              </w:rPr>
              <w:t>69.78</w:t>
            </w:r>
          </w:p>
        </w:tc>
        <w:tc>
          <w:tcPr>
            <w:tcW w:w="677" w:type="pct"/>
            <w:vAlign w:val="center"/>
          </w:tcPr>
          <w:p>
            <w:pPr>
              <w:pStyle w:val="294"/>
            </w:pPr>
            <w:r>
              <w:rPr>
                <w:rFonts w:hint="eastAsia"/>
              </w:rPr>
              <w:t>/</w:t>
            </w:r>
          </w:p>
        </w:tc>
        <w:tc>
          <w:tcPr>
            <w:tcW w:w="678" w:type="pct"/>
            <w:vAlign w:val="center"/>
          </w:tcPr>
          <w:p>
            <w:pPr>
              <w:pStyle w:val="294"/>
            </w:pPr>
            <w:r>
              <w:rPr>
                <w:rFonts w:hint="eastAsia"/>
              </w:rPr>
              <w:t>14.78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5" w:type="pct"/>
            <w:vMerge w:val="continue"/>
            <w:vAlign w:val="center"/>
          </w:tcPr>
          <w:p>
            <w:pPr>
              <w:pStyle w:val="294"/>
            </w:pPr>
          </w:p>
        </w:tc>
        <w:tc>
          <w:tcPr>
            <w:tcW w:w="489" w:type="pct"/>
            <w:vMerge w:val="continue"/>
            <w:vAlign w:val="center"/>
          </w:tcPr>
          <w:p>
            <w:pPr>
              <w:pStyle w:val="294"/>
            </w:pPr>
          </w:p>
        </w:tc>
        <w:tc>
          <w:tcPr>
            <w:tcW w:w="1146" w:type="pct"/>
            <w:vAlign w:val="center"/>
          </w:tcPr>
          <w:p>
            <w:pPr>
              <w:pStyle w:val="294"/>
            </w:pPr>
            <w:r>
              <w:rPr>
                <w:rFonts w:hint="eastAsia"/>
              </w:rPr>
              <w:t>东南</w:t>
            </w:r>
            <w:r>
              <w:t>侧厂界</w:t>
            </w:r>
          </w:p>
        </w:tc>
        <w:tc>
          <w:tcPr>
            <w:tcW w:w="677" w:type="pct"/>
            <w:vAlign w:val="center"/>
          </w:tcPr>
          <w:p>
            <w:pPr>
              <w:pStyle w:val="294"/>
            </w:pPr>
            <w:r>
              <w:rPr>
                <w:rFonts w:hint="eastAsia"/>
              </w:rPr>
              <w:t>63.17</w:t>
            </w:r>
          </w:p>
        </w:tc>
        <w:tc>
          <w:tcPr>
            <w:tcW w:w="678" w:type="pct"/>
            <w:vAlign w:val="center"/>
          </w:tcPr>
          <w:p>
            <w:pPr>
              <w:pStyle w:val="294"/>
            </w:pPr>
            <w:r>
              <w:rPr>
                <w:rFonts w:hint="eastAsia"/>
              </w:rPr>
              <w:t>63.17</w:t>
            </w:r>
          </w:p>
        </w:tc>
        <w:tc>
          <w:tcPr>
            <w:tcW w:w="677" w:type="pct"/>
            <w:vAlign w:val="center"/>
          </w:tcPr>
          <w:p>
            <w:pPr>
              <w:pStyle w:val="294"/>
            </w:pPr>
            <w:r>
              <w:t>/</w:t>
            </w:r>
          </w:p>
        </w:tc>
        <w:tc>
          <w:tcPr>
            <w:tcW w:w="678" w:type="pct"/>
            <w:vAlign w:val="center"/>
          </w:tcPr>
          <w:p>
            <w:pPr>
              <w:pStyle w:val="294"/>
              <w:rPr>
                <w:bCs/>
              </w:rPr>
            </w:pPr>
            <w:r>
              <w:rPr>
                <w:rFonts w:hint="eastAsia"/>
              </w:rPr>
              <w:t>8.17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290" w:type="pct"/>
            <w:gridSpan w:val="3"/>
            <w:vAlign w:val="center"/>
          </w:tcPr>
          <w:p>
            <w:pPr>
              <w:pStyle w:val="294"/>
            </w:pPr>
            <w:r>
              <w:rPr>
                <w:rFonts w:hint="eastAsia"/>
              </w:rPr>
              <w:t>标准值</w:t>
            </w:r>
          </w:p>
        </w:tc>
        <w:tc>
          <w:tcPr>
            <w:tcW w:w="677" w:type="pct"/>
          </w:tcPr>
          <w:p>
            <w:pPr>
              <w:pStyle w:val="294"/>
            </w:pPr>
            <w:r>
              <w:rPr>
                <w:rFonts w:hint="eastAsia"/>
              </w:rPr>
              <w:t>70</w:t>
            </w:r>
          </w:p>
        </w:tc>
        <w:tc>
          <w:tcPr>
            <w:tcW w:w="678" w:type="pct"/>
          </w:tcPr>
          <w:p>
            <w:pPr>
              <w:pStyle w:val="294"/>
            </w:pPr>
            <w:r>
              <w:rPr>
                <w:rFonts w:hint="eastAsia"/>
              </w:rPr>
              <w:t>55</w:t>
            </w:r>
          </w:p>
        </w:tc>
        <w:tc>
          <w:tcPr>
            <w:tcW w:w="677" w:type="pct"/>
          </w:tcPr>
          <w:p>
            <w:pPr>
              <w:pStyle w:val="294"/>
            </w:pPr>
            <w:r>
              <w:rPr>
                <w:rFonts w:hint="eastAsia"/>
              </w:rPr>
              <w:t>/</w:t>
            </w:r>
          </w:p>
        </w:tc>
        <w:tc>
          <w:tcPr>
            <w:tcW w:w="678" w:type="pct"/>
            <w:vAlign w:val="center"/>
          </w:tcPr>
          <w:p>
            <w:pPr>
              <w:pStyle w:val="294"/>
            </w:pPr>
            <w:r>
              <w:rPr>
                <w:rFonts w:hint="eastAsia"/>
              </w:rPr>
              <w:t>/</w:t>
            </w:r>
          </w:p>
        </w:tc>
      </w:tr>
    </w:tbl>
    <w:p>
      <w:pPr>
        <w:pStyle w:val="92"/>
        <w:rPr>
          <w:color w:val="000000" w:themeColor="text1"/>
          <w:sz w:val="10"/>
          <w:szCs w:val="10"/>
          <w14:textFill>
            <w14:solidFill>
              <w14:schemeClr w14:val="tx1"/>
            </w14:solidFill>
          </w14:textFill>
        </w:rPr>
      </w:pPr>
    </w:p>
    <w:p>
      <w:pPr>
        <w:ind w:firstLine="480"/>
        <w:jc w:val="center"/>
        <w:rPr>
          <w:rFonts w:cs="Times New Roman"/>
          <w:color w:val="000000" w:themeColor="text1"/>
          <w14:textFill>
            <w14:solidFill>
              <w14:schemeClr w14:val="tx1"/>
            </w14:solidFill>
          </w14:textFill>
        </w:rPr>
      </w:pPr>
    </w:p>
    <w:p>
      <w:pPr>
        <w:ind w:firstLine="0" w:firstLineChars="0"/>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drawing>
          <wp:inline distT="0" distB="0" distL="0" distR="0">
            <wp:extent cx="5276850" cy="2840990"/>
            <wp:effectExtent l="0" t="0" r="0" b="0"/>
            <wp:docPr id="42" name="图片 42" descr="D:\文件接收\WeChat Files\wxid_7d245frt8vag21\FileStorage\Temp\47abc1bd879a7772e57358ce38cab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D:\文件接收\WeChat Files\wxid_7d245frt8vag21\FileStorage\Temp\47abc1bd879a7772e57358ce38cabc7.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6850" cy="2841023"/>
                    </a:xfrm>
                    <a:prstGeom prst="rect">
                      <a:avLst/>
                    </a:prstGeom>
                    <a:noFill/>
                    <a:ln>
                      <a:noFill/>
                    </a:ln>
                  </pic:spPr>
                </pic:pic>
              </a:graphicData>
            </a:graphic>
          </wp:inline>
        </w:drawing>
      </w:r>
    </w:p>
    <w:p>
      <w:pPr>
        <w:ind w:firstLine="0" w:firstLineChars="0"/>
        <w:jc w:val="cente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图</w:t>
      </w:r>
      <w:r>
        <w:rPr>
          <w:rFonts w:cs="Times New Roman"/>
          <w:color w:val="000000" w:themeColor="text1"/>
          <w14:textFill>
            <w14:solidFill>
              <w14:schemeClr w14:val="tx1"/>
            </w14:solidFill>
          </w14:textFill>
        </w:rPr>
        <w:t xml:space="preserve"> </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STYLEREF 2 \s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5.1</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SEQ 图 \* ARABIC \s 2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 xml:space="preserve"> </w:t>
      </w:r>
      <w:r>
        <w:rPr>
          <w:rFonts w:hint="eastAsia" w:cs="Times New Roman"/>
          <w:color w:val="000000" w:themeColor="text1"/>
          <w14:textFill>
            <w14:solidFill>
              <w14:schemeClr w14:val="tx1"/>
            </w14:solidFill>
          </w14:textFill>
        </w:rPr>
        <w:t>钻井期电网供电工况噪声贡献值等声级线图</w:t>
      </w:r>
    </w:p>
    <w:p>
      <w:pPr>
        <w:ind w:firstLine="0" w:firstLineChars="0"/>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drawing>
          <wp:inline distT="0" distB="0" distL="0" distR="0">
            <wp:extent cx="5276850" cy="2898775"/>
            <wp:effectExtent l="0" t="0" r="0" b="0"/>
            <wp:docPr id="45" name="图片 45" descr="D:\文件接收\WeChat Files\wxid_7d245frt8vag21\FileStorage\Temp\8004006e89f2b02c3d0afd8474c01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文件接收\WeChat Files\wxid_7d245frt8vag21\FileStorage\Temp\8004006e89f2b02c3d0afd8474c011a.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276850" cy="2898828"/>
                    </a:xfrm>
                    <a:prstGeom prst="rect">
                      <a:avLst/>
                    </a:prstGeom>
                    <a:noFill/>
                    <a:ln>
                      <a:noFill/>
                    </a:ln>
                  </pic:spPr>
                </pic:pic>
              </a:graphicData>
            </a:graphic>
          </wp:inline>
        </w:drawing>
      </w:r>
    </w:p>
    <w:p>
      <w:pPr>
        <w:ind w:firstLine="0" w:firstLineChars="0"/>
        <w:jc w:val="cente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图</w:t>
      </w:r>
      <w:r>
        <w:rPr>
          <w:rFonts w:cs="Times New Roman"/>
          <w:color w:val="000000" w:themeColor="text1"/>
          <w14:textFill>
            <w14:solidFill>
              <w14:schemeClr w14:val="tx1"/>
            </w14:solidFill>
          </w14:textFill>
        </w:rPr>
        <w:t xml:space="preserve"> </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STYLEREF 2 \s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5.1</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 xml:space="preserve">2 </w:t>
      </w:r>
      <w:r>
        <w:rPr>
          <w:rFonts w:hint="eastAsia" w:cs="Times New Roman"/>
          <w:color w:val="000000" w:themeColor="text1"/>
          <w14:textFill>
            <w14:solidFill>
              <w14:schemeClr w14:val="tx1"/>
            </w14:solidFill>
          </w14:textFill>
        </w:rPr>
        <w:t>钻井期柴油机</w:t>
      </w:r>
      <w:r>
        <w:rPr>
          <w:rFonts w:cs="Times New Roman"/>
          <w:color w:val="000000" w:themeColor="text1"/>
          <w14:textFill>
            <w14:solidFill>
              <w14:schemeClr w14:val="tx1"/>
            </w14:solidFill>
          </w14:textFill>
        </w:rPr>
        <w:t>工况</w:t>
      </w:r>
      <w:r>
        <w:rPr>
          <w:rFonts w:hint="eastAsia" w:cs="Times New Roman"/>
          <w:color w:val="000000" w:themeColor="text1"/>
          <w14:textFill>
            <w14:solidFill>
              <w14:schemeClr w14:val="tx1"/>
            </w14:solidFill>
          </w14:textFill>
        </w:rPr>
        <w:t>噪声贡献值等声级线图</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由上图表可知，在电网供电时，井场各</w:t>
      </w:r>
      <w:r>
        <w:rPr>
          <w:rFonts w:hint="eastAsia" w:cs="Times New Roman"/>
          <w:color w:val="000000" w:themeColor="text1"/>
          <w14:textFill>
            <w14:solidFill>
              <w14:schemeClr w14:val="tx1"/>
            </w14:solidFill>
          </w14:textFill>
        </w:rPr>
        <w:t>预测</w:t>
      </w:r>
      <w:r>
        <w:rPr>
          <w:rFonts w:cs="Times New Roman"/>
          <w:color w:val="000000" w:themeColor="text1"/>
          <w14:textFill>
            <w14:solidFill>
              <w14:schemeClr w14:val="tx1"/>
            </w14:solidFill>
          </w14:textFill>
        </w:rPr>
        <w:t>场界昼间噪声均满足《建筑施工场界环境噪声排放标准》（GB12523-2011）；夜间</w:t>
      </w:r>
      <w:r>
        <w:rPr>
          <w:rFonts w:hint="eastAsia" w:cs="Times New Roman"/>
          <w:color w:val="000000" w:themeColor="text1"/>
          <w14:textFill>
            <w14:solidFill>
              <w14:schemeClr w14:val="tx1"/>
            </w14:solidFill>
          </w14:textFill>
        </w:rPr>
        <w:t>各预测</w:t>
      </w:r>
      <w:r>
        <w:rPr>
          <w:rFonts w:cs="Times New Roman"/>
          <w:color w:val="000000" w:themeColor="text1"/>
          <w14:textFill>
            <w14:solidFill>
              <w14:schemeClr w14:val="tx1"/>
            </w14:solidFill>
          </w14:textFill>
        </w:rPr>
        <w:t>场界噪声均超标，超标范围</w:t>
      </w:r>
      <w:r>
        <w:rPr>
          <w:rFonts w:hint="eastAsia" w:cs="Times New Roman"/>
          <w:color w:val="000000" w:themeColor="text1"/>
          <w14:textFill>
            <w14:solidFill>
              <w14:schemeClr w14:val="tx1"/>
            </w14:solidFill>
          </w14:textFill>
        </w:rPr>
        <w:t>2.04</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7.86</w:t>
      </w:r>
      <w:r>
        <w:rPr>
          <w:rFonts w:cs="Times New Roman"/>
          <w:color w:val="000000" w:themeColor="text1"/>
          <w14:textFill>
            <w14:solidFill>
              <w14:schemeClr w14:val="tx1"/>
            </w14:solidFill>
          </w14:textFill>
        </w:rPr>
        <w:t>dB（A）；采用柴油发电机供电钻井施工期间，井场各</w:t>
      </w:r>
      <w:r>
        <w:rPr>
          <w:rFonts w:hint="eastAsia" w:cs="Times New Roman"/>
          <w:color w:val="000000" w:themeColor="text1"/>
          <w14:textFill>
            <w14:solidFill>
              <w14:schemeClr w14:val="tx1"/>
            </w14:solidFill>
          </w14:textFill>
        </w:rPr>
        <w:t>预测</w:t>
      </w:r>
      <w:r>
        <w:rPr>
          <w:rFonts w:cs="Times New Roman"/>
          <w:color w:val="000000" w:themeColor="text1"/>
          <w14:textFill>
            <w14:solidFill>
              <w14:schemeClr w14:val="tx1"/>
            </w14:solidFill>
          </w14:textFill>
        </w:rPr>
        <w:t>场界昼间噪声均满足《建筑施工场界环境噪声排放标准》（GB12523-2011）；夜间</w:t>
      </w:r>
      <w:r>
        <w:rPr>
          <w:rFonts w:hint="eastAsia" w:cs="Times New Roman"/>
          <w:color w:val="000000" w:themeColor="text1"/>
          <w14:textFill>
            <w14:solidFill>
              <w14:schemeClr w14:val="tx1"/>
            </w14:solidFill>
          </w14:textFill>
        </w:rPr>
        <w:t>各预测</w:t>
      </w:r>
      <w:r>
        <w:rPr>
          <w:rFonts w:cs="Times New Roman"/>
          <w:color w:val="000000" w:themeColor="text1"/>
          <w14:textFill>
            <w14:solidFill>
              <w14:schemeClr w14:val="tx1"/>
            </w14:solidFill>
          </w14:textFill>
        </w:rPr>
        <w:t>场界噪声均超标，超标范围</w:t>
      </w:r>
      <w:r>
        <w:rPr>
          <w:rFonts w:hint="eastAsia" w:cs="Times New Roman"/>
          <w:color w:val="000000" w:themeColor="text1"/>
          <w14:textFill>
            <w14:solidFill>
              <w14:schemeClr w14:val="tx1"/>
            </w14:solidFill>
          </w14:textFill>
        </w:rPr>
        <w:t>8.17</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14.78</w:t>
      </w:r>
      <w:r>
        <w:rPr>
          <w:rFonts w:cs="Times New Roman"/>
          <w:color w:val="000000" w:themeColor="text1"/>
          <w14:textFill>
            <w14:solidFill>
              <w14:schemeClr w14:val="tx1"/>
            </w14:solidFill>
          </w14:textFill>
        </w:rPr>
        <w:t>dB（A）。</w:t>
      </w:r>
    </w:p>
    <w:p>
      <w:pPr>
        <w:pStyle w:val="27"/>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由以上分析可知，网电供电时场界噪声明显小于柴油发电机供电，拟建项目钻探期间采用网电供电，钻井期噪声仅限于钻机施工，随钻井结束而结束，对周边声环境影响可以接受</w:t>
      </w:r>
      <w:r>
        <w:rPr>
          <w:rFonts w:ascii="Times New Roman" w:hAnsi="Times New Roman"/>
          <w:color w:val="000000" w:themeColor="text1"/>
          <w:szCs w:val="24"/>
          <w14:textFill>
            <w14:solidFill>
              <w14:schemeClr w14:val="tx1"/>
            </w14:solidFill>
          </w14:textFill>
        </w:rPr>
        <w:t>。</w:t>
      </w:r>
    </w:p>
    <w:p>
      <w:pPr>
        <w:pStyle w:val="27"/>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项目仅在停电时采用柴油发电机供电，正常施工时噪声影响较小。同时如果施工时有附近居民投诉噪声超标，将根据施工时投诉居民的实测噪声值情况，对居民采取临时避让措施（临时避让范围根据施工过程中噪声监测超标情况确定），同时通过宣传讲解、争取谅解的方式，将噪声对周边环境的影响降至最低。钻井噪声影响是暂时性的，钻井结束后影响即消失</w:t>
      </w:r>
      <w:r>
        <w:rPr>
          <w:rFonts w:ascii="Times New Roman" w:hAnsi="Times New Roman"/>
          <w:color w:val="000000" w:themeColor="text1"/>
          <w:szCs w:val="24"/>
          <w14:textFill>
            <w14:solidFill>
              <w14:schemeClr w14:val="tx1"/>
            </w14:solidFill>
          </w14:textFill>
        </w:rPr>
        <w:t>。</w:t>
      </w:r>
    </w:p>
    <w:p>
      <w:pPr>
        <w:pStyle w:val="27"/>
        <w:ind w:firstLine="482"/>
        <w:rPr>
          <w:rFonts w:ascii="Times New Roman" w:hAnsi="Times New Roman"/>
          <w:b/>
          <w:bCs/>
          <w:color w:val="000000" w:themeColor="text1"/>
          <w:szCs w:val="24"/>
          <w14:textFill>
            <w14:solidFill>
              <w14:schemeClr w14:val="tx1"/>
            </w14:solidFill>
          </w14:textFill>
        </w:rPr>
      </w:pPr>
      <w:r>
        <w:rPr>
          <w:rFonts w:ascii="Times New Roman" w:hAnsi="Times New Roman"/>
          <w:b/>
          <w:bCs/>
          <w:color w:val="000000" w:themeColor="text1"/>
          <w:szCs w:val="24"/>
          <w14:textFill>
            <w14:solidFill>
              <w14:schemeClr w14:val="tx1"/>
            </w14:solidFill>
          </w14:textFill>
        </w:rPr>
        <w:t>（3）压裂噪声环境影响预测及分析</w:t>
      </w:r>
    </w:p>
    <w:p>
      <w:pPr>
        <w:pStyle w:val="27"/>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szCs w:val="24"/>
          <w14:textFill>
            <w14:solidFill>
              <w14:schemeClr w14:val="tx1"/>
            </w14:solidFill>
          </w14:textFill>
        </w:rPr>
        <w:t>本项目压裂作业时间短，仅在白天施工。压裂过程中噪声源主要来自于压裂泵车，单台噪声源强情况90~100dB（A），由于压裂机组设备分布较为集中，距离敏感点较远。根据《环境影响评价技术导则 声环境》（HJ2.4-2021）：实际的室外声源组，可以用处于该组中部的等效点声源来描述，本项目最多同时3台压裂设备同时作业。</w:t>
      </w:r>
    </w:p>
    <w:p>
      <w:pPr>
        <w:pStyle w:val="95"/>
      </w:pPr>
      <w:r>
        <w:t>表</w:t>
      </w:r>
      <w:r>
        <w:fldChar w:fldCharType="begin"/>
      </w:r>
      <w:r>
        <w:instrText xml:space="preserve"> STYLEREF 2 \s </w:instrText>
      </w:r>
      <w:r>
        <w:fldChar w:fldCharType="separate"/>
      </w:r>
      <w:r>
        <w:t>5.1</w:t>
      </w:r>
      <w:r>
        <w:fldChar w:fldCharType="end"/>
      </w:r>
      <w:r>
        <w:noBreakHyphen/>
      </w:r>
      <w:r>
        <w:t>4 本项目压裂作业噪声影响  单位：dB（A）</w:t>
      </w:r>
    </w:p>
    <w:tbl>
      <w:tblPr>
        <w:tblStyle w:val="52"/>
        <w:tblW w:w="8222" w:type="dxa"/>
        <w:jc w:val="center"/>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Layout w:type="fixed"/>
        <w:tblCellMar>
          <w:top w:w="0" w:type="dxa"/>
          <w:left w:w="108" w:type="dxa"/>
          <w:bottom w:w="0" w:type="dxa"/>
          <w:right w:w="108" w:type="dxa"/>
        </w:tblCellMar>
      </w:tblPr>
      <w:tblGrid>
        <w:gridCol w:w="1761"/>
        <w:gridCol w:w="1289"/>
        <w:gridCol w:w="2586"/>
        <w:gridCol w:w="2586"/>
      </w:tblGrid>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3050" w:type="dxa"/>
            <w:gridSpan w:val="2"/>
            <w:tcBorders>
              <w:top w:val="single" w:color="auto" w:sz="8" w:space="0"/>
              <w:left w:val="single" w:color="auto" w:sz="8" w:space="0"/>
              <w:bottom w:val="single" w:color="auto" w:sz="4" w:space="0"/>
              <w:right w:val="single" w:color="auto" w:sz="4" w:space="0"/>
              <w:tl2br w:val="single" w:color="auto" w:sz="4" w:space="0"/>
            </w:tcBorders>
            <w:vAlign w:val="center"/>
          </w:tcPr>
          <w:p>
            <w:pPr>
              <w:pStyle w:val="294"/>
            </w:pPr>
            <w:r>
              <w:t>项目</w:t>
            </w:r>
          </w:p>
          <w:p>
            <w:pPr>
              <w:pStyle w:val="294"/>
            </w:pPr>
            <w:r>
              <w:t>点位</w:t>
            </w:r>
          </w:p>
        </w:tc>
        <w:tc>
          <w:tcPr>
            <w:tcW w:w="2586" w:type="dxa"/>
            <w:tcBorders>
              <w:top w:val="single" w:color="auto" w:sz="8" w:space="0"/>
              <w:left w:val="single" w:color="auto" w:sz="4" w:space="0"/>
              <w:bottom w:val="single" w:color="auto" w:sz="4" w:space="0"/>
              <w:right w:val="single" w:color="auto" w:sz="4" w:space="0"/>
            </w:tcBorders>
            <w:vAlign w:val="center"/>
          </w:tcPr>
          <w:p>
            <w:pPr>
              <w:pStyle w:val="294"/>
            </w:pPr>
            <w:r>
              <w:t>贡献值</w:t>
            </w:r>
          </w:p>
        </w:tc>
        <w:tc>
          <w:tcPr>
            <w:tcW w:w="2586" w:type="dxa"/>
            <w:tcBorders>
              <w:top w:val="single" w:color="auto" w:sz="8" w:space="0"/>
              <w:left w:val="single" w:color="auto" w:sz="4" w:space="0"/>
              <w:bottom w:val="single" w:color="auto" w:sz="4" w:space="0"/>
              <w:right w:val="single" w:color="auto" w:sz="8" w:space="0"/>
            </w:tcBorders>
            <w:vAlign w:val="center"/>
          </w:tcPr>
          <w:p>
            <w:pPr>
              <w:pStyle w:val="294"/>
            </w:pPr>
            <w:r>
              <w:t>达标情况</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restart"/>
            <w:tcBorders>
              <w:top w:val="single" w:color="auto" w:sz="4" w:space="0"/>
              <w:left w:val="single" w:color="auto" w:sz="8" w:space="0"/>
              <w:bottom w:val="single" w:color="auto" w:sz="4" w:space="0"/>
              <w:right w:val="single" w:color="auto" w:sz="4" w:space="0"/>
            </w:tcBorders>
            <w:vAlign w:val="center"/>
          </w:tcPr>
          <w:p>
            <w:pPr>
              <w:pStyle w:val="294"/>
            </w:pPr>
            <w:r>
              <w:t>东侧厂界</w:t>
            </w:r>
          </w:p>
        </w:tc>
        <w:tc>
          <w:tcPr>
            <w:tcW w:w="1289" w:type="dxa"/>
            <w:tcBorders>
              <w:top w:val="single" w:color="auto" w:sz="4" w:space="0"/>
              <w:left w:val="single" w:color="auto" w:sz="4" w:space="0"/>
              <w:bottom w:val="single" w:color="auto" w:sz="4" w:space="0"/>
              <w:right w:val="single" w:color="auto" w:sz="4" w:space="0"/>
            </w:tcBorders>
            <w:vAlign w:val="center"/>
          </w:tcPr>
          <w:p>
            <w:pPr>
              <w:pStyle w:val="294"/>
            </w:pPr>
            <w:r>
              <w:t>昼间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4"/>
            </w:pPr>
            <w:r>
              <w:t>67.9</w:t>
            </w:r>
          </w:p>
        </w:tc>
        <w:tc>
          <w:tcPr>
            <w:tcW w:w="2586" w:type="dxa"/>
            <w:tcBorders>
              <w:top w:val="single" w:color="auto" w:sz="4" w:space="0"/>
              <w:left w:val="single" w:color="auto" w:sz="4" w:space="0"/>
              <w:bottom w:val="single" w:color="auto" w:sz="4" w:space="0"/>
              <w:right w:val="single" w:color="auto" w:sz="8" w:space="0"/>
            </w:tcBorders>
            <w:vAlign w:val="center"/>
          </w:tcPr>
          <w:p>
            <w:pPr>
              <w:pStyle w:val="294"/>
            </w:pPr>
            <w:r>
              <w:t>达标</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continue"/>
            <w:tcBorders>
              <w:top w:val="single" w:color="auto" w:sz="4" w:space="0"/>
              <w:left w:val="single" w:color="auto" w:sz="8" w:space="0"/>
              <w:bottom w:val="single" w:color="auto" w:sz="4" w:space="0"/>
              <w:right w:val="single" w:color="auto" w:sz="4" w:space="0"/>
            </w:tcBorders>
            <w:vAlign w:val="center"/>
          </w:tcPr>
          <w:p>
            <w:pPr>
              <w:pStyle w:val="294"/>
            </w:pPr>
          </w:p>
        </w:tc>
        <w:tc>
          <w:tcPr>
            <w:tcW w:w="1289" w:type="dxa"/>
            <w:tcBorders>
              <w:top w:val="single" w:color="auto" w:sz="4" w:space="0"/>
              <w:left w:val="single" w:color="auto" w:sz="4" w:space="0"/>
              <w:bottom w:val="single" w:color="auto" w:sz="4" w:space="0"/>
              <w:right w:val="single" w:color="auto" w:sz="4" w:space="0"/>
            </w:tcBorders>
            <w:vAlign w:val="center"/>
          </w:tcPr>
          <w:p>
            <w:pPr>
              <w:pStyle w:val="294"/>
            </w:pPr>
            <w:r>
              <w:t>夜间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4"/>
            </w:pPr>
            <w:r>
              <w:t>/</w:t>
            </w:r>
          </w:p>
        </w:tc>
        <w:tc>
          <w:tcPr>
            <w:tcW w:w="2586" w:type="dxa"/>
            <w:tcBorders>
              <w:top w:val="single" w:color="auto" w:sz="4" w:space="0"/>
              <w:left w:val="single" w:color="auto" w:sz="4" w:space="0"/>
              <w:bottom w:val="single" w:color="auto" w:sz="4" w:space="0"/>
              <w:right w:val="single" w:color="auto" w:sz="8" w:space="0"/>
            </w:tcBorders>
            <w:vAlign w:val="center"/>
          </w:tcPr>
          <w:p>
            <w:pPr>
              <w:pStyle w:val="294"/>
            </w:pPr>
            <w:r>
              <w:t>/</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restart"/>
            <w:tcBorders>
              <w:top w:val="single" w:color="auto" w:sz="4" w:space="0"/>
              <w:left w:val="single" w:color="auto" w:sz="8" w:space="0"/>
              <w:bottom w:val="single" w:color="auto" w:sz="4" w:space="0"/>
              <w:right w:val="single" w:color="auto" w:sz="4" w:space="0"/>
            </w:tcBorders>
            <w:vAlign w:val="center"/>
          </w:tcPr>
          <w:p>
            <w:pPr>
              <w:pStyle w:val="294"/>
            </w:pPr>
            <w:r>
              <w:t>南侧厂界</w:t>
            </w:r>
          </w:p>
        </w:tc>
        <w:tc>
          <w:tcPr>
            <w:tcW w:w="1289" w:type="dxa"/>
            <w:tcBorders>
              <w:top w:val="single" w:color="auto" w:sz="4" w:space="0"/>
              <w:left w:val="single" w:color="auto" w:sz="4" w:space="0"/>
              <w:bottom w:val="single" w:color="auto" w:sz="4" w:space="0"/>
              <w:right w:val="single" w:color="auto" w:sz="4" w:space="0"/>
            </w:tcBorders>
            <w:vAlign w:val="center"/>
          </w:tcPr>
          <w:p>
            <w:pPr>
              <w:pStyle w:val="294"/>
            </w:pPr>
            <w:r>
              <w:t>昼间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4"/>
            </w:pPr>
            <w:r>
              <w:t>72.1</w:t>
            </w:r>
          </w:p>
        </w:tc>
        <w:tc>
          <w:tcPr>
            <w:tcW w:w="2586" w:type="dxa"/>
            <w:tcBorders>
              <w:top w:val="single" w:color="auto" w:sz="4" w:space="0"/>
              <w:left w:val="single" w:color="auto" w:sz="4" w:space="0"/>
              <w:bottom w:val="single" w:color="auto" w:sz="4" w:space="0"/>
              <w:right w:val="single" w:color="auto" w:sz="8" w:space="0"/>
            </w:tcBorders>
            <w:vAlign w:val="center"/>
          </w:tcPr>
          <w:p>
            <w:pPr>
              <w:pStyle w:val="294"/>
            </w:pPr>
            <w:r>
              <w:t>超标</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continue"/>
            <w:tcBorders>
              <w:top w:val="single" w:color="auto" w:sz="4" w:space="0"/>
              <w:left w:val="single" w:color="auto" w:sz="8" w:space="0"/>
              <w:bottom w:val="single" w:color="auto" w:sz="4" w:space="0"/>
              <w:right w:val="single" w:color="auto" w:sz="4" w:space="0"/>
            </w:tcBorders>
            <w:vAlign w:val="center"/>
          </w:tcPr>
          <w:p>
            <w:pPr>
              <w:pStyle w:val="294"/>
            </w:pPr>
          </w:p>
        </w:tc>
        <w:tc>
          <w:tcPr>
            <w:tcW w:w="1289" w:type="dxa"/>
            <w:tcBorders>
              <w:top w:val="single" w:color="auto" w:sz="4" w:space="0"/>
              <w:left w:val="single" w:color="auto" w:sz="4" w:space="0"/>
              <w:bottom w:val="single" w:color="auto" w:sz="4" w:space="0"/>
              <w:right w:val="single" w:color="auto" w:sz="4" w:space="0"/>
            </w:tcBorders>
            <w:vAlign w:val="center"/>
          </w:tcPr>
          <w:p>
            <w:pPr>
              <w:pStyle w:val="294"/>
            </w:pPr>
            <w:r>
              <w:t>夜间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4"/>
            </w:pPr>
            <w:r>
              <w:t>/</w:t>
            </w:r>
          </w:p>
        </w:tc>
        <w:tc>
          <w:tcPr>
            <w:tcW w:w="2586" w:type="dxa"/>
            <w:tcBorders>
              <w:top w:val="single" w:color="auto" w:sz="4" w:space="0"/>
              <w:left w:val="single" w:color="auto" w:sz="4" w:space="0"/>
              <w:bottom w:val="single" w:color="auto" w:sz="4" w:space="0"/>
              <w:right w:val="single" w:color="auto" w:sz="8" w:space="0"/>
            </w:tcBorders>
            <w:vAlign w:val="center"/>
          </w:tcPr>
          <w:p>
            <w:pPr>
              <w:pStyle w:val="294"/>
            </w:pPr>
            <w:r>
              <w:t>/</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restart"/>
            <w:tcBorders>
              <w:top w:val="single" w:color="auto" w:sz="4" w:space="0"/>
              <w:left w:val="single" w:color="auto" w:sz="8" w:space="0"/>
              <w:right w:val="single" w:color="auto" w:sz="4" w:space="0"/>
            </w:tcBorders>
            <w:vAlign w:val="center"/>
          </w:tcPr>
          <w:p>
            <w:pPr>
              <w:pStyle w:val="294"/>
            </w:pPr>
            <w:r>
              <w:t>西侧厂界</w:t>
            </w:r>
          </w:p>
        </w:tc>
        <w:tc>
          <w:tcPr>
            <w:tcW w:w="1289" w:type="dxa"/>
            <w:tcBorders>
              <w:top w:val="single" w:color="auto" w:sz="4" w:space="0"/>
              <w:left w:val="single" w:color="auto" w:sz="4" w:space="0"/>
              <w:bottom w:val="single" w:color="auto" w:sz="4" w:space="0"/>
              <w:right w:val="single" w:color="auto" w:sz="4" w:space="0"/>
            </w:tcBorders>
            <w:vAlign w:val="center"/>
          </w:tcPr>
          <w:p>
            <w:pPr>
              <w:pStyle w:val="294"/>
            </w:pPr>
            <w:r>
              <w:t>昼间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4"/>
            </w:pPr>
            <w:r>
              <w:t>62.5</w:t>
            </w:r>
          </w:p>
        </w:tc>
        <w:tc>
          <w:tcPr>
            <w:tcW w:w="2586" w:type="dxa"/>
            <w:tcBorders>
              <w:top w:val="single" w:color="auto" w:sz="4" w:space="0"/>
              <w:left w:val="single" w:color="auto" w:sz="4" w:space="0"/>
              <w:bottom w:val="single" w:color="auto" w:sz="4" w:space="0"/>
              <w:right w:val="single" w:color="auto" w:sz="8" w:space="0"/>
            </w:tcBorders>
            <w:vAlign w:val="center"/>
          </w:tcPr>
          <w:p>
            <w:pPr>
              <w:pStyle w:val="294"/>
            </w:pPr>
            <w:r>
              <w:t>达标</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continue"/>
            <w:tcBorders>
              <w:left w:val="single" w:color="auto" w:sz="8" w:space="0"/>
              <w:bottom w:val="single" w:color="auto" w:sz="4" w:space="0"/>
              <w:right w:val="single" w:color="auto" w:sz="4" w:space="0"/>
            </w:tcBorders>
            <w:vAlign w:val="center"/>
          </w:tcPr>
          <w:p>
            <w:pPr>
              <w:pStyle w:val="294"/>
            </w:pPr>
          </w:p>
        </w:tc>
        <w:tc>
          <w:tcPr>
            <w:tcW w:w="1289" w:type="dxa"/>
            <w:tcBorders>
              <w:top w:val="single" w:color="auto" w:sz="4" w:space="0"/>
              <w:left w:val="single" w:color="auto" w:sz="4" w:space="0"/>
              <w:bottom w:val="single" w:color="auto" w:sz="4" w:space="0"/>
              <w:right w:val="single" w:color="auto" w:sz="4" w:space="0"/>
            </w:tcBorders>
            <w:vAlign w:val="center"/>
          </w:tcPr>
          <w:p>
            <w:pPr>
              <w:pStyle w:val="294"/>
            </w:pPr>
            <w:r>
              <w:t>夜间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4"/>
            </w:pPr>
            <w:r>
              <w:t>/</w:t>
            </w:r>
          </w:p>
        </w:tc>
        <w:tc>
          <w:tcPr>
            <w:tcW w:w="2586" w:type="dxa"/>
            <w:tcBorders>
              <w:top w:val="single" w:color="auto" w:sz="4" w:space="0"/>
              <w:left w:val="single" w:color="auto" w:sz="4" w:space="0"/>
              <w:bottom w:val="single" w:color="auto" w:sz="4" w:space="0"/>
              <w:right w:val="single" w:color="auto" w:sz="8" w:space="0"/>
            </w:tcBorders>
            <w:vAlign w:val="center"/>
          </w:tcPr>
          <w:p>
            <w:pPr>
              <w:pStyle w:val="294"/>
            </w:pPr>
            <w:r>
              <w:t>/</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restart"/>
            <w:tcBorders>
              <w:top w:val="single" w:color="auto" w:sz="4" w:space="0"/>
              <w:left w:val="single" w:color="auto" w:sz="8" w:space="0"/>
              <w:right w:val="single" w:color="auto" w:sz="4" w:space="0"/>
            </w:tcBorders>
            <w:vAlign w:val="center"/>
          </w:tcPr>
          <w:p>
            <w:pPr>
              <w:pStyle w:val="294"/>
            </w:pPr>
            <w:r>
              <w:t>北侧厂界</w:t>
            </w:r>
          </w:p>
        </w:tc>
        <w:tc>
          <w:tcPr>
            <w:tcW w:w="1289" w:type="dxa"/>
            <w:tcBorders>
              <w:top w:val="single" w:color="auto" w:sz="4" w:space="0"/>
              <w:left w:val="single" w:color="auto" w:sz="4" w:space="0"/>
              <w:bottom w:val="single" w:color="auto" w:sz="4" w:space="0"/>
              <w:right w:val="single" w:color="auto" w:sz="4" w:space="0"/>
            </w:tcBorders>
            <w:vAlign w:val="center"/>
          </w:tcPr>
          <w:p>
            <w:pPr>
              <w:pStyle w:val="294"/>
            </w:pPr>
            <w:r>
              <w:t>昼间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4"/>
            </w:pPr>
            <w:r>
              <w:t>72.1</w:t>
            </w:r>
          </w:p>
        </w:tc>
        <w:tc>
          <w:tcPr>
            <w:tcW w:w="2586" w:type="dxa"/>
            <w:tcBorders>
              <w:top w:val="single" w:color="auto" w:sz="4" w:space="0"/>
              <w:left w:val="single" w:color="auto" w:sz="4" w:space="0"/>
              <w:bottom w:val="single" w:color="auto" w:sz="4" w:space="0"/>
              <w:right w:val="single" w:color="auto" w:sz="8" w:space="0"/>
            </w:tcBorders>
            <w:vAlign w:val="center"/>
          </w:tcPr>
          <w:p>
            <w:pPr>
              <w:pStyle w:val="294"/>
            </w:pPr>
            <w:r>
              <w:t>超标</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continue"/>
            <w:tcBorders>
              <w:left w:val="single" w:color="auto" w:sz="8" w:space="0"/>
              <w:bottom w:val="single" w:color="auto" w:sz="4" w:space="0"/>
              <w:right w:val="single" w:color="auto" w:sz="4" w:space="0"/>
            </w:tcBorders>
            <w:vAlign w:val="center"/>
          </w:tcPr>
          <w:p>
            <w:pPr>
              <w:pStyle w:val="294"/>
            </w:pPr>
          </w:p>
        </w:tc>
        <w:tc>
          <w:tcPr>
            <w:tcW w:w="1289" w:type="dxa"/>
            <w:tcBorders>
              <w:top w:val="single" w:color="auto" w:sz="4" w:space="0"/>
              <w:left w:val="single" w:color="auto" w:sz="4" w:space="0"/>
              <w:bottom w:val="single" w:color="auto" w:sz="4" w:space="0"/>
              <w:right w:val="single" w:color="auto" w:sz="4" w:space="0"/>
            </w:tcBorders>
            <w:vAlign w:val="center"/>
          </w:tcPr>
          <w:p>
            <w:pPr>
              <w:pStyle w:val="294"/>
            </w:pPr>
            <w:r>
              <w:t>夜间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4"/>
            </w:pPr>
            <w:r>
              <w:t>/</w:t>
            </w:r>
          </w:p>
        </w:tc>
        <w:tc>
          <w:tcPr>
            <w:tcW w:w="2586" w:type="dxa"/>
            <w:tcBorders>
              <w:top w:val="single" w:color="auto" w:sz="4" w:space="0"/>
              <w:left w:val="single" w:color="auto" w:sz="4" w:space="0"/>
              <w:bottom w:val="single" w:color="auto" w:sz="4" w:space="0"/>
              <w:right w:val="single" w:color="auto" w:sz="8" w:space="0"/>
            </w:tcBorders>
            <w:vAlign w:val="center"/>
          </w:tcPr>
          <w:p>
            <w:pPr>
              <w:pStyle w:val="294"/>
            </w:pPr>
            <w:r>
              <w:t>/</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8222" w:type="dxa"/>
            <w:gridSpan w:val="4"/>
            <w:tcBorders>
              <w:top w:val="single" w:color="auto" w:sz="4" w:space="0"/>
              <w:left w:val="single" w:color="auto" w:sz="8" w:space="0"/>
              <w:bottom w:val="single" w:color="auto" w:sz="4" w:space="0"/>
              <w:right w:val="single" w:color="auto" w:sz="8" w:space="0"/>
            </w:tcBorders>
            <w:vAlign w:val="center"/>
          </w:tcPr>
          <w:p>
            <w:pPr>
              <w:pStyle w:val="294"/>
            </w:pPr>
            <w:r>
              <w:t>标准70dB（A）（昼间）、55dB（A）（夜间）</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3050" w:type="dxa"/>
            <w:gridSpan w:val="2"/>
            <w:tcBorders>
              <w:top w:val="single" w:color="auto" w:sz="4" w:space="0"/>
              <w:left w:val="single" w:color="auto" w:sz="8" w:space="0"/>
              <w:bottom w:val="single" w:color="auto" w:sz="4" w:space="0"/>
              <w:right w:val="single" w:color="auto" w:sz="4" w:space="0"/>
            </w:tcBorders>
            <w:vAlign w:val="center"/>
          </w:tcPr>
          <w:p>
            <w:pPr>
              <w:pStyle w:val="294"/>
            </w:pPr>
          </w:p>
        </w:tc>
        <w:tc>
          <w:tcPr>
            <w:tcW w:w="2586" w:type="dxa"/>
            <w:tcBorders>
              <w:top w:val="single" w:color="auto" w:sz="4" w:space="0"/>
              <w:left w:val="single" w:color="auto" w:sz="4" w:space="0"/>
              <w:bottom w:val="single" w:color="auto" w:sz="4" w:space="0"/>
              <w:right w:val="single" w:color="auto" w:sz="4" w:space="0"/>
            </w:tcBorders>
            <w:vAlign w:val="center"/>
          </w:tcPr>
          <w:p>
            <w:pPr>
              <w:pStyle w:val="294"/>
            </w:pPr>
            <w:r>
              <w:t>贡献值</w:t>
            </w:r>
          </w:p>
        </w:tc>
        <w:tc>
          <w:tcPr>
            <w:tcW w:w="2586" w:type="dxa"/>
            <w:tcBorders>
              <w:top w:val="single" w:color="auto" w:sz="4" w:space="0"/>
              <w:left w:val="single" w:color="auto" w:sz="4" w:space="0"/>
              <w:bottom w:val="single" w:color="auto" w:sz="4" w:space="0"/>
              <w:right w:val="single" w:color="auto" w:sz="8" w:space="0"/>
            </w:tcBorders>
            <w:vAlign w:val="center"/>
          </w:tcPr>
          <w:p>
            <w:pPr>
              <w:pStyle w:val="294"/>
              <w:rPr>
                <w:b/>
                <w:bCs/>
              </w:rPr>
            </w:pPr>
            <w:r>
              <w:t>达标情况</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restart"/>
            <w:tcBorders>
              <w:top w:val="single" w:color="auto" w:sz="4" w:space="0"/>
              <w:left w:val="single" w:color="auto" w:sz="8" w:space="0"/>
              <w:bottom w:val="single" w:color="auto" w:sz="4" w:space="0"/>
              <w:right w:val="single" w:color="auto" w:sz="4" w:space="0"/>
            </w:tcBorders>
            <w:vAlign w:val="center"/>
          </w:tcPr>
          <w:p>
            <w:pPr>
              <w:pStyle w:val="294"/>
            </w:pPr>
            <w:r>
              <w:t>距井口29m处</w:t>
            </w:r>
          </w:p>
        </w:tc>
        <w:tc>
          <w:tcPr>
            <w:tcW w:w="1289" w:type="dxa"/>
            <w:tcBorders>
              <w:top w:val="single" w:color="auto" w:sz="4" w:space="0"/>
              <w:left w:val="single" w:color="auto" w:sz="4" w:space="0"/>
              <w:bottom w:val="single" w:color="auto" w:sz="4" w:space="0"/>
              <w:right w:val="single" w:color="auto" w:sz="4" w:space="0"/>
            </w:tcBorders>
            <w:vAlign w:val="center"/>
          </w:tcPr>
          <w:p>
            <w:pPr>
              <w:pStyle w:val="294"/>
            </w:pPr>
            <w:r>
              <w:t>昼间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4"/>
            </w:pPr>
            <w:r>
              <w:t>60.06</w:t>
            </w:r>
          </w:p>
        </w:tc>
        <w:tc>
          <w:tcPr>
            <w:tcW w:w="2586" w:type="dxa"/>
            <w:tcBorders>
              <w:top w:val="single" w:color="auto" w:sz="4" w:space="0"/>
              <w:left w:val="single" w:color="auto" w:sz="4" w:space="0"/>
              <w:bottom w:val="single" w:color="auto" w:sz="4" w:space="0"/>
              <w:right w:val="single" w:color="auto" w:sz="8" w:space="0"/>
            </w:tcBorders>
            <w:vAlign w:val="center"/>
          </w:tcPr>
          <w:p>
            <w:pPr>
              <w:pStyle w:val="294"/>
              <w:rPr>
                <w:b/>
              </w:rPr>
            </w:pPr>
            <w:r>
              <w:t>超标</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continue"/>
            <w:tcBorders>
              <w:top w:val="single" w:color="auto" w:sz="4" w:space="0"/>
              <w:left w:val="single" w:color="auto" w:sz="8" w:space="0"/>
              <w:bottom w:val="single" w:color="auto" w:sz="4" w:space="0"/>
              <w:right w:val="single" w:color="auto" w:sz="4" w:space="0"/>
            </w:tcBorders>
            <w:vAlign w:val="center"/>
          </w:tcPr>
          <w:p>
            <w:pPr>
              <w:pStyle w:val="294"/>
            </w:pPr>
          </w:p>
        </w:tc>
        <w:tc>
          <w:tcPr>
            <w:tcW w:w="1289" w:type="dxa"/>
            <w:tcBorders>
              <w:top w:val="single" w:color="auto" w:sz="4" w:space="0"/>
              <w:left w:val="single" w:color="auto" w:sz="4" w:space="0"/>
              <w:bottom w:val="single" w:color="auto" w:sz="4" w:space="0"/>
              <w:right w:val="single" w:color="auto" w:sz="4" w:space="0"/>
            </w:tcBorders>
            <w:vAlign w:val="center"/>
          </w:tcPr>
          <w:p>
            <w:pPr>
              <w:pStyle w:val="294"/>
            </w:pPr>
            <w:r>
              <w:t>夜间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4"/>
            </w:pPr>
            <w:r>
              <w:t>/</w:t>
            </w:r>
          </w:p>
        </w:tc>
        <w:tc>
          <w:tcPr>
            <w:tcW w:w="2586" w:type="dxa"/>
            <w:tcBorders>
              <w:top w:val="single" w:color="auto" w:sz="4" w:space="0"/>
              <w:left w:val="single" w:color="auto" w:sz="4" w:space="0"/>
              <w:bottom w:val="single" w:color="auto" w:sz="4" w:space="0"/>
              <w:right w:val="single" w:color="auto" w:sz="8" w:space="0"/>
            </w:tcBorders>
            <w:vAlign w:val="center"/>
          </w:tcPr>
          <w:p>
            <w:pPr>
              <w:pStyle w:val="294"/>
            </w:pPr>
            <w:r>
              <w:t>/</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restart"/>
            <w:tcBorders>
              <w:top w:val="single" w:color="auto" w:sz="4" w:space="0"/>
              <w:left w:val="single" w:color="auto" w:sz="8" w:space="0"/>
              <w:bottom w:val="single" w:color="auto" w:sz="4" w:space="0"/>
              <w:right w:val="single" w:color="auto" w:sz="4" w:space="0"/>
            </w:tcBorders>
            <w:vAlign w:val="center"/>
          </w:tcPr>
          <w:p>
            <w:pPr>
              <w:pStyle w:val="294"/>
            </w:pPr>
            <w:r>
              <w:t>距井口30m处</w:t>
            </w:r>
          </w:p>
        </w:tc>
        <w:tc>
          <w:tcPr>
            <w:tcW w:w="1289" w:type="dxa"/>
            <w:tcBorders>
              <w:top w:val="single" w:color="auto" w:sz="4" w:space="0"/>
              <w:left w:val="single" w:color="auto" w:sz="4" w:space="0"/>
              <w:bottom w:val="single" w:color="auto" w:sz="4" w:space="0"/>
              <w:right w:val="single" w:color="auto" w:sz="4" w:space="0"/>
            </w:tcBorders>
            <w:vAlign w:val="center"/>
          </w:tcPr>
          <w:p>
            <w:pPr>
              <w:pStyle w:val="294"/>
            </w:pPr>
            <w:r>
              <w:t>昼间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4"/>
            </w:pPr>
            <w:r>
              <w:t>58.12</w:t>
            </w:r>
          </w:p>
        </w:tc>
        <w:tc>
          <w:tcPr>
            <w:tcW w:w="2586" w:type="dxa"/>
            <w:tcBorders>
              <w:top w:val="single" w:color="auto" w:sz="4" w:space="0"/>
              <w:left w:val="single" w:color="auto" w:sz="4" w:space="0"/>
              <w:bottom w:val="single" w:color="auto" w:sz="4" w:space="0"/>
              <w:right w:val="single" w:color="auto" w:sz="8" w:space="0"/>
            </w:tcBorders>
            <w:vAlign w:val="center"/>
          </w:tcPr>
          <w:p>
            <w:pPr>
              <w:pStyle w:val="294"/>
            </w:pPr>
            <w:r>
              <w:t>达标</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continue"/>
            <w:tcBorders>
              <w:top w:val="single" w:color="auto" w:sz="4" w:space="0"/>
              <w:left w:val="single" w:color="auto" w:sz="8" w:space="0"/>
              <w:bottom w:val="single" w:color="auto" w:sz="4" w:space="0"/>
              <w:right w:val="single" w:color="auto" w:sz="4" w:space="0"/>
            </w:tcBorders>
            <w:vAlign w:val="center"/>
          </w:tcPr>
          <w:p>
            <w:pPr>
              <w:pStyle w:val="294"/>
            </w:pPr>
          </w:p>
        </w:tc>
        <w:tc>
          <w:tcPr>
            <w:tcW w:w="1289" w:type="dxa"/>
            <w:tcBorders>
              <w:top w:val="single" w:color="auto" w:sz="4" w:space="0"/>
              <w:left w:val="single" w:color="auto" w:sz="4" w:space="0"/>
              <w:bottom w:val="single" w:color="auto" w:sz="4" w:space="0"/>
              <w:right w:val="single" w:color="auto" w:sz="4" w:space="0"/>
            </w:tcBorders>
            <w:vAlign w:val="center"/>
          </w:tcPr>
          <w:p>
            <w:pPr>
              <w:pStyle w:val="294"/>
            </w:pPr>
            <w:r>
              <w:t>夜间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4"/>
            </w:pPr>
            <w:r>
              <w:t>/</w:t>
            </w:r>
          </w:p>
        </w:tc>
        <w:tc>
          <w:tcPr>
            <w:tcW w:w="2586" w:type="dxa"/>
            <w:tcBorders>
              <w:top w:val="single" w:color="auto" w:sz="4" w:space="0"/>
              <w:left w:val="single" w:color="auto" w:sz="4" w:space="0"/>
              <w:bottom w:val="single" w:color="auto" w:sz="4" w:space="0"/>
              <w:right w:val="single" w:color="auto" w:sz="8" w:space="0"/>
            </w:tcBorders>
            <w:vAlign w:val="center"/>
          </w:tcPr>
          <w:p>
            <w:pPr>
              <w:pStyle w:val="294"/>
            </w:pPr>
            <w:r>
              <w:t>/</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8222" w:type="dxa"/>
            <w:gridSpan w:val="4"/>
            <w:tcBorders>
              <w:top w:val="single" w:color="auto" w:sz="4" w:space="0"/>
              <w:left w:val="single" w:color="auto" w:sz="8" w:space="0"/>
              <w:bottom w:val="single" w:color="auto" w:sz="8" w:space="0"/>
              <w:right w:val="single" w:color="auto" w:sz="8" w:space="0"/>
            </w:tcBorders>
            <w:vAlign w:val="center"/>
          </w:tcPr>
          <w:p>
            <w:pPr>
              <w:pStyle w:val="294"/>
            </w:pPr>
            <w:r>
              <w:t>标准60dB（A）（昼间）、50dB（A）（夜间）</w:t>
            </w:r>
          </w:p>
        </w:tc>
      </w:tr>
    </w:tbl>
    <w:p>
      <w:pPr>
        <w:pStyle w:val="27"/>
        <w:spacing w:before="120" w:beforeLines="50"/>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szCs w:val="24"/>
          <w14:textFill>
            <w14:solidFill>
              <w14:schemeClr w14:val="tx1"/>
            </w14:solidFill>
          </w14:textFill>
        </w:rPr>
        <w:t>上表可知，压裂作业期间南</w:t>
      </w:r>
      <w:r>
        <w:rPr>
          <w:rFonts w:hint="eastAsia" w:ascii="Times New Roman" w:hAnsi="Times New Roman"/>
          <w:color w:val="000000" w:themeColor="text1"/>
          <w:szCs w:val="24"/>
          <w14:textFill>
            <w14:solidFill>
              <w14:schemeClr w14:val="tx1"/>
            </w14:solidFill>
          </w14:textFill>
        </w:rPr>
        <w:t>、</w:t>
      </w:r>
      <w:r>
        <w:rPr>
          <w:rFonts w:ascii="Times New Roman" w:hAnsi="Times New Roman"/>
          <w:color w:val="000000" w:themeColor="text1"/>
          <w:szCs w:val="24"/>
          <w14:textFill>
            <w14:solidFill>
              <w14:schemeClr w14:val="tx1"/>
            </w14:solidFill>
          </w14:textFill>
        </w:rPr>
        <w:t>北侧场界噪声不能满足《建筑施工场界环境噪声排放标准》（GB12523-2011）标准，压裂作业仅在昼间进行，不在夜间施工，进一步预测得知，压裂作业期间昼间噪声超标距离为井口约30m范围内，此范围内无居民分布。压裂施工时间短，夜间不作业，约2~5天完成压裂作业，压裂施工不是连续施工，噪声产生也不是连续的，随着压裂作业的结束，噪声影响也消失。因此，压裂作业噪声影响是短暂的，对周围居民影响是可接受的。</w:t>
      </w:r>
    </w:p>
    <w:p>
      <w:pPr>
        <w:pStyle w:val="223"/>
        <w:ind w:firstLine="482"/>
        <w:rPr>
          <w:rFonts w:ascii="Times New Roman" w:hAnsi="Times New Roman" w:cs="Times New Roman"/>
          <w:b/>
          <w:color w:val="000000" w:themeColor="text1"/>
          <w:lang w:eastAsia="zh-CN"/>
          <w14:textFill>
            <w14:solidFill>
              <w14:schemeClr w14:val="tx1"/>
            </w14:solidFill>
          </w14:textFill>
        </w:rPr>
      </w:pPr>
      <w:r>
        <w:rPr>
          <w:rFonts w:ascii="Times New Roman" w:hAnsi="Times New Roman" w:cs="Times New Roman"/>
          <w:b/>
          <w:color w:val="000000" w:themeColor="text1"/>
          <w:lang w:eastAsia="zh-CN"/>
          <w14:textFill>
            <w14:solidFill>
              <w14:schemeClr w14:val="tx1"/>
            </w14:solidFill>
          </w14:textFill>
        </w:rPr>
        <w:t>（4）测试放喷噪声环境影响预测及分析</w:t>
      </w:r>
    </w:p>
    <w:p>
      <w:pPr>
        <w:ind w:firstLine="480"/>
        <w:rPr>
          <w:rFonts w:cs="Times New Roman"/>
          <w:color w:val="000000" w:themeColor="text1"/>
          <w:u w:val="single"/>
          <w14:textFill>
            <w14:solidFill>
              <w14:schemeClr w14:val="tx1"/>
            </w14:solidFill>
          </w14:textFill>
        </w:rPr>
      </w:pPr>
      <w:r>
        <w:rPr>
          <w:rFonts w:cs="Times New Roman"/>
          <w:color w:val="000000" w:themeColor="text1"/>
          <w:szCs w:val="24"/>
          <w14:textFill>
            <w14:solidFill>
              <w14:schemeClr w14:val="tx1"/>
            </w14:solidFill>
          </w14:textFill>
        </w:rPr>
        <w:t>天然气测试放喷过程的噪声为连续噪声，仅在完井时测试中进行放喷，时间约为3小时，噪声源强度约为95-105dB（A）。项目通过在放喷池设置三面建较高的密实的防火墙，可以降低一定的噪声；同时由于测试放喷时间较短，并选择在昼间进行测试，随着测试的结束，噪声影响也消失。同时，根据本项目的测试外围应急疏散方案，放喷测试前组织临时疏散周边居民，因此，测试放喷噪声影响短暂的，对周围居民影响是可接受的。</w:t>
      </w:r>
    </w:p>
    <w:p>
      <w:pPr>
        <w:pStyle w:val="27"/>
        <w:ind w:firstLine="480"/>
        <w:rPr>
          <w:rFonts w:ascii="Times New Roman" w:hAnsi="Times New Roman" w:eastAsia="黑体"/>
          <w:color w:val="000000" w:themeColor="text1"/>
          <w:szCs w:val="24"/>
          <w14:textFill>
            <w14:solidFill>
              <w14:schemeClr w14:val="tx1"/>
            </w14:solidFill>
          </w14:textFill>
        </w:rPr>
      </w:pPr>
      <w:bookmarkStart w:id="251" w:name="5.1.4施工期固体废物环境影响分析"/>
      <w:bookmarkEnd w:id="251"/>
      <w:r>
        <w:rPr>
          <w:rFonts w:ascii="Times New Roman" w:hAnsi="Times New Roman" w:eastAsia="黑体"/>
          <w:color w:val="000000" w:themeColor="text1"/>
          <w:szCs w:val="24"/>
          <w14:textFill>
            <w14:solidFill>
              <w14:schemeClr w14:val="tx1"/>
            </w14:solidFill>
          </w14:textFill>
        </w:rPr>
        <w:t>4、土壤环境影响分析</w:t>
      </w:r>
    </w:p>
    <w:p>
      <w:pPr>
        <w:pStyle w:val="27"/>
        <w:ind w:firstLine="482"/>
        <w:rPr>
          <w:rFonts w:ascii="Times New Roman" w:hAnsi="Times New Roman"/>
          <w:b/>
          <w:color w:val="000000" w:themeColor="text1"/>
          <w:szCs w:val="24"/>
          <w14:textFill>
            <w14:solidFill>
              <w14:schemeClr w14:val="tx1"/>
            </w14:solidFill>
          </w14:textFill>
        </w:rPr>
      </w:pPr>
      <w:r>
        <w:rPr>
          <w:rFonts w:ascii="Times New Roman" w:hAnsi="Times New Roman"/>
          <w:b/>
          <w:color w:val="000000" w:themeColor="text1"/>
          <w:szCs w:val="24"/>
          <w14:textFill>
            <w14:solidFill>
              <w14:schemeClr w14:val="tx1"/>
            </w14:solidFill>
          </w14:textFill>
        </w:rPr>
        <w:t>（1）土壤环境影响分析</w:t>
      </w:r>
    </w:p>
    <w:p>
      <w:pPr>
        <w:pStyle w:val="27"/>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1）大气污染途径</w:t>
      </w:r>
    </w:p>
    <w:p>
      <w:pPr>
        <w:pStyle w:val="27"/>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天然气开发过程中主要的大气污染物有甲烷、SO</w:t>
      </w:r>
      <w:r>
        <w:rPr>
          <w:rFonts w:ascii="Times New Roman" w:hAnsi="Times New Roman"/>
          <w:bCs/>
          <w:color w:val="000000" w:themeColor="text1"/>
          <w:szCs w:val="24"/>
          <w:vertAlign w:val="subscript"/>
          <w14:textFill>
            <w14:solidFill>
              <w14:schemeClr w14:val="tx1"/>
            </w14:solidFill>
          </w14:textFill>
        </w:rPr>
        <w:t>2</w:t>
      </w:r>
      <w:r>
        <w:rPr>
          <w:rFonts w:ascii="Times New Roman" w:hAnsi="Times New Roman"/>
          <w:bCs/>
          <w:color w:val="000000" w:themeColor="text1"/>
          <w:szCs w:val="24"/>
          <w14:textFill>
            <w14:solidFill>
              <w14:schemeClr w14:val="tx1"/>
            </w14:solidFill>
          </w14:textFill>
        </w:rPr>
        <w:t>、NOx、CO、颗粒物及挥发性有机物等，主要来源于场地施工机械、柴油发电机、压裂车、放喷燃烧等。大气污染物通过降雨或沉降进入土壤，从而引起土壤污染。</w:t>
      </w:r>
    </w:p>
    <w:p>
      <w:pPr>
        <w:pStyle w:val="27"/>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根据对周边已建天然气项目的调查，通过施工单位严格施工管理，天然气开发过程中周边大气中一般不会出现重金属、挥发性有机物以及SO</w:t>
      </w:r>
      <w:r>
        <w:rPr>
          <w:rFonts w:ascii="Times New Roman" w:hAnsi="Times New Roman"/>
          <w:bCs/>
          <w:color w:val="000000" w:themeColor="text1"/>
          <w:szCs w:val="24"/>
          <w:vertAlign w:val="subscript"/>
          <w14:textFill>
            <w14:solidFill>
              <w14:schemeClr w14:val="tx1"/>
            </w14:solidFill>
          </w14:textFill>
        </w:rPr>
        <w:t>2</w:t>
      </w:r>
      <w:r>
        <w:rPr>
          <w:rFonts w:ascii="Times New Roman" w:hAnsi="Times New Roman"/>
          <w:bCs/>
          <w:color w:val="000000" w:themeColor="text1"/>
          <w:szCs w:val="24"/>
          <w14:textFill>
            <w14:solidFill>
              <w14:schemeClr w14:val="tx1"/>
            </w14:solidFill>
          </w14:textFill>
        </w:rPr>
        <w:t>等酸性氧化物超标的情况，通过大气污染土壤的可能性较小。</w:t>
      </w:r>
    </w:p>
    <w:p>
      <w:pPr>
        <w:pStyle w:val="27"/>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2）水污染途径</w:t>
      </w:r>
    </w:p>
    <w:p>
      <w:pPr>
        <w:pStyle w:val="27"/>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本项目钻井施工期污染物主要通过地面漫流、垂直入渗途径污染土壤。</w:t>
      </w:r>
    </w:p>
    <w:p>
      <w:pPr>
        <w:pStyle w:val="27"/>
        <w:ind w:firstLine="480"/>
        <w:rPr>
          <w:rFonts w:ascii="Times New Roman" w:hAnsi="Times New Roman"/>
          <w:bCs/>
          <w:color w:val="000000" w:themeColor="text1"/>
          <w:szCs w:val="24"/>
          <w14:textFill>
            <w14:solidFill>
              <w14:schemeClr w14:val="tx1"/>
            </w14:solidFill>
          </w14:textFill>
        </w:rPr>
      </w:pPr>
      <w:r>
        <w:rPr>
          <w:rFonts w:hint="eastAsia" w:hAnsi="宋体" w:cs="宋体"/>
          <w:bCs/>
          <w:color w:val="000000" w:themeColor="text1"/>
          <w:szCs w:val="24"/>
          <w14:textFill>
            <w14:solidFill>
              <w14:schemeClr w14:val="tx1"/>
            </w14:solidFill>
          </w14:textFill>
        </w:rPr>
        <w:t>①</w:t>
      </w:r>
      <w:r>
        <w:rPr>
          <w:rFonts w:ascii="Times New Roman" w:hAnsi="Times New Roman"/>
          <w:bCs/>
          <w:color w:val="000000" w:themeColor="text1"/>
          <w:szCs w:val="24"/>
          <w14:textFill>
            <w14:solidFill>
              <w14:schemeClr w14:val="tx1"/>
            </w14:solidFill>
          </w14:textFill>
        </w:rPr>
        <w:t>地面漫流</w:t>
      </w:r>
    </w:p>
    <w:p>
      <w:pPr>
        <w:pStyle w:val="27"/>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对于泥浆不落地装置区及泥浆循环系统、泥浆料台区、储备罐区、油罐区、柴油机组区、放喷池等区域，在事故情况和降雨情况下产生的废水会发生地面漫流，进一步污染土壤。</w:t>
      </w:r>
    </w:p>
    <w:p>
      <w:pPr>
        <w:pStyle w:val="27"/>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建设单位对泥浆不落地装置区及泥浆循环系统、泥浆料台区、储备罐区、油罐区、柴油机组区均设置了防雨棚，废油暂存区、发电机均设在活动房内，方井周边、放喷池在雨天加盖篷布，避免暴雨引起废水、废油外溢形成地面漫流。并在废水收集罐周围设置0.5m高围堰，防止废水外溢；油罐区周围设置0.15m高围堰及集油池，防止泄露油料外溢；放喷池最低面墙设置不低于0.5m，避免雨水进入；井口作业区周边设置导流沟，将可能泄露的废水导流至集污坑；井场四周设置双环沟，外环沟与自然沟渠连接，便于导排场地外雨水等，内环沟用于收集井场内的雨水和可能产生的污水，汇入集污坑。通过以上措施全面防控事故废水和可能受污染的雨水发生地面漫流，进入土壤。</w:t>
      </w:r>
    </w:p>
    <w:p>
      <w:pPr>
        <w:pStyle w:val="27"/>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在全面落实污染防控措施的情况下，污染物的地面漫流对土壤影响较小。</w:t>
      </w:r>
    </w:p>
    <w:p>
      <w:pPr>
        <w:pStyle w:val="27"/>
        <w:ind w:firstLine="480"/>
        <w:rPr>
          <w:rFonts w:ascii="Times New Roman" w:hAnsi="Times New Roman"/>
          <w:bCs/>
          <w:color w:val="000000" w:themeColor="text1"/>
          <w:szCs w:val="24"/>
          <w14:textFill>
            <w14:solidFill>
              <w14:schemeClr w14:val="tx1"/>
            </w14:solidFill>
          </w14:textFill>
        </w:rPr>
      </w:pPr>
      <w:r>
        <w:rPr>
          <w:rFonts w:hint="eastAsia" w:hAnsi="宋体" w:cs="宋体"/>
          <w:bCs/>
          <w:color w:val="000000" w:themeColor="text1"/>
          <w:szCs w:val="24"/>
          <w14:textFill>
            <w14:solidFill>
              <w14:schemeClr w14:val="tx1"/>
            </w14:solidFill>
          </w14:textFill>
        </w:rPr>
        <w:t>②</w:t>
      </w:r>
      <w:r>
        <w:rPr>
          <w:rFonts w:ascii="Times New Roman" w:hAnsi="Times New Roman"/>
          <w:bCs/>
          <w:color w:val="000000" w:themeColor="text1"/>
          <w:szCs w:val="24"/>
          <w14:textFill>
            <w14:solidFill>
              <w14:schemeClr w14:val="tx1"/>
            </w14:solidFill>
          </w14:textFill>
        </w:rPr>
        <w:t>垂直入渗</w:t>
      </w:r>
    </w:p>
    <w:p>
      <w:pPr>
        <w:pStyle w:val="27"/>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对于泥浆不落地装置区及泥浆循环系统、泥浆料台区、储备罐区、油罐区、放喷池、方井周边、</w:t>
      </w:r>
      <w:r>
        <w:rPr>
          <w:rFonts w:ascii="Times New Roman" w:hAnsi="Times New Roman"/>
          <w:color w:val="000000" w:themeColor="text1"/>
          <w:szCs w:val="24"/>
          <w14:textFill>
            <w14:solidFill>
              <w14:schemeClr w14:val="tx1"/>
            </w14:solidFill>
          </w14:textFill>
        </w:rPr>
        <w:t>钻井固废暂存区</w:t>
      </w:r>
      <w:r>
        <w:rPr>
          <w:rFonts w:ascii="Times New Roman" w:hAnsi="Times New Roman"/>
          <w:bCs/>
          <w:color w:val="000000" w:themeColor="text1"/>
          <w:szCs w:val="24"/>
          <w14:textFill>
            <w14:solidFill>
              <w14:schemeClr w14:val="tx1"/>
            </w14:solidFill>
          </w14:textFill>
        </w:rPr>
        <w:t>、发电机房、柴油机组区等区域，在事故情况下会造成污染物的泄露，通过垂直入渗途径污染土壤。</w:t>
      </w:r>
    </w:p>
    <w:p>
      <w:pPr>
        <w:pStyle w:val="27"/>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szCs w:val="24"/>
          <w14:textFill>
            <w14:solidFill>
              <w14:schemeClr w14:val="tx1"/>
            </w14:solidFill>
          </w14:textFill>
        </w:rPr>
        <w:t>本项目井场采取分区防渗措施，</w:t>
      </w:r>
      <w:r>
        <w:rPr>
          <w:rFonts w:ascii="Times New Roman" w:hAnsi="Times New Roman"/>
          <w:color w:val="000000" w:themeColor="text1"/>
          <w:szCs w:val="24"/>
          <w14:textFill>
            <w14:solidFill>
              <w14:schemeClr w14:val="tx1"/>
            </w14:solidFill>
          </w14:textFill>
        </w:rPr>
        <w:t>场地内场地内方井、泥浆循环系统区域、泥浆不落地系统区域（含油桶堆放区）、泥浆储备罐区、循环罐区、柴油罐区、放喷池、污水罐、埋地管道等采取重点防渗措施；井架基础、发电机房、钻井固废暂存区、气源房、材料棚、雨、污分流区域以及厕所等区域采取一般防渗措施；其他区域等采取简单防渗措施</w:t>
      </w:r>
      <w:r>
        <w:rPr>
          <w:rFonts w:ascii="Times New Roman" w:hAnsi="Times New Roman"/>
          <w:bCs/>
          <w:color w:val="000000" w:themeColor="text1"/>
          <w:szCs w:val="24"/>
          <w14:textFill>
            <w14:solidFill>
              <w14:schemeClr w14:val="tx1"/>
            </w14:solidFill>
          </w14:textFill>
        </w:rPr>
        <w:t>。在全面落实分区防渗措施的情况下，污染物的垂直入渗对土壤影响较小。</w:t>
      </w:r>
    </w:p>
    <w:p>
      <w:pPr>
        <w:pStyle w:val="27"/>
        <w:ind w:firstLine="480"/>
        <w:rPr>
          <w:rFonts w:ascii="Times New Roman" w:hAnsi="Times New Roman"/>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③</w:t>
      </w:r>
      <w:r>
        <w:rPr>
          <w:rFonts w:ascii="Times New Roman" w:hAnsi="Times New Roman"/>
          <w:color w:val="000000" w:themeColor="text1"/>
          <w:szCs w:val="24"/>
          <w14:textFill>
            <w14:solidFill>
              <w14:schemeClr w14:val="tx1"/>
            </w14:solidFill>
          </w14:textFill>
        </w:rPr>
        <w:t>钻井液漏失进入土壤</w:t>
      </w:r>
    </w:p>
    <w:p>
      <w:pPr>
        <w:pStyle w:val="27"/>
        <w:ind w:firstLine="480"/>
        <w:rPr>
          <w:rFonts w:ascii="Times New Roman" w:hAnsi="Times New Roman"/>
          <w:b/>
          <w:color w:val="000000" w:themeColor="text1"/>
          <w:szCs w:val="24"/>
          <w14:textFill>
            <w14:solidFill>
              <w14:schemeClr w14:val="tx1"/>
            </w14:solidFill>
          </w14:textFill>
        </w:rPr>
      </w:pPr>
      <w:r>
        <w:rPr>
          <w:rFonts w:ascii="Times New Roman" w:hAnsi="Times New Roman"/>
          <w:color w:val="000000" w:themeColor="text1"/>
          <w:szCs w:val="24"/>
          <w14:textFill>
            <w14:solidFill>
              <w14:schemeClr w14:val="tx1"/>
            </w14:solidFill>
          </w14:textFill>
        </w:rPr>
        <w:t>钻井选用全井段套管保护+水泥固井工艺，本项目仅采用套管和水泥固井防止地下水污染，并在设计中做好及时堵漏准备，防止泥浆流失进入地下水或土壤环境。因此在采取措施后，钻井液漏失进入土壤环境可能性很小。</w:t>
      </w:r>
    </w:p>
    <w:p>
      <w:pPr>
        <w:pStyle w:val="27"/>
        <w:ind w:firstLine="482"/>
        <w:rPr>
          <w:rFonts w:ascii="Times New Roman" w:hAnsi="Times New Roman"/>
          <w:b/>
          <w:color w:val="000000" w:themeColor="text1"/>
          <w:szCs w:val="24"/>
          <w14:textFill>
            <w14:solidFill>
              <w14:schemeClr w14:val="tx1"/>
            </w14:solidFill>
          </w14:textFill>
        </w:rPr>
      </w:pPr>
      <w:r>
        <w:rPr>
          <w:rFonts w:ascii="Times New Roman" w:hAnsi="Times New Roman"/>
          <w:b/>
          <w:color w:val="000000" w:themeColor="text1"/>
          <w:szCs w:val="24"/>
          <w14:textFill>
            <w14:solidFill>
              <w14:schemeClr w14:val="tx1"/>
            </w14:solidFill>
          </w14:textFill>
        </w:rPr>
        <w:t>（2）土壤环境影响预测与评价</w:t>
      </w:r>
    </w:p>
    <w:p>
      <w:pPr>
        <w:pStyle w:val="27"/>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szCs w:val="24"/>
          <w14:textFill>
            <w14:solidFill>
              <w14:schemeClr w14:val="tx1"/>
            </w14:solidFill>
          </w14:textFill>
        </w:rPr>
        <w:t>本项目新增占地进行建设，项目施工期时间短、工程量小，施工占地范围小，对土壤环境的扰动范围很小。本次土壤环境影响评价采用同区域项目东南侧10km处的老君701集气站内监测数据进行分析（老君701集气站旁涉及施工钻井期与运营采气期，因此具有可比性）。</w:t>
      </w:r>
    </w:p>
    <w:p>
      <w:pPr>
        <w:pStyle w:val="27"/>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szCs w:val="24"/>
          <w14:textFill>
            <w14:solidFill>
              <w14:schemeClr w14:val="tx1"/>
            </w14:solidFill>
          </w14:textFill>
        </w:rPr>
        <w:t>根据《老君7011井台钻井及试采工程环评报告书》中对老君701集气站的土壤环境现状监测数据，2022年在已钻井施工完成的老君701集气站旁布设了6个土壤监测点，其中新建井场内布置1个表层样点，3个柱状样点，井场外布置2个表层样点，各监测指标均满足</w:t>
      </w:r>
      <w:r>
        <w:rPr>
          <w:rFonts w:ascii="Times New Roman" w:hAnsi="Times New Roman"/>
          <w:bCs/>
          <w:color w:val="000000" w:themeColor="text1"/>
          <w:szCs w:val="24"/>
          <w14:textFill>
            <w14:solidFill>
              <w14:schemeClr w14:val="tx1"/>
            </w14:solidFill>
          </w14:textFill>
        </w:rPr>
        <w:t>《土壤环境质量 建设用地土壤污染风险管控标准（试行）（GB36600—2018）》第二类用地筛选值和《土壤环境质量 农用地土壤污染风险管控标准（试行）（GB15618—2018）》中“其他”用地类型筛选值，特征因子石油烃满足参考的《土壤环境质量 建设用地土壤污染风险管控标准（试行）（GB36600—2018）》筛选值。由此可见，</w:t>
      </w:r>
      <w:r>
        <w:rPr>
          <w:rFonts w:ascii="Times New Roman" w:hAnsi="Times New Roman"/>
          <w:color w:val="000000" w:themeColor="text1"/>
          <w:szCs w:val="24"/>
          <w14:textFill>
            <w14:solidFill>
              <w14:schemeClr w14:val="tx1"/>
            </w14:solidFill>
          </w14:textFill>
        </w:rPr>
        <w:t>老君701集气站（含钻井与采气期）的建设并未对土壤环境造成污染。</w:t>
      </w:r>
    </w:p>
    <w:p>
      <w:pPr>
        <w:pStyle w:val="95"/>
      </w:pPr>
      <w:r>
        <w:t>表</w:t>
      </w:r>
      <w:r>
        <w:fldChar w:fldCharType="begin"/>
      </w:r>
      <w:r>
        <w:instrText xml:space="preserve"> STYLEREF 2 \s </w:instrText>
      </w:r>
      <w:r>
        <w:fldChar w:fldCharType="separate"/>
      </w:r>
      <w:r>
        <w:t>5.1</w:t>
      </w:r>
      <w:r>
        <w:fldChar w:fldCharType="end"/>
      </w:r>
      <w:r>
        <w:noBreakHyphen/>
      </w:r>
      <w:r>
        <w:fldChar w:fldCharType="begin"/>
      </w:r>
      <w:r>
        <w:instrText xml:space="preserve"> SEQ 表 \* ARABIC \s 2 </w:instrText>
      </w:r>
      <w:r>
        <w:fldChar w:fldCharType="separate"/>
      </w:r>
      <w:r>
        <w:t>6</w:t>
      </w:r>
      <w:r>
        <w:fldChar w:fldCharType="end"/>
      </w:r>
      <w:r>
        <w:t xml:space="preserve"> 钻井工程对土壤影响类比分析一览表</w:t>
      </w:r>
    </w:p>
    <w:tbl>
      <w:tblPr>
        <w:tblStyle w:val="591"/>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3402"/>
        <w:gridCol w:w="376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24" w:type="dxa"/>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类比项目</w:t>
            </w:r>
          </w:p>
        </w:tc>
        <w:tc>
          <w:tcPr>
            <w:tcW w:w="3402" w:type="dxa"/>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本项目</w:t>
            </w:r>
          </w:p>
        </w:tc>
        <w:tc>
          <w:tcPr>
            <w:tcW w:w="3764" w:type="dxa"/>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14:ligatures w14:val="standardContextual"/>
              </w:rPr>
              <w:t>老君</w:t>
            </w:r>
            <w:r>
              <w:rPr>
                <w:rFonts w:eastAsia="Times New Roman"/>
                <w14:ligatures w14:val="standardContextual"/>
              </w:rPr>
              <w:t>701</w:t>
            </w:r>
            <w:r>
              <w:rPr>
                <w:rFonts w:hint="eastAsia" w:ascii="宋体" w:hAnsi="宋体" w:eastAsia="Times New Roman" w:cs="宋体"/>
                <w14:ligatures w14:val="standardContextual"/>
              </w:rPr>
              <w:t>集气站（含钻井与采气期）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24" w:type="dxa"/>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地理位置</w:t>
            </w:r>
          </w:p>
        </w:tc>
        <w:tc>
          <w:tcPr>
            <w:tcW w:w="3402" w:type="dxa"/>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宣汉县</w:t>
            </w:r>
          </w:p>
        </w:tc>
        <w:tc>
          <w:tcPr>
            <w:tcW w:w="3764" w:type="dxa"/>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宣汉县</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24" w:type="dxa"/>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项目建设内容</w:t>
            </w:r>
          </w:p>
        </w:tc>
        <w:tc>
          <w:tcPr>
            <w:tcW w:w="3402" w:type="dxa"/>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钻采工艺采用常规钻井工艺，污染防治措施为川东北地区普遍措施</w:t>
            </w:r>
          </w:p>
        </w:tc>
        <w:tc>
          <w:tcPr>
            <w:tcW w:w="3764" w:type="dxa"/>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钻采工艺采用常规钻井工艺，污染防治措施为川东北地区普遍措施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24" w:type="dxa"/>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所在地环境特征</w:t>
            </w:r>
          </w:p>
        </w:tc>
        <w:tc>
          <w:tcPr>
            <w:tcW w:w="3402" w:type="dxa"/>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外环境为耕地和散居农户为主</w:t>
            </w:r>
          </w:p>
        </w:tc>
        <w:tc>
          <w:tcPr>
            <w:tcW w:w="3764" w:type="dxa"/>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外环境为耕地和散居农户为主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24" w:type="dxa"/>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土壤环境影响</w:t>
            </w:r>
          </w:p>
        </w:tc>
        <w:tc>
          <w:tcPr>
            <w:tcW w:w="3402" w:type="dxa"/>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项目施工期对土壤环境的影响是很小的</w:t>
            </w:r>
          </w:p>
        </w:tc>
        <w:tc>
          <w:tcPr>
            <w:tcW w:w="3764" w:type="dxa"/>
            <w:vAlign w:val="center"/>
          </w:tcPr>
          <w:p>
            <w:pPr>
              <w:pStyle w:val="294"/>
              <w:spacing w:line="360" w:lineRule="auto"/>
              <w:ind w:firstLine="200"/>
              <w:rPr>
                <w:rFonts w:eastAsia="Times New Roman"/>
                <w:snapToGrid w:val="0"/>
                <w14:ligatures w14:val="standardContextual"/>
              </w:rPr>
            </w:pPr>
            <w:r>
              <w:rPr>
                <w:rFonts w:hint="eastAsia" w:ascii="宋体" w:hAnsi="宋体" w:eastAsia="Times New Roman" w:cs="宋体"/>
                <w:snapToGrid w:val="0"/>
                <w14:ligatures w14:val="standardContextual"/>
              </w:rPr>
              <w:t>本项目环境质量监测报告，该井场建设期未发生过土壤环境污染事故和土壤投诉，无超标、酸化或碱化现象</w:t>
            </w:r>
          </w:p>
        </w:tc>
      </w:tr>
    </w:tbl>
    <w:p>
      <w:pPr>
        <w:pStyle w:val="27"/>
        <w:spacing w:before="120" w:beforeLines="50"/>
        <w:ind w:firstLine="480"/>
        <w:rPr>
          <w:rFonts w:ascii="Times New Roman" w:hAnsi="Times New Roman"/>
          <w:bCs/>
          <w:color w:val="000000" w:themeColor="text1"/>
          <w:szCs w:val="24"/>
          <w14:textFill>
            <w14:solidFill>
              <w14:schemeClr w14:val="tx1"/>
            </w14:solidFill>
          </w14:textFill>
        </w:rPr>
      </w:pPr>
      <w:r>
        <w:rPr>
          <w:rFonts w:ascii="Times New Roman" w:hAnsi="Times New Roman"/>
          <w:bCs/>
          <w:color w:val="000000" w:themeColor="text1"/>
          <w14:textFill>
            <w14:solidFill>
              <w14:schemeClr w14:val="tx1"/>
            </w14:solidFill>
          </w14:textFill>
        </w:rPr>
        <w:t>根据项目对土壤环境影响途径分析和类比同类项目同类地区的建设经验，项目建设对土壤环境的影响很小，可接受。本</w:t>
      </w:r>
      <w:r>
        <w:rPr>
          <w:rFonts w:ascii="Times New Roman" w:hAnsi="Times New Roman"/>
          <w:color w:val="000000" w:themeColor="text1"/>
          <w:szCs w:val="24"/>
          <w14:textFill>
            <w14:solidFill>
              <w14:schemeClr w14:val="tx1"/>
            </w14:solidFill>
          </w14:textFill>
        </w:rPr>
        <w:t>项目除采取上述土壤污染防治措施外，还应将</w:t>
      </w:r>
      <w:r>
        <w:rPr>
          <w:rFonts w:ascii="Times New Roman" w:hAnsi="Times New Roman"/>
          <w:bCs/>
          <w:color w:val="000000" w:themeColor="text1"/>
          <w:szCs w:val="24"/>
          <w14:textFill>
            <w14:solidFill>
              <w14:schemeClr w14:val="tx1"/>
            </w14:solidFill>
          </w14:textFill>
        </w:rPr>
        <w:t>土壤污染防治措施和地下水污染防治、生态环境治理措施相结合，综合做好土壤环境、地下水环境和生态环境的保护；完钻后对钻井期临时占地进行污染治理后恢复，并进行生态修复，临时占地还耕前进行土壤监测，确保无污染后再用作农用地复耕。</w:t>
      </w:r>
    </w:p>
    <w:p>
      <w:pPr>
        <w:pStyle w:val="27"/>
        <w:ind w:firstLine="480"/>
        <w:rPr>
          <w:rFonts w:ascii="Times New Roman" w:hAnsi="Times New Roman" w:eastAsia="黑体"/>
          <w:szCs w:val="24"/>
        </w:rPr>
      </w:pPr>
      <w:r>
        <w:rPr>
          <w:rFonts w:ascii="Times New Roman" w:hAnsi="Times New Roman" w:eastAsia="黑体"/>
          <w:szCs w:val="24"/>
        </w:rPr>
        <w:t>5、固体废物环境影响分析</w:t>
      </w:r>
    </w:p>
    <w:p>
      <w:pPr>
        <w:pStyle w:val="27"/>
        <w:ind w:firstLine="482"/>
        <w:rPr>
          <w:rFonts w:ascii="Times New Roman" w:hAnsi="Times New Roman"/>
          <w:b/>
          <w:bCs/>
          <w:color w:val="000000" w:themeColor="text1"/>
          <w:szCs w:val="24"/>
          <w14:textFill>
            <w14:solidFill>
              <w14:schemeClr w14:val="tx1"/>
            </w14:solidFill>
          </w14:textFill>
        </w:rPr>
      </w:pPr>
      <w:r>
        <w:rPr>
          <w:rFonts w:ascii="Times New Roman" w:hAnsi="Times New Roman"/>
          <w:b/>
          <w:bCs/>
          <w:color w:val="000000" w:themeColor="text1"/>
          <w:szCs w:val="24"/>
          <w14:textFill>
            <w14:solidFill>
              <w14:schemeClr w14:val="tx1"/>
            </w14:solidFill>
          </w14:textFill>
        </w:rPr>
        <w:t>（1）钻井固废</w:t>
      </w:r>
      <w:r>
        <w:rPr>
          <w:rFonts w:ascii="Times New Roman" w:hAnsi="Times New Roman"/>
          <w:b/>
          <w:color w:val="000000" w:themeColor="text1"/>
          <w:szCs w:val="24"/>
          <w14:textFill>
            <w14:solidFill>
              <w14:schemeClr w14:val="tx1"/>
            </w14:solidFill>
          </w14:textFill>
        </w:rPr>
        <w:t>影响分析</w:t>
      </w:r>
    </w:p>
    <w:p>
      <w:pPr>
        <w:pStyle w:val="27"/>
        <w:ind w:firstLine="480"/>
        <w:rPr>
          <w:rFonts w:ascii="Times New Roman" w:hAnsi="Times New Roman"/>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①</w:t>
      </w:r>
      <w:r>
        <w:rPr>
          <w:rFonts w:ascii="Times New Roman" w:hAnsi="Times New Roman"/>
          <w:color w:val="000000" w:themeColor="text1"/>
          <w:szCs w:val="24"/>
          <w14:textFill>
            <w14:solidFill>
              <w14:schemeClr w14:val="tx1"/>
            </w14:solidFill>
          </w14:textFill>
        </w:rPr>
        <w:t>空气钻岩屑产生量约100m</w:t>
      </w:r>
      <w:r>
        <w:rPr>
          <w:rFonts w:ascii="Times New Roman" w:hAnsi="Times New Roman"/>
          <w:color w:val="000000" w:themeColor="text1"/>
          <w:szCs w:val="24"/>
          <w:vertAlign w:val="superscript"/>
          <w14:textFill>
            <w14:solidFill>
              <w14:schemeClr w14:val="tx1"/>
            </w14:solidFill>
          </w14:textFill>
        </w:rPr>
        <w:t>3</w:t>
      </w:r>
      <w:r>
        <w:rPr>
          <w:rFonts w:ascii="Times New Roman" w:hAnsi="Times New Roman"/>
          <w:color w:val="000000" w:themeColor="text1"/>
          <w:szCs w:val="24"/>
          <w14:textFill>
            <w14:solidFill>
              <w14:schemeClr w14:val="tx1"/>
            </w14:solidFill>
          </w14:textFill>
        </w:rPr>
        <w:t>，全部回用于井场低洼处填平，不外排。</w:t>
      </w:r>
    </w:p>
    <w:p>
      <w:pPr>
        <w:pStyle w:val="27"/>
        <w:ind w:firstLine="480"/>
        <w:rPr>
          <w:rFonts w:ascii="Times New Roman" w:hAnsi="Times New Roman"/>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②</w:t>
      </w:r>
      <w:r>
        <w:rPr>
          <w:rFonts w:ascii="Times New Roman" w:hAnsi="Times New Roman"/>
          <w:color w:val="000000" w:themeColor="text1"/>
          <w:szCs w:val="24"/>
          <w14:textFill>
            <w14:solidFill>
              <w14:schemeClr w14:val="tx1"/>
            </w14:solidFill>
          </w14:textFill>
        </w:rPr>
        <w:t>水基泥浆体系中不添加有毒有害重金属等物质，主要成分为水、无机盐、普通有机聚合物等无毒物质。水基钻井固废经泥浆不落地工艺对钻井泥浆及岩屑等进行固液分离后产生的固相废渣，属于第</w:t>
      </w:r>
      <w:r>
        <w:rPr>
          <w:rFonts w:hint="eastAsia" w:hAnsi="宋体" w:cs="宋体"/>
          <w:color w:val="000000" w:themeColor="text1"/>
          <w:szCs w:val="24"/>
          <w14:textFill>
            <w14:solidFill>
              <w14:schemeClr w14:val="tx1"/>
            </w14:solidFill>
          </w14:textFill>
        </w:rPr>
        <w:t>Ⅱ</w:t>
      </w:r>
      <w:r>
        <w:rPr>
          <w:rFonts w:ascii="Times New Roman" w:hAnsi="Times New Roman"/>
          <w:color w:val="000000" w:themeColor="text1"/>
          <w:szCs w:val="24"/>
          <w14:textFill>
            <w14:solidFill>
              <w14:schemeClr w14:val="tx1"/>
            </w14:solidFill>
          </w14:textFill>
        </w:rPr>
        <w:t>类一般工业固体废物，按照</w:t>
      </w:r>
      <w:r>
        <w:rPr>
          <w:rFonts w:ascii="Times New Roman" w:hAnsi="Times New Roman"/>
          <w:bCs/>
          <w:color w:val="000000" w:themeColor="text1"/>
          <w:szCs w:val="24"/>
          <w14:textFill>
            <w14:solidFill>
              <w14:schemeClr w14:val="tx1"/>
            </w14:solidFill>
          </w14:textFill>
        </w:rPr>
        <w:t>《一般工业固体废物贮存和填埋污染控制标准》（GB18599-2020）</w:t>
      </w:r>
      <w:r>
        <w:rPr>
          <w:rFonts w:ascii="Times New Roman" w:hAnsi="Times New Roman"/>
          <w:color w:val="000000" w:themeColor="text1"/>
          <w:szCs w:val="24"/>
          <w14:textFill>
            <w14:solidFill>
              <w14:schemeClr w14:val="tx1"/>
            </w14:solidFill>
          </w14:textFill>
        </w:rPr>
        <w:t>中对第</w:t>
      </w:r>
      <w:r>
        <w:rPr>
          <w:rFonts w:hint="eastAsia" w:hAnsi="宋体" w:cs="宋体"/>
          <w:color w:val="000000" w:themeColor="text1"/>
          <w:szCs w:val="24"/>
          <w14:textFill>
            <w14:solidFill>
              <w14:schemeClr w14:val="tx1"/>
            </w14:solidFill>
          </w14:textFill>
        </w:rPr>
        <w:t>Ⅱ</w:t>
      </w:r>
      <w:r>
        <w:rPr>
          <w:rFonts w:ascii="Times New Roman" w:hAnsi="Times New Roman"/>
          <w:color w:val="000000" w:themeColor="text1"/>
          <w:szCs w:val="24"/>
          <w14:textFill>
            <w14:solidFill>
              <w14:schemeClr w14:val="tx1"/>
            </w14:solidFill>
          </w14:textFill>
        </w:rPr>
        <w:t>类一般工业固体废物的处置要求，本项目现场在泥浆不落地装置附近设置的钻井固废暂存区暂存钻井固废，防渗层渗透系数≤1.0×10</w:t>
      </w:r>
      <w:r>
        <w:rPr>
          <w:rFonts w:ascii="Times New Roman" w:hAnsi="Times New Roman"/>
          <w:color w:val="000000" w:themeColor="text1"/>
          <w:szCs w:val="24"/>
          <w:vertAlign w:val="superscript"/>
          <w14:textFill>
            <w14:solidFill>
              <w14:schemeClr w14:val="tx1"/>
            </w14:solidFill>
          </w14:textFill>
        </w:rPr>
        <w:t>-7</w:t>
      </w:r>
      <w:r>
        <w:rPr>
          <w:rFonts w:ascii="Times New Roman" w:hAnsi="Times New Roman"/>
          <w:color w:val="000000" w:themeColor="text1"/>
          <w:szCs w:val="24"/>
          <w14:textFill>
            <w14:solidFill>
              <w14:schemeClr w14:val="tx1"/>
            </w14:solidFill>
          </w14:textFill>
        </w:rPr>
        <w:t>cm/s，满足第</w:t>
      </w:r>
      <w:r>
        <w:rPr>
          <w:rFonts w:hint="eastAsia" w:hAnsi="宋体" w:cs="宋体"/>
          <w:color w:val="000000" w:themeColor="text1"/>
          <w:szCs w:val="24"/>
          <w14:textFill>
            <w14:solidFill>
              <w14:schemeClr w14:val="tx1"/>
            </w14:solidFill>
          </w14:textFill>
        </w:rPr>
        <w:t>Ⅱ</w:t>
      </w:r>
      <w:r>
        <w:rPr>
          <w:rFonts w:ascii="Times New Roman" w:hAnsi="Times New Roman"/>
          <w:color w:val="000000" w:themeColor="text1"/>
          <w:szCs w:val="24"/>
          <w14:textFill>
            <w14:solidFill>
              <w14:schemeClr w14:val="tx1"/>
            </w14:solidFill>
          </w14:textFill>
        </w:rPr>
        <w:t>类一般工业固体废物处置场防渗要求。本项目水基钻井固废总计产生量约3609t，水基钻井固废</w:t>
      </w:r>
      <w:r>
        <w:rPr>
          <w:rFonts w:ascii="Times New Roman" w:hAnsi="Times New Roman"/>
          <w:color w:val="000000" w:themeColor="text1"/>
          <w14:textFill>
            <w14:solidFill>
              <w14:schemeClr w14:val="tx1"/>
            </w14:solidFill>
          </w14:textFill>
        </w:rPr>
        <w:t>在</w:t>
      </w:r>
      <w:r>
        <w:rPr>
          <w:rFonts w:ascii="Times New Roman" w:hAnsi="Times New Roman"/>
          <w:color w:val="000000" w:themeColor="text1"/>
          <w:szCs w:val="24"/>
          <w14:textFill>
            <w14:solidFill>
              <w14:schemeClr w14:val="tx1"/>
            </w14:solidFill>
          </w14:textFill>
        </w:rPr>
        <w:t>泥浆不落地装置附近设置钻井固废暂存区</w:t>
      </w:r>
      <w:r>
        <w:rPr>
          <w:rFonts w:ascii="Times New Roman" w:hAnsi="Times New Roman"/>
          <w:color w:val="000000" w:themeColor="text1"/>
          <w14:textFill>
            <w14:solidFill>
              <w14:schemeClr w14:val="tx1"/>
            </w14:solidFill>
          </w14:textFill>
        </w:rPr>
        <w:t>由废渣收集罐收集后临时暂存，定期用密闭罐车及时转运至</w:t>
      </w:r>
      <w:r>
        <w:rPr>
          <w:rFonts w:ascii="Times New Roman" w:hAnsi="Times New Roman"/>
          <w:color w:val="000000" w:themeColor="text1"/>
          <w:szCs w:val="24"/>
          <w14:textFill>
            <w14:solidFill>
              <w14:schemeClr w14:val="tx1"/>
            </w14:solidFill>
          </w14:textFill>
        </w:rPr>
        <w:t>达州地区环保手续齐全、环保设施稳定运行固废烧结厂进行烧结后综合利用，不会对区域环境造成影响。</w:t>
      </w:r>
      <w:r>
        <w:rPr>
          <w:rFonts w:ascii="Times New Roman" w:hAnsi="Times New Roman"/>
          <w:color w:val="000000" w:themeColor="text1"/>
          <w14:textFill>
            <w14:solidFill>
              <w14:schemeClr w14:val="tx1"/>
            </w14:solidFill>
          </w14:textFill>
        </w:rPr>
        <w:t>如遇特殊地层，油基钻井废泥浆、岩屑暂存于新建的60m</w:t>
      </w:r>
      <w:r>
        <w:rPr>
          <w:rFonts w:ascii="Times New Roman" w:hAnsi="Times New Roman"/>
          <w:color w:val="000000" w:themeColor="text1"/>
          <w:vertAlign w:val="superscript"/>
          <w14:textFill>
            <w14:solidFill>
              <w14:schemeClr w14:val="tx1"/>
            </w14:solidFill>
          </w14:textFill>
        </w:rPr>
        <w:t>2</w:t>
      </w:r>
      <w:r>
        <w:rPr>
          <w:rFonts w:ascii="Times New Roman" w:hAnsi="Times New Roman"/>
          <w:color w:val="000000" w:themeColor="text1"/>
          <w14:textFill>
            <w14:solidFill>
              <w14:schemeClr w14:val="tx1"/>
            </w14:solidFill>
          </w14:textFill>
        </w:rPr>
        <w:t>危险废物暂存场所（采取必要的防风、防晒、防雨、防漏、防渗、防腐以及其他环境污染防治措施，不得露天堆放危险废物），泥浆和油基钻井岩屑及时后交由有资质的单位处置，</w:t>
      </w:r>
      <w:r>
        <w:rPr>
          <w:rFonts w:ascii="Times New Roman" w:hAnsi="Times New Roman"/>
          <w:color w:val="000000" w:themeColor="text1"/>
          <w:szCs w:val="24"/>
          <w14:textFill>
            <w14:solidFill>
              <w14:schemeClr w14:val="tx1"/>
            </w14:solidFill>
          </w14:textFill>
        </w:rPr>
        <w:t>不会对区域环境造成影响。</w:t>
      </w:r>
    </w:p>
    <w:p>
      <w:pPr>
        <w:pStyle w:val="27"/>
        <w:ind w:firstLine="482"/>
        <w:rPr>
          <w:rFonts w:ascii="Times New Roman" w:hAnsi="Times New Roman"/>
          <w:b/>
          <w:bCs/>
          <w:color w:val="000000" w:themeColor="text1"/>
          <w:szCs w:val="24"/>
          <w14:textFill>
            <w14:solidFill>
              <w14:schemeClr w14:val="tx1"/>
            </w14:solidFill>
          </w14:textFill>
        </w:rPr>
      </w:pPr>
      <w:r>
        <w:rPr>
          <w:rFonts w:ascii="Times New Roman" w:hAnsi="Times New Roman"/>
          <w:b/>
          <w:bCs/>
          <w:color w:val="000000" w:themeColor="text1"/>
          <w:szCs w:val="24"/>
          <w14:textFill>
            <w14:solidFill>
              <w14:schemeClr w14:val="tx1"/>
            </w14:solidFill>
          </w14:textFill>
        </w:rPr>
        <w:t>（2）废油</w:t>
      </w:r>
      <w:r>
        <w:rPr>
          <w:rFonts w:ascii="Times New Roman" w:hAnsi="Times New Roman"/>
          <w:b/>
          <w:color w:val="000000" w:themeColor="text1"/>
          <w:szCs w:val="24"/>
          <w14:textFill>
            <w14:solidFill>
              <w14:schemeClr w14:val="tx1"/>
            </w14:solidFill>
          </w14:textFill>
        </w:rPr>
        <w:t>影响分析</w:t>
      </w:r>
    </w:p>
    <w:p>
      <w:pPr>
        <w:pStyle w:val="27"/>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4"/>
          <w14:textFill>
            <w14:solidFill>
              <w14:schemeClr w14:val="tx1"/>
            </w14:solidFill>
          </w14:textFill>
        </w:rPr>
        <w:t>井场内设备保养润滑用油及跑冒滴漏产生的少量含油属于危险废物（物类别为HW08，废物代码900-214-08），按照</w:t>
      </w:r>
      <w:bookmarkStart w:id="252" w:name="_Hlk92724121"/>
      <w:r>
        <w:rPr>
          <w:rFonts w:ascii="Times New Roman" w:hAnsi="Times New Roman"/>
          <w:color w:val="000000" w:themeColor="text1"/>
          <w:szCs w:val="24"/>
          <w14:textFill>
            <w14:solidFill>
              <w14:schemeClr w14:val="tx1"/>
            </w14:solidFill>
          </w14:textFill>
        </w:rPr>
        <w:t>《危险废物贮存污染控制标准》（GB18597-2023）</w:t>
      </w:r>
      <w:bookmarkEnd w:id="252"/>
      <w:r>
        <w:rPr>
          <w:rFonts w:ascii="Times New Roman" w:hAnsi="Times New Roman"/>
          <w:color w:val="000000" w:themeColor="text1"/>
          <w:szCs w:val="24"/>
          <w14:textFill>
            <w14:solidFill>
              <w14:schemeClr w14:val="tx1"/>
            </w14:solidFill>
          </w14:textFill>
        </w:rPr>
        <w:t>和《废矿物油回收利用污染控制技术规范》（HJ607-2011）的相关规定要求，对产生的油类用废油桶集中收集，钻井队综合利用或交由有资质的单位处理，</w:t>
      </w:r>
      <w:r>
        <w:rPr>
          <w:rFonts w:ascii="Times New Roman" w:hAnsi="Times New Roman"/>
          <w:color w:val="000000" w:themeColor="text1"/>
          <w14:textFill>
            <w14:solidFill>
              <w14:schemeClr w14:val="tx1"/>
            </w14:solidFill>
          </w14:textFill>
        </w:rPr>
        <w:t>设置废油桶集中收集暂存于泥浆不落地装置区临时堆放区内，并做好</w:t>
      </w:r>
      <w:r>
        <w:rPr>
          <w:rFonts w:ascii="Times New Roman" w:hAnsi="Times New Roman"/>
          <w:color w:val="000000" w:themeColor="text1"/>
          <w:kern w:val="0"/>
          <w14:textFill>
            <w14:solidFill>
              <w14:schemeClr w14:val="tx1"/>
            </w14:solidFill>
          </w14:textFill>
        </w:rPr>
        <w:t>防风、防晒、防雨、防漏、防渗、防腐以及其他环境污染防治措施</w:t>
      </w:r>
      <w:r>
        <w:rPr>
          <w:rFonts w:ascii="Times New Roman" w:hAnsi="Times New Roman"/>
          <w:color w:val="000000" w:themeColor="text1"/>
          <w14:textFill>
            <w14:solidFill>
              <w14:schemeClr w14:val="tx1"/>
            </w14:solidFill>
          </w14:textFill>
        </w:rPr>
        <w:t>，暂存期间做好废油管理记录，通过</w:t>
      </w:r>
      <w:r>
        <w:rPr>
          <w:rFonts w:ascii="Times New Roman" w:hAnsi="Times New Roman"/>
          <w:color w:val="000000" w:themeColor="text1"/>
          <w:szCs w:val="24"/>
          <w14:textFill>
            <w14:solidFill>
              <w14:schemeClr w14:val="tx1"/>
            </w14:solidFill>
          </w14:textFill>
        </w:rPr>
        <w:t>后期</w:t>
      </w:r>
      <w:r>
        <w:rPr>
          <w:rFonts w:ascii="Times New Roman" w:hAnsi="Times New Roman"/>
          <w:color w:val="000000" w:themeColor="text1"/>
          <w14:textFill>
            <w14:solidFill>
              <w14:schemeClr w14:val="tx1"/>
            </w14:solidFill>
          </w14:textFill>
        </w:rPr>
        <w:t>擦拭站场设备、原料添加、放喷点火等方式回收综合利用，根据类比调查井站产生废油能在井站内全部综合利用。若因为个别特殊情况存在不能综合利用的废油，则和不能继续使用的废油桶以及擦拭站场设备产生的其他含油固废交由有资质的单位处理</w:t>
      </w:r>
      <w:r>
        <w:rPr>
          <w:rFonts w:ascii="Times New Roman" w:hAnsi="Times New Roman"/>
          <w:color w:val="000000" w:themeColor="text1"/>
          <w:szCs w:val="24"/>
          <w14:textFill>
            <w14:solidFill>
              <w14:schemeClr w14:val="tx1"/>
            </w14:solidFill>
          </w14:textFill>
        </w:rPr>
        <w:t>，对周围环境的影响较小。</w:t>
      </w:r>
    </w:p>
    <w:p>
      <w:pPr>
        <w:pStyle w:val="27"/>
        <w:ind w:firstLine="482"/>
        <w:rPr>
          <w:rFonts w:ascii="Times New Roman" w:hAnsi="Times New Roman"/>
          <w:b/>
          <w:bCs/>
          <w:color w:val="000000" w:themeColor="text1"/>
          <w:szCs w:val="24"/>
          <w14:textFill>
            <w14:solidFill>
              <w14:schemeClr w14:val="tx1"/>
            </w14:solidFill>
          </w14:textFill>
        </w:rPr>
      </w:pPr>
      <w:r>
        <w:rPr>
          <w:rFonts w:ascii="Times New Roman" w:hAnsi="Times New Roman"/>
          <w:b/>
          <w:bCs/>
          <w:color w:val="000000" w:themeColor="text1"/>
          <w:szCs w:val="24"/>
          <w14:textFill>
            <w14:solidFill>
              <w14:schemeClr w14:val="tx1"/>
            </w14:solidFill>
          </w14:textFill>
        </w:rPr>
        <w:t>（3）生活垃圾</w:t>
      </w:r>
      <w:r>
        <w:rPr>
          <w:rFonts w:ascii="Times New Roman" w:hAnsi="Times New Roman"/>
          <w:b/>
          <w:color w:val="000000" w:themeColor="text1"/>
          <w:szCs w:val="24"/>
          <w14:textFill>
            <w14:solidFill>
              <w14:schemeClr w14:val="tx1"/>
            </w14:solidFill>
          </w14:textFill>
        </w:rPr>
        <w:t>影响分析</w:t>
      </w:r>
    </w:p>
    <w:p>
      <w:pPr>
        <w:pStyle w:val="27"/>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szCs w:val="24"/>
          <w14:textFill>
            <w14:solidFill>
              <w14:schemeClr w14:val="tx1"/>
            </w14:solidFill>
          </w14:textFill>
        </w:rPr>
        <w:t>生活垃圾可分为两类，如可降解的果皮、菜根、废纸、烟盒、剩饭菜等，不可降解的塑料制品、废金属、废电池等，这些垃圾分类堆放，定期交由环卫部门妥善处置</w:t>
      </w:r>
      <w:r>
        <w:rPr>
          <w:rFonts w:hint="eastAsia" w:ascii="Times New Roman" w:hAnsi="Times New Roman"/>
          <w:color w:val="000000" w:themeColor="text1"/>
          <w:szCs w:val="24"/>
          <w14:textFill>
            <w14:solidFill>
              <w14:schemeClr w14:val="tx1"/>
            </w14:solidFill>
          </w14:textFill>
        </w:rPr>
        <w:t>，</w:t>
      </w:r>
      <w:r>
        <w:rPr>
          <w:rFonts w:ascii="Times New Roman" w:hAnsi="Times New Roman"/>
          <w:color w:val="000000" w:themeColor="text1"/>
          <w:szCs w:val="24"/>
          <w14:textFill>
            <w14:solidFill>
              <w14:schemeClr w14:val="tx1"/>
            </w14:solidFill>
          </w14:textFill>
        </w:rPr>
        <w:t>对环境影响较小。</w:t>
      </w:r>
    </w:p>
    <w:p>
      <w:pPr>
        <w:pStyle w:val="27"/>
        <w:ind w:firstLine="482"/>
        <w:rPr>
          <w:rFonts w:ascii="Times New Roman" w:hAnsi="Times New Roman"/>
          <w:b/>
          <w:bCs/>
          <w:color w:val="000000" w:themeColor="text1"/>
          <w:szCs w:val="24"/>
          <w14:textFill>
            <w14:solidFill>
              <w14:schemeClr w14:val="tx1"/>
            </w14:solidFill>
          </w14:textFill>
        </w:rPr>
      </w:pPr>
      <w:r>
        <w:rPr>
          <w:rFonts w:ascii="Times New Roman" w:hAnsi="Times New Roman"/>
          <w:b/>
          <w:bCs/>
          <w:color w:val="000000" w:themeColor="text1"/>
          <w:szCs w:val="24"/>
          <w14:textFill>
            <w14:solidFill>
              <w14:schemeClr w14:val="tx1"/>
            </w14:solidFill>
          </w14:textFill>
        </w:rPr>
        <w:t>（4）</w:t>
      </w:r>
      <w:r>
        <w:rPr>
          <w:rFonts w:ascii="Times New Roman" w:hAnsi="Times New Roman"/>
          <w:b/>
          <w:bCs/>
          <w:color w:val="000000" w:themeColor="text1"/>
          <w14:textFill>
            <w14:solidFill>
              <w14:schemeClr w14:val="tx1"/>
            </w14:solidFill>
          </w14:textFill>
        </w:rPr>
        <w:t>废包装材料</w:t>
      </w:r>
      <w:r>
        <w:rPr>
          <w:rFonts w:ascii="Times New Roman" w:hAnsi="Times New Roman"/>
          <w:b/>
          <w:color w:val="000000" w:themeColor="text1"/>
          <w:szCs w:val="24"/>
          <w14:textFill>
            <w14:solidFill>
              <w14:schemeClr w14:val="tx1"/>
            </w14:solidFill>
          </w14:textFill>
        </w:rPr>
        <w:t>影响分析</w:t>
      </w:r>
    </w:p>
    <w:p>
      <w:pPr>
        <w:pStyle w:val="27"/>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szCs w:val="24"/>
          <w14:textFill>
            <w14:solidFill>
              <w14:schemeClr w14:val="tx1"/>
            </w14:solidFill>
          </w14:textFill>
        </w:rPr>
        <w:t>废弃包装材料集中收集后施工队自己回用部分，剩余部分送当地废品回收站处理，对周围环境的影响也较小。</w:t>
      </w:r>
    </w:p>
    <w:p>
      <w:pPr>
        <w:pStyle w:val="27"/>
        <w:ind w:firstLine="482"/>
        <w:rPr>
          <w:rFonts w:ascii="Times New Roman" w:hAnsi="Times New Roman"/>
          <w:b/>
          <w:bCs/>
          <w:color w:val="000000" w:themeColor="text1"/>
          <w:szCs w:val="24"/>
          <w14:textFill>
            <w14:solidFill>
              <w14:schemeClr w14:val="tx1"/>
            </w14:solidFill>
          </w14:textFill>
        </w:rPr>
      </w:pPr>
      <w:r>
        <w:rPr>
          <w:rFonts w:ascii="Times New Roman" w:hAnsi="Times New Roman"/>
          <w:b/>
          <w:bCs/>
          <w:color w:val="000000" w:themeColor="text1"/>
          <w:szCs w:val="24"/>
          <w14:textFill>
            <w14:solidFill>
              <w14:schemeClr w14:val="tx1"/>
            </w14:solidFill>
          </w14:textFill>
        </w:rPr>
        <w:t>（5）其他</w:t>
      </w:r>
    </w:p>
    <w:p>
      <w:pPr>
        <w:pStyle w:val="27"/>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szCs w:val="24"/>
          <w14:textFill>
            <w14:solidFill>
              <w14:schemeClr w14:val="tx1"/>
            </w14:solidFill>
          </w14:textFill>
        </w:rPr>
        <w:t>散失的钻井泥浆材料（重晶石、膨润土粉、堵漏剂）、水泥废浆、防冻保温废料及废棉纱等一般固废，产生量少，全部收集并资源化回收利用；完井搬迁时可能产生少量建筑垃圾，主要如包装袋，废弃建筑材料等，其量小，由施工队伍统一收集清运至政府指定地方，对环境影响轻微。</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综上分析，项目固体废物均可得到综合利用和妥善处置，项目产生的固体废物对环境的影响较小。</w:t>
      </w:r>
    </w:p>
    <w:p>
      <w:pPr>
        <w:pStyle w:val="3"/>
      </w:pPr>
      <w:bookmarkStart w:id="253" w:name="5.1.5生态影响分析"/>
      <w:bookmarkEnd w:id="253"/>
      <w:bookmarkStart w:id="254" w:name="5.2运营期环境影响分析"/>
      <w:bookmarkEnd w:id="254"/>
      <w:bookmarkStart w:id="255" w:name="_bookmark29"/>
      <w:bookmarkEnd w:id="255"/>
      <w:bookmarkStart w:id="256" w:name="_Toc164667027"/>
      <w:r>
        <w:rPr>
          <w:rFonts w:hint="eastAsia"/>
        </w:rPr>
        <w:t>5.2</w:t>
      </w:r>
      <w:r>
        <w:t>试采期环境影响分析</w:t>
      </w:r>
      <w:bookmarkEnd w:id="256"/>
    </w:p>
    <w:p>
      <w:pPr>
        <w:pStyle w:val="4"/>
        <w:ind w:firstLine="241"/>
      </w:pPr>
      <w:bookmarkStart w:id="257" w:name="5.2.1地表水环境影响分析"/>
      <w:bookmarkEnd w:id="257"/>
      <w:bookmarkStart w:id="258" w:name="_Toc120173155"/>
      <w:r>
        <w:t>5.2.1生态环境影响分析</w:t>
      </w:r>
      <w:bookmarkEnd w:id="258"/>
    </w:p>
    <w:p>
      <w:pPr>
        <w:pStyle w:val="5"/>
      </w:pPr>
      <w:r>
        <w:rPr>
          <w:rFonts w:hint="eastAsia"/>
        </w:rPr>
        <w:t>5.2.1.1</w:t>
      </w:r>
      <w:r>
        <w:t>对土地利用类型的影响</w:t>
      </w:r>
    </w:p>
    <w:p>
      <w:pPr>
        <w:pStyle w:val="129"/>
        <w:ind w:firstLine="480"/>
        <w:rPr>
          <w:bCs/>
          <w:color w:val="000000" w:themeColor="text1"/>
          <w14:textFill>
            <w14:solidFill>
              <w14:schemeClr w14:val="tx1"/>
            </w14:solidFill>
          </w14:textFill>
        </w:rPr>
      </w:pPr>
      <w:r>
        <w:rPr>
          <w:bCs/>
          <w:color w:val="000000" w:themeColor="text1"/>
          <w14:textFill>
            <w14:solidFill>
              <w14:schemeClr w14:val="tx1"/>
            </w14:solidFill>
          </w14:textFill>
        </w:rPr>
        <w:t>本项目试采期将对现有P3011采气站进行扩建，扩建面积约581.3m</w:t>
      </w:r>
      <w:r>
        <w:rPr>
          <w:bCs/>
          <w:color w:val="000000" w:themeColor="text1"/>
          <w:vertAlign w:val="superscript"/>
          <w14:textFill>
            <w14:solidFill>
              <w14:schemeClr w14:val="tx1"/>
            </w14:solidFill>
          </w14:textFill>
        </w:rPr>
        <w:t>2</w:t>
      </w:r>
      <w:r>
        <w:rPr>
          <w:bCs/>
          <w:color w:val="000000" w:themeColor="text1"/>
          <w14:textFill>
            <w14:solidFill>
              <w14:schemeClr w14:val="tx1"/>
            </w14:solidFill>
          </w14:textFill>
        </w:rPr>
        <w:t>，建成后在试采和生产营运区将</w:t>
      </w:r>
      <w:r>
        <w:rPr>
          <w:color w:val="000000" w:themeColor="text1"/>
          <w14:textFill>
            <w14:solidFill>
              <w14:schemeClr w14:val="tx1"/>
            </w14:solidFill>
          </w14:textFill>
        </w:rPr>
        <w:t>改变土地利用的类型</w:t>
      </w:r>
      <w:r>
        <w:rPr>
          <w:bCs/>
          <w:color w:val="000000" w:themeColor="text1"/>
          <w14:textFill>
            <w14:solidFill>
              <w14:schemeClr w14:val="tx1"/>
            </w14:solidFill>
          </w14:textFill>
        </w:rPr>
        <w:t>，采气结束后将对整个区域进行生态恢复，</w:t>
      </w:r>
      <w:r>
        <w:rPr>
          <w:color w:val="000000" w:themeColor="text1"/>
          <w14:textFill>
            <w14:solidFill>
              <w14:schemeClr w14:val="tx1"/>
            </w14:solidFill>
          </w14:textFill>
        </w:rPr>
        <w:t>不会长期改变土地地类，综合来看，整体上不会改变评价区内现有的土地利用类型的基本格局。</w:t>
      </w:r>
    </w:p>
    <w:p>
      <w:pPr>
        <w:pStyle w:val="5"/>
      </w:pPr>
      <w:r>
        <w:rPr>
          <w:rFonts w:hint="eastAsia"/>
        </w:rPr>
        <w:t>5.2.1.2</w:t>
      </w:r>
      <w:r>
        <w:t>对植被及生物量的影响</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（1）工程占地</w:t>
      </w:r>
    </w:p>
    <w:p>
      <w:pPr>
        <w:ind w:firstLine="480"/>
        <w:rPr>
          <w:rFonts w:cs="Times New Roman"/>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本项目试采期将对现有P3011采气站进行扩建，扩建面积约581.3m</w:t>
      </w:r>
      <w:r>
        <w:rPr>
          <w:rFonts w:cs="Times New Roman"/>
          <w:bCs/>
          <w:color w:val="000000" w:themeColor="text1"/>
          <w:vertAlign w:val="superscript"/>
          <w14:textFill>
            <w14:solidFill>
              <w14:schemeClr w14:val="tx1"/>
            </w14:solidFill>
          </w14:textFill>
        </w:rPr>
        <w:t>2</w:t>
      </w:r>
      <w:r>
        <w:rPr>
          <w:rFonts w:cs="Times New Roman"/>
          <w:bCs/>
          <w:color w:val="000000" w:themeColor="text1"/>
          <w14:textFill>
            <w14:solidFill>
              <w14:schemeClr w14:val="tx1"/>
            </w14:solidFill>
          </w14:textFill>
        </w:rPr>
        <w:t>，</w:t>
      </w:r>
      <w:r>
        <w:rPr>
          <w:rFonts w:cs="Times New Roman"/>
          <w:color w:val="000000" w:themeColor="text1"/>
          <w14:textFill>
            <w14:solidFill>
              <w14:schemeClr w14:val="tx1"/>
            </w14:solidFill>
          </w14:textFill>
        </w:rPr>
        <w:t>占地范围内不涉及国家保护野生植物和四川省重点保护野生植物。项目占地损毁的植被类型属于评价范围内普遍分布的类型，损失的只是局部群落及少部分生产力和生物量，占评价区总生产力和总生物量的占比极低。</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（2）人员活动</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本项目试采期为无人值守站场，同时，项目区现有土地开发利用程度较高，野生动物组成比较简单，种类较少，多为已经适应人类生产生活等环境的鸟类和小型啮齿类动物，项目试采对其影响较小。</w:t>
      </w:r>
    </w:p>
    <w:p>
      <w:pPr>
        <w:pStyle w:val="5"/>
      </w:pPr>
      <w:r>
        <w:rPr>
          <w:rFonts w:hint="eastAsia"/>
        </w:rPr>
        <w:t>5.2.1.3</w:t>
      </w:r>
      <w:r>
        <w:t>对陆生野生动物的影响分析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试采期无人值守，但试生产期间的噪声、放空、生产废弃物可能间接对陆生野生动物产生一定影响，其生境在某种程度上会受到一定的影响，但在周边也可以找到相同或相似生境，可迁移到合适生境中生活，对其生存不会造成威胁。同时项目区现有土地开发利用程度较高，野生动物组成比较简单，种类较少，多为已经适应人类生产生活等环境的鸟类和小型啮齿类动物，项目试采期间，要加强对巡检人员教育宣传，严谨非法捕杀野生动物，将对其影响降到最低较小。</w:t>
      </w:r>
    </w:p>
    <w:p>
      <w:pPr>
        <w:pStyle w:val="5"/>
      </w:pPr>
      <w:r>
        <w:rPr>
          <w:rFonts w:hint="eastAsia"/>
        </w:rPr>
        <w:t>5.2.1.4</w:t>
      </w:r>
      <w:r>
        <w:t>对重点保护野生动植物的影响</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根据实地调查，在项目评价区内未发现国家和省级重点保护野生植物。</w:t>
      </w:r>
    </w:p>
    <w:p>
      <w:pPr>
        <w:ind w:firstLine="480"/>
        <w:rPr>
          <w:rFonts w:cs="Times New Roman"/>
          <w:color w:val="000000" w:themeColor="text1"/>
          <w14:textFill>
            <w14:solidFill>
              <w14:schemeClr w14:val="tx1"/>
            </w14:solidFill>
          </w14:textFill>
        </w:rPr>
      </w:pPr>
      <w:r>
        <w:rPr>
          <w:rFonts w:cs="Times New Roman"/>
          <w:bCs/>
          <w:color w:val="000000" w:themeColor="text1"/>
          <w14:textFill>
            <w14:solidFill>
              <w14:schemeClr w14:val="tx1"/>
            </w14:solidFill>
          </w14:textFill>
        </w:rPr>
        <w:t>项目区可能出现的重点保护鸟类雀鹰、画眉等，主要为过境取食及活动，并无栖息地。同时，雀鹰、画眉飞翔能力和自主迁徙能力较强，捕食范围很广，项目运营对其影响很小。在试采期间，要加强在巡检人员中的宣传教育，严禁捕捉野生动物</w:t>
      </w:r>
      <w:r>
        <w:rPr>
          <w:rFonts w:cs="Times New Roman"/>
          <w:color w:val="000000" w:themeColor="text1"/>
          <w14:textFill>
            <w14:solidFill>
              <w14:schemeClr w14:val="tx1"/>
            </w14:solidFill>
          </w14:textFill>
        </w:rPr>
        <w:t>。</w:t>
      </w:r>
    </w:p>
    <w:p>
      <w:pPr>
        <w:pStyle w:val="5"/>
      </w:pPr>
      <w:r>
        <w:rPr>
          <w:rFonts w:hint="eastAsia"/>
        </w:rPr>
        <w:t>5.2.1.5</w:t>
      </w:r>
      <w:r>
        <w:t>对景观生态和生态系统影响分析</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14:textFill>
            <w14:solidFill>
              <w14:schemeClr w14:val="tx1"/>
            </w14:solidFill>
          </w14:textFill>
        </w:rPr>
        <w:t>项目试采期采气站扩建占地面积较小，森林模地根基不会动摇，景观的恢复稳定性和阻抗稳定性不会改变，生态环境不会发生质的变化，项目区及周边区域生态效能、景观风貌、环境质量、物种多样性等生态因子影响很小，不会对区域生态完整性产生影响</w:t>
      </w:r>
      <w:r>
        <w:rPr>
          <w:rFonts w:cs="Times New Roman"/>
          <w:bCs/>
          <w:color w:val="000000" w:themeColor="text1"/>
          <w:szCs w:val="24"/>
          <w14:textFill>
            <w14:solidFill>
              <w14:schemeClr w14:val="tx1"/>
            </w14:solidFill>
          </w14:textFill>
        </w:rPr>
        <w:t>。</w:t>
      </w:r>
    </w:p>
    <w:p>
      <w:pPr>
        <w:pStyle w:val="4"/>
        <w:ind w:firstLine="241"/>
      </w:pPr>
      <w:bookmarkStart w:id="259" w:name="_Toc120173156"/>
      <w:r>
        <w:rPr>
          <w:rFonts w:hint="eastAsia"/>
        </w:rPr>
        <w:t>5.2.2</w:t>
      </w:r>
      <w:r>
        <w:t>大气环境影响分析</w:t>
      </w:r>
      <w:bookmarkEnd w:id="259"/>
    </w:p>
    <w:p>
      <w:pPr>
        <w:ind w:firstLine="480"/>
      </w:pPr>
      <w:r>
        <w:rPr>
          <w:rFonts w:cs="Times New Roman"/>
          <w:color w:val="000000" w:themeColor="text1"/>
          <w:szCs w:val="24"/>
          <w14:textFill>
            <w14:solidFill>
              <w14:schemeClr w14:val="tx1"/>
            </w14:solidFill>
          </w14:textFill>
        </w:rPr>
        <w:t>废气主要来自水套加热炉与放空火炬长明灯天然气燃烧所产生的废气、无组织泄露烃类气体与设备检修或系统超压时排放少量天然气。本项目主要依托原P301集气站内已批复建设放空火炬和P3011采气站内已批复建设生产</w:t>
      </w:r>
      <w:r>
        <w:rPr>
          <w:rFonts w:hint="eastAsia" w:cs="Times New Roman"/>
          <w:color w:val="000000" w:themeColor="text1"/>
          <w:szCs w:val="24"/>
          <w14:textFill>
            <w14:solidFill>
              <w14:schemeClr w14:val="tx1"/>
            </w14:solidFill>
          </w14:textFill>
        </w:rPr>
        <w:t>设施（加热炉）</w:t>
      </w:r>
      <w:r>
        <w:rPr>
          <w:rFonts w:cs="Times New Roman"/>
          <w:color w:val="000000" w:themeColor="text1"/>
          <w:szCs w:val="24"/>
          <w14:textFill>
            <w14:solidFill>
              <w14:schemeClr w14:val="tx1"/>
            </w14:solidFill>
          </w14:textFill>
        </w:rPr>
        <w:t>等，</w:t>
      </w:r>
      <w:r>
        <w:rPr>
          <w:rFonts w:cs="Times New Roman"/>
          <w:bCs/>
          <w:color w:val="000000" w:themeColor="text1"/>
          <w:szCs w:val="24"/>
          <w14:textFill>
            <w14:solidFill>
              <w14:schemeClr w14:val="tx1"/>
            </w14:solidFill>
          </w14:textFill>
        </w:rPr>
        <w:t>本项目的建设不会新增原P301集气站和P3011采气站已验收的既有生产设施的废气量及污染物排放量</w:t>
      </w:r>
      <w:r>
        <w:rPr>
          <w:rFonts w:hint="eastAsia" w:cs="Times New Roman"/>
          <w:bCs/>
          <w:color w:val="000000" w:themeColor="text1"/>
          <w:szCs w:val="24"/>
          <w14:textFill>
            <w14:solidFill>
              <w14:schemeClr w14:val="tx1"/>
            </w14:solidFill>
          </w14:textFill>
        </w:rPr>
        <w:t>。P30</w:t>
      </w:r>
      <w:r>
        <w:rPr>
          <w:rFonts w:cs="Times New Roman"/>
          <w:bCs/>
          <w:color w:val="000000" w:themeColor="text1"/>
          <w:szCs w:val="24"/>
          <w14:textFill>
            <w14:solidFill>
              <w14:schemeClr w14:val="tx1"/>
            </w14:solidFill>
          </w14:textFill>
        </w:rPr>
        <w:t>11</w:t>
      </w:r>
      <w:r>
        <w:rPr>
          <w:rFonts w:hint="eastAsia" w:cs="Times New Roman"/>
          <w:bCs/>
          <w:color w:val="000000" w:themeColor="text1"/>
          <w:szCs w:val="24"/>
          <w14:textFill>
            <w14:solidFill>
              <w14:schemeClr w14:val="tx1"/>
            </w14:solidFill>
          </w14:textFill>
        </w:rPr>
        <w:t>采气站</w:t>
      </w:r>
      <w:r>
        <w:rPr>
          <w:rFonts w:cs="Times New Roman"/>
          <w:bCs/>
          <w:color w:val="000000" w:themeColor="text1"/>
          <w:szCs w:val="24"/>
          <w14:textFill>
            <w14:solidFill>
              <w14:schemeClr w14:val="tx1"/>
            </w14:solidFill>
          </w14:textFill>
        </w:rPr>
        <w:t>水套加热炉</w:t>
      </w:r>
      <w:r>
        <w:rPr>
          <w:rFonts w:hint="eastAsia" w:cs="Times New Roman"/>
          <w:bCs/>
          <w:color w:val="000000" w:themeColor="text1"/>
          <w:szCs w:val="24"/>
          <w14:textFill>
            <w14:solidFill>
              <w14:schemeClr w14:val="tx1"/>
            </w14:solidFill>
          </w14:textFill>
        </w:rPr>
        <w:t>功率能够满足新井接入需求，</w:t>
      </w:r>
      <w:r>
        <w:rPr>
          <w:rFonts w:cs="Times New Roman"/>
          <w:bCs/>
          <w:color w:val="000000" w:themeColor="text1"/>
          <w:szCs w:val="24"/>
          <w14:textFill>
            <w14:solidFill>
              <w14:schemeClr w14:val="tx1"/>
            </w14:solidFill>
          </w14:textFill>
        </w:rPr>
        <w:t>但由于热力负荷的需求，</w:t>
      </w:r>
      <w:r>
        <w:rPr>
          <w:rFonts w:hint="eastAsia" w:cs="Times New Roman"/>
          <w:bCs/>
          <w:color w:val="000000" w:themeColor="text1"/>
          <w:szCs w:val="24"/>
          <w14:textFill>
            <w14:solidFill>
              <w14:schemeClr w14:val="tx1"/>
            </w14:solidFill>
          </w14:textFill>
        </w:rPr>
        <w:t>会新增天然气用量</w:t>
      </w:r>
      <w:r>
        <w:rPr>
          <w:rFonts w:cs="Times New Roman"/>
          <w:bCs/>
          <w:color w:val="000000" w:themeColor="text1"/>
          <w:szCs w:val="24"/>
          <w14:textFill>
            <w14:solidFill>
              <w14:schemeClr w14:val="tx1"/>
            </w14:solidFill>
          </w14:textFill>
        </w:rPr>
        <w:t>，因此，试采工程</w:t>
      </w:r>
      <w:r>
        <w:rPr>
          <w:rFonts w:hint="eastAsia" w:cs="Times New Roman"/>
          <w:bCs/>
          <w:color w:val="000000" w:themeColor="text1"/>
          <w:szCs w:val="24"/>
          <w14:textFill>
            <w14:solidFill>
              <w14:schemeClr w14:val="tx1"/>
            </w14:solidFill>
          </w14:textFill>
        </w:rPr>
        <w:t>考虑依托使用P30</w:t>
      </w:r>
      <w:r>
        <w:rPr>
          <w:rFonts w:cs="Times New Roman"/>
          <w:bCs/>
          <w:color w:val="000000" w:themeColor="text1"/>
          <w:szCs w:val="24"/>
          <w14:textFill>
            <w14:solidFill>
              <w14:schemeClr w14:val="tx1"/>
            </w14:solidFill>
          </w14:textFill>
        </w:rPr>
        <w:t>11</w:t>
      </w:r>
      <w:r>
        <w:rPr>
          <w:rFonts w:hint="eastAsia" w:cs="Times New Roman"/>
          <w:bCs/>
          <w:color w:val="000000" w:themeColor="text1"/>
          <w:szCs w:val="24"/>
          <w14:textFill>
            <w14:solidFill>
              <w14:schemeClr w14:val="tx1"/>
            </w14:solidFill>
          </w14:textFill>
        </w:rPr>
        <w:t>采气站</w:t>
      </w:r>
      <w:r>
        <w:rPr>
          <w:rFonts w:cs="Times New Roman"/>
          <w:bCs/>
          <w:color w:val="000000" w:themeColor="text1"/>
          <w:szCs w:val="24"/>
          <w14:textFill>
            <w14:solidFill>
              <w14:schemeClr w14:val="tx1"/>
            </w14:solidFill>
          </w14:textFill>
        </w:rPr>
        <w:t>1套水套加热炉</w:t>
      </w:r>
      <w:r>
        <w:rPr>
          <w:rFonts w:hint="eastAsia" w:cs="Times New Roman"/>
          <w:bCs/>
          <w:color w:val="000000" w:themeColor="text1"/>
          <w:szCs w:val="24"/>
          <w14:textFill>
            <w14:solidFill>
              <w14:schemeClr w14:val="tx1"/>
            </w14:solidFill>
          </w14:textFill>
        </w:rPr>
        <w:t>新增废气</w:t>
      </w:r>
      <w:r>
        <w:rPr>
          <w:rFonts w:cs="Times New Roman"/>
          <w:bCs/>
          <w:color w:val="000000" w:themeColor="text1"/>
          <w:szCs w:val="24"/>
          <w14:textFill>
            <w14:solidFill>
              <w14:schemeClr w14:val="tx1"/>
            </w14:solidFill>
          </w14:textFill>
        </w:rPr>
        <w:t>对周边大气环境质量的影响。</w:t>
      </w:r>
    </w:p>
    <w:p>
      <w:pPr>
        <w:ind w:firstLine="480"/>
        <w:rPr>
          <w:rFonts w:cs="Times New Roman"/>
          <w:szCs w:val="24"/>
        </w:rPr>
      </w:pPr>
      <w:r>
        <w:rPr>
          <w:rFonts w:cs="Times New Roman"/>
          <w:szCs w:val="24"/>
        </w:rPr>
        <w:t>（1）源强参数分析</w:t>
      </w:r>
    </w:p>
    <w:p>
      <w:pPr>
        <w:ind w:firstLine="480"/>
        <w:rPr>
          <w:rFonts w:cs="Times New Roman"/>
          <w:bCs/>
          <w:szCs w:val="24"/>
        </w:rPr>
      </w:pPr>
      <w:r>
        <w:rPr>
          <w:rFonts w:cs="Times New Roman"/>
          <w:szCs w:val="24"/>
        </w:rPr>
        <w:t>根据前文工程分析，本项目</w:t>
      </w:r>
      <w:r>
        <w:rPr>
          <w:rFonts w:hint="eastAsia" w:cs="Times New Roman"/>
          <w:szCs w:val="24"/>
        </w:rPr>
        <w:t>依托</w:t>
      </w:r>
      <w:r>
        <w:rPr>
          <w:rFonts w:cs="Times New Roman"/>
          <w:szCs w:val="24"/>
        </w:rPr>
        <w:t>的1套水套加热炉的产排污情况见下表。</w:t>
      </w:r>
    </w:p>
    <w:p>
      <w:pPr>
        <w:pStyle w:val="95"/>
      </w:pPr>
      <w:r>
        <w:t>表 5.2-1</w:t>
      </w:r>
      <w:r>
        <w:rPr>
          <w:rFonts w:hint="eastAsia"/>
        </w:rPr>
        <w:t xml:space="preserve"> </w:t>
      </w:r>
      <w:r>
        <w:t xml:space="preserve"> 废气有组织污染源点源清单</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0" w:type="dxa"/>
          <w:bottom w:w="0" w:type="dxa"/>
          <w:right w:w="0" w:type="dxa"/>
        </w:tblCellMar>
      </w:tblPr>
      <w:tblGrid>
        <w:gridCol w:w="655"/>
        <w:gridCol w:w="428"/>
        <w:gridCol w:w="1224"/>
        <w:gridCol w:w="1119"/>
        <w:gridCol w:w="600"/>
        <w:gridCol w:w="600"/>
        <w:gridCol w:w="600"/>
        <w:gridCol w:w="646"/>
        <w:gridCol w:w="831"/>
        <w:gridCol w:w="489"/>
        <w:gridCol w:w="594"/>
        <w:gridCol w:w="54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465" w:type="pct"/>
            <w:vMerge w:val="restart"/>
            <w:vAlign w:val="center"/>
          </w:tcPr>
          <w:p>
            <w:pPr>
              <w:spacing w:line="240" w:lineRule="auto"/>
              <w:ind w:firstLine="0" w:firstLineChars="0"/>
              <w:jc w:val="center"/>
              <w:rPr>
                <w:rFonts w:cs="Times New Roman"/>
                <w:sz w:val="21"/>
                <w:szCs w:val="21"/>
              </w:rPr>
            </w:pPr>
            <w:r>
              <w:rPr>
                <w:rFonts w:cs="Times New Roman"/>
                <w:sz w:val="21"/>
                <w:szCs w:val="21"/>
              </w:rPr>
              <w:t>污染源名称</w:t>
            </w:r>
          </w:p>
        </w:tc>
        <w:tc>
          <w:tcPr>
            <w:tcW w:w="329" w:type="pct"/>
            <w:vMerge w:val="restart"/>
            <w:vAlign w:val="center"/>
          </w:tcPr>
          <w:p>
            <w:pPr>
              <w:spacing w:line="240" w:lineRule="auto"/>
              <w:ind w:firstLine="0" w:firstLineChars="0"/>
              <w:jc w:val="center"/>
              <w:rPr>
                <w:rFonts w:cs="Times New Roman"/>
                <w:sz w:val="21"/>
                <w:szCs w:val="21"/>
              </w:rPr>
            </w:pPr>
            <w:r>
              <w:rPr>
                <w:rFonts w:cs="Times New Roman"/>
                <w:sz w:val="21"/>
                <w:szCs w:val="21"/>
              </w:rPr>
              <w:t>排气筒编号</w:t>
            </w:r>
          </w:p>
        </w:tc>
        <w:tc>
          <w:tcPr>
            <w:tcW w:w="791" w:type="pct"/>
            <w:gridSpan w:val="2"/>
            <w:vAlign w:val="center"/>
          </w:tcPr>
          <w:p>
            <w:pPr>
              <w:spacing w:line="240" w:lineRule="auto"/>
              <w:ind w:firstLine="0" w:firstLineChars="0"/>
              <w:jc w:val="center"/>
              <w:rPr>
                <w:rFonts w:cs="Times New Roman"/>
                <w:sz w:val="21"/>
                <w:szCs w:val="21"/>
              </w:rPr>
            </w:pPr>
            <w:r>
              <w:rPr>
                <w:rFonts w:cs="Times New Roman"/>
                <w:sz w:val="21"/>
                <w:szCs w:val="21"/>
              </w:rPr>
              <w:t>排气筒底部中心坐标</w:t>
            </w:r>
          </w:p>
        </w:tc>
        <w:tc>
          <w:tcPr>
            <w:tcW w:w="398" w:type="pct"/>
            <w:vMerge w:val="restart"/>
            <w:vAlign w:val="center"/>
          </w:tcPr>
          <w:p>
            <w:pPr>
              <w:spacing w:line="240" w:lineRule="auto"/>
              <w:ind w:firstLine="0" w:firstLineChars="0"/>
              <w:jc w:val="center"/>
              <w:rPr>
                <w:rFonts w:cs="Times New Roman"/>
                <w:sz w:val="21"/>
                <w:szCs w:val="21"/>
              </w:rPr>
            </w:pPr>
            <w:r>
              <w:rPr>
                <w:rFonts w:cs="Times New Roman"/>
                <w:sz w:val="21"/>
                <w:szCs w:val="21"/>
              </w:rPr>
              <w:t>排气筒底部海拔高度（m）</w:t>
            </w:r>
          </w:p>
        </w:tc>
        <w:tc>
          <w:tcPr>
            <w:tcW w:w="1683" w:type="pct"/>
            <w:gridSpan w:val="4"/>
            <w:vAlign w:val="center"/>
          </w:tcPr>
          <w:p>
            <w:pPr>
              <w:spacing w:line="240" w:lineRule="auto"/>
              <w:ind w:firstLine="0" w:firstLineChars="0"/>
              <w:jc w:val="center"/>
              <w:rPr>
                <w:rFonts w:cs="Times New Roman"/>
                <w:sz w:val="21"/>
                <w:szCs w:val="21"/>
              </w:rPr>
            </w:pPr>
            <w:r>
              <w:rPr>
                <w:rFonts w:cs="Times New Roman"/>
                <w:sz w:val="21"/>
                <w:szCs w:val="21"/>
              </w:rPr>
              <w:t>排气筒参数</w:t>
            </w:r>
          </w:p>
        </w:tc>
        <w:tc>
          <w:tcPr>
            <w:tcW w:w="1333" w:type="pct"/>
            <w:gridSpan w:val="3"/>
            <w:vAlign w:val="center"/>
          </w:tcPr>
          <w:p>
            <w:pPr>
              <w:spacing w:line="240" w:lineRule="auto"/>
              <w:ind w:firstLine="0" w:firstLineChars="0"/>
              <w:jc w:val="center"/>
              <w:rPr>
                <w:rFonts w:cs="Times New Roman"/>
                <w:sz w:val="21"/>
                <w:szCs w:val="21"/>
              </w:rPr>
            </w:pPr>
            <w:r>
              <w:rPr>
                <w:rFonts w:cs="Times New Roman"/>
                <w:sz w:val="21"/>
                <w:szCs w:val="21"/>
              </w:rPr>
              <w:t>污染物排放速率（kg/h）</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465" w:type="pct"/>
            <w:vMerge w:val="continue"/>
            <w:vAlign w:val="center"/>
          </w:tcPr>
          <w:p>
            <w:pPr>
              <w:spacing w:line="240" w:lineRule="auto"/>
              <w:ind w:firstLine="0" w:firstLineChars="0"/>
              <w:jc w:val="center"/>
              <w:rPr>
                <w:rFonts w:cs="Times New Roman"/>
                <w:sz w:val="21"/>
                <w:szCs w:val="21"/>
              </w:rPr>
            </w:pPr>
          </w:p>
        </w:tc>
        <w:tc>
          <w:tcPr>
            <w:tcW w:w="329" w:type="pct"/>
            <w:vMerge w:val="continue"/>
            <w:vAlign w:val="center"/>
          </w:tcPr>
          <w:p>
            <w:pPr>
              <w:spacing w:line="240" w:lineRule="auto"/>
              <w:ind w:firstLine="0" w:firstLineChars="0"/>
              <w:jc w:val="center"/>
              <w:rPr>
                <w:rFonts w:cs="Times New Roman"/>
                <w:sz w:val="21"/>
                <w:szCs w:val="21"/>
              </w:rPr>
            </w:pPr>
          </w:p>
        </w:tc>
        <w:tc>
          <w:tcPr>
            <w:tcW w:w="409" w:type="pct"/>
            <w:vAlign w:val="center"/>
          </w:tcPr>
          <w:p>
            <w:pPr>
              <w:spacing w:line="240" w:lineRule="auto"/>
              <w:ind w:firstLine="0" w:firstLineChars="0"/>
              <w:jc w:val="center"/>
              <w:rPr>
                <w:rFonts w:cs="Times New Roman"/>
                <w:sz w:val="21"/>
                <w:szCs w:val="21"/>
              </w:rPr>
            </w:pPr>
            <w:r>
              <w:rPr>
                <w:rFonts w:cs="Times New Roman"/>
                <w:sz w:val="21"/>
                <w:szCs w:val="21"/>
              </w:rPr>
              <w:t>经度</w:t>
            </w:r>
          </w:p>
        </w:tc>
        <w:tc>
          <w:tcPr>
            <w:tcW w:w="382" w:type="pct"/>
            <w:vAlign w:val="center"/>
          </w:tcPr>
          <w:p>
            <w:pPr>
              <w:spacing w:line="240" w:lineRule="auto"/>
              <w:ind w:firstLine="0" w:firstLineChars="0"/>
              <w:jc w:val="center"/>
              <w:rPr>
                <w:rFonts w:cs="Times New Roman"/>
                <w:sz w:val="21"/>
                <w:szCs w:val="21"/>
              </w:rPr>
            </w:pPr>
            <w:r>
              <w:rPr>
                <w:rFonts w:cs="Times New Roman"/>
                <w:sz w:val="21"/>
                <w:szCs w:val="21"/>
              </w:rPr>
              <w:t>纬度</w:t>
            </w:r>
          </w:p>
        </w:tc>
        <w:tc>
          <w:tcPr>
            <w:tcW w:w="398" w:type="pct"/>
            <w:vMerge w:val="continue"/>
            <w:vAlign w:val="center"/>
          </w:tcPr>
          <w:p>
            <w:pPr>
              <w:spacing w:line="240" w:lineRule="auto"/>
              <w:ind w:firstLine="0" w:firstLineChars="0"/>
              <w:jc w:val="center"/>
              <w:rPr>
                <w:rFonts w:cs="Times New Roman"/>
                <w:sz w:val="21"/>
                <w:szCs w:val="21"/>
              </w:rPr>
            </w:pPr>
          </w:p>
        </w:tc>
        <w:tc>
          <w:tcPr>
            <w:tcW w:w="398" w:type="pct"/>
            <w:vAlign w:val="center"/>
          </w:tcPr>
          <w:p>
            <w:pPr>
              <w:spacing w:line="240" w:lineRule="auto"/>
              <w:ind w:firstLine="0" w:firstLineChars="0"/>
              <w:jc w:val="center"/>
              <w:rPr>
                <w:rFonts w:cs="Times New Roman"/>
                <w:sz w:val="21"/>
                <w:szCs w:val="21"/>
              </w:rPr>
            </w:pPr>
            <w:r>
              <w:rPr>
                <w:rFonts w:cs="Times New Roman"/>
                <w:sz w:val="21"/>
                <w:szCs w:val="21"/>
              </w:rPr>
              <w:t>高度（m）</w:t>
            </w:r>
          </w:p>
        </w:tc>
        <w:tc>
          <w:tcPr>
            <w:tcW w:w="398" w:type="pct"/>
            <w:vAlign w:val="center"/>
          </w:tcPr>
          <w:p>
            <w:pPr>
              <w:spacing w:line="240" w:lineRule="auto"/>
              <w:ind w:firstLine="0" w:firstLineChars="0"/>
              <w:jc w:val="center"/>
              <w:rPr>
                <w:rFonts w:cs="Times New Roman"/>
                <w:sz w:val="21"/>
                <w:szCs w:val="21"/>
              </w:rPr>
            </w:pPr>
            <w:r>
              <w:rPr>
                <w:rFonts w:cs="Times New Roman"/>
                <w:sz w:val="21"/>
                <w:szCs w:val="21"/>
              </w:rPr>
              <w:t>内径（m）</w:t>
            </w:r>
          </w:p>
        </w:tc>
        <w:tc>
          <w:tcPr>
            <w:tcW w:w="421" w:type="pct"/>
            <w:vAlign w:val="center"/>
          </w:tcPr>
          <w:p>
            <w:pPr>
              <w:spacing w:line="240" w:lineRule="auto"/>
              <w:ind w:firstLine="0" w:firstLineChars="0"/>
              <w:jc w:val="center"/>
              <w:rPr>
                <w:rFonts w:cs="Times New Roman"/>
                <w:sz w:val="21"/>
                <w:szCs w:val="21"/>
              </w:rPr>
            </w:pPr>
            <w:r>
              <w:rPr>
                <w:rFonts w:cs="Times New Roman"/>
                <w:sz w:val="21"/>
                <w:szCs w:val="21"/>
              </w:rPr>
              <w:t>温度（</w:t>
            </w:r>
            <w:r>
              <w:rPr>
                <w:rFonts w:hint="eastAsia" w:ascii="宋体" w:hAnsi="宋体" w:cs="宋体"/>
                <w:sz w:val="21"/>
                <w:szCs w:val="21"/>
              </w:rPr>
              <w:t>℃</w:t>
            </w:r>
            <w:r>
              <w:rPr>
                <w:rFonts w:cs="Times New Roman"/>
                <w:sz w:val="21"/>
                <w:szCs w:val="21"/>
              </w:rPr>
              <w:t>）</w:t>
            </w:r>
          </w:p>
        </w:tc>
        <w:tc>
          <w:tcPr>
            <w:tcW w:w="465" w:type="pct"/>
            <w:vAlign w:val="center"/>
          </w:tcPr>
          <w:p>
            <w:pPr>
              <w:spacing w:line="240" w:lineRule="auto"/>
              <w:ind w:firstLine="0" w:firstLineChars="0"/>
              <w:jc w:val="center"/>
              <w:rPr>
                <w:rFonts w:cs="Times New Roman"/>
                <w:sz w:val="21"/>
                <w:szCs w:val="21"/>
              </w:rPr>
            </w:pPr>
            <w:r>
              <w:rPr>
                <w:rFonts w:cs="Times New Roman"/>
                <w:sz w:val="21"/>
                <w:szCs w:val="21"/>
              </w:rPr>
              <w:t>流</w:t>
            </w:r>
            <w:r>
              <w:rPr>
                <w:rFonts w:hint="eastAsia" w:cs="Times New Roman"/>
                <w:sz w:val="21"/>
                <w:szCs w:val="21"/>
              </w:rPr>
              <w:t>量</w:t>
            </w:r>
            <w:r>
              <w:rPr>
                <w:rFonts w:cs="Times New Roman"/>
                <w:sz w:val="21"/>
                <w:szCs w:val="21"/>
              </w:rPr>
              <w:t>（m</w:t>
            </w:r>
            <w:r>
              <w:rPr>
                <w:rFonts w:cs="Times New Roman"/>
                <w:sz w:val="21"/>
                <w:szCs w:val="21"/>
                <w:vertAlign w:val="superscript"/>
              </w:rPr>
              <w:t>3</w:t>
            </w:r>
            <w:r>
              <w:rPr>
                <w:rFonts w:cs="Times New Roman"/>
                <w:sz w:val="21"/>
                <w:szCs w:val="21"/>
              </w:rPr>
              <w:t>/h）</w:t>
            </w:r>
          </w:p>
        </w:tc>
        <w:tc>
          <w:tcPr>
            <w:tcW w:w="444" w:type="pct"/>
            <w:vAlign w:val="center"/>
          </w:tcPr>
          <w:p>
            <w:pPr>
              <w:spacing w:line="240" w:lineRule="auto"/>
              <w:ind w:firstLine="0" w:firstLineChars="0"/>
              <w:jc w:val="center"/>
              <w:rPr>
                <w:rFonts w:cs="Times New Roman"/>
                <w:sz w:val="21"/>
                <w:szCs w:val="21"/>
              </w:rPr>
            </w:pPr>
            <w:r>
              <w:rPr>
                <w:rFonts w:hint="eastAsia" w:cs="Times New Roman"/>
                <w:sz w:val="21"/>
                <w:szCs w:val="21"/>
              </w:rPr>
              <w:t>颗粒物</w:t>
            </w:r>
          </w:p>
        </w:tc>
        <w:tc>
          <w:tcPr>
            <w:tcW w:w="444" w:type="pct"/>
            <w:vAlign w:val="center"/>
          </w:tcPr>
          <w:p>
            <w:pPr>
              <w:spacing w:line="240" w:lineRule="auto"/>
              <w:ind w:firstLine="0" w:firstLineChars="0"/>
              <w:jc w:val="center"/>
              <w:rPr>
                <w:rFonts w:cs="Times New Roman"/>
                <w:sz w:val="21"/>
                <w:szCs w:val="21"/>
              </w:rPr>
            </w:pPr>
            <w:r>
              <w:rPr>
                <w:rFonts w:cs="Times New Roman"/>
                <w:sz w:val="21"/>
                <w:szCs w:val="21"/>
              </w:rPr>
              <w:t>SO</w:t>
            </w:r>
            <w:r>
              <w:rPr>
                <w:rFonts w:cs="Times New Roman"/>
                <w:sz w:val="21"/>
                <w:szCs w:val="21"/>
                <w:vertAlign w:val="subscript"/>
              </w:rPr>
              <w:t>2</w:t>
            </w:r>
          </w:p>
        </w:tc>
        <w:tc>
          <w:tcPr>
            <w:tcW w:w="444" w:type="pct"/>
            <w:vAlign w:val="center"/>
          </w:tcPr>
          <w:p>
            <w:pPr>
              <w:spacing w:line="240" w:lineRule="auto"/>
              <w:ind w:firstLine="0" w:firstLineChars="0"/>
              <w:jc w:val="center"/>
              <w:rPr>
                <w:rFonts w:cs="Times New Roman"/>
                <w:sz w:val="21"/>
                <w:szCs w:val="21"/>
              </w:rPr>
            </w:pPr>
            <w:r>
              <w:rPr>
                <w:rFonts w:cs="Times New Roman"/>
                <w:sz w:val="21"/>
                <w:szCs w:val="21"/>
              </w:rPr>
              <w:t>NOx</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465" w:type="pct"/>
            <w:vAlign w:val="center"/>
          </w:tcPr>
          <w:p>
            <w:pPr>
              <w:spacing w:line="320" w:lineRule="exact"/>
              <w:ind w:firstLine="0" w:firstLineChars="0"/>
              <w:jc w:val="center"/>
              <w:rPr>
                <w:rFonts w:cs="Times New Roman"/>
                <w:bCs/>
                <w:sz w:val="21"/>
                <w:szCs w:val="21"/>
              </w:rPr>
            </w:pPr>
            <w:r>
              <w:rPr>
                <w:rFonts w:cs="Times New Roman"/>
                <w:bCs/>
                <w:sz w:val="21"/>
                <w:szCs w:val="21"/>
              </w:rPr>
              <w:t>水套加热炉排气筒</w:t>
            </w:r>
          </w:p>
        </w:tc>
        <w:tc>
          <w:tcPr>
            <w:tcW w:w="329" w:type="pct"/>
            <w:vAlign w:val="center"/>
          </w:tcPr>
          <w:p>
            <w:pPr>
              <w:spacing w:line="320" w:lineRule="exact"/>
              <w:ind w:firstLine="0" w:firstLineChars="0"/>
              <w:jc w:val="center"/>
              <w:rPr>
                <w:rFonts w:cs="Times New Roman"/>
                <w:bCs/>
                <w:sz w:val="21"/>
                <w:szCs w:val="21"/>
              </w:rPr>
            </w:pPr>
            <w:r>
              <w:rPr>
                <w:rFonts w:cs="Times New Roman"/>
                <w:bCs/>
                <w:sz w:val="21"/>
                <w:szCs w:val="21"/>
              </w:rPr>
              <w:t>P1</w:t>
            </w:r>
          </w:p>
        </w:tc>
        <w:tc>
          <w:tcPr>
            <w:tcW w:w="409" w:type="pct"/>
            <w:vAlign w:val="center"/>
          </w:tcPr>
          <w:p>
            <w:pPr>
              <w:spacing w:line="240" w:lineRule="auto"/>
              <w:ind w:firstLine="0" w:firstLineChars="0"/>
              <w:jc w:val="center"/>
              <w:rPr>
                <w:rFonts w:cs="Times New Roman"/>
                <w:sz w:val="21"/>
                <w:szCs w:val="21"/>
              </w:rPr>
            </w:pPr>
            <w:r>
              <w:rPr>
                <w:rFonts w:cs="Times New Roman"/>
                <w:sz w:val="21"/>
                <w:szCs w:val="21"/>
              </w:rPr>
              <w:t>107.762291</w:t>
            </w:r>
            <w:r>
              <w:rPr>
                <w:rFonts w:hint="eastAsia" w:cs="Times New Roman"/>
                <w:sz w:val="21"/>
                <w:szCs w:val="21"/>
              </w:rPr>
              <w:t>°</w:t>
            </w:r>
          </w:p>
        </w:tc>
        <w:tc>
          <w:tcPr>
            <w:tcW w:w="382" w:type="pct"/>
            <w:vAlign w:val="center"/>
          </w:tcPr>
          <w:p>
            <w:pPr>
              <w:spacing w:line="240" w:lineRule="auto"/>
              <w:ind w:firstLine="0" w:firstLineChars="0"/>
              <w:jc w:val="center"/>
              <w:rPr>
                <w:rFonts w:cs="Times New Roman"/>
                <w:sz w:val="21"/>
                <w:szCs w:val="21"/>
              </w:rPr>
            </w:pPr>
            <w:r>
              <w:rPr>
                <w:rFonts w:cs="Times New Roman"/>
                <w:sz w:val="21"/>
                <w:szCs w:val="21"/>
              </w:rPr>
              <w:t>31.527267</w:t>
            </w:r>
            <w:r>
              <w:rPr>
                <w:rFonts w:hint="eastAsia" w:cs="Times New Roman"/>
                <w:sz w:val="21"/>
                <w:szCs w:val="21"/>
              </w:rPr>
              <w:t>°</w:t>
            </w:r>
          </w:p>
        </w:tc>
        <w:tc>
          <w:tcPr>
            <w:tcW w:w="398" w:type="pct"/>
            <w:vAlign w:val="center"/>
          </w:tcPr>
          <w:p>
            <w:pPr>
              <w:spacing w:line="240" w:lineRule="auto"/>
              <w:ind w:firstLine="0" w:firstLineChars="0"/>
              <w:jc w:val="center"/>
              <w:rPr>
                <w:rFonts w:cs="Times New Roman"/>
                <w:sz w:val="21"/>
                <w:szCs w:val="21"/>
              </w:rPr>
            </w:pPr>
            <w:r>
              <w:rPr>
                <w:rFonts w:hint="eastAsia" w:cs="Times New Roman"/>
                <w:sz w:val="21"/>
                <w:szCs w:val="21"/>
              </w:rPr>
              <w:t>5</w:t>
            </w:r>
            <w:r>
              <w:rPr>
                <w:rFonts w:cs="Times New Roman"/>
                <w:sz w:val="21"/>
                <w:szCs w:val="21"/>
              </w:rPr>
              <w:t>77</w:t>
            </w:r>
          </w:p>
        </w:tc>
        <w:tc>
          <w:tcPr>
            <w:tcW w:w="398" w:type="pct"/>
            <w:vAlign w:val="center"/>
          </w:tcPr>
          <w:p>
            <w:pPr>
              <w:spacing w:line="240" w:lineRule="auto"/>
              <w:ind w:firstLine="0" w:firstLineChars="0"/>
              <w:jc w:val="center"/>
              <w:rPr>
                <w:rFonts w:cs="Times New Roman"/>
                <w:sz w:val="21"/>
                <w:szCs w:val="21"/>
              </w:rPr>
            </w:pPr>
            <w:r>
              <w:rPr>
                <w:rFonts w:hint="eastAsia" w:cs="Times New Roman"/>
                <w:sz w:val="21"/>
                <w:szCs w:val="21"/>
              </w:rPr>
              <w:t>8</w:t>
            </w:r>
          </w:p>
        </w:tc>
        <w:tc>
          <w:tcPr>
            <w:tcW w:w="398" w:type="pct"/>
            <w:vAlign w:val="center"/>
          </w:tcPr>
          <w:p>
            <w:pPr>
              <w:spacing w:line="240" w:lineRule="auto"/>
              <w:ind w:firstLine="0" w:firstLineChars="0"/>
              <w:jc w:val="center"/>
              <w:textAlignment w:val="center"/>
              <w:rPr>
                <w:rFonts w:cs="Times New Roman"/>
                <w:sz w:val="21"/>
                <w:szCs w:val="21"/>
              </w:rPr>
            </w:pPr>
            <w:r>
              <w:rPr>
                <w:rFonts w:cs="Times New Roman"/>
                <w:sz w:val="21"/>
                <w:szCs w:val="21"/>
                <w:lang w:bidi="ar"/>
              </w:rPr>
              <w:t>0.</w:t>
            </w:r>
            <w:r>
              <w:rPr>
                <w:rFonts w:hint="eastAsia" w:cs="Times New Roman"/>
                <w:sz w:val="21"/>
                <w:szCs w:val="21"/>
                <w:lang w:bidi="ar"/>
              </w:rPr>
              <w:t>2</w:t>
            </w:r>
          </w:p>
        </w:tc>
        <w:tc>
          <w:tcPr>
            <w:tcW w:w="421" w:type="pct"/>
            <w:vAlign w:val="center"/>
          </w:tcPr>
          <w:p>
            <w:pPr>
              <w:spacing w:line="240" w:lineRule="auto"/>
              <w:ind w:firstLine="0" w:firstLineChars="0"/>
              <w:jc w:val="center"/>
              <w:rPr>
                <w:rFonts w:cs="Times New Roman"/>
                <w:sz w:val="21"/>
                <w:szCs w:val="21"/>
              </w:rPr>
            </w:pPr>
            <w:r>
              <w:rPr>
                <w:rFonts w:cs="Times New Roman"/>
                <w:sz w:val="21"/>
                <w:szCs w:val="21"/>
              </w:rPr>
              <w:t>200</w:t>
            </w:r>
          </w:p>
        </w:tc>
        <w:tc>
          <w:tcPr>
            <w:tcW w:w="465" w:type="pct"/>
            <w:vAlign w:val="center"/>
          </w:tcPr>
          <w:p>
            <w:pPr>
              <w:spacing w:line="240" w:lineRule="auto"/>
              <w:ind w:firstLine="0" w:firstLineChars="0"/>
              <w:jc w:val="center"/>
              <w:textAlignment w:val="center"/>
              <w:rPr>
                <w:rFonts w:cs="Times New Roman"/>
                <w:sz w:val="21"/>
                <w:szCs w:val="21"/>
              </w:rPr>
            </w:pPr>
            <w:r>
              <w:rPr>
                <w:rFonts w:hint="eastAsia" w:cs="Times New Roman"/>
                <w:sz w:val="21"/>
                <w:szCs w:val="21"/>
              </w:rPr>
              <w:t>1247.13</w:t>
            </w:r>
          </w:p>
        </w:tc>
        <w:tc>
          <w:tcPr>
            <w:tcW w:w="444" w:type="pct"/>
            <w:vAlign w:val="center"/>
          </w:tcPr>
          <w:p>
            <w:pPr>
              <w:spacing w:line="240" w:lineRule="auto"/>
              <w:ind w:firstLine="0" w:firstLineChars="0"/>
              <w:jc w:val="center"/>
              <w:rPr>
                <w:rFonts w:cs="Times New Roman"/>
                <w:sz w:val="21"/>
                <w:szCs w:val="21"/>
              </w:rPr>
            </w:pPr>
            <w:r>
              <w:rPr>
                <w:rFonts w:hint="eastAsia" w:cs="Times New Roman"/>
                <w:sz w:val="21"/>
                <w:szCs w:val="21"/>
              </w:rPr>
              <w:t>0.023</w:t>
            </w:r>
          </w:p>
        </w:tc>
        <w:tc>
          <w:tcPr>
            <w:tcW w:w="444" w:type="pct"/>
            <w:vAlign w:val="center"/>
          </w:tcPr>
          <w:p>
            <w:pPr>
              <w:spacing w:line="240" w:lineRule="auto"/>
              <w:ind w:firstLine="0" w:firstLineChars="0"/>
              <w:jc w:val="center"/>
              <w:rPr>
                <w:rFonts w:cs="Times New Roman"/>
                <w:sz w:val="21"/>
                <w:szCs w:val="21"/>
              </w:rPr>
            </w:pPr>
            <w:r>
              <w:rPr>
                <w:rFonts w:cs="Times New Roman"/>
                <w:sz w:val="21"/>
                <w:szCs w:val="21"/>
              </w:rPr>
              <w:t>0.00</w:t>
            </w:r>
            <w:r>
              <w:rPr>
                <w:rFonts w:hint="eastAsia" w:cs="Times New Roman"/>
                <w:sz w:val="21"/>
                <w:szCs w:val="21"/>
              </w:rPr>
              <w:t>14</w:t>
            </w:r>
          </w:p>
        </w:tc>
        <w:tc>
          <w:tcPr>
            <w:tcW w:w="444" w:type="pct"/>
            <w:vAlign w:val="center"/>
          </w:tcPr>
          <w:p>
            <w:pPr>
              <w:spacing w:line="240" w:lineRule="auto"/>
              <w:ind w:firstLine="0" w:firstLineChars="0"/>
              <w:jc w:val="center"/>
              <w:rPr>
                <w:rFonts w:cs="Times New Roman"/>
                <w:sz w:val="21"/>
                <w:szCs w:val="21"/>
              </w:rPr>
            </w:pPr>
            <w:r>
              <w:rPr>
                <w:rFonts w:cs="Times New Roman"/>
                <w:sz w:val="21"/>
                <w:szCs w:val="21"/>
              </w:rPr>
              <w:t>0.0</w:t>
            </w:r>
            <w:r>
              <w:rPr>
                <w:rFonts w:hint="eastAsia" w:cs="Times New Roman"/>
                <w:sz w:val="21"/>
                <w:szCs w:val="21"/>
              </w:rPr>
              <w:t>81</w:t>
            </w:r>
          </w:p>
        </w:tc>
      </w:tr>
    </w:tbl>
    <w:p>
      <w:pPr>
        <w:spacing w:before="120" w:beforeLines="50"/>
        <w:ind w:firstLine="480"/>
        <w:rPr>
          <w:rFonts w:cs="Times New Roman"/>
          <w:szCs w:val="20"/>
        </w:rPr>
      </w:pPr>
      <w:r>
        <w:rPr>
          <w:rFonts w:cs="Times New Roman"/>
          <w:szCs w:val="20"/>
        </w:rPr>
        <w:t>（2）预测估算模式参数</w:t>
      </w:r>
    </w:p>
    <w:p>
      <w:pPr>
        <w:ind w:firstLine="480"/>
        <w:rPr>
          <w:rFonts w:cs="Times New Roman"/>
          <w:szCs w:val="20"/>
        </w:rPr>
      </w:pPr>
      <w:r>
        <w:rPr>
          <w:rFonts w:cs="Times New Roman"/>
          <w:szCs w:val="20"/>
        </w:rPr>
        <w:t>本次评价估算模式所用参数见下表：</w:t>
      </w:r>
    </w:p>
    <w:p>
      <w:pPr>
        <w:pStyle w:val="95"/>
      </w:pPr>
      <w:r>
        <w:t>表5.2-2  项目大气影响预测参数情况表</w:t>
      </w:r>
    </w:p>
    <w:tbl>
      <w:tblPr>
        <w:tblStyle w:val="52"/>
        <w:tblW w:w="822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912"/>
        <w:gridCol w:w="3426"/>
        <w:gridCol w:w="188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spacing w:line="240" w:lineRule="auto"/>
              <w:ind w:firstLine="480" w:firstLineChars="0"/>
              <w:jc w:val="center"/>
              <w:rPr>
                <w:rFonts w:cs="Times New Roman"/>
                <w:sz w:val="21"/>
                <w:szCs w:val="21"/>
              </w:rPr>
            </w:pPr>
            <w:r>
              <w:rPr>
                <w:rFonts w:cs="Times New Roman"/>
                <w:sz w:val="21"/>
                <w:szCs w:val="21"/>
              </w:rPr>
              <w:t>参数</w:t>
            </w: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取值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spacing w:line="240" w:lineRule="auto"/>
              <w:ind w:firstLine="480" w:firstLineChars="0"/>
              <w:jc w:val="center"/>
              <w:rPr>
                <w:rFonts w:cs="Times New Roman"/>
                <w:sz w:val="21"/>
                <w:szCs w:val="21"/>
              </w:rPr>
            </w:pPr>
            <w:r>
              <w:rPr>
                <w:rFonts w:cs="Times New Roman"/>
                <w:sz w:val="21"/>
                <w:szCs w:val="21"/>
              </w:rPr>
              <w:t>城市/农村选项</w:t>
            </w: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城市/农村</w:t>
            </w: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农村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spacing w:line="240" w:lineRule="auto"/>
              <w:ind w:firstLine="480" w:firstLineChars="0"/>
              <w:jc w:val="center"/>
              <w:rPr>
                <w:rFonts w:cs="Times New Roman"/>
                <w:sz w:val="21"/>
                <w:szCs w:val="21"/>
              </w:rPr>
            </w:pP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人口数（城市选项时）</w:t>
            </w: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spacing w:line="240" w:lineRule="auto"/>
              <w:ind w:firstLine="480" w:firstLineChars="0"/>
              <w:jc w:val="center"/>
              <w:rPr>
                <w:rFonts w:cs="Times New Roman"/>
                <w:sz w:val="21"/>
                <w:szCs w:val="21"/>
              </w:rPr>
            </w:pPr>
            <w:r>
              <w:rPr>
                <w:rFonts w:cs="Times New Roman"/>
                <w:sz w:val="21"/>
                <w:szCs w:val="21"/>
              </w:rPr>
              <w:t>最高环境温度/</w:t>
            </w:r>
            <w:r>
              <w:rPr>
                <w:rFonts w:hint="eastAsia" w:ascii="宋体" w:hAnsi="宋体" w:cs="宋体"/>
                <w:sz w:val="21"/>
                <w:szCs w:val="21"/>
              </w:rPr>
              <w:t>℃</w:t>
            </w: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4</w:t>
            </w:r>
            <w:r>
              <w:rPr>
                <w:rFonts w:hint="eastAsia" w:cs="Times New Roman"/>
                <w:sz w:val="21"/>
                <w:szCs w:val="21"/>
              </w:rPr>
              <w:t>1</w:t>
            </w:r>
            <w:r>
              <w:rPr>
                <w:rFonts w:cs="Times New Roman"/>
                <w:sz w:val="21"/>
                <w:szCs w:val="21"/>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spacing w:line="240" w:lineRule="auto"/>
              <w:ind w:firstLine="480" w:firstLineChars="0"/>
              <w:jc w:val="center"/>
              <w:rPr>
                <w:rFonts w:cs="Times New Roman"/>
                <w:sz w:val="21"/>
                <w:szCs w:val="21"/>
              </w:rPr>
            </w:pPr>
            <w:r>
              <w:rPr>
                <w:rFonts w:cs="Times New Roman"/>
                <w:sz w:val="21"/>
                <w:szCs w:val="21"/>
              </w:rPr>
              <w:t>最低环境温度/</w:t>
            </w:r>
            <w:r>
              <w:rPr>
                <w:rFonts w:hint="eastAsia" w:ascii="宋体" w:hAnsi="宋体" w:cs="宋体"/>
                <w:sz w:val="21"/>
                <w:szCs w:val="21"/>
              </w:rPr>
              <w:t>℃</w:t>
            </w: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w:t>
            </w:r>
            <w:r>
              <w:rPr>
                <w:rFonts w:hint="eastAsia" w:cs="Times New Roman"/>
                <w:sz w:val="21"/>
                <w:szCs w:val="21"/>
              </w:rPr>
              <w:t>5.3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spacing w:line="240" w:lineRule="auto"/>
              <w:ind w:firstLine="480" w:firstLineChars="0"/>
              <w:jc w:val="center"/>
              <w:rPr>
                <w:rFonts w:cs="Times New Roman"/>
                <w:sz w:val="21"/>
                <w:szCs w:val="21"/>
              </w:rPr>
            </w:pPr>
            <w:r>
              <w:rPr>
                <w:rFonts w:cs="Times New Roman"/>
                <w:sz w:val="21"/>
                <w:szCs w:val="21"/>
              </w:rPr>
              <w:t>土地利用类型</w:t>
            </w: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阔叶林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spacing w:line="240" w:lineRule="auto"/>
              <w:ind w:firstLine="480" w:firstLineChars="0"/>
              <w:jc w:val="center"/>
              <w:rPr>
                <w:rFonts w:cs="Times New Roman"/>
                <w:sz w:val="21"/>
                <w:szCs w:val="21"/>
              </w:rPr>
            </w:pPr>
            <w:r>
              <w:rPr>
                <w:rFonts w:cs="Times New Roman"/>
                <w:sz w:val="21"/>
                <w:szCs w:val="21"/>
              </w:rPr>
              <w:t>区域湿度条件</w:t>
            </w: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潮湿气候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spacing w:line="240" w:lineRule="auto"/>
              <w:ind w:firstLine="480" w:firstLineChars="0"/>
              <w:jc w:val="center"/>
              <w:rPr>
                <w:rFonts w:cs="Times New Roman"/>
                <w:sz w:val="21"/>
                <w:szCs w:val="21"/>
              </w:rPr>
            </w:pPr>
            <w:r>
              <w:rPr>
                <w:rFonts w:cs="Times New Roman"/>
                <w:sz w:val="21"/>
                <w:szCs w:val="21"/>
              </w:rPr>
              <w:t>是否考虑地形</w:t>
            </w: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考虑地形</w:t>
            </w: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spacing w:line="240" w:lineRule="auto"/>
              <w:ind w:firstLine="480" w:firstLineChars="0"/>
              <w:jc w:val="center"/>
              <w:rPr>
                <w:rFonts w:cs="Times New Roman"/>
                <w:sz w:val="21"/>
                <w:szCs w:val="21"/>
              </w:rPr>
            </w:pP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地形数据分辨率/m</w:t>
            </w: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90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spacing w:line="240" w:lineRule="auto"/>
              <w:ind w:firstLine="480" w:firstLineChars="0"/>
              <w:jc w:val="center"/>
              <w:rPr>
                <w:rFonts w:cs="Times New Roman"/>
                <w:sz w:val="21"/>
                <w:szCs w:val="21"/>
              </w:rPr>
            </w:pPr>
            <w:r>
              <w:rPr>
                <w:rFonts w:cs="Times New Roman"/>
                <w:sz w:val="21"/>
                <w:szCs w:val="21"/>
              </w:rPr>
              <w:t>是否考虑岸线熏烟</w:t>
            </w: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考虑岸线熏烟</w:t>
            </w: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spacing w:line="240" w:lineRule="auto"/>
              <w:ind w:firstLine="480" w:firstLineChars="0"/>
              <w:jc w:val="center"/>
              <w:rPr>
                <w:rFonts w:cs="Times New Roman"/>
                <w:sz w:val="21"/>
                <w:szCs w:val="21"/>
              </w:rPr>
            </w:pP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岸线距离/km</w:t>
            </w: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spacing w:line="240" w:lineRule="auto"/>
              <w:ind w:firstLine="480" w:firstLineChars="0"/>
              <w:jc w:val="center"/>
              <w:rPr>
                <w:rFonts w:cs="Times New Roman"/>
                <w:sz w:val="21"/>
                <w:szCs w:val="21"/>
              </w:rPr>
            </w:pP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岸线方向/°</w:t>
            </w:r>
          </w:p>
        </w:tc>
        <w:tc>
          <w:tcPr>
            <w:tcW w:w="0" w:type="auto"/>
            <w:vAlign w:val="center"/>
          </w:tcPr>
          <w:p>
            <w:pPr>
              <w:spacing w:line="240" w:lineRule="auto"/>
              <w:ind w:firstLine="480" w:firstLineChars="0"/>
              <w:jc w:val="center"/>
              <w:rPr>
                <w:rFonts w:cs="Times New Roman"/>
                <w:sz w:val="21"/>
                <w:szCs w:val="21"/>
              </w:rPr>
            </w:pPr>
            <w:r>
              <w:rPr>
                <w:rFonts w:cs="Times New Roman"/>
                <w:sz w:val="21"/>
                <w:szCs w:val="21"/>
              </w:rPr>
              <w:t>/</w:t>
            </w:r>
          </w:p>
        </w:tc>
      </w:tr>
    </w:tbl>
    <w:p>
      <w:pPr>
        <w:tabs>
          <w:tab w:val="left" w:pos="600"/>
        </w:tabs>
        <w:spacing w:line="480" w:lineRule="exact"/>
        <w:ind w:firstLine="480"/>
        <w:rPr>
          <w:rFonts w:cs="Times New Roman"/>
          <w:szCs w:val="24"/>
          <w:lang w:val="zh-CN"/>
        </w:rPr>
      </w:pPr>
      <w:r>
        <w:rPr>
          <w:rFonts w:cs="Times New Roman"/>
          <w:szCs w:val="24"/>
          <w:lang w:val="zh-CN"/>
        </w:rPr>
        <w:t>（</w:t>
      </w:r>
      <w:r>
        <w:rPr>
          <w:rFonts w:cs="Times New Roman"/>
          <w:szCs w:val="24"/>
        </w:rPr>
        <w:t>3</w:t>
      </w:r>
      <w:r>
        <w:rPr>
          <w:rFonts w:cs="Times New Roman"/>
          <w:szCs w:val="24"/>
          <w:lang w:val="zh-CN"/>
        </w:rPr>
        <w:t>）预测结果</w:t>
      </w:r>
    </w:p>
    <w:p>
      <w:pPr>
        <w:tabs>
          <w:tab w:val="left" w:pos="600"/>
        </w:tabs>
        <w:spacing w:line="480" w:lineRule="exact"/>
        <w:ind w:firstLine="480"/>
        <w:rPr>
          <w:rFonts w:cs="Times New Roman"/>
          <w:szCs w:val="24"/>
          <w:lang w:val="zh-CN"/>
        </w:rPr>
      </w:pPr>
      <w:r>
        <w:rPr>
          <w:rFonts w:cs="Times New Roman"/>
          <w:szCs w:val="24"/>
        </w:rPr>
        <w:t>结合项目工程分析结果，选择正常排放的主要污染物及排放参数，采用《环境影响评价技术导则 大气环境》（HJ2.2-2018）附录A推荐模型中的 AERSCREEN模式计算项目污染源的最大环境影响，</w:t>
      </w:r>
      <w:r>
        <w:rPr>
          <w:rFonts w:cs="Times New Roman"/>
          <w:szCs w:val="24"/>
          <w:lang w:val="zh-CN"/>
        </w:rPr>
        <w:t>预测结果见表</w:t>
      </w:r>
      <w:r>
        <w:rPr>
          <w:rFonts w:cs="Times New Roman"/>
          <w:szCs w:val="24"/>
        </w:rPr>
        <w:t>5</w:t>
      </w:r>
      <w:r>
        <w:rPr>
          <w:rFonts w:cs="Times New Roman"/>
          <w:szCs w:val="24"/>
          <w:lang w:val="zh-CN"/>
        </w:rPr>
        <w:t>.2-</w:t>
      </w:r>
      <w:r>
        <w:rPr>
          <w:rFonts w:cs="Times New Roman"/>
          <w:szCs w:val="24"/>
        </w:rPr>
        <w:t>3</w:t>
      </w:r>
      <w:r>
        <w:rPr>
          <w:rFonts w:cs="Times New Roman"/>
          <w:szCs w:val="24"/>
          <w:lang w:val="zh-CN"/>
        </w:rPr>
        <w:t>。</w:t>
      </w:r>
    </w:p>
    <w:p>
      <w:pPr>
        <w:pStyle w:val="95"/>
      </w:pPr>
      <w:r>
        <w:t>表5.2-3  有组织废气排放影响估算结果表</w:t>
      </w:r>
    </w:p>
    <w:tbl>
      <w:tblPr>
        <w:tblStyle w:val="52"/>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995"/>
        <w:gridCol w:w="1259"/>
        <w:gridCol w:w="708"/>
        <w:gridCol w:w="1276"/>
        <w:gridCol w:w="853"/>
        <w:gridCol w:w="1275"/>
        <w:gridCol w:w="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5" w:type="dxa"/>
            <w:vMerge w:val="restart"/>
            <w:tcBorders>
              <w:top w:val="single" w:color="auto" w:sz="8" w:space="0"/>
              <w:lef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距源中心下风向</w:t>
            </w:r>
          </w:p>
          <w:p>
            <w:pPr>
              <w:spacing w:line="240" w:lineRule="auto"/>
              <w:ind w:firstLine="0" w:firstLineChars="0"/>
              <w:jc w:val="center"/>
              <w:rPr>
                <w:rFonts w:cs="Times New Roman"/>
                <w:sz w:val="21"/>
                <w:szCs w:val="21"/>
              </w:rPr>
            </w:pPr>
            <w:r>
              <w:rPr>
                <w:rFonts w:cs="Times New Roman"/>
                <w:sz w:val="21"/>
                <w:szCs w:val="21"/>
              </w:rPr>
              <w:t>距离D/m</w:t>
            </w:r>
          </w:p>
        </w:tc>
        <w:tc>
          <w:tcPr>
            <w:tcW w:w="6225" w:type="dxa"/>
            <w:gridSpan w:val="6"/>
            <w:tcBorders>
              <w:top w:val="single" w:color="auto" w:sz="8" w:space="0"/>
              <w:righ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水套加热炉排气筒(P1)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171" w:hRule="atLeast"/>
          <w:tblHeader/>
          <w:jc w:val="center"/>
        </w:trPr>
        <w:tc>
          <w:tcPr>
            <w:tcW w:w="1995" w:type="dxa"/>
            <w:vMerge w:val="continue"/>
            <w:tcBorders>
              <w:left w:val="single" w:color="auto" w:sz="8" w:space="0"/>
            </w:tcBorders>
            <w:vAlign w:val="center"/>
          </w:tcPr>
          <w:p>
            <w:pPr>
              <w:spacing w:line="240" w:lineRule="auto"/>
              <w:ind w:firstLine="0" w:firstLineChars="0"/>
              <w:jc w:val="center"/>
              <w:rPr>
                <w:rFonts w:cs="Times New Roman"/>
                <w:sz w:val="21"/>
                <w:szCs w:val="21"/>
              </w:rPr>
            </w:pPr>
          </w:p>
        </w:tc>
        <w:tc>
          <w:tcPr>
            <w:tcW w:w="1967" w:type="dxa"/>
            <w:gridSpan w:val="2"/>
            <w:vAlign w:val="center"/>
          </w:tcPr>
          <w:p>
            <w:pPr>
              <w:spacing w:line="240" w:lineRule="auto"/>
              <w:ind w:firstLine="0" w:firstLineChars="0"/>
              <w:jc w:val="center"/>
              <w:rPr>
                <w:rFonts w:cs="Times New Roman"/>
                <w:sz w:val="21"/>
                <w:szCs w:val="21"/>
              </w:rPr>
            </w:pPr>
            <w:r>
              <w:rPr>
                <w:rFonts w:hint="eastAsia" w:cs="Times New Roman"/>
                <w:sz w:val="21"/>
                <w:szCs w:val="21"/>
              </w:rPr>
              <w:t>颗粒物</w:t>
            </w:r>
          </w:p>
        </w:tc>
        <w:tc>
          <w:tcPr>
            <w:tcW w:w="2129" w:type="dxa"/>
            <w:gridSpan w:val="2"/>
            <w:tcBorders>
              <w:righ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SO</w:t>
            </w:r>
            <w:r>
              <w:rPr>
                <w:rFonts w:cs="Times New Roman"/>
                <w:sz w:val="21"/>
                <w:szCs w:val="21"/>
                <w:vertAlign w:val="subscript"/>
              </w:rPr>
              <w:t>2</w:t>
            </w:r>
          </w:p>
        </w:tc>
        <w:tc>
          <w:tcPr>
            <w:tcW w:w="2129" w:type="dxa"/>
            <w:gridSpan w:val="2"/>
            <w:tcBorders>
              <w:left w:val="single" w:color="auto" w:sz="8" w:space="0"/>
              <w:righ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NOx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5" w:type="dxa"/>
            <w:vMerge w:val="continue"/>
            <w:tcBorders>
              <w:left w:val="single" w:color="auto" w:sz="8" w:space="0"/>
            </w:tcBorders>
            <w:vAlign w:val="center"/>
          </w:tcPr>
          <w:p>
            <w:pPr>
              <w:spacing w:line="240" w:lineRule="auto"/>
              <w:ind w:firstLine="0" w:firstLineChars="0"/>
              <w:jc w:val="center"/>
              <w:rPr>
                <w:rFonts w:cs="Times New Roman"/>
                <w:sz w:val="21"/>
                <w:szCs w:val="21"/>
              </w:rPr>
            </w:pPr>
          </w:p>
        </w:tc>
        <w:tc>
          <w:tcPr>
            <w:tcW w:w="1259" w:type="dxa"/>
            <w:vAlign w:val="center"/>
          </w:tcPr>
          <w:p>
            <w:pPr>
              <w:spacing w:line="240" w:lineRule="auto"/>
              <w:ind w:firstLine="0" w:firstLineChars="0"/>
              <w:jc w:val="center"/>
              <w:rPr>
                <w:rFonts w:cs="Times New Roman"/>
                <w:sz w:val="21"/>
                <w:szCs w:val="21"/>
              </w:rPr>
            </w:pPr>
            <w:r>
              <w:rPr>
                <w:rFonts w:cs="Times New Roman"/>
                <w:sz w:val="21"/>
                <w:szCs w:val="21"/>
              </w:rPr>
              <w:t>C/（μg/m³）</w:t>
            </w:r>
          </w:p>
        </w:tc>
        <w:tc>
          <w:tcPr>
            <w:tcW w:w="708" w:type="dxa"/>
            <w:vAlign w:val="center"/>
          </w:tcPr>
          <w:p>
            <w:pPr>
              <w:spacing w:line="240" w:lineRule="auto"/>
              <w:ind w:firstLine="0" w:firstLineChars="0"/>
              <w:jc w:val="center"/>
              <w:rPr>
                <w:rFonts w:cs="Times New Roman"/>
                <w:sz w:val="21"/>
                <w:szCs w:val="21"/>
              </w:rPr>
            </w:pPr>
            <w:r>
              <w:rPr>
                <w:rFonts w:cs="Times New Roman"/>
                <w:sz w:val="21"/>
                <w:szCs w:val="21"/>
              </w:rPr>
              <w:t>P/%</w:t>
            </w:r>
          </w:p>
        </w:tc>
        <w:tc>
          <w:tcPr>
            <w:tcW w:w="1276" w:type="dxa"/>
            <w:vAlign w:val="center"/>
          </w:tcPr>
          <w:p>
            <w:pPr>
              <w:spacing w:line="240" w:lineRule="auto"/>
              <w:ind w:firstLine="0" w:firstLineChars="0"/>
              <w:jc w:val="center"/>
              <w:rPr>
                <w:rFonts w:cs="Times New Roman"/>
                <w:sz w:val="21"/>
                <w:szCs w:val="21"/>
              </w:rPr>
            </w:pPr>
            <w:r>
              <w:rPr>
                <w:rFonts w:cs="Times New Roman"/>
                <w:sz w:val="21"/>
                <w:szCs w:val="21"/>
              </w:rPr>
              <w:t>C/（μg/m³）</w:t>
            </w:r>
          </w:p>
        </w:tc>
        <w:tc>
          <w:tcPr>
            <w:tcW w:w="853" w:type="dxa"/>
            <w:tcBorders>
              <w:righ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P/%</w:t>
            </w:r>
          </w:p>
        </w:tc>
        <w:tc>
          <w:tcPr>
            <w:tcW w:w="1275" w:type="dxa"/>
            <w:tcBorders>
              <w:lef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C/（μg/m³）</w:t>
            </w:r>
          </w:p>
        </w:tc>
        <w:tc>
          <w:tcPr>
            <w:tcW w:w="854" w:type="dxa"/>
            <w:tcBorders>
              <w:left w:val="single" w:color="auto" w:sz="8" w:space="0"/>
              <w:righ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5" w:type="dxa"/>
            <w:tcBorders>
              <w:lef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下风向最大浓度</w:t>
            </w:r>
          </w:p>
        </w:tc>
        <w:tc>
          <w:tcPr>
            <w:tcW w:w="1259" w:type="dxa"/>
            <w:vAlign w:val="center"/>
          </w:tcPr>
          <w:p>
            <w:pPr>
              <w:spacing w:line="240" w:lineRule="auto"/>
              <w:ind w:firstLine="0" w:firstLineChars="0"/>
              <w:jc w:val="center"/>
              <w:rPr>
                <w:rFonts w:cs="Times New Roman"/>
                <w:sz w:val="21"/>
                <w:szCs w:val="21"/>
              </w:rPr>
            </w:pPr>
            <w:r>
              <w:rPr>
                <w:rFonts w:cs="Times New Roman"/>
                <w:sz w:val="21"/>
                <w:szCs w:val="21"/>
              </w:rPr>
              <w:t>6.225</w:t>
            </w:r>
          </w:p>
        </w:tc>
        <w:tc>
          <w:tcPr>
            <w:tcW w:w="708" w:type="dxa"/>
            <w:vAlign w:val="center"/>
          </w:tcPr>
          <w:p>
            <w:pPr>
              <w:spacing w:line="240" w:lineRule="auto"/>
              <w:ind w:firstLine="0" w:firstLineChars="0"/>
              <w:jc w:val="center"/>
              <w:rPr>
                <w:rFonts w:cs="Times New Roman"/>
                <w:sz w:val="21"/>
                <w:szCs w:val="21"/>
              </w:rPr>
            </w:pPr>
            <w:r>
              <w:rPr>
                <w:rFonts w:hint="eastAsia" w:cs="Times New Roman"/>
                <w:sz w:val="21"/>
                <w:szCs w:val="21"/>
              </w:rPr>
              <w:t>1.39</w:t>
            </w:r>
          </w:p>
        </w:tc>
        <w:tc>
          <w:tcPr>
            <w:tcW w:w="1276" w:type="dxa"/>
            <w:vAlign w:val="center"/>
          </w:tcPr>
          <w:p>
            <w:pPr>
              <w:spacing w:line="240" w:lineRule="auto"/>
              <w:ind w:firstLine="0" w:firstLineChars="0"/>
              <w:jc w:val="center"/>
              <w:rPr>
                <w:rFonts w:cs="Times New Roman"/>
                <w:sz w:val="21"/>
                <w:szCs w:val="21"/>
              </w:rPr>
            </w:pPr>
            <w:r>
              <w:rPr>
                <w:rFonts w:cs="Times New Roman"/>
                <w:sz w:val="21"/>
                <w:szCs w:val="21"/>
              </w:rPr>
              <w:t>0.381</w:t>
            </w:r>
          </w:p>
        </w:tc>
        <w:tc>
          <w:tcPr>
            <w:tcW w:w="853" w:type="dxa"/>
            <w:tcBorders>
              <w:right w:val="single" w:color="auto" w:sz="8"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0.08</w:t>
            </w:r>
          </w:p>
        </w:tc>
        <w:tc>
          <w:tcPr>
            <w:tcW w:w="1275" w:type="dxa"/>
            <w:tcBorders>
              <w:lef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22.029</w:t>
            </w:r>
          </w:p>
        </w:tc>
        <w:tc>
          <w:tcPr>
            <w:tcW w:w="854" w:type="dxa"/>
            <w:tcBorders>
              <w:left w:val="single" w:color="auto" w:sz="8" w:space="0"/>
              <w:right w:val="single" w:color="auto" w:sz="8"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8.81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5" w:type="dxa"/>
            <w:tcBorders>
              <w:left w:val="single" w:color="auto" w:sz="8" w:space="0"/>
              <w:bottom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最大浓度出现距离</w:t>
            </w:r>
          </w:p>
        </w:tc>
        <w:tc>
          <w:tcPr>
            <w:tcW w:w="1967" w:type="dxa"/>
            <w:gridSpan w:val="2"/>
            <w:tcBorders>
              <w:bottom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120m</w:t>
            </w:r>
          </w:p>
        </w:tc>
        <w:tc>
          <w:tcPr>
            <w:tcW w:w="2129" w:type="dxa"/>
            <w:gridSpan w:val="2"/>
            <w:tcBorders>
              <w:bottom w:val="single" w:color="auto" w:sz="8" w:space="0"/>
              <w:righ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120</w:t>
            </w:r>
            <w:r>
              <w:rPr>
                <w:rFonts w:hint="eastAsia" w:cs="Times New Roman"/>
                <w:sz w:val="21"/>
                <w:szCs w:val="21"/>
              </w:rPr>
              <w:t>m</w:t>
            </w:r>
          </w:p>
        </w:tc>
        <w:tc>
          <w:tcPr>
            <w:tcW w:w="2129" w:type="dxa"/>
            <w:gridSpan w:val="2"/>
            <w:tcBorders>
              <w:left w:val="single" w:color="auto" w:sz="8" w:space="0"/>
              <w:bottom w:val="single" w:color="auto" w:sz="8" w:space="0"/>
              <w:right w:val="single" w:color="auto" w:sz="8" w:space="0"/>
            </w:tcBorders>
            <w:vAlign w:val="center"/>
          </w:tcPr>
          <w:p>
            <w:pPr>
              <w:spacing w:line="240" w:lineRule="auto"/>
              <w:ind w:firstLine="0" w:firstLineChars="0"/>
              <w:jc w:val="center"/>
              <w:rPr>
                <w:rFonts w:cs="Times New Roman"/>
                <w:sz w:val="21"/>
                <w:szCs w:val="21"/>
              </w:rPr>
            </w:pPr>
            <w:r>
              <w:rPr>
                <w:rFonts w:cs="Times New Roman"/>
                <w:sz w:val="21"/>
                <w:szCs w:val="21"/>
              </w:rPr>
              <w:t>120</w:t>
            </w:r>
            <w:r>
              <w:rPr>
                <w:rFonts w:hint="eastAsia" w:cs="Times New Roman"/>
                <w:sz w:val="21"/>
                <w:szCs w:val="21"/>
              </w:rPr>
              <w:t>m</w:t>
            </w:r>
          </w:p>
        </w:tc>
      </w:tr>
    </w:tbl>
    <w:p>
      <w:pPr>
        <w:spacing w:line="360" w:lineRule="exact"/>
        <w:ind w:firstLine="422"/>
        <w:rPr>
          <w:rFonts w:cs="Times New Roman"/>
          <w:b/>
          <w:sz w:val="21"/>
          <w:szCs w:val="21"/>
        </w:rPr>
      </w:pPr>
      <w:r>
        <w:rPr>
          <w:rFonts w:cs="Times New Roman"/>
          <w:b/>
          <w:sz w:val="21"/>
          <w:szCs w:val="21"/>
        </w:rPr>
        <w:t>注：上表中C表示落地浓度，P表示占标率。</w:t>
      </w:r>
    </w:p>
    <w:p>
      <w:pPr>
        <w:tabs>
          <w:tab w:val="left" w:pos="600"/>
        </w:tabs>
        <w:spacing w:before="120" w:beforeLines="50"/>
        <w:ind w:firstLine="480"/>
        <w:rPr>
          <w:rFonts w:cs="Times New Roman"/>
          <w:szCs w:val="24"/>
          <w:lang w:bidi="en-US"/>
        </w:rPr>
      </w:pPr>
      <w:r>
        <w:rPr>
          <w:rFonts w:cs="Times New Roman"/>
          <w:szCs w:val="24"/>
          <w:lang w:bidi="en-US"/>
        </w:rPr>
        <w:t>由表5.2-3预测结果可知，</w:t>
      </w:r>
      <w:r>
        <w:rPr>
          <w:rFonts w:cs="Times New Roman"/>
          <w:szCs w:val="24"/>
        </w:rPr>
        <w:t>本项目水套加热炉</w:t>
      </w:r>
      <w:r>
        <w:rPr>
          <w:rFonts w:cs="Times New Roman"/>
          <w:szCs w:val="24"/>
          <w:lang w:bidi="en-US"/>
        </w:rPr>
        <w:t>排放的</w:t>
      </w:r>
      <w:bookmarkStart w:id="260" w:name="OLE_LINK72"/>
      <w:r>
        <w:rPr>
          <w:rFonts w:hint="eastAsia" w:cs="Times New Roman"/>
          <w:szCs w:val="24"/>
          <w:lang w:bidi="en-US"/>
        </w:rPr>
        <w:t>颗粒物</w:t>
      </w:r>
      <w:r>
        <w:rPr>
          <w:rFonts w:cs="Times New Roman"/>
          <w:szCs w:val="24"/>
          <w:lang w:bidi="en-US"/>
        </w:rPr>
        <w:t>、</w:t>
      </w:r>
      <w:r>
        <w:rPr>
          <w:rFonts w:cs="Times New Roman"/>
          <w:szCs w:val="24"/>
        </w:rPr>
        <w:t>SO</w:t>
      </w:r>
      <w:r>
        <w:rPr>
          <w:rFonts w:cs="Times New Roman"/>
          <w:szCs w:val="24"/>
          <w:vertAlign w:val="subscript"/>
        </w:rPr>
        <w:t>2</w:t>
      </w:r>
      <w:bookmarkStart w:id="261" w:name="OLE_LINK69"/>
      <w:r>
        <w:rPr>
          <w:rFonts w:cs="Times New Roman"/>
          <w:szCs w:val="24"/>
          <w:lang w:bidi="en-US"/>
        </w:rPr>
        <w:t>、</w:t>
      </w:r>
      <w:r>
        <w:rPr>
          <w:rFonts w:cs="Times New Roman"/>
          <w:szCs w:val="24"/>
        </w:rPr>
        <w:t>NO</w:t>
      </w:r>
      <w:bookmarkEnd w:id="261"/>
      <w:r>
        <w:rPr>
          <w:rFonts w:cs="Times New Roman"/>
          <w:szCs w:val="24"/>
          <w:vertAlign w:val="subscript"/>
        </w:rPr>
        <w:t>X</w:t>
      </w:r>
      <w:bookmarkEnd w:id="260"/>
      <w:bookmarkStart w:id="262" w:name="OLE_LINK74"/>
      <w:r>
        <w:rPr>
          <w:rFonts w:cs="Times New Roman"/>
          <w:szCs w:val="24"/>
          <w:lang w:bidi="en-US"/>
        </w:rPr>
        <w:t>最大落地浓度出现在</w:t>
      </w:r>
      <w:bookmarkEnd w:id="262"/>
      <w:r>
        <w:rPr>
          <w:rFonts w:cs="Times New Roman"/>
          <w:szCs w:val="24"/>
          <w:lang w:bidi="en-US"/>
        </w:rPr>
        <w:t>120</w:t>
      </w:r>
      <w:r>
        <w:rPr>
          <w:rFonts w:hint="eastAsia" w:cs="Times New Roman"/>
          <w:szCs w:val="24"/>
          <w:lang w:bidi="en-US"/>
        </w:rPr>
        <w:t>m</w:t>
      </w:r>
      <w:r>
        <w:rPr>
          <w:rFonts w:cs="Times New Roman"/>
          <w:szCs w:val="24"/>
          <w:lang w:bidi="en-US"/>
        </w:rPr>
        <w:t>处，</w:t>
      </w:r>
      <w:bookmarkStart w:id="263" w:name="OLE_LINK73"/>
      <w:r>
        <w:rPr>
          <w:rFonts w:cs="Times New Roman"/>
          <w:szCs w:val="24"/>
          <w:lang w:bidi="en-US"/>
        </w:rPr>
        <w:t>最</w:t>
      </w:r>
      <w:r>
        <w:rPr>
          <w:rFonts w:cs="Times New Roman"/>
          <w:szCs w:val="24"/>
        </w:rPr>
        <w:t>大落地浓度分别为</w:t>
      </w:r>
      <w:bookmarkEnd w:id="263"/>
      <w:r>
        <w:rPr>
          <w:rFonts w:cs="Times New Roman"/>
          <w:szCs w:val="24"/>
        </w:rPr>
        <w:t>6.225μg/m</w:t>
      </w:r>
      <w:r>
        <w:rPr>
          <w:rFonts w:cs="Times New Roman"/>
          <w:szCs w:val="24"/>
          <w:vertAlign w:val="superscript"/>
        </w:rPr>
        <w:t>3</w:t>
      </w:r>
      <w:r>
        <w:rPr>
          <w:rFonts w:cs="Times New Roman"/>
          <w:szCs w:val="24"/>
        </w:rPr>
        <w:t>、</w:t>
      </w:r>
      <w:r>
        <w:rPr>
          <w:rFonts w:hint="eastAsia" w:cs="Times New Roman"/>
          <w:szCs w:val="24"/>
        </w:rPr>
        <w:t>0.</w:t>
      </w:r>
      <w:r>
        <w:rPr>
          <w:rFonts w:cs="Times New Roman"/>
          <w:szCs w:val="24"/>
        </w:rPr>
        <w:t>.381μg/m</w:t>
      </w:r>
      <w:r>
        <w:rPr>
          <w:rFonts w:cs="Times New Roman"/>
          <w:szCs w:val="24"/>
          <w:vertAlign w:val="superscript"/>
        </w:rPr>
        <w:t>3</w:t>
      </w:r>
      <w:r>
        <w:rPr>
          <w:rFonts w:cs="Times New Roman"/>
          <w:szCs w:val="24"/>
        </w:rPr>
        <w:t>、22.029μg/m</w:t>
      </w:r>
      <w:r>
        <w:rPr>
          <w:rFonts w:cs="Times New Roman"/>
          <w:szCs w:val="24"/>
          <w:vertAlign w:val="superscript"/>
        </w:rPr>
        <w:t>3</w:t>
      </w:r>
      <w:r>
        <w:rPr>
          <w:rFonts w:cs="Times New Roman"/>
          <w:szCs w:val="24"/>
        </w:rPr>
        <w:t>，</w:t>
      </w:r>
      <w:r>
        <w:rPr>
          <w:rFonts w:hint="eastAsia" w:cs="Times New Roman"/>
          <w:szCs w:val="24"/>
          <w:lang w:bidi="en-US"/>
        </w:rPr>
        <w:t>占标率均小于10</w:t>
      </w:r>
      <w:r>
        <w:rPr>
          <w:rFonts w:cs="Times New Roman"/>
          <w:szCs w:val="24"/>
          <w:lang w:bidi="en-US"/>
        </w:rPr>
        <w:t>%</w:t>
      </w:r>
      <w:r>
        <w:rPr>
          <w:rFonts w:hint="eastAsia" w:cs="Times New Roman"/>
          <w:szCs w:val="24"/>
          <w:lang w:bidi="en-US"/>
        </w:rPr>
        <w:t>，评价工作等级为二级，不进行进一步预测与评价，只对污染物排放量进行核算。</w:t>
      </w:r>
    </w:p>
    <w:p>
      <w:pPr>
        <w:tabs>
          <w:tab w:val="left" w:pos="600"/>
        </w:tabs>
        <w:ind w:firstLine="480"/>
        <w:rPr>
          <w:rFonts w:cs="Times New Roman"/>
          <w:szCs w:val="24"/>
          <w:lang w:bidi="en-US"/>
        </w:rPr>
      </w:pPr>
      <w:r>
        <w:rPr>
          <w:rFonts w:hint="eastAsia" w:cs="Times New Roman"/>
          <w:szCs w:val="24"/>
          <w:lang w:bidi="en-US"/>
        </w:rPr>
        <w:t>（4）污染物排放量核算</w:t>
      </w:r>
    </w:p>
    <w:p>
      <w:pPr>
        <w:tabs>
          <w:tab w:val="left" w:pos="600"/>
        </w:tabs>
        <w:ind w:firstLine="480"/>
        <w:rPr>
          <w:rFonts w:cs="Times New Roman"/>
          <w:szCs w:val="24"/>
          <w:lang w:bidi="en-US"/>
        </w:rPr>
      </w:pPr>
      <w:r>
        <w:rPr>
          <w:rFonts w:hint="eastAsia" w:cs="Times New Roman"/>
          <w:szCs w:val="24"/>
          <w:lang w:bidi="en-US"/>
        </w:rPr>
        <w:t>根据《环境影响评价技术导则—大气环境》（HJ2.2-2018）要求“二级评价项目不进行进一步预测与评价，只对污染物排放量进行核算。污染物排放量核算表包括有组织及无组织排放量、大气污染物年排放量、非正常排放量等。”</w:t>
      </w:r>
    </w:p>
    <w:p>
      <w:pPr>
        <w:tabs>
          <w:tab w:val="left" w:pos="600"/>
        </w:tabs>
        <w:ind w:firstLine="480"/>
        <w:rPr>
          <w:rFonts w:cs="Times New Roman"/>
          <w:szCs w:val="24"/>
          <w:lang w:bidi="en-US"/>
        </w:rPr>
      </w:pPr>
      <w:r>
        <w:rPr>
          <w:rFonts w:cs="Times New Roman"/>
          <w:szCs w:val="24"/>
          <w:lang w:bidi="en-US"/>
        </w:rPr>
        <w:t>1）有组织排放量核算</w:t>
      </w:r>
    </w:p>
    <w:p>
      <w:pPr>
        <w:pStyle w:val="95"/>
      </w:pPr>
      <w:r>
        <w:t>表5.2-</w:t>
      </w:r>
      <w:r>
        <w:rPr>
          <w:rFonts w:hint="eastAsia"/>
        </w:rPr>
        <w:t>4</w:t>
      </w:r>
      <w:r>
        <w:t xml:space="preserve">  项目大气有组织排放量核算表</w:t>
      </w:r>
    </w:p>
    <w:tbl>
      <w:tblPr>
        <w:tblStyle w:val="52"/>
        <w:tblW w:w="8220"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604"/>
        <w:gridCol w:w="2305"/>
        <w:gridCol w:w="1058"/>
        <w:gridCol w:w="1508"/>
        <w:gridCol w:w="1450"/>
        <w:gridCol w:w="129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604" w:type="dxa"/>
            <w:vAlign w:val="center"/>
          </w:tcPr>
          <w:p>
            <w:pPr>
              <w:spacing w:line="240" w:lineRule="auto"/>
              <w:ind w:firstLine="0" w:firstLineChars="0"/>
              <w:jc w:val="center"/>
              <w:rPr>
                <w:rFonts w:cs="Times New Roman"/>
                <w:sz w:val="21"/>
                <w:szCs w:val="21"/>
              </w:rPr>
            </w:pPr>
            <w:r>
              <w:rPr>
                <w:rFonts w:cs="Times New Roman"/>
                <w:sz w:val="21"/>
                <w:szCs w:val="21"/>
              </w:rPr>
              <w:t>序号</w:t>
            </w:r>
          </w:p>
        </w:tc>
        <w:tc>
          <w:tcPr>
            <w:tcW w:w="2305" w:type="dxa"/>
            <w:vAlign w:val="center"/>
          </w:tcPr>
          <w:p>
            <w:pPr>
              <w:spacing w:line="240" w:lineRule="auto"/>
              <w:ind w:firstLine="0" w:firstLineChars="0"/>
              <w:jc w:val="center"/>
              <w:rPr>
                <w:rFonts w:cs="Times New Roman"/>
                <w:sz w:val="21"/>
                <w:szCs w:val="21"/>
              </w:rPr>
            </w:pPr>
            <w:r>
              <w:rPr>
                <w:rFonts w:cs="Times New Roman"/>
                <w:sz w:val="21"/>
                <w:szCs w:val="21"/>
              </w:rPr>
              <w:t>排放口编号</w:t>
            </w:r>
          </w:p>
        </w:tc>
        <w:tc>
          <w:tcPr>
            <w:tcW w:w="1058" w:type="dxa"/>
            <w:vAlign w:val="center"/>
          </w:tcPr>
          <w:p>
            <w:pPr>
              <w:spacing w:line="240" w:lineRule="auto"/>
              <w:ind w:firstLine="0" w:firstLineChars="0"/>
              <w:jc w:val="center"/>
              <w:rPr>
                <w:rFonts w:cs="Times New Roman"/>
                <w:sz w:val="21"/>
                <w:szCs w:val="21"/>
              </w:rPr>
            </w:pPr>
            <w:r>
              <w:rPr>
                <w:rFonts w:cs="Times New Roman"/>
                <w:sz w:val="21"/>
                <w:szCs w:val="21"/>
              </w:rPr>
              <w:t>污染物</w:t>
            </w:r>
          </w:p>
        </w:tc>
        <w:tc>
          <w:tcPr>
            <w:tcW w:w="1508" w:type="dxa"/>
            <w:vAlign w:val="center"/>
          </w:tcPr>
          <w:p>
            <w:pPr>
              <w:spacing w:line="240" w:lineRule="auto"/>
              <w:ind w:firstLine="0" w:firstLineChars="0"/>
              <w:jc w:val="center"/>
              <w:rPr>
                <w:rFonts w:cs="Times New Roman"/>
                <w:sz w:val="21"/>
                <w:szCs w:val="21"/>
              </w:rPr>
            </w:pPr>
            <w:r>
              <w:rPr>
                <w:rFonts w:cs="Times New Roman"/>
                <w:sz w:val="21"/>
                <w:szCs w:val="21"/>
              </w:rPr>
              <w:t>核算排放浓度(mg/m</w:t>
            </w:r>
            <w:r>
              <w:rPr>
                <w:rFonts w:cs="Times New Roman"/>
                <w:sz w:val="21"/>
                <w:szCs w:val="21"/>
                <w:vertAlign w:val="superscript"/>
              </w:rPr>
              <w:t>3</w:t>
            </w:r>
            <w:r>
              <w:rPr>
                <w:rFonts w:cs="Times New Roman"/>
                <w:sz w:val="21"/>
                <w:szCs w:val="21"/>
              </w:rPr>
              <w:t>)</w:t>
            </w:r>
          </w:p>
        </w:tc>
        <w:tc>
          <w:tcPr>
            <w:tcW w:w="1450" w:type="dxa"/>
            <w:vAlign w:val="center"/>
          </w:tcPr>
          <w:p>
            <w:pPr>
              <w:spacing w:line="240" w:lineRule="auto"/>
              <w:ind w:firstLine="0" w:firstLineChars="0"/>
              <w:jc w:val="center"/>
              <w:rPr>
                <w:rFonts w:cs="Times New Roman"/>
                <w:sz w:val="21"/>
                <w:szCs w:val="21"/>
              </w:rPr>
            </w:pPr>
            <w:r>
              <w:rPr>
                <w:rFonts w:cs="Times New Roman"/>
                <w:sz w:val="21"/>
                <w:szCs w:val="21"/>
              </w:rPr>
              <w:t>核算排放速率(kg/h)</w:t>
            </w:r>
          </w:p>
        </w:tc>
        <w:tc>
          <w:tcPr>
            <w:tcW w:w="1295" w:type="dxa"/>
            <w:vAlign w:val="center"/>
          </w:tcPr>
          <w:p>
            <w:pPr>
              <w:spacing w:line="240" w:lineRule="auto"/>
              <w:ind w:firstLine="0" w:firstLineChars="0"/>
              <w:jc w:val="center"/>
              <w:rPr>
                <w:rFonts w:cs="Times New Roman"/>
                <w:sz w:val="21"/>
                <w:szCs w:val="21"/>
              </w:rPr>
            </w:pPr>
            <w:r>
              <w:rPr>
                <w:rFonts w:cs="Times New Roman"/>
                <w:sz w:val="21"/>
                <w:szCs w:val="21"/>
              </w:rPr>
              <w:t>核算年排放量(t/a)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8220" w:type="dxa"/>
            <w:gridSpan w:val="6"/>
            <w:vAlign w:val="center"/>
          </w:tcPr>
          <w:p>
            <w:pPr>
              <w:spacing w:line="240" w:lineRule="auto"/>
              <w:ind w:firstLine="0" w:firstLineChars="0"/>
              <w:jc w:val="center"/>
              <w:rPr>
                <w:rFonts w:cs="Times New Roman"/>
                <w:sz w:val="21"/>
                <w:szCs w:val="21"/>
              </w:rPr>
            </w:pPr>
            <w:r>
              <w:rPr>
                <w:rFonts w:cs="Times New Roman"/>
                <w:sz w:val="21"/>
                <w:szCs w:val="21"/>
              </w:rPr>
              <w:t>一般排放口</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604" w:type="dxa"/>
            <w:vMerge w:val="restart"/>
            <w:vAlign w:val="center"/>
          </w:tcPr>
          <w:p>
            <w:pPr>
              <w:spacing w:line="240" w:lineRule="auto"/>
              <w:ind w:firstLine="0" w:firstLineChars="0"/>
              <w:jc w:val="center"/>
              <w:rPr>
                <w:rFonts w:cs="Times New Roman"/>
                <w:sz w:val="21"/>
                <w:szCs w:val="21"/>
              </w:rPr>
            </w:pPr>
            <w:r>
              <w:rPr>
                <w:rFonts w:cs="Times New Roman"/>
                <w:sz w:val="21"/>
                <w:szCs w:val="21"/>
              </w:rPr>
              <w:t>1</w:t>
            </w:r>
          </w:p>
        </w:tc>
        <w:tc>
          <w:tcPr>
            <w:tcW w:w="2305" w:type="dxa"/>
            <w:vMerge w:val="restart"/>
            <w:vAlign w:val="center"/>
          </w:tcPr>
          <w:p>
            <w:pPr>
              <w:spacing w:line="240" w:lineRule="auto"/>
              <w:ind w:firstLine="0" w:firstLineChars="0"/>
              <w:jc w:val="center"/>
              <w:rPr>
                <w:rFonts w:cs="Times New Roman"/>
                <w:sz w:val="21"/>
                <w:szCs w:val="21"/>
              </w:rPr>
            </w:pPr>
            <w:r>
              <w:rPr>
                <w:rFonts w:cs="Times New Roman"/>
                <w:sz w:val="21"/>
                <w:szCs w:val="21"/>
              </w:rPr>
              <w:t>水套加热炉排气筒</w:t>
            </w:r>
          </w:p>
        </w:tc>
        <w:tc>
          <w:tcPr>
            <w:tcW w:w="1058" w:type="dxa"/>
            <w:vAlign w:val="center"/>
          </w:tcPr>
          <w:p>
            <w:pPr>
              <w:spacing w:line="240" w:lineRule="auto"/>
              <w:ind w:firstLine="0" w:firstLineChars="0"/>
              <w:jc w:val="center"/>
              <w:rPr>
                <w:rFonts w:cs="Times New Roman"/>
                <w:sz w:val="21"/>
                <w:szCs w:val="21"/>
              </w:rPr>
            </w:pPr>
            <w:r>
              <w:rPr>
                <w:rFonts w:hint="eastAsia" w:cs="Times New Roman"/>
                <w:sz w:val="21"/>
                <w:szCs w:val="21"/>
              </w:rPr>
              <w:t>颗粒物</w:t>
            </w:r>
          </w:p>
        </w:tc>
        <w:tc>
          <w:tcPr>
            <w:tcW w:w="1508" w:type="dxa"/>
            <w:vAlign w:val="center"/>
          </w:tcPr>
          <w:p>
            <w:pPr>
              <w:pStyle w:val="594"/>
              <w:rPr>
                <w:rFonts w:cs="Times New Roman"/>
                <w:bCs/>
                <w:color w:val="000000" w:themeColor="text1"/>
                <w:kern w:val="2"/>
                <w14:textFill>
                  <w14:solidFill>
                    <w14:schemeClr w14:val="tx1"/>
                  </w14:solidFill>
                </w14:textFill>
              </w:rPr>
            </w:pPr>
            <w:r>
              <w:rPr>
                <w:rFonts w:cs="Times New Roman"/>
                <w:bCs/>
                <w:color w:val="000000" w:themeColor="text1"/>
                <w:kern w:val="2"/>
                <w14:textFill>
                  <w14:solidFill>
                    <w14:schemeClr w14:val="tx1"/>
                  </w14:solidFill>
                </w14:textFill>
              </w:rPr>
              <w:t>18.4</w:t>
            </w:r>
          </w:p>
        </w:tc>
        <w:tc>
          <w:tcPr>
            <w:tcW w:w="1450" w:type="dxa"/>
            <w:vAlign w:val="center"/>
          </w:tcPr>
          <w:p>
            <w:pPr>
              <w:spacing w:line="240" w:lineRule="auto"/>
              <w:ind w:firstLine="0" w:firstLineChars="0"/>
              <w:jc w:val="center"/>
              <w:rPr>
                <w:rFonts w:cs="Times New Roman"/>
                <w:sz w:val="21"/>
                <w:szCs w:val="21"/>
              </w:rPr>
            </w:pPr>
            <w:r>
              <w:rPr>
                <w:rFonts w:hint="eastAsia" w:cs="Times New Roman"/>
                <w:sz w:val="21"/>
                <w:szCs w:val="21"/>
              </w:rPr>
              <w:t>0.023</w:t>
            </w:r>
          </w:p>
        </w:tc>
        <w:tc>
          <w:tcPr>
            <w:tcW w:w="1295" w:type="dxa"/>
            <w:vAlign w:val="center"/>
          </w:tcPr>
          <w:p>
            <w:pPr>
              <w:spacing w:line="240" w:lineRule="auto"/>
              <w:ind w:firstLine="0" w:firstLineChars="0"/>
              <w:jc w:val="center"/>
              <w:rPr>
                <w:rFonts w:cs="Times New Roman"/>
                <w:sz w:val="21"/>
                <w:szCs w:val="21"/>
              </w:rPr>
            </w:pPr>
            <w:r>
              <w:rPr>
                <w:rFonts w:hint="eastAsia" w:cs="Times New Roman"/>
                <w:sz w:val="21"/>
                <w:szCs w:val="21"/>
              </w:rPr>
              <w:t>0.182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604" w:type="dxa"/>
            <w:vMerge w:val="continue"/>
            <w:vAlign w:val="center"/>
          </w:tcPr>
          <w:p>
            <w:pPr>
              <w:spacing w:line="240" w:lineRule="auto"/>
              <w:ind w:firstLine="0" w:firstLineChars="0"/>
              <w:jc w:val="center"/>
              <w:rPr>
                <w:rFonts w:cs="Times New Roman"/>
                <w:sz w:val="21"/>
                <w:szCs w:val="21"/>
              </w:rPr>
            </w:pPr>
          </w:p>
        </w:tc>
        <w:tc>
          <w:tcPr>
            <w:tcW w:w="2305" w:type="dxa"/>
            <w:vMerge w:val="continue"/>
            <w:vAlign w:val="center"/>
          </w:tcPr>
          <w:p>
            <w:pPr>
              <w:spacing w:line="240" w:lineRule="auto"/>
              <w:ind w:firstLine="0" w:firstLineChars="0"/>
              <w:jc w:val="center"/>
              <w:rPr>
                <w:rFonts w:cs="Times New Roman"/>
                <w:sz w:val="21"/>
                <w:szCs w:val="21"/>
              </w:rPr>
            </w:pPr>
          </w:p>
        </w:tc>
        <w:tc>
          <w:tcPr>
            <w:tcW w:w="1058" w:type="dxa"/>
            <w:vAlign w:val="center"/>
          </w:tcPr>
          <w:p>
            <w:pPr>
              <w:spacing w:line="240" w:lineRule="auto"/>
              <w:ind w:firstLine="0" w:firstLineChars="0"/>
              <w:jc w:val="center"/>
              <w:rPr>
                <w:rFonts w:cs="Times New Roman"/>
                <w:sz w:val="21"/>
                <w:szCs w:val="21"/>
              </w:rPr>
            </w:pPr>
            <w:r>
              <w:rPr>
                <w:rFonts w:cs="Times New Roman"/>
                <w:sz w:val="21"/>
                <w:szCs w:val="21"/>
              </w:rPr>
              <w:t>SO</w:t>
            </w:r>
            <w:r>
              <w:rPr>
                <w:rFonts w:cs="Times New Roman"/>
                <w:sz w:val="21"/>
                <w:szCs w:val="21"/>
                <w:vertAlign w:val="subscript"/>
              </w:rPr>
              <w:t>2</w:t>
            </w:r>
          </w:p>
        </w:tc>
        <w:tc>
          <w:tcPr>
            <w:tcW w:w="1508" w:type="dxa"/>
            <w:vAlign w:val="center"/>
          </w:tcPr>
          <w:p>
            <w:pPr>
              <w:pStyle w:val="594"/>
              <w:rPr>
                <w:rFonts w:cs="Times New Roman"/>
                <w:bCs/>
                <w:color w:val="000000" w:themeColor="text1"/>
                <w:kern w:val="2"/>
                <w14:textFill>
                  <w14:solidFill>
                    <w14:schemeClr w14:val="tx1"/>
                  </w14:solidFill>
                </w14:textFill>
              </w:rPr>
            </w:pPr>
            <w:r>
              <w:rPr>
                <w:rFonts w:cs="Times New Roman"/>
                <w:bCs/>
                <w:color w:val="000000" w:themeColor="text1"/>
                <w:kern w:val="2"/>
                <w14:textFill>
                  <w14:solidFill>
                    <w14:schemeClr w14:val="tx1"/>
                  </w14:solidFill>
                </w14:textFill>
              </w:rPr>
              <w:t>0.67</w:t>
            </w:r>
          </w:p>
        </w:tc>
        <w:tc>
          <w:tcPr>
            <w:tcW w:w="1450" w:type="dxa"/>
            <w:vAlign w:val="center"/>
          </w:tcPr>
          <w:p>
            <w:pPr>
              <w:spacing w:line="240" w:lineRule="auto"/>
              <w:ind w:firstLine="0" w:firstLineChars="0"/>
              <w:jc w:val="center"/>
              <w:rPr>
                <w:rFonts w:cs="Times New Roman"/>
                <w:sz w:val="21"/>
                <w:szCs w:val="21"/>
              </w:rPr>
            </w:pPr>
            <w:r>
              <w:rPr>
                <w:rFonts w:hint="eastAsia" w:cs="Times New Roman"/>
                <w:sz w:val="21"/>
                <w:szCs w:val="21"/>
              </w:rPr>
              <w:t>0.0014</w:t>
            </w:r>
          </w:p>
        </w:tc>
        <w:tc>
          <w:tcPr>
            <w:tcW w:w="1295" w:type="dxa"/>
            <w:vAlign w:val="center"/>
          </w:tcPr>
          <w:p>
            <w:pPr>
              <w:spacing w:line="240" w:lineRule="auto"/>
              <w:ind w:firstLine="0" w:firstLineChars="0"/>
              <w:jc w:val="center"/>
              <w:rPr>
                <w:rFonts w:cs="Times New Roman"/>
                <w:sz w:val="21"/>
                <w:szCs w:val="21"/>
              </w:rPr>
            </w:pPr>
            <w:r>
              <w:rPr>
                <w:rFonts w:hint="eastAsia" w:cs="Times New Roman"/>
                <w:sz w:val="21"/>
                <w:szCs w:val="21"/>
              </w:rPr>
              <w:t>0.011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604" w:type="dxa"/>
            <w:vMerge w:val="continue"/>
            <w:vAlign w:val="center"/>
          </w:tcPr>
          <w:p>
            <w:pPr>
              <w:spacing w:line="240" w:lineRule="auto"/>
              <w:ind w:firstLine="0" w:firstLineChars="0"/>
              <w:jc w:val="center"/>
              <w:rPr>
                <w:rFonts w:cs="Times New Roman"/>
                <w:sz w:val="21"/>
                <w:szCs w:val="21"/>
              </w:rPr>
            </w:pPr>
          </w:p>
        </w:tc>
        <w:tc>
          <w:tcPr>
            <w:tcW w:w="2305" w:type="dxa"/>
            <w:vMerge w:val="continue"/>
            <w:vAlign w:val="center"/>
          </w:tcPr>
          <w:p>
            <w:pPr>
              <w:spacing w:line="240" w:lineRule="auto"/>
              <w:ind w:firstLine="0" w:firstLineChars="0"/>
              <w:jc w:val="center"/>
              <w:rPr>
                <w:rFonts w:cs="Times New Roman"/>
                <w:sz w:val="21"/>
                <w:szCs w:val="21"/>
              </w:rPr>
            </w:pPr>
          </w:p>
        </w:tc>
        <w:tc>
          <w:tcPr>
            <w:tcW w:w="1058" w:type="dxa"/>
            <w:vAlign w:val="center"/>
          </w:tcPr>
          <w:p>
            <w:pPr>
              <w:spacing w:line="240" w:lineRule="auto"/>
              <w:ind w:firstLine="0" w:firstLineChars="0"/>
              <w:jc w:val="center"/>
              <w:rPr>
                <w:rFonts w:cs="Times New Roman"/>
                <w:sz w:val="21"/>
                <w:szCs w:val="21"/>
              </w:rPr>
            </w:pPr>
            <w:r>
              <w:rPr>
                <w:rFonts w:cs="Times New Roman"/>
                <w:sz w:val="21"/>
                <w:szCs w:val="21"/>
              </w:rPr>
              <w:t>NO</w:t>
            </w:r>
            <w:r>
              <w:rPr>
                <w:rFonts w:cs="Times New Roman"/>
                <w:sz w:val="21"/>
                <w:szCs w:val="21"/>
                <w:vertAlign w:val="subscript"/>
              </w:rPr>
              <w:t>X</w:t>
            </w:r>
          </w:p>
        </w:tc>
        <w:tc>
          <w:tcPr>
            <w:tcW w:w="1508" w:type="dxa"/>
            <w:vAlign w:val="center"/>
          </w:tcPr>
          <w:p>
            <w:pPr>
              <w:pStyle w:val="594"/>
              <w:rPr>
                <w:rFonts w:cs="Times New Roman"/>
                <w:bCs/>
                <w:color w:val="000000" w:themeColor="text1"/>
                <w:kern w:val="2"/>
                <w14:textFill>
                  <w14:solidFill>
                    <w14:schemeClr w14:val="tx1"/>
                  </w14:solidFill>
                </w14:textFill>
              </w:rPr>
            </w:pPr>
            <w:r>
              <w:rPr>
                <w:rFonts w:cs="Times New Roman"/>
                <w:color w:val="000000" w:themeColor="text1"/>
                <w:kern w:val="2"/>
                <w14:textFill>
                  <w14:solidFill>
                    <w14:schemeClr w14:val="tx1"/>
                  </w14:solidFill>
                </w14:textFill>
              </w:rPr>
              <w:t>64.86</w:t>
            </w:r>
          </w:p>
        </w:tc>
        <w:tc>
          <w:tcPr>
            <w:tcW w:w="1450" w:type="dxa"/>
            <w:vAlign w:val="center"/>
          </w:tcPr>
          <w:p>
            <w:pPr>
              <w:spacing w:line="240" w:lineRule="auto"/>
              <w:ind w:firstLine="0" w:firstLineChars="0"/>
              <w:jc w:val="center"/>
              <w:rPr>
                <w:rFonts w:cs="Times New Roman"/>
                <w:sz w:val="21"/>
                <w:szCs w:val="21"/>
              </w:rPr>
            </w:pPr>
            <w:r>
              <w:rPr>
                <w:rFonts w:hint="eastAsia" w:cs="Times New Roman"/>
                <w:sz w:val="21"/>
                <w:szCs w:val="21"/>
              </w:rPr>
              <w:t>0.081</w:t>
            </w:r>
          </w:p>
        </w:tc>
        <w:tc>
          <w:tcPr>
            <w:tcW w:w="1295" w:type="dxa"/>
            <w:vAlign w:val="center"/>
          </w:tcPr>
          <w:p>
            <w:pPr>
              <w:spacing w:line="240" w:lineRule="auto"/>
              <w:ind w:firstLine="0" w:firstLineChars="0"/>
              <w:jc w:val="center"/>
              <w:rPr>
                <w:rFonts w:cs="Times New Roman"/>
                <w:sz w:val="21"/>
                <w:szCs w:val="21"/>
              </w:rPr>
            </w:pPr>
            <w:r>
              <w:rPr>
                <w:rFonts w:hint="eastAsia" w:cs="Times New Roman"/>
                <w:sz w:val="21"/>
                <w:szCs w:val="21"/>
              </w:rPr>
              <w:t>0.64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2909" w:type="dxa"/>
            <w:gridSpan w:val="2"/>
            <w:vMerge w:val="restart"/>
            <w:vAlign w:val="center"/>
          </w:tcPr>
          <w:p>
            <w:pPr>
              <w:spacing w:line="240" w:lineRule="auto"/>
              <w:ind w:firstLine="0" w:firstLineChars="0"/>
              <w:jc w:val="center"/>
              <w:rPr>
                <w:rFonts w:cs="Times New Roman"/>
                <w:sz w:val="21"/>
                <w:szCs w:val="21"/>
              </w:rPr>
            </w:pPr>
            <w:r>
              <w:rPr>
                <w:rFonts w:cs="Times New Roman"/>
                <w:sz w:val="21"/>
                <w:szCs w:val="21"/>
              </w:rPr>
              <w:t>一般排放口合计</w:t>
            </w:r>
          </w:p>
        </w:tc>
        <w:tc>
          <w:tcPr>
            <w:tcW w:w="4016" w:type="dxa"/>
            <w:gridSpan w:val="3"/>
            <w:vAlign w:val="center"/>
          </w:tcPr>
          <w:p>
            <w:pPr>
              <w:spacing w:line="240" w:lineRule="auto"/>
              <w:ind w:firstLine="0" w:firstLineChars="0"/>
              <w:jc w:val="center"/>
              <w:rPr>
                <w:rFonts w:cs="Times New Roman"/>
                <w:sz w:val="21"/>
                <w:szCs w:val="21"/>
              </w:rPr>
            </w:pPr>
            <w:r>
              <w:rPr>
                <w:rFonts w:hint="eastAsia" w:cs="Times New Roman"/>
                <w:sz w:val="21"/>
                <w:szCs w:val="21"/>
              </w:rPr>
              <w:t>颗粒物</w:t>
            </w:r>
          </w:p>
        </w:tc>
        <w:tc>
          <w:tcPr>
            <w:tcW w:w="1295" w:type="dxa"/>
            <w:vAlign w:val="center"/>
          </w:tcPr>
          <w:p>
            <w:pPr>
              <w:spacing w:line="240" w:lineRule="auto"/>
              <w:ind w:firstLine="0" w:firstLineChars="0"/>
              <w:jc w:val="center"/>
              <w:rPr>
                <w:rFonts w:cs="Times New Roman"/>
                <w:sz w:val="21"/>
                <w:szCs w:val="21"/>
              </w:rPr>
            </w:pPr>
            <w:r>
              <w:rPr>
                <w:rFonts w:hint="eastAsia" w:cs="Times New Roman"/>
                <w:sz w:val="21"/>
                <w:szCs w:val="21"/>
              </w:rPr>
              <w:t>0.182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2909" w:type="dxa"/>
            <w:gridSpan w:val="2"/>
            <w:vMerge w:val="continue"/>
            <w:vAlign w:val="center"/>
          </w:tcPr>
          <w:p>
            <w:pPr>
              <w:spacing w:line="240" w:lineRule="auto"/>
              <w:ind w:firstLine="0" w:firstLineChars="0"/>
              <w:jc w:val="center"/>
              <w:rPr>
                <w:rFonts w:cs="Times New Roman"/>
                <w:sz w:val="21"/>
                <w:szCs w:val="21"/>
              </w:rPr>
            </w:pPr>
          </w:p>
        </w:tc>
        <w:tc>
          <w:tcPr>
            <w:tcW w:w="4016" w:type="dxa"/>
            <w:gridSpan w:val="3"/>
            <w:vAlign w:val="center"/>
          </w:tcPr>
          <w:p>
            <w:pPr>
              <w:spacing w:line="240" w:lineRule="auto"/>
              <w:ind w:firstLine="0" w:firstLineChars="0"/>
              <w:jc w:val="center"/>
              <w:rPr>
                <w:rFonts w:cs="Times New Roman"/>
                <w:sz w:val="21"/>
                <w:szCs w:val="21"/>
              </w:rPr>
            </w:pPr>
            <w:r>
              <w:rPr>
                <w:rFonts w:cs="Times New Roman"/>
                <w:sz w:val="21"/>
                <w:szCs w:val="21"/>
              </w:rPr>
              <w:t>SO</w:t>
            </w:r>
            <w:r>
              <w:rPr>
                <w:rFonts w:cs="Times New Roman"/>
                <w:sz w:val="21"/>
                <w:szCs w:val="21"/>
                <w:vertAlign w:val="subscript"/>
              </w:rPr>
              <w:t>2</w:t>
            </w:r>
          </w:p>
        </w:tc>
        <w:tc>
          <w:tcPr>
            <w:tcW w:w="1295" w:type="dxa"/>
            <w:vAlign w:val="center"/>
          </w:tcPr>
          <w:p>
            <w:pPr>
              <w:spacing w:line="240" w:lineRule="auto"/>
              <w:ind w:firstLine="0" w:firstLineChars="0"/>
              <w:jc w:val="center"/>
              <w:rPr>
                <w:rFonts w:cs="Times New Roman"/>
                <w:sz w:val="21"/>
                <w:szCs w:val="21"/>
              </w:rPr>
            </w:pPr>
            <w:r>
              <w:rPr>
                <w:rFonts w:hint="eastAsia" w:cs="Times New Roman"/>
                <w:sz w:val="21"/>
                <w:szCs w:val="21"/>
              </w:rPr>
              <w:t>0.011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2909" w:type="dxa"/>
            <w:gridSpan w:val="2"/>
            <w:vMerge w:val="continue"/>
            <w:vAlign w:val="center"/>
          </w:tcPr>
          <w:p>
            <w:pPr>
              <w:spacing w:line="240" w:lineRule="auto"/>
              <w:ind w:firstLine="0" w:firstLineChars="0"/>
              <w:jc w:val="center"/>
              <w:rPr>
                <w:rFonts w:cs="Times New Roman"/>
                <w:sz w:val="21"/>
                <w:szCs w:val="21"/>
              </w:rPr>
            </w:pPr>
          </w:p>
        </w:tc>
        <w:tc>
          <w:tcPr>
            <w:tcW w:w="4016" w:type="dxa"/>
            <w:gridSpan w:val="3"/>
            <w:vAlign w:val="center"/>
          </w:tcPr>
          <w:p>
            <w:pPr>
              <w:spacing w:line="240" w:lineRule="auto"/>
              <w:ind w:firstLine="0" w:firstLineChars="0"/>
              <w:jc w:val="center"/>
              <w:rPr>
                <w:rFonts w:cs="Times New Roman"/>
                <w:sz w:val="21"/>
                <w:szCs w:val="21"/>
              </w:rPr>
            </w:pPr>
            <w:r>
              <w:rPr>
                <w:rFonts w:cs="Times New Roman"/>
                <w:sz w:val="21"/>
                <w:szCs w:val="21"/>
              </w:rPr>
              <w:t>NO</w:t>
            </w:r>
            <w:r>
              <w:rPr>
                <w:rFonts w:cs="Times New Roman"/>
                <w:sz w:val="21"/>
                <w:szCs w:val="21"/>
                <w:vertAlign w:val="subscript"/>
              </w:rPr>
              <w:t>X</w:t>
            </w:r>
          </w:p>
        </w:tc>
        <w:tc>
          <w:tcPr>
            <w:tcW w:w="1295" w:type="dxa"/>
            <w:vAlign w:val="center"/>
          </w:tcPr>
          <w:p>
            <w:pPr>
              <w:spacing w:line="240" w:lineRule="auto"/>
              <w:ind w:firstLine="0" w:firstLineChars="0"/>
              <w:jc w:val="center"/>
              <w:rPr>
                <w:rFonts w:cs="Times New Roman"/>
                <w:sz w:val="21"/>
                <w:szCs w:val="21"/>
              </w:rPr>
            </w:pPr>
            <w:r>
              <w:rPr>
                <w:rFonts w:hint="eastAsia" w:cs="Times New Roman"/>
                <w:sz w:val="21"/>
                <w:szCs w:val="21"/>
              </w:rPr>
              <w:t>0.64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8220" w:type="dxa"/>
            <w:gridSpan w:val="6"/>
            <w:vAlign w:val="center"/>
          </w:tcPr>
          <w:p>
            <w:pPr>
              <w:spacing w:line="240" w:lineRule="auto"/>
              <w:ind w:firstLine="0" w:firstLineChars="0"/>
              <w:jc w:val="center"/>
              <w:rPr>
                <w:rFonts w:cs="Times New Roman"/>
                <w:sz w:val="21"/>
                <w:szCs w:val="21"/>
              </w:rPr>
            </w:pPr>
            <w:r>
              <w:rPr>
                <w:rFonts w:cs="Times New Roman"/>
                <w:sz w:val="21"/>
                <w:szCs w:val="21"/>
              </w:rPr>
              <w:t>有组织排放总计</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2909" w:type="dxa"/>
            <w:gridSpan w:val="2"/>
            <w:vMerge w:val="restart"/>
            <w:vAlign w:val="center"/>
          </w:tcPr>
          <w:p>
            <w:pPr>
              <w:spacing w:line="240" w:lineRule="auto"/>
              <w:ind w:firstLine="0" w:firstLineChars="0"/>
              <w:jc w:val="center"/>
              <w:rPr>
                <w:rFonts w:cs="Times New Roman"/>
                <w:sz w:val="21"/>
                <w:szCs w:val="21"/>
              </w:rPr>
            </w:pPr>
            <w:r>
              <w:rPr>
                <w:rFonts w:cs="Times New Roman"/>
                <w:sz w:val="21"/>
                <w:szCs w:val="21"/>
              </w:rPr>
              <w:t>有组织排放总计</w:t>
            </w:r>
          </w:p>
        </w:tc>
        <w:tc>
          <w:tcPr>
            <w:tcW w:w="4016" w:type="dxa"/>
            <w:gridSpan w:val="3"/>
            <w:vAlign w:val="center"/>
          </w:tcPr>
          <w:p>
            <w:pPr>
              <w:spacing w:line="240" w:lineRule="auto"/>
              <w:ind w:firstLine="0" w:firstLineChars="0"/>
              <w:jc w:val="center"/>
              <w:rPr>
                <w:rFonts w:cs="Times New Roman"/>
                <w:sz w:val="21"/>
                <w:szCs w:val="21"/>
              </w:rPr>
            </w:pPr>
          </w:p>
        </w:tc>
        <w:tc>
          <w:tcPr>
            <w:tcW w:w="1295" w:type="dxa"/>
            <w:vAlign w:val="center"/>
          </w:tcPr>
          <w:p>
            <w:pPr>
              <w:spacing w:line="240" w:lineRule="auto"/>
              <w:ind w:firstLine="0" w:firstLineChars="0"/>
              <w:jc w:val="center"/>
              <w:rPr>
                <w:rFonts w:cs="Times New Roman"/>
                <w:sz w:val="21"/>
                <w:szCs w:val="21"/>
              </w:rPr>
            </w:pPr>
            <w:r>
              <w:rPr>
                <w:rFonts w:hint="eastAsia" w:cs="Times New Roman"/>
                <w:sz w:val="21"/>
                <w:szCs w:val="21"/>
              </w:rPr>
              <w:t>0.182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2909" w:type="dxa"/>
            <w:gridSpan w:val="2"/>
            <w:vMerge w:val="continue"/>
            <w:vAlign w:val="center"/>
          </w:tcPr>
          <w:p>
            <w:pPr>
              <w:spacing w:line="240" w:lineRule="auto"/>
              <w:ind w:firstLine="0" w:firstLineChars="0"/>
              <w:jc w:val="center"/>
              <w:rPr>
                <w:rFonts w:cs="Times New Roman"/>
                <w:sz w:val="21"/>
                <w:szCs w:val="21"/>
              </w:rPr>
            </w:pPr>
          </w:p>
        </w:tc>
        <w:tc>
          <w:tcPr>
            <w:tcW w:w="4016" w:type="dxa"/>
            <w:gridSpan w:val="3"/>
            <w:vAlign w:val="center"/>
          </w:tcPr>
          <w:p>
            <w:pPr>
              <w:spacing w:line="240" w:lineRule="auto"/>
              <w:ind w:firstLine="0" w:firstLineChars="0"/>
              <w:jc w:val="center"/>
              <w:rPr>
                <w:rFonts w:cs="Times New Roman"/>
                <w:sz w:val="21"/>
                <w:szCs w:val="21"/>
              </w:rPr>
            </w:pPr>
            <w:r>
              <w:rPr>
                <w:rFonts w:cs="Times New Roman"/>
                <w:sz w:val="21"/>
                <w:szCs w:val="21"/>
              </w:rPr>
              <w:t>SO</w:t>
            </w:r>
            <w:r>
              <w:rPr>
                <w:rFonts w:cs="Times New Roman"/>
                <w:sz w:val="21"/>
                <w:szCs w:val="21"/>
                <w:vertAlign w:val="subscript"/>
              </w:rPr>
              <w:t>2</w:t>
            </w:r>
          </w:p>
        </w:tc>
        <w:tc>
          <w:tcPr>
            <w:tcW w:w="1295" w:type="dxa"/>
            <w:vAlign w:val="center"/>
          </w:tcPr>
          <w:p>
            <w:pPr>
              <w:spacing w:line="240" w:lineRule="auto"/>
              <w:ind w:firstLine="0" w:firstLineChars="0"/>
              <w:jc w:val="center"/>
              <w:rPr>
                <w:rFonts w:cs="Times New Roman"/>
                <w:sz w:val="21"/>
                <w:szCs w:val="21"/>
              </w:rPr>
            </w:pPr>
            <w:r>
              <w:rPr>
                <w:rFonts w:hint="eastAsia" w:cs="Times New Roman"/>
                <w:sz w:val="21"/>
                <w:szCs w:val="21"/>
              </w:rPr>
              <w:t>0.011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2909" w:type="dxa"/>
            <w:gridSpan w:val="2"/>
            <w:vMerge w:val="continue"/>
            <w:vAlign w:val="center"/>
          </w:tcPr>
          <w:p>
            <w:pPr>
              <w:spacing w:line="240" w:lineRule="auto"/>
              <w:ind w:firstLine="0" w:firstLineChars="0"/>
              <w:jc w:val="center"/>
              <w:rPr>
                <w:rFonts w:cs="Times New Roman"/>
                <w:sz w:val="21"/>
                <w:szCs w:val="21"/>
              </w:rPr>
            </w:pPr>
          </w:p>
        </w:tc>
        <w:tc>
          <w:tcPr>
            <w:tcW w:w="4016" w:type="dxa"/>
            <w:gridSpan w:val="3"/>
            <w:vAlign w:val="center"/>
          </w:tcPr>
          <w:p>
            <w:pPr>
              <w:spacing w:line="240" w:lineRule="auto"/>
              <w:ind w:firstLine="0" w:firstLineChars="0"/>
              <w:jc w:val="center"/>
              <w:rPr>
                <w:rFonts w:cs="Times New Roman"/>
                <w:sz w:val="21"/>
                <w:szCs w:val="21"/>
              </w:rPr>
            </w:pPr>
            <w:r>
              <w:rPr>
                <w:rFonts w:cs="Times New Roman"/>
                <w:sz w:val="21"/>
                <w:szCs w:val="21"/>
              </w:rPr>
              <w:t>NO</w:t>
            </w:r>
            <w:r>
              <w:rPr>
                <w:rFonts w:cs="Times New Roman"/>
                <w:sz w:val="21"/>
                <w:szCs w:val="21"/>
                <w:vertAlign w:val="subscript"/>
              </w:rPr>
              <w:t>X</w:t>
            </w:r>
          </w:p>
        </w:tc>
        <w:tc>
          <w:tcPr>
            <w:tcW w:w="1295" w:type="dxa"/>
            <w:vAlign w:val="center"/>
          </w:tcPr>
          <w:p>
            <w:pPr>
              <w:spacing w:line="240" w:lineRule="auto"/>
              <w:ind w:firstLine="0" w:firstLineChars="0"/>
              <w:jc w:val="center"/>
              <w:rPr>
                <w:rFonts w:cs="Times New Roman"/>
                <w:sz w:val="21"/>
                <w:szCs w:val="21"/>
              </w:rPr>
            </w:pPr>
            <w:r>
              <w:rPr>
                <w:rFonts w:hint="eastAsia" w:cs="Times New Roman"/>
                <w:sz w:val="21"/>
                <w:szCs w:val="21"/>
              </w:rPr>
              <w:t>0.64</w:t>
            </w:r>
          </w:p>
        </w:tc>
      </w:tr>
    </w:tbl>
    <w:p>
      <w:pPr>
        <w:tabs>
          <w:tab w:val="left" w:pos="600"/>
        </w:tabs>
        <w:spacing w:before="120" w:beforeLines="50"/>
        <w:ind w:firstLine="480"/>
        <w:rPr>
          <w:rFonts w:cs="Times New Roman"/>
          <w:szCs w:val="24"/>
          <w:lang w:bidi="en-US"/>
        </w:rPr>
      </w:pPr>
      <w:r>
        <w:rPr>
          <w:rFonts w:cs="Times New Roman"/>
          <w:szCs w:val="24"/>
          <w:lang w:bidi="en-US"/>
        </w:rPr>
        <w:t>2）无组织排放量核算</w:t>
      </w:r>
    </w:p>
    <w:p>
      <w:pPr>
        <w:tabs>
          <w:tab w:val="left" w:pos="600"/>
        </w:tabs>
        <w:ind w:firstLine="480"/>
        <w:rPr>
          <w:rFonts w:cs="Times New Roman"/>
          <w:szCs w:val="24"/>
          <w:lang w:bidi="en-US"/>
        </w:rPr>
      </w:pPr>
      <w:r>
        <w:rPr>
          <w:rFonts w:hint="eastAsia" w:cs="Times New Roman"/>
          <w:szCs w:val="24"/>
          <w:lang w:bidi="en-US"/>
        </w:rPr>
        <w:t>试采期普光</w:t>
      </w:r>
      <w:r>
        <w:rPr>
          <w:rFonts w:cs="Times New Roman"/>
          <w:szCs w:val="24"/>
          <w:lang w:bidi="en-US"/>
        </w:rPr>
        <w:t>3011-6</w:t>
      </w:r>
      <w:r>
        <w:rPr>
          <w:rFonts w:hint="eastAsia" w:cs="Times New Roman"/>
          <w:szCs w:val="24"/>
          <w:lang w:bidi="en-US"/>
        </w:rPr>
        <w:t>井正常生产情况下，流程设备、管线、阀室等工艺设备为高压密闭作业，无天然气泄露废气产生，因此不核算无组织排放废气。</w:t>
      </w:r>
    </w:p>
    <w:p>
      <w:pPr>
        <w:tabs>
          <w:tab w:val="left" w:pos="600"/>
        </w:tabs>
        <w:ind w:firstLine="480"/>
        <w:rPr>
          <w:rFonts w:cs="Times New Roman"/>
          <w:szCs w:val="24"/>
          <w:lang w:bidi="en-US"/>
        </w:rPr>
      </w:pPr>
      <w:r>
        <w:rPr>
          <w:rFonts w:hint="eastAsia" w:cs="Times New Roman"/>
          <w:szCs w:val="24"/>
          <w:lang w:bidi="en-US"/>
        </w:rPr>
        <w:t>3）大气污染物年排放量核算</w:t>
      </w:r>
    </w:p>
    <w:p>
      <w:pPr>
        <w:pStyle w:val="95"/>
      </w:pPr>
      <w:r>
        <w:t xml:space="preserve">表 </w:t>
      </w:r>
      <w:r>
        <w:fldChar w:fldCharType="begin"/>
      </w:r>
      <w:r>
        <w:instrText xml:space="preserve"> STYLEREF 2 \s </w:instrText>
      </w:r>
      <w:r>
        <w:fldChar w:fldCharType="separate"/>
      </w:r>
      <w:r>
        <w:t>5.2</w:t>
      </w:r>
      <w:r>
        <w:fldChar w:fldCharType="end"/>
      </w:r>
      <w:r>
        <w:rPr>
          <w:rFonts w:hint="eastAsia"/>
        </w:rPr>
        <w:t>-</w:t>
      </w:r>
      <w:r>
        <w:t>5  大气污染物年排放量核算表</w:t>
      </w:r>
    </w:p>
    <w:tbl>
      <w:tblPr>
        <w:tblStyle w:val="52"/>
        <w:tblW w:w="8220" w:type="dxa"/>
        <w:jc w:val="center"/>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Layout w:type="fixed"/>
        <w:tblCellMar>
          <w:top w:w="0" w:type="dxa"/>
          <w:left w:w="0" w:type="dxa"/>
          <w:bottom w:w="0" w:type="dxa"/>
          <w:right w:w="0" w:type="dxa"/>
        </w:tblCellMar>
      </w:tblPr>
      <w:tblGrid>
        <w:gridCol w:w="2177"/>
        <w:gridCol w:w="3139"/>
        <w:gridCol w:w="2904"/>
      </w:tblGrid>
      <w:tr>
        <w:tblPrEx>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CellMar>
            <w:top w:w="0" w:type="dxa"/>
            <w:left w:w="0" w:type="dxa"/>
            <w:bottom w:w="0" w:type="dxa"/>
            <w:right w:w="0" w:type="dxa"/>
          </w:tblCellMar>
        </w:tblPrEx>
        <w:trPr>
          <w:jc w:val="center"/>
        </w:trPr>
        <w:tc>
          <w:tcPr>
            <w:tcW w:w="2177" w:type="dxa"/>
            <w:vAlign w:val="center"/>
          </w:tcPr>
          <w:p>
            <w:pPr>
              <w:widowControl/>
              <w:spacing w:line="240" w:lineRule="auto"/>
              <w:ind w:firstLine="0" w:firstLineChars="0"/>
              <w:jc w:val="center"/>
              <w:rPr>
                <w:rFonts w:cs="Times New Roman"/>
                <w:kern w:val="0"/>
                <w:sz w:val="21"/>
                <w:szCs w:val="21"/>
                <w:lang w:eastAsia="en-US"/>
              </w:rPr>
            </w:pPr>
            <w:r>
              <w:rPr>
                <w:rFonts w:cs="Times New Roman"/>
                <w:kern w:val="0"/>
                <w:sz w:val="21"/>
                <w:szCs w:val="21"/>
                <w:lang w:eastAsia="en-US"/>
              </w:rPr>
              <w:t>序号</w:t>
            </w:r>
          </w:p>
        </w:tc>
        <w:tc>
          <w:tcPr>
            <w:tcW w:w="3139" w:type="dxa"/>
            <w:vAlign w:val="center"/>
          </w:tcPr>
          <w:p>
            <w:pPr>
              <w:widowControl/>
              <w:spacing w:line="240" w:lineRule="auto"/>
              <w:ind w:firstLine="0" w:firstLineChars="0"/>
              <w:jc w:val="center"/>
              <w:rPr>
                <w:rFonts w:cs="Times New Roman"/>
                <w:kern w:val="0"/>
                <w:sz w:val="21"/>
                <w:szCs w:val="21"/>
                <w:lang w:eastAsia="en-US"/>
              </w:rPr>
            </w:pPr>
            <w:r>
              <w:rPr>
                <w:rFonts w:cs="Times New Roman"/>
                <w:kern w:val="0"/>
                <w:sz w:val="21"/>
                <w:szCs w:val="21"/>
                <w:lang w:eastAsia="en-US"/>
              </w:rPr>
              <w:t>污染物</w:t>
            </w:r>
          </w:p>
        </w:tc>
        <w:tc>
          <w:tcPr>
            <w:tcW w:w="2904" w:type="dxa"/>
            <w:vAlign w:val="center"/>
          </w:tcPr>
          <w:p>
            <w:pPr>
              <w:widowControl/>
              <w:spacing w:line="240" w:lineRule="auto"/>
              <w:ind w:firstLine="0" w:firstLineChars="0"/>
              <w:jc w:val="center"/>
              <w:rPr>
                <w:rFonts w:cs="Times New Roman"/>
                <w:kern w:val="0"/>
                <w:sz w:val="21"/>
                <w:szCs w:val="21"/>
                <w:lang w:eastAsia="en-US"/>
              </w:rPr>
            </w:pPr>
            <w:r>
              <w:rPr>
                <w:rFonts w:cs="Times New Roman"/>
                <w:kern w:val="0"/>
                <w:sz w:val="21"/>
                <w:szCs w:val="21"/>
                <w:lang w:eastAsia="en-US"/>
              </w:rPr>
              <w:t>年排放量（t/a）</w:t>
            </w:r>
          </w:p>
        </w:tc>
      </w:tr>
      <w:tr>
        <w:tblPrEx>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CellMar>
            <w:top w:w="0" w:type="dxa"/>
            <w:left w:w="0" w:type="dxa"/>
            <w:bottom w:w="0" w:type="dxa"/>
            <w:right w:w="0" w:type="dxa"/>
          </w:tblCellMar>
        </w:tblPrEx>
        <w:trPr>
          <w:jc w:val="center"/>
        </w:trPr>
        <w:tc>
          <w:tcPr>
            <w:tcW w:w="2177" w:type="dxa"/>
            <w:vAlign w:val="center"/>
          </w:tcPr>
          <w:p>
            <w:pPr>
              <w:autoSpaceDE w:val="0"/>
              <w:autoSpaceDN w:val="0"/>
              <w:spacing w:line="240" w:lineRule="auto"/>
              <w:ind w:firstLine="0" w:firstLineChars="0"/>
              <w:jc w:val="center"/>
              <w:textAlignment w:val="baseline"/>
              <w:rPr>
                <w:rFonts w:cs="Times New Roman"/>
                <w:sz w:val="21"/>
                <w:szCs w:val="21"/>
              </w:rPr>
            </w:pPr>
            <w:r>
              <w:rPr>
                <w:rFonts w:cs="Times New Roman"/>
                <w:sz w:val="21"/>
                <w:szCs w:val="21"/>
              </w:rPr>
              <w:t>1</w:t>
            </w:r>
          </w:p>
        </w:tc>
        <w:tc>
          <w:tcPr>
            <w:tcW w:w="3139" w:type="dxa"/>
            <w:vAlign w:val="center"/>
          </w:tcPr>
          <w:p>
            <w:pPr>
              <w:spacing w:line="240" w:lineRule="auto"/>
              <w:ind w:firstLine="0" w:firstLineChars="0"/>
              <w:jc w:val="center"/>
              <w:rPr>
                <w:rFonts w:cs="Times New Roman"/>
                <w:sz w:val="21"/>
                <w:szCs w:val="21"/>
              </w:rPr>
            </w:pPr>
            <w:r>
              <w:rPr>
                <w:rFonts w:hint="eastAsia" w:cs="Times New Roman"/>
                <w:sz w:val="21"/>
                <w:szCs w:val="21"/>
              </w:rPr>
              <w:t>颗粒物</w:t>
            </w:r>
          </w:p>
        </w:tc>
        <w:tc>
          <w:tcPr>
            <w:tcW w:w="2904" w:type="dxa"/>
            <w:vAlign w:val="center"/>
          </w:tcPr>
          <w:p>
            <w:pPr>
              <w:spacing w:line="240" w:lineRule="auto"/>
              <w:ind w:firstLine="0" w:firstLineChars="0"/>
              <w:jc w:val="center"/>
              <w:rPr>
                <w:rFonts w:cs="Times New Roman"/>
                <w:sz w:val="21"/>
                <w:szCs w:val="21"/>
              </w:rPr>
            </w:pPr>
            <w:r>
              <w:rPr>
                <w:rFonts w:hint="eastAsia" w:cs="Times New Roman"/>
                <w:sz w:val="21"/>
                <w:szCs w:val="21"/>
              </w:rPr>
              <w:t>0.182</w:t>
            </w:r>
          </w:p>
        </w:tc>
      </w:tr>
      <w:tr>
        <w:tblPrEx>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CellMar>
            <w:top w:w="0" w:type="dxa"/>
            <w:left w:w="0" w:type="dxa"/>
            <w:bottom w:w="0" w:type="dxa"/>
            <w:right w:w="0" w:type="dxa"/>
          </w:tblCellMar>
        </w:tblPrEx>
        <w:trPr>
          <w:jc w:val="center"/>
        </w:trPr>
        <w:tc>
          <w:tcPr>
            <w:tcW w:w="2177" w:type="dxa"/>
            <w:vAlign w:val="center"/>
          </w:tcPr>
          <w:p>
            <w:pPr>
              <w:autoSpaceDE w:val="0"/>
              <w:autoSpaceDN w:val="0"/>
              <w:spacing w:line="240" w:lineRule="auto"/>
              <w:ind w:firstLine="0" w:firstLineChars="0"/>
              <w:jc w:val="center"/>
              <w:textAlignment w:val="baseline"/>
              <w:rPr>
                <w:rFonts w:cs="Times New Roman"/>
                <w:sz w:val="21"/>
                <w:szCs w:val="21"/>
              </w:rPr>
            </w:pPr>
            <w:r>
              <w:rPr>
                <w:rFonts w:cs="Times New Roman"/>
                <w:sz w:val="21"/>
                <w:szCs w:val="21"/>
              </w:rPr>
              <w:t>2</w:t>
            </w:r>
          </w:p>
        </w:tc>
        <w:tc>
          <w:tcPr>
            <w:tcW w:w="3139" w:type="dxa"/>
            <w:vAlign w:val="center"/>
          </w:tcPr>
          <w:p>
            <w:pPr>
              <w:spacing w:line="240" w:lineRule="auto"/>
              <w:ind w:firstLine="0" w:firstLineChars="0"/>
              <w:jc w:val="center"/>
              <w:rPr>
                <w:rFonts w:cs="Times New Roman"/>
                <w:sz w:val="21"/>
                <w:szCs w:val="21"/>
              </w:rPr>
            </w:pPr>
            <w:r>
              <w:rPr>
                <w:rFonts w:cs="Times New Roman"/>
                <w:sz w:val="21"/>
                <w:szCs w:val="21"/>
              </w:rPr>
              <w:t>SO</w:t>
            </w:r>
            <w:r>
              <w:rPr>
                <w:rFonts w:cs="Times New Roman"/>
                <w:sz w:val="21"/>
                <w:szCs w:val="21"/>
                <w:vertAlign w:val="subscript"/>
              </w:rPr>
              <w:t>2</w:t>
            </w:r>
          </w:p>
        </w:tc>
        <w:tc>
          <w:tcPr>
            <w:tcW w:w="2904" w:type="dxa"/>
            <w:vAlign w:val="center"/>
          </w:tcPr>
          <w:p>
            <w:pPr>
              <w:spacing w:line="240" w:lineRule="auto"/>
              <w:ind w:firstLine="0" w:firstLineChars="0"/>
              <w:jc w:val="center"/>
              <w:rPr>
                <w:rFonts w:cs="Times New Roman"/>
                <w:sz w:val="21"/>
                <w:szCs w:val="21"/>
              </w:rPr>
            </w:pPr>
            <w:r>
              <w:rPr>
                <w:rFonts w:hint="eastAsia" w:cs="Times New Roman"/>
                <w:sz w:val="21"/>
                <w:szCs w:val="21"/>
              </w:rPr>
              <w:t>0.011</w:t>
            </w:r>
          </w:p>
        </w:tc>
      </w:tr>
      <w:tr>
        <w:tblPrEx>
          <w:tblBorders>
            <w:top w:val="single" w:color="auto" w:sz="8" w:space="0"/>
            <w:left w:val="single" w:color="auto" w:sz="8" w:space="0"/>
            <w:bottom w:val="single" w:color="auto" w:sz="8" w:space="0"/>
            <w:right w:val="single" w:color="auto" w:sz="8" w:space="0"/>
            <w:insideH w:val="single" w:color="000000" w:sz="4" w:space="0"/>
            <w:insideV w:val="single" w:color="000000" w:sz="4" w:space="0"/>
          </w:tblBorders>
          <w:tblCellMar>
            <w:top w:w="0" w:type="dxa"/>
            <w:left w:w="0" w:type="dxa"/>
            <w:bottom w:w="0" w:type="dxa"/>
            <w:right w:w="0" w:type="dxa"/>
          </w:tblCellMar>
        </w:tblPrEx>
        <w:trPr>
          <w:jc w:val="center"/>
        </w:trPr>
        <w:tc>
          <w:tcPr>
            <w:tcW w:w="2177" w:type="dxa"/>
            <w:vAlign w:val="center"/>
          </w:tcPr>
          <w:p>
            <w:pPr>
              <w:autoSpaceDE w:val="0"/>
              <w:autoSpaceDN w:val="0"/>
              <w:spacing w:line="240" w:lineRule="auto"/>
              <w:ind w:firstLine="0" w:firstLineChars="0"/>
              <w:jc w:val="center"/>
              <w:textAlignment w:val="baseline"/>
              <w:rPr>
                <w:rFonts w:cs="Times New Roman"/>
                <w:sz w:val="21"/>
                <w:szCs w:val="21"/>
              </w:rPr>
            </w:pPr>
            <w:r>
              <w:rPr>
                <w:rFonts w:hint="eastAsia" w:cs="Times New Roman"/>
                <w:sz w:val="21"/>
                <w:szCs w:val="21"/>
              </w:rPr>
              <w:t>3</w:t>
            </w:r>
          </w:p>
        </w:tc>
        <w:tc>
          <w:tcPr>
            <w:tcW w:w="3139" w:type="dxa"/>
            <w:vAlign w:val="center"/>
          </w:tcPr>
          <w:p>
            <w:pPr>
              <w:spacing w:line="240" w:lineRule="auto"/>
              <w:ind w:firstLine="0" w:firstLineChars="0"/>
              <w:jc w:val="center"/>
              <w:rPr>
                <w:rFonts w:cs="Times New Roman"/>
                <w:sz w:val="21"/>
                <w:szCs w:val="21"/>
              </w:rPr>
            </w:pPr>
            <w:r>
              <w:rPr>
                <w:rFonts w:cs="Times New Roman"/>
                <w:sz w:val="21"/>
                <w:szCs w:val="21"/>
              </w:rPr>
              <w:t>NO</w:t>
            </w:r>
            <w:r>
              <w:rPr>
                <w:rFonts w:cs="Times New Roman"/>
                <w:sz w:val="21"/>
                <w:szCs w:val="21"/>
                <w:vertAlign w:val="subscript"/>
              </w:rPr>
              <w:t>X</w:t>
            </w:r>
          </w:p>
        </w:tc>
        <w:tc>
          <w:tcPr>
            <w:tcW w:w="2904" w:type="dxa"/>
            <w:vAlign w:val="center"/>
          </w:tcPr>
          <w:p>
            <w:pPr>
              <w:spacing w:line="240" w:lineRule="auto"/>
              <w:ind w:firstLine="0" w:firstLineChars="0"/>
              <w:jc w:val="center"/>
              <w:rPr>
                <w:rFonts w:cs="Times New Roman"/>
                <w:sz w:val="21"/>
                <w:szCs w:val="21"/>
              </w:rPr>
            </w:pPr>
            <w:r>
              <w:rPr>
                <w:rFonts w:hint="eastAsia" w:cs="Times New Roman"/>
                <w:sz w:val="21"/>
                <w:szCs w:val="21"/>
              </w:rPr>
              <w:t>0.64</w:t>
            </w:r>
          </w:p>
        </w:tc>
      </w:tr>
    </w:tbl>
    <w:p>
      <w:pPr>
        <w:ind w:firstLine="40"/>
        <w:rPr>
          <w:rFonts w:eastAsia="黑体" w:cs="Times New Roman"/>
          <w:b/>
          <w:bCs/>
          <w:color w:val="FF0000"/>
          <w:sz w:val="2"/>
          <w:szCs w:val="2"/>
        </w:rPr>
      </w:pPr>
    </w:p>
    <w:p>
      <w:pPr>
        <w:tabs>
          <w:tab w:val="left" w:pos="600"/>
        </w:tabs>
        <w:spacing w:before="120" w:beforeLines="50"/>
        <w:ind w:firstLine="480"/>
        <w:rPr>
          <w:rFonts w:cs="Times New Roman"/>
          <w:szCs w:val="24"/>
          <w:lang w:bidi="en-US"/>
        </w:rPr>
      </w:pPr>
      <w:r>
        <w:rPr>
          <w:rFonts w:hint="eastAsia" w:cs="Times New Roman"/>
          <w:szCs w:val="24"/>
          <w:lang w:bidi="en-US"/>
        </w:rPr>
        <w:t>（5）</w:t>
      </w:r>
      <w:r>
        <w:rPr>
          <w:rFonts w:cs="Times New Roman"/>
          <w:szCs w:val="24"/>
          <w:lang w:bidi="en-US"/>
        </w:rPr>
        <w:t>大气环境影响分析</w:t>
      </w:r>
    </w:p>
    <w:p>
      <w:pPr>
        <w:tabs>
          <w:tab w:val="left" w:pos="600"/>
        </w:tabs>
        <w:ind w:firstLine="480"/>
        <w:rPr>
          <w:rFonts w:cs="Times New Roman"/>
          <w:szCs w:val="24"/>
          <w:lang w:bidi="en-US"/>
        </w:rPr>
      </w:pPr>
      <w:r>
        <w:rPr>
          <w:rFonts w:hint="eastAsia" w:cs="Times New Roman"/>
          <w:szCs w:val="24"/>
          <w:lang w:bidi="en-US"/>
        </w:rPr>
        <w:t>1）水套加热炉废气环境影响分析</w:t>
      </w:r>
    </w:p>
    <w:p>
      <w:pPr>
        <w:tabs>
          <w:tab w:val="left" w:pos="600"/>
        </w:tabs>
        <w:ind w:firstLine="480"/>
        <w:rPr>
          <w:rFonts w:cs="Times New Roman"/>
          <w:szCs w:val="24"/>
          <w:lang w:bidi="en-US"/>
        </w:rPr>
      </w:pPr>
      <w:r>
        <w:rPr>
          <w:rFonts w:cs="Times New Roman"/>
          <w:szCs w:val="24"/>
          <w:lang w:bidi="en-US"/>
        </w:rPr>
        <w:t>根据上述预测分析可知，</w:t>
      </w:r>
      <w:r>
        <w:rPr>
          <w:rFonts w:hint="eastAsia" w:cs="Times New Roman"/>
          <w:szCs w:val="24"/>
          <w:lang w:bidi="en-US"/>
        </w:rPr>
        <w:t>P3011-6井</w:t>
      </w:r>
      <w:r>
        <w:rPr>
          <w:rFonts w:cs="Times New Roman"/>
          <w:szCs w:val="24"/>
          <w:lang w:bidi="en-US"/>
        </w:rPr>
        <w:t>依托的水套加热炉污染物排放中NOx最大占标率8.81%，</w:t>
      </w:r>
      <w:r>
        <w:rPr>
          <w:rFonts w:cs="Times New Roman"/>
          <w:szCs w:val="24"/>
        </w:rPr>
        <w:t>SO</w:t>
      </w:r>
      <w:r>
        <w:rPr>
          <w:rFonts w:cs="Times New Roman"/>
          <w:szCs w:val="24"/>
          <w:vertAlign w:val="subscript"/>
        </w:rPr>
        <w:t>2</w:t>
      </w:r>
      <w:r>
        <w:rPr>
          <w:rFonts w:hint="eastAsia" w:cs="Times New Roman"/>
          <w:szCs w:val="24"/>
        </w:rPr>
        <w:t>最</w:t>
      </w:r>
      <w:r>
        <w:rPr>
          <w:rFonts w:cs="Times New Roman"/>
          <w:szCs w:val="24"/>
          <w:lang w:bidi="en-US"/>
        </w:rPr>
        <w:t>大占标率0.08%</w:t>
      </w:r>
      <w:r>
        <w:rPr>
          <w:rFonts w:hint="eastAsia" w:cs="Times New Roman"/>
          <w:szCs w:val="24"/>
          <w:lang w:bidi="en-US"/>
        </w:rPr>
        <w:t>，颗粒物</w:t>
      </w:r>
      <w:r>
        <w:rPr>
          <w:rFonts w:cs="Times New Roman"/>
          <w:szCs w:val="24"/>
          <w:lang w:bidi="en-US"/>
        </w:rPr>
        <w:t>最大占标率1.39%</w:t>
      </w:r>
      <w:r>
        <w:rPr>
          <w:rFonts w:hint="eastAsia" w:cs="Times New Roman"/>
          <w:szCs w:val="24"/>
          <w:lang w:bidi="en-US"/>
        </w:rPr>
        <w:t>，</w:t>
      </w:r>
      <w:r>
        <w:rPr>
          <w:rFonts w:cs="Times New Roman"/>
          <w:szCs w:val="24"/>
          <w:lang w:bidi="en-US"/>
        </w:rPr>
        <w:t>污染物排放量小，</w:t>
      </w:r>
      <w:r>
        <w:rPr>
          <w:rFonts w:hint="eastAsia" w:cs="Times New Roman"/>
          <w:szCs w:val="24"/>
          <w:lang w:bidi="en-US"/>
        </w:rPr>
        <w:t>不会显著增加环境空气中污染物浓度，</w:t>
      </w:r>
      <w:r>
        <w:rPr>
          <w:rFonts w:cs="Times New Roman"/>
          <w:szCs w:val="24"/>
          <w:lang w:bidi="en-US"/>
        </w:rPr>
        <w:t>污染物排放对环境空气的影响较小。</w:t>
      </w:r>
    </w:p>
    <w:p>
      <w:pPr>
        <w:tabs>
          <w:tab w:val="left" w:pos="600"/>
        </w:tabs>
        <w:ind w:firstLine="480"/>
        <w:rPr>
          <w:rFonts w:cs="Times New Roman"/>
          <w:szCs w:val="24"/>
          <w:lang w:bidi="en-US"/>
        </w:rPr>
      </w:pPr>
      <w:r>
        <w:rPr>
          <w:rFonts w:hint="eastAsia" w:cs="Times New Roman"/>
          <w:szCs w:val="24"/>
          <w:lang w:bidi="en-US"/>
        </w:rPr>
        <w:t>2）</w:t>
      </w:r>
      <w:r>
        <w:rPr>
          <w:rFonts w:cs="Times New Roman"/>
          <w:szCs w:val="24"/>
          <w:lang w:bidi="en-US"/>
        </w:rPr>
        <w:t>管线放空废气</w:t>
      </w:r>
    </w:p>
    <w:p>
      <w:pPr>
        <w:tabs>
          <w:tab w:val="left" w:pos="600"/>
        </w:tabs>
        <w:ind w:firstLine="480"/>
        <w:rPr>
          <w:rFonts w:cs="Times New Roman"/>
          <w:szCs w:val="24"/>
          <w:lang w:bidi="en-US"/>
        </w:rPr>
      </w:pPr>
      <w:r>
        <w:rPr>
          <w:rFonts w:cs="Times New Roman"/>
          <w:szCs w:val="24"/>
          <w:lang w:bidi="en-US"/>
        </w:rPr>
        <w:t>本项目非正常工况主要废气为站场检修/事故放空废气依托</w:t>
      </w:r>
      <w:r>
        <w:rPr>
          <w:rFonts w:hint="eastAsia" w:cs="Times New Roman"/>
          <w:szCs w:val="24"/>
          <w:lang w:bidi="en-US"/>
        </w:rPr>
        <w:t>P30</w:t>
      </w:r>
      <w:r>
        <w:rPr>
          <w:rFonts w:cs="Times New Roman"/>
          <w:szCs w:val="24"/>
          <w:lang w:bidi="en-US"/>
        </w:rPr>
        <w:t>,1</w:t>
      </w:r>
      <w:r>
        <w:rPr>
          <w:rFonts w:hint="eastAsia" w:cs="Times New Roman"/>
          <w:szCs w:val="24"/>
          <w:lang w:bidi="en-US"/>
        </w:rPr>
        <w:t>集气站</w:t>
      </w:r>
      <w:r>
        <w:rPr>
          <w:rFonts w:cs="Times New Roman"/>
          <w:szCs w:val="24"/>
          <w:lang w:bidi="en-US"/>
        </w:rPr>
        <w:t>已建的放空火炬，本项目非正常工况</w:t>
      </w:r>
      <w:r>
        <w:rPr>
          <w:rFonts w:hint="eastAsia" w:cs="Times New Roman"/>
          <w:szCs w:val="24"/>
          <w:lang w:bidi="en-US"/>
        </w:rPr>
        <w:t>放空废气量小，放空次数少，放空废气进入P30</w:t>
      </w:r>
      <w:r>
        <w:rPr>
          <w:rFonts w:cs="Times New Roman"/>
          <w:szCs w:val="24"/>
          <w:lang w:bidi="en-US"/>
        </w:rPr>
        <w:t>1</w:t>
      </w:r>
      <w:r>
        <w:rPr>
          <w:rFonts w:hint="eastAsia" w:cs="Times New Roman"/>
          <w:szCs w:val="24"/>
          <w:lang w:bidi="en-US"/>
        </w:rPr>
        <w:t>集气站</w:t>
      </w:r>
      <w:r>
        <w:rPr>
          <w:rFonts w:cs="Times New Roman"/>
          <w:szCs w:val="24"/>
          <w:lang w:bidi="en-US"/>
        </w:rPr>
        <w:t>已建的放空火炬</w:t>
      </w:r>
      <w:r>
        <w:rPr>
          <w:rFonts w:hint="eastAsia" w:cs="Times New Roman"/>
          <w:szCs w:val="24"/>
          <w:lang w:bidi="en-US"/>
        </w:rPr>
        <w:t>燃烧</w:t>
      </w:r>
      <w:r>
        <w:rPr>
          <w:rFonts w:cs="Times New Roman"/>
          <w:szCs w:val="24"/>
          <w:lang w:bidi="en-US"/>
        </w:rPr>
        <w:t>不会增加火炬头长明灯废气量</w:t>
      </w:r>
      <w:r>
        <w:rPr>
          <w:rFonts w:hint="eastAsia" w:cs="Times New Roman"/>
          <w:szCs w:val="24"/>
          <w:lang w:bidi="en-US"/>
        </w:rPr>
        <w:t>，</w:t>
      </w:r>
      <w:r>
        <w:rPr>
          <w:rFonts w:cs="Times New Roman"/>
          <w:szCs w:val="24"/>
          <w:lang w:bidi="en-US"/>
        </w:rPr>
        <w:t>项目区扩散条件好，对环境空气质量影响小。</w:t>
      </w:r>
    </w:p>
    <w:p>
      <w:pPr>
        <w:ind w:firstLine="40"/>
        <w:rPr>
          <w:rFonts w:eastAsia="黑体" w:cs="Times New Roman"/>
          <w:b/>
          <w:bCs/>
          <w:color w:val="000000" w:themeColor="text1"/>
          <w:sz w:val="2"/>
          <w:szCs w:val="2"/>
          <w14:textFill>
            <w14:solidFill>
              <w14:schemeClr w14:val="tx1"/>
            </w14:solidFill>
          </w14:textFill>
        </w:rPr>
      </w:pPr>
    </w:p>
    <w:p>
      <w:pPr>
        <w:pStyle w:val="4"/>
        <w:ind w:firstLine="241"/>
      </w:pPr>
      <w:bookmarkStart w:id="264" w:name="_Toc120173157"/>
      <w:r>
        <w:rPr>
          <w:rFonts w:hint="eastAsia"/>
        </w:rPr>
        <w:t>5.2.3</w:t>
      </w:r>
      <w:r>
        <w:t>地表水环境影响分析</w:t>
      </w:r>
      <w:bookmarkEnd w:id="264"/>
    </w:p>
    <w:p>
      <w:pPr>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（1）采气废水影响分析</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14:textFill>
            <w14:solidFill>
              <w14:schemeClr w14:val="tx1"/>
            </w14:solidFill>
          </w14:textFill>
        </w:rPr>
        <w:t>类比区块普光气田开发井日产气田水情况，预估普光3011-6井试采站气田水产生量约为10m</w:t>
      </w:r>
      <w:r>
        <w:rPr>
          <w:rFonts w:cs="Times New Roman"/>
          <w:bCs/>
          <w:color w:val="000000" w:themeColor="text1"/>
          <w:vertAlign w:val="superscript"/>
          <w14:textFill>
            <w14:solidFill>
              <w14:schemeClr w14:val="tx1"/>
            </w14:solidFill>
          </w14:textFill>
        </w:rPr>
        <w:t>3</w:t>
      </w:r>
      <w:r>
        <w:rPr>
          <w:rFonts w:cs="Times New Roman"/>
          <w:bCs/>
          <w:color w:val="000000" w:themeColor="text1"/>
          <w14:textFill>
            <w14:solidFill>
              <w14:schemeClr w14:val="tx1"/>
            </w14:solidFill>
          </w14:textFill>
        </w:rPr>
        <w:t>/d。酸气采取全湿气加热保温混输工艺，为防止酸化压裂液返排对地面试采管道造成腐蚀，本项目在P3011采气站内的利旧新建分酸分离器，酸气气液经过新建的分酸分离器进行气液分离，分离气田水进入酸液缓冲罐（20m</w:t>
      </w:r>
      <w:r>
        <w:rPr>
          <w:rFonts w:cs="Times New Roman"/>
          <w:bCs/>
          <w:color w:val="000000" w:themeColor="text1"/>
          <w:vertAlign w:val="superscript"/>
          <w14:textFill>
            <w14:solidFill>
              <w14:schemeClr w14:val="tx1"/>
            </w14:solidFill>
          </w14:textFill>
        </w:rPr>
        <w:t>3</w:t>
      </w:r>
      <w:r>
        <w:rPr>
          <w:rFonts w:cs="Times New Roman"/>
          <w:bCs/>
          <w:color w:val="000000" w:themeColor="text1"/>
          <w14:textFill>
            <w14:solidFill>
              <w14:schemeClr w14:val="tx1"/>
            </w14:solidFill>
          </w14:textFill>
        </w:rPr>
        <w:t>）暂存，暂存一定量后（</w:t>
      </w:r>
      <w:r>
        <w:rPr>
          <w:rFonts w:cs="Times New Roman"/>
          <w:bCs/>
          <w:color w:val="000000" w:themeColor="text1"/>
          <w:szCs w:val="24"/>
          <w14:textFill>
            <w14:solidFill>
              <w14:schemeClr w14:val="tx1"/>
            </w14:solidFill>
          </w14:textFill>
        </w:rPr>
        <w:t>低于容积80%前</w:t>
      </w:r>
      <w:r>
        <w:rPr>
          <w:rFonts w:cs="Times New Roman"/>
          <w:bCs/>
          <w:color w:val="000000" w:themeColor="text1"/>
          <w14:textFill>
            <w14:solidFill>
              <w14:schemeClr w14:val="tx1"/>
            </w14:solidFill>
          </w14:textFill>
        </w:rPr>
        <w:t>）用密闭罐车拉运至赵家坝污水处理站处理达到《气田水回注方法》（SY/T 6596-2016）中注入水基本要求后管输至普光11井回注站回注处理，不外排。</w:t>
      </w:r>
      <w:r>
        <w:rPr>
          <w:rFonts w:cs="Times New Roman"/>
          <w:bCs/>
          <w:color w:val="000000" w:themeColor="text1"/>
          <w:szCs w:val="24"/>
          <w14:textFill>
            <w14:solidFill>
              <w14:schemeClr w14:val="tx1"/>
            </w14:solidFill>
          </w14:textFill>
        </w:rPr>
        <w:t>现场无废水外排，对地表水体影响较小。随着采气试采，废水产生量将更小，水质简单，去向明确，本项目试采期新建的</w:t>
      </w:r>
      <w:r>
        <w:rPr>
          <w:rFonts w:cs="Times New Roman"/>
          <w:bCs/>
          <w:color w:val="000000" w:themeColor="text1"/>
          <w14:textFill>
            <w14:solidFill>
              <w14:schemeClr w14:val="tx1"/>
            </w14:solidFill>
          </w14:textFill>
        </w:rPr>
        <w:t>酸液缓冲罐</w:t>
      </w:r>
      <w:r>
        <w:rPr>
          <w:rFonts w:cs="Times New Roman"/>
          <w:bCs/>
          <w:color w:val="000000" w:themeColor="text1"/>
          <w:szCs w:val="24"/>
          <w14:textFill>
            <w14:solidFill>
              <w14:schemeClr w14:val="tx1"/>
            </w14:solidFill>
          </w14:textFill>
        </w:rPr>
        <w:t>和配套环保设施处理能力满足本项目需求，气田水收集处理工艺在</w:t>
      </w:r>
      <w:r>
        <w:rPr>
          <w:rFonts w:cs="Times New Roman"/>
          <w:color w:val="000000" w:themeColor="text1"/>
          <w14:textFill>
            <w14:solidFill>
              <w14:schemeClr w14:val="tx1"/>
            </w14:solidFill>
          </w14:textFill>
        </w:rPr>
        <w:t>川东北气田开发区块</w:t>
      </w:r>
      <w:r>
        <w:rPr>
          <w:rFonts w:cs="Times New Roman"/>
          <w:bCs/>
          <w:color w:val="000000" w:themeColor="text1"/>
          <w:szCs w:val="24"/>
          <w14:textFill>
            <w14:solidFill>
              <w14:schemeClr w14:val="tx1"/>
            </w14:solidFill>
          </w14:textFill>
        </w:rPr>
        <w:t>已运行多年，效果稳定可靠，未发生过处理不佳导致环境污染的事故发生。因此，本项目试采期采气废水不会对地表水环境造成不良影响。</w:t>
      </w:r>
    </w:p>
    <w:p>
      <w:pPr>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（2）非正常工况井下作业废水</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14:textFill>
            <w14:solidFill>
              <w14:schemeClr w14:val="tx1"/>
            </w14:solidFill>
          </w14:textFill>
        </w:rPr>
        <w:t>正常试采期，当地层堵塞时，为提高地层渗透率，需进行压裂酸化等作业，属于试采期非正常工况。根据类比调查，作业频次为1次/a，单井排放量为50m</w:t>
      </w:r>
      <w:r>
        <w:rPr>
          <w:rFonts w:cs="Times New Roman"/>
          <w:bCs/>
          <w:color w:val="000000" w:themeColor="text1"/>
          <w:vertAlign w:val="superscript"/>
          <w14:textFill>
            <w14:solidFill>
              <w14:schemeClr w14:val="tx1"/>
            </w14:solidFill>
          </w14:textFill>
        </w:rPr>
        <w:t>3</w:t>
      </w:r>
      <w:r>
        <w:rPr>
          <w:rFonts w:cs="Times New Roman"/>
          <w:bCs/>
          <w:color w:val="000000" w:themeColor="text1"/>
          <w14:textFill>
            <w14:solidFill>
              <w14:schemeClr w14:val="tx1"/>
            </w14:solidFill>
          </w14:textFill>
        </w:rPr>
        <w:t>/a，将废水用密闭罐车拉运至赵家坝污水处理站处理达标后经普光11井回注站回注。</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综上所述，在严格落实各项污染防治措施的前提下，本项目试采期对周围地表水环境影响较小。</w:t>
      </w:r>
    </w:p>
    <w:p>
      <w:pPr>
        <w:pStyle w:val="4"/>
        <w:ind w:firstLine="241"/>
      </w:pPr>
      <w:bookmarkStart w:id="265" w:name="_Toc120173158"/>
      <w:r>
        <w:rPr>
          <w:rFonts w:hint="eastAsia"/>
        </w:rPr>
        <w:t>5.2.4</w:t>
      </w:r>
      <w:r>
        <w:t>声环境影响分析</w:t>
      </w:r>
      <w:bookmarkEnd w:id="265"/>
    </w:p>
    <w:p>
      <w:pPr>
        <w:pStyle w:val="122"/>
        <w:rPr>
          <w:color w:val="000000" w:themeColor="text1"/>
          <w14:textFill>
            <w14:solidFill>
              <w14:schemeClr w14:val="tx1"/>
            </w14:solidFill>
          </w14:textFill>
        </w:rPr>
      </w:pPr>
      <w:bookmarkStart w:id="266" w:name="_Hlk87898866"/>
      <w:r>
        <w:rPr>
          <w:bCs/>
          <w:color w:val="000000" w:themeColor="text1"/>
          <w:szCs w:val="21"/>
          <w14:textFill>
            <w14:solidFill>
              <w14:schemeClr w14:val="tx1"/>
            </w14:solidFill>
          </w14:textFill>
        </w:rPr>
        <w:t>普光3011-6井</w:t>
      </w:r>
      <w:r>
        <w:rPr>
          <w:color w:val="000000" w:themeColor="text1"/>
          <w14:textFill>
            <w14:solidFill>
              <w14:schemeClr w14:val="tx1"/>
            </w14:solidFill>
          </w14:textFill>
        </w:rPr>
        <w:t>站内只新增井口采气装置、站内连接管线和气举地面配套设施，正常输气主要产生噪声为采气站节流阀等因节流或流速改变造成部件的机械振动而产生的一定噪声。根据现场厂界噪声监测及类比普光气田同规模采气井项目，本项目正常生产时站场内设备（节流阀等）运行产生连续噪声，设备主要置于站场工艺装置区内，其噪声值约60dB（A）；在工艺设计中考虑了减少工艺管线的弯头、三通等管件，经过隔声、吸声等措施后，其噪声值降至55dB（A）以下，在不考虑空气吸收、声波反射，而只考虑声能随距离衰减的情况下，其噪声衰减公式如下：</w:t>
      </w:r>
    </w:p>
    <w:p>
      <w:pPr>
        <w:pStyle w:val="544"/>
        <w:ind w:firstLine="360"/>
        <w:rPr>
          <w:rFonts w:eastAsia="宋体"/>
          <w:color w:val="000000" w:themeColor="text1"/>
          <w14:textFill>
            <w14:solidFill>
              <w14:schemeClr w14:val="tx1"/>
            </w14:solidFill>
          </w14:textFill>
        </w:rPr>
      </w:pPr>
      <m:oMathPara>
        <m:oMath>
          <m:sSub>
            <m:sSubPr>
              <m:ctrlPr>
                <w:rPr>
                  <w:rFonts w:ascii="Cambria Math" w:hAnsi="Cambria Math"/>
                  <w:color w:val="000000" w:themeColor="text1"/>
                  <w14:textFill>
                    <w14:solidFill>
                      <w14:schemeClr w14:val="tx1"/>
                    </w14:solidFill>
                  </w14:textFill>
                </w:rPr>
              </m:ctrlPr>
            </m:sSubPr>
            <m:e>
              <m:r>
                <m:rPr>
                  <m:sty m:val="bi"/>
                </m:rPr>
                <w:rPr>
                  <w:rFonts w:ascii="Cambria Math" w:hAnsi="Cambria Math"/>
                  <w:color w:val="000000" w:themeColor="text1"/>
                  <w14:textFill>
                    <w14:solidFill>
                      <w14:schemeClr w14:val="tx1"/>
                    </w14:solidFill>
                  </w14:textFill>
                </w:rPr>
                <m:t>L</m:t>
              </m:r>
              <m:ctrlPr>
                <w:rPr>
                  <w:rFonts w:ascii="Cambria Math" w:hAnsi="Cambria Math"/>
                  <w:color w:val="000000" w:themeColor="text1"/>
                  <w14:textFill>
                    <w14:solidFill>
                      <w14:schemeClr w14:val="tx1"/>
                    </w14:solidFill>
                  </w14:textFill>
                </w:rPr>
              </m:ctrlPr>
            </m:e>
            <m:sub>
              <m:r>
                <m:rPr>
                  <m:sty m:val="bi"/>
                </m:rPr>
                <w:rPr>
                  <w:rFonts w:ascii="Cambria Math" w:hAnsi="Cambria Math"/>
                  <w:color w:val="000000" w:themeColor="text1"/>
                  <w14:textFill>
                    <w14:solidFill>
                      <w14:schemeClr w14:val="tx1"/>
                    </w14:solidFill>
                  </w14:textFill>
                </w:rPr>
                <m:t>m</m:t>
              </m:r>
              <m:ctrlPr>
                <w:rPr>
                  <w:rFonts w:ascii="Cambria Math" w:hAnsi="Cambria Math"/>
                  <w:color w:val="000000" w:themeColor="text1"/>
                  <w14:textFill>
                    <w14:solidFill>
                      <w14:schemeClr w14:val="tx1"/>
                    </w14:solidFill>
                  </w14:textFill>
                </w:rPr>
              </m:ctrlPr>
            </m:sub>
          </m:sSub>
          <m:r>
            <m:rPr>
              <m:sty m:val="b"/>
            </m:rPr>
            <w:rPr>
              <w:rFonts w:ascii="Cambria Math" w:hAnsi="Cambria Math"/>
              <w:color w:val="000000" w:themeColor="text1"/>
              <w14:textFill>
                <w14:solidFill>
                  <w14:schemeClr w14:val="tx1"/>
                </w14:solidFill>
              </w14:textFill>
            </w:rPr>
            <m:t>=</m:t>
          </m:r>
          <m:sSub>
            <m:sSubPr>
              <m:ctrlPr>
                <w:rPr>
                  <w:rFonts w:ascii="Cambria Math" w:hAnsi="Cambria Math"/>
                  <w:color w:val="000000" w:themeColor="text1"/>
                  <w14:textFill>
                    <w14:solidFill>
                      <w14:schemeClr w14:val="tx1"/>
                    </w14:solidFill>
                  </w14:textFill>
                </w:rPr>
              </m:ctrlPr>
            </m:sSubPr>
            <m:e>
              <m:r>
                <m:rPr>
                  <m:sty m:val="bi"/>
                </m:rPr>
                <w:rPr>
                  <w:rFonts w:ascii="Cambria Math" w:hAnsi="Cambria Math"/>
                  <w:color w:val="000000" w:themeColor="text1"/>
                  <w14:textFill>
                    <w14:solidFill>
                      <w14:schemeClr w14:val="tx1"/>
                    </w14:solidFill>
                  </w14:textFill>
                </w:rPr>
                <m:t>L</m:t>
              </m:r>
              <m:ctrlPr>
                <w:rPr>
                  <w:rFonts w:ascii="Cambria Math" w:hAnsi="Cambria Math"/>
                  <w:color w:val="000000" w:themeColor="text1"/>
                  <w14:textFill>
                    <w14:solidFill>
                      <w14:schemeClr w14:val="tx1"/>
                    </w14:solidFill>
                  </w14:textFill>
                </w:rPr>
              </m:ctrlPr>
            </m:e>
            <m:sub>
              <m:r>
                <m:rPr>
                  <m:sty m:val="b"/>
                </m:rPr>
                <w:rPr>
                  <w:rFonts w:ascii="Cambria Math" w:hAnsi="Cambria Math"/>
                  <w:color w:val="000000" w:themeColor="text1"/>
                  <w14:textFill>
                    <w14:solidFill>
                      <w14:schemeClr w14:val="tx1"/>
                    </w14:solidFill>
                  </w14:textFill>
                </w:rPr>
                <m:t>0</m:t>
              </m:r>
              <m:ctrlPr>
                <w:rPr>
                  <w:rFonts w:ascii="Cambria Math" w:hAnsi="Cambria Math"/>
                  <w:color w:val="000000" w:themeColor="text1"/>
                  <w14:textFill>
                    <w14:solidFill>
                      <w14:schemeClr w14:val="tx1"/>
                    </w14:solidFill>
                  </w14:textFill>
                </w:rPr>
              </m:ctrlPr>
            </m:sub>
          </m:sSub>
          <m:r>
            <m:rPr>
              <m:sty m:val="b"/>
            </m:rPr>
            <w:rPr>
              <w:rFonts w:ascii="Cambria Math" w:hAnsi="Cambria Math"/>
              <w:color w:val="000000" w:themeColor="text1"/>
              <w14:textFill>
                <w14:solidFill>
                  <w14:schemeClr w14:val="tx1"/>
                </w14:solidFill>
              </w14:textFill>
            </w:rPr>
            <m:t>−20</m:t>
          </m:r>
          <m:func>
            <m:funcPr>
              <m:ctrlPr>
                <w:rPr>
                  <w:rFonts w:ascii="Cambria Math" w:hAnsi="Cambria Math"/>
                  <w:color w:val="000000" w:themeColor="text1"/>
                  <w14:textFill>
                    <w14:solidFill>
                      <w14:schemeClr w14:val="tx1"/>
                    </w14:solidFill>
                  </w14:textFill>
                </w:rPr>
              </m:ctrlPr>
            </m:funcPr>
            <m:fName>
              <m:r>
                <m:rPr>
                  <m:sty m:val="b"/>
                </m:rPr>
                <w:rPr>
                  <w:rFonts w:ascii="Cambria Math" w:hAnsi="Cambria Math"/>
                  <w:color w:val="000000" w:themeColor="text1"/>
                  <w14:textFill>
                    <w14:solidFill>
                      <w14:schemeClr w14:val="tx1"/>
                    </w14:solidFill>
                  </w14:textFill>
                </w:rPr>
                <m:t>lg</m:t>
              </m:r>
              <m:ctrlPr>
                <w:rPr>
                  <w:rFonts w:ascii="Cambria Math" w:hAnsi="Cambria Math"/>
                  <w:color w:val="000000" w:themeColor="text1"/>
                  <w14:textFill>
                    <w14:solidFill>
                      <w14:schemeClr w14:val="tx1"/>
                    </w14:solidFill>
                  </w14:textFill>
                </w:rPr>
              </m:ctrlPr>
            </m:fName>
            <m:e>
              <m:d>
                <m:dPr>
                  <m:ctrlPr>
                    <w:rPr>
                      <w:rFonts w:ascii="Cambria Math" w:hAnsi="Cambria Math"/>
                      <w:color w:val="000000" w:themeColor="text1"/>
                      <w14:textFill>
                        <w14:solidFill>
                          <w14:schemeClr w14:val="tx1"/>
                        </w14:solidFill>
                      </w14:textFill>
                    </w:rPr>
                  </m:ctrlPr>
                </m:dPr>
                <m:e>
                  <m:f>
                    <m:fPr>
                      <m:type m:val="lin"/>
                      <m:ctrlPr>
                        <w:rPr>
                          <w:rFonts w:ascii="Cambria Math" w:hAnsi="Cambria Math"/>
                          <w:color w:val="000000" w:themeColor="text1"/>
                          <w14:textFill>
                            <w14:solidFill>
                              <w14:schemeClr w14:val="tx1"/>
                            </w14:solidFill>
                          </w14:textFill>
                        </w:rPr>
                      </m:ctrlPr>
                    </m:fPr>
                    <m:num>
                      <m:r>
                        <m:rPr>
                          <m:sty m:val="bi"/>
                        </m:rPr>
                        <w:rPr>
                          <w:rFonts w:ascii="Cambria Math" w:hAnsi="Cambria Math"/>
                          <w:color w:val="000000" w:themeColor="text1"/>
                          <w14:textFill>
                            <w14:solidFill>
                              <w14:schemeClr w14:val="tx1"/>
                            </w14:solidFill>
                          </w14:textFill>
                        </w:rPr>
                        <m:t>r</m:t>
                      </m:r>
                      <m:ctrlPr>
                        <w:rPr>
                          <w:rFonts w:ascii="Cambria Math" w:hAnsi="Cambria Math"/>
                          <w:color w:val="000000" w:themeColor="text1"/>
                          <w14:textFill>
                            <w14:solidFill>
                              <w14:schemeClr w14:val="tx1"/>
                            </w14:solidFill>
                          </w14:textFill>
                        </w:rPr>
                      </m:ctrlPr>
                    </m:num>
                    <m:den>
                      <m:sSub>
                        <m:sSubPr>
                          <m:ctrlPr>
                            <w:rPr>
                              <w:rFonts w:ascii="Cambria Math" w:hAnsi="Cambria Math"/>
                              <w:color w:val="000000" w:themeColor="text1"/>
                              <w14:textFill>
                                <w14:solidFill>
                                  <w14:schemeClr w14:val="tx1"/>
                                </w14:solidFill>
                              </w14:textFill>
                            </w:rPr>
                          </m:ctrlPr>
                        </m:sSubPr>
                        <m:e>
                          <m:r>
                            <m:rPr>
                              <m:sty m:val="bi"/>
                            </m:rPr>
                            <w:rPr>
                              <w:rFonts w:ascii="Cambria Math" w:hAnsi="Cambria Math"/>
                              <w:color w:val="000000" w:themeColor="text1"/>
                              <w14:textFill>
                                <w14:solidFill>
                                  <w14:schemeClr w14:val="tx1"/>
                                </w14:solidFill>
                              </w14:textFill>
                            </w:rPr>
                            <m:t>r</m:t>
                          </m:r>
                          <m:ctrlPr>
                            <w:rPr>
                              <w:rFonts w:ascii="Cambria Math" w:hAnsi="Cambria Math"/>
                              <w:color w:val="000000" w:themeColor="text1"/>
                              <w14:textFill>
                                <w14:solidFill>
                                  <w14:schemeClr w14:val="tx1"/>
                                </w14:solidFill>
                              </w14:textFill>
                            </w:rPr>
                          </m:ctrlPr>
                        </m:e>
                        <m:sub>
                          <m:r>
                            <m:rPr>
                              <m:sty m:val="b"/>
                            </m:rPr>
                            <w:rPr>
                              <w:rFonts w:ascii="Cambria Math" w:hAnsi="Cambria Math"/>
                              <w:color w:val="000000" w:themeColor="text1"/>
                              <w14:textFill>
                                <w14:solidFill>
                                  <w14:schemeClr w14:val="tx1"/>
                                </w14:solidFill>
                              </w14:textFill>
                            </w:rPr>
                            <m:t>0</m:t>
                          </m:r>
                          <m:ctrlPr>
                            <w:rPr>
                              <w:rFonts w:ascii="Cambria Math" w:hAnsi="Cambria Math"/>
                              <w:color w:val="000000" w:themeColor="text1"/>
                              <w14:textFill>
                                <w14:solidFill>
                                  <w14:schemeClr w14:val="tx1"/>
                                </w14:solidFill>
                              </w14:textFill>
                            </w:rPr>
                          </m:ctrlPr>
                        </m:sub>
                      </m:sSub>
                      <m:ctrlPr>
                        <w:rPr>
                          <w:rFonts w:ascii="Cambria Math" w:hAnsi="Cambria Math"/>
                          <w:color w:val="000000" w:themeColor="text1"/>
                          <w14:textFill>
                            <w14:solidFill>
                              <w14:schemeClr w14:val="tx1"/>
                            </w14:solidFill>
                          </w14:textFill>
                        </w:rPr>
                      </m:ctrlPr>
                    </m:den>
                  </m:f>
                  <m:ctrlPr>
                    <w:rPr>
                      <w:rFonts w:ascii="Cambria Math" w:hAnsi="Cambria Math"/>
                      <w:color w:val="000000" w:themeColor="text1"/>
                      <w14:textFill>
                        <w14:solidFill>
                          <w14:schemeClr w14:val="tx1"/>
                        </w14:solidFill>
                      </w14:textFill>
                    </w:rPr>
                  </m:ctrlPr>
                </m:e>
              </m:d>
              <m:ctrlPr>
                <w:rPr>
                  <w:rFonts w:ascii="Cambria Math" w:hAnsi="Cambria Math"/>
                  <w:color w:val="000000" w:themeColor="text1"/>
                  <w14:textFill>
                    <w14:solidFill>
                      <w14:schemeClr w14:val="tx1"/>
                    </w14:solidFill>
                  </w14:textFill>
                </w:rPr>
              </m:ctrlPr>
            </m:e>
          </m:func>
        </m:oMath>
      </m:oMathPara>
    </w:p>
    <w:p>
      <w:pPr>
        <w:pStyle w:val="122"/>
        <w:rPr>
          <w:color w:val="000000" w:themeColor="text1"/>
          <w14:textFill>
            <w14:solidFill>
              <w14:schemeClr w14:val="tx1"/>
            </w14:solidFill>
          </w14:textFill>
        </w:rPr>
      </w:pPr>
      <m:oMath>
        <m:sSub>
          <m:sSubPr>
            <m:ctrlPr>
              <w:rPr>
                <w:rFonts w:ascii="Cambria Math" w:hAnsi="Cambria Math"/>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L</m:t>
            </m:r>
            <m:ctrlPr>
              <w:rPr>
                <w:rFonts w:ascii="Cambria Math" w:hAnsi="Cambria Math"/>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m</m:t>
            </m:r>
            <m:ctrlPr>
              <w:rPr>
                <w:rFonts w:ascii="Cambria Math" w:hAnsi="Cambria Math"/>
                <w:color w:val="000000" w:themeColor="text1"/>
                <w14:textFill>
                  <w14:solidFill>
                    <w14:schemeClr w14:val="tx1"/>
                  </w14:solidFill>
                </w14:textFill>
              </w:rPr>
            </m:ctrlPr>
          </m:sub>
        </m:sSub>
      </m:oMath>
      <w:r>
        <w:rPr>
          <w:color w:val="000000" w:themeColor="text1"/>
          <w14:textFill>
            <w14:solidFill>
              <w14:schemeClr w14:val="tx1"/>
            </w14:solidFill>
          </w14:textFill>
        </w:rPr>
        <w:t>——距离声源为r米处预测受声点噪声预测值，dB（A）；</w:t>
      </w:r>
    </w:p>
    <w:p>
      <w:pPr>
        <w:pStyle w:val="122"/>
        <w:rPr>
          <w:color w:val="000000" w:themeColor="text1"/>
          <w14:textFill>
            <w14:solidFill>
              <w14:schemeClr w14:val="tx1"/>
            </w14:solidFill>
          </w14:textFill>
        </w:rPr>
      </w:pPr>
      <m:oMath>
        <m:sSub>
          <m:sSubPr>
            <m:ctrlPr>
              <w:rPr>
                <w:rFonts w:ascii="Cambria Math" w:hAnsi="Cambria Math"/>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L</m:t>
            </m:r>
            <m:ctrlPr>
              <w:rPr>
                <w:rFonts w:ascii="Cambria Math" w:hAnsi="Cambria Math"/>
                <w:color w:val="000000" w:themeColor="text1"/>
                <w14:textFill>
                  <w14:solidFill>
                    <w14:schemeClr w14:val="tx1"/>
                  </w14:solidFill>
                </w14:textFill>
              </w:rPr>
            </m:ctrlPr>
          </m:e>
          <m:sub>
            <m:r>
              <m:rPr>
                <m:sty m:val="p"/>
              </m:rPr>
              <w:rPr>
                <w:rFonts w:ascii="Cambria Math" w:hAnsi="Cambria Math"/>
                <w:color w:val="000000" w:themeColor="text1"/>
                <w14:textFill>
                  <w14:solidFill>
                    <w14:schemeClr w14:val="tx1"/>
                  </w14:solidFill>
                </w14:textFill>
              </w:rPr>
              <m:t>0</m:t>
            </m:r>
            <m:ctrlPr>
              <w:rPr>
                <w:rFonts w:ascii="Cambria Math" w:hAnsi="Cambria Math"/>
                <w:color w:val="000000" w:themeColor="text1"/>
                <w14:textFill>
                  <w14:solidFill>
                    <w14:schemeClr w14:val="tx1"/>
                  </w14:solidFill>
                </w14:textFill>
              </w:rPr>
            </m:ctrlPr>
          </m:sub>
        </m:sSub>
      </m:oMath>
      <w:r>
        <w:rPr>
          <w:color w:val="000000" w:themeColor="text1"/>
          <w14:textFill>
            <w14:solidFill>
              <w14:schemeClr w14:val="tx1"/>
            </w14:solidFill>
          </w14:textFill>
        </w:rPr>
        <w:t>——距离声源为r</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米处声源的总声级值，dB（A）；</w:t>
      </w:r>
    </w:p>
    <w:p>
      <w:pPr>
        <w:pStyle w:val="122"/>
        <w:rPr>
          <w:color w:val="000000" w:themeColor="text1"/>
          <w14:textFill>
            <w14:solidFill>
              <w14:schemeClr w14:val="tx1"/>
            </w14:solidFill>
          </w14:textFill>
        </w:rPr>
      </w:pPr>
      <m:oMath>
        <m:r>
          <m:rPr/>
          <w:rPr>
            <w:rFonts w:ascii="Cambria Math" w:hAnsi="Cambria Math"/>
            <w:color w:val="000000" w:themeColor="text1"/>
            <w14:textFill>
              <w14:solidFill>
                <w14:schemeClr w14:val="tx1"/>
              </w14:solidFill>
            </w14:textFill>
          </w:rPr>
          <m:t>r</m:t>
        </m:r>
      </m:oMath>
      <w:r>
        <w:rPr>
          <w:color w:val="000000" w:themeColor="text1"/>
          <w14:textFill>
            <w14:solidFill>
              <w14:schemeClr w14:val="tx1"/>
            </w14:solidFill>
          </w14:textFill>
        </w:rPr>
        <w:t>——预测受声点距离声源的预测距离，m；</w:t>
      </w:r>
    </w:p>
    <w:p>
      <w:pPr>
        <w:pStyle w:val="122"/>
        <w:rPr>
          <w:color w:val="000000" w:themeColor="text1"/>
          <w14:textFill>
            <w14:solidFill>
              <w14:schemeClr w14:val="tx1"/>
            </w14:solidFill>
          </w14:textFill>
        </w:rPr>
      </w:pPr>
      <m:oMath>
        <m:sSub>
          <m:sSubPr>
            <m:ctrlPr>
              <w:rPr>
                <w:rFonts w:ascii="Cambria Math" w:hAnsi="Cambria Math"/>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r</m:t>
            </m:r>
            <m:ctrlPr>
              <w:rPr>
                <w:rFonts w:ascii="Cambria Math" w:hAnsi="Cambria Math"/>
                <w:color w:val="000000" w:themeColor="text1"/>
                <w14:textFill>
                  <w14:solidFill>
                    <w14:schemeClr w14:val="tx1"/>
                  </w14:solidFill>
                </w14:textFill>
              </w:rPr>
            </m:ctrlPr>
          </m:e>
          <m:sub>
            <m:r>
              <m:rPr>
                <m:sty m:val="p"/>
              </m:rPr>
              <w:rPr>
                <w:rFonts w:ascii="Cambria Math" w:hAnsi="Cambria Math"/>
                <w:color w:val="000000" w:themeColor="text1"/>
                <w14:textFill>
                  <w14:solidFill>
                    <w14:schemeClr w14:val="tx1"/>
                  </w14:solidFill>
                </w14:textFill>
              </w:rPr>
              <m:t>0</m:t>
            </m:r>
            <m:ctrlPr>
              <w:rPr>
                <w:rFonts w:ascii="Cambria Math" w:hAnsi="Cambria Math"/>
                <w:color w:val="000000" w:themeColor="text1"/>
                <w14:textFill>
                  <w14:solidFill>
                    <w14:schemeClr w14:val="tx1"/>
                  </w14:solidFill>
                </w14:textFill>
              </w:rPr>
            </m:ctrlPr>
          </m:sub>
        </m:sSub>
      </m:oMath>
      <w:r>
        <w:rPr>
          <w:color w:val="000000" w:themeColor="text1"/>
          <w14:textFill>
            <w14:solidFill>
              <w14:schemeClr w14:val="tx1"/>
            </w14:solidFill>
          </w14:textFill>
        </w:rPr>
        <w:t>——噪声受点r</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处与噪声源的距离，m。</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本项目在现有的采气站内进行扩建，依托现有的水套炉等产噪设备，本次评价</w:t>
      </w:r>
      <w:r>
        <w:rPr>
          <w:rFonts w:cs="Times New Roman"/>
          <w:bCs/>
          <w:color w:val="000000" w:themeColor="text1"/>
          <w:szCs w:val="21"/>
          <w14:textFill>
            <w14:solidFill>
              <w14:schemeClr w14:val="tx1"/>
            </w14:solidFill>
          </w14:textFill>
        </w:rPr>
        <w:t>普光3011-6井试采</w:t>
      </w:r>
      <w:r>
        <w:rPr>
          <w:rFonts w:cs="Times New Roman"/>
          <w:color w:val="000000" w:themeColor="text1"/>
          <w14:textFill>
            <w14:solidFill>
              <w14:schemeClr w14:val="tx1"/>
            </w14:solidFill>
          </w14:textFill>
        </w:rPr>
        <w:t>期对厂界的噪声影响。</w:t>
      </w:r>
      <w:bookmarkEnd w:id="266"/>
      <w:r>
        <w:rPr>
          <w:rFonts w:cs="Times New Roman"/>
          <w:color w:val="000000" w:themeColor="text1"/>
          <w14:textFill>
            <w14:solidFill>
              <w14:schemeClr w14:val="tx1"/>
            </w14:solidFill>
          </w14:textFill>
        </w:rPr>
        <w:t>项目试采站</w:t>
      </w:r>
      <w:r>
        <w:rPr>
          <w:rFonts w:cs="Times New Roman"/>
          <w:bCs/>
          <w:color w:val="000000" w:themeColor="text1"/>
          <w14:textFill>
            <w14:solidFill>
              <w14:schemeClr w14:val="tx1"/>
            </w14:solidFill>
          </w14:textFill>
        </w:rPr>
        <w:t>噪声影响预测结果见</w:t>
      </w:r>
      <w:r>
        <w:rPr>
          <w:rFonts w:cs="Times New Roman"/>
          <w:bCs/>
          <w:color w:val="000000" w:themeColor="text1"/>
          <w14:textFill>
            <w14:solidFill>
              <w14:schemeClr w14:val="tx1"/>
            </w14:solidFill>
          </w14:textFill>
        </w:rPr>
        <w:fldChar w:fldCharType="begin"/>
      </w:r>
      <w:r>
        <w:rPr>
          <w:rFonts w:cs="Times New Roman"/>
          <w:bCs/>
          <w:color w:val="000000" w:themeColor="text1"/>
          <w14:textFill>
            <w14:solidFill>
              <w14:schemeClr w14:val="tx1"/>
            </w14:solidFill>
          </w14:textFill>
        </w:rPr>
        <w:instrText xml:space="preserve"> REF _Ref142858666 \h  \* MERGEFORMAT </w:instrText>
      </w:r>
      <w:r>
        <w:rPr>
          <w:rFonts w:cs="Times New Roman"/>
          <w:bCs/>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表5.2</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6</w:t>
      </w:r>
      <w:r>
        <w:rPr>
          <w:rFonts w:cs="Times New Roman"/>
          <w:bCs/>
          <w:color w:val="000000" w:themeColor="text1"/>
          <w14:textFill>
            <w14:solidFill>
              <w14:schemeClr w14:val="tx1"/>
            </w14:solidFill>
          </w14:textFill>
        </w:rPr>
        <w:fldChar w:fldCharType="end"/>
      </w:r>
      <w:r>
        <w:rPr>
          <w:rFonts w:cs="Times New Roman"/>
          <w:bCs/>
          <w:color w:val="000000" w:themeColor="text1"/>
          <w14:textFill>
            <w14:solidFill>
              <w14:schemeClr w14:val="tx1"/>
            </w14:solidFill>
          </w14:textFill>
        </w:rPr>
        <w:t>。</w:t>
      </w:r>
    </w:p>
    <w:p>
      <w:pPr>
        <w:pStyle w:val="95"/>
      </w:pPr>
      <w:bookmarkStart w:id="267" w:name="_Ref142858666"/>
      <w:r>
        <w:t>表</w:t>
      </w:r>
      <w:r>
        <w:fldChar w:fldCharType="begin"/>
      </w:r>
      <w:r>
        <w:instrText xml:space="preserve"> STYLEREF 2 \s </w:instrText>
      </w:r>
      <w:r>
        <w:fldChar w:fldCharType="separate"/>
      </w:r>
      <w:r>
        <w:t>5.2</w:t>
      </w:r>
      <w:r>
        <w:fldChar w:fldCharType="end"/>
      </w:r>
      <w:r>
        <w:noBreakHyphen/>
      </w:r>
      <w:bookmarkEnd w:id="267"/>
      <w:r>
        <w:t>6 试采期噪声影响预测</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91"/>
        <w:gridCol w:w="922"/>
        <w:gridCol w:w="709"/>
        <w:gridCol w:w="762"/>
        <w:gridCol w:w="763"/>
        <w:gridCol w:w="762"/>
        <w:gridCol w:w="763"/>
        <w:gridCol w:w="762"/>
        <w:gridCol w:w="763"/>
        <w:gridCol w:w="762"/>
        <w:gridCol w:w="76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80" w:hRule="atLeast"/>
          <w:jc w:val="center"/>
        </w:trPr>
        <w:tc>
          <w:tcPr>
            <w:tcW w:w="491" w:type="dxa"/>
            <w:vMerge w:val="restart"/>
            <w:tcMar>
              <w:left w:w="0" w:type="dxa"/>
              <w:right w:w="0" w:type="dxa"/>
            </w:tcMar>
            <w:vAlign w:val="center"/>
          </w:tcPr>
          <w:p>
            <w:pPr>
              <w:pStyle w:val="294"/>
            </w:pPr>
            <w:r>
              <w:t>序号</w:t>
            </w:r>
          </w:p>
        </w:tc>
        <w:tc>
          <w:tcPr>
            <w:tcW w:w="922" w:type="dxa"/>
            <w:vMerge w:val="restart"/>
            <w:tcMar>
              <w:left w:w="0" w:type="dxa"/>
              <w:right w:w="0" w:type="dxa"/>
            </w:tcMar>
            <w:vAlign w:val="center"/>
          </w:tcPr>
          <w:p>
            <w:pPr>
              <w:pStyle w:val="294"/>
            </w:pPr>
            <w:r>
              <w:t>预测点位置</w:t>
            </w:r>
          </w:p>
        </w:tc>
        <w:tc>
          <w:tcPr>
            <w:tcW w:w="709" w:type="dxa"/>
            <w:vMerge w:val="restart"/>
            <w:tcMar>
              <w:left w:w="0" w:type="dxa"/>
              <w:right w:w="0" w:type="dxa"/>
            </w:tcMar>
            <w:vAlign w:val="center"/>
          </w:tcPr>
          <w:p>
            <w:pPr>
              <w:pStyle w:val="294"/>
            </w:pPr>
            <w:r>
              <w:t>距离（m）</w:t>
            </w:r>
          </w:p>
        </w:tc>
        <w:tc>
          <w:tcPr>
            <w:tcW w:w="1525" w:type="dxa"/>
            <w:gridSpan w:val="2"/>
            <w:vAlign w:val="center"/>
          </w:tcPr>
          <w:p>
            <w:pPr>
              <w:pStyle w:val="294"/>
            </w:pPr>
            <w:r>
              <w:t>现状</w:t>
            </w:r>
            <w:r>
              <w:rPr>
                <w:rFonts w:hint="eastAsia"/>
              </w:rPr>
              <w:t>最大</w:t>
            </w:r>
            <w:r>
              <w:t>值</w:t>
            </w:r>
          </w:p>
          <w:p>
            <w:pPr>
              <w:pStyle w:val="294"/>
            </w:pPr>
            <w:r>
              <w:t>〔dB（A）〕</w:t>
            </w:r>
          </w:p>
        </w:tc>
        <w:tc>
          <w:tcPr>
            <w:tcW w:w="1525" w:type="dxa"/>
            <w:gridSpan w:val="2"/>
            <w:vAlign w:val="center"/>
          </w:tcPr>
          <w:p>
            <w:pPr>
              <w:pStyle w:val="294"/>
            </w:pPr>
            <w:r>
              <w:t>贡献值</w:t>
            </w:r>
          </w:p>
          <w:p>
            <w:pPr>
              <w:pStyle w:val="294"/>
            </w:pPr>
            <w:r>
              <w:t>〔dB（A）〕</w:t>
            </w:r>
          </w:p>
        </w:tc>
        <w:tc>
          <w:tcPr>
            <w:tcW w:w="1525" w:type="dxa"/>
            <w:gridSpan w:val="2"/>
            <w:vAlign w:val="center"/>
          </w:tcPr>
          <w:p>
            <w:pPr>
              <w:pStyle w:val="294"/>
            </w:pPr>
            <w:r>
              <w:t>预测值</w:t>
            </w:r>
          </w:p>
          <w:p>
            <w:pPr>
              <w:pStyle w:val="294"/>
            </w:pPr>
            <w:r>
              <w:t>〔dB（A）〕</w:t>
            </w:r>
          </w:p>
        </w:tc>
        <w:tc>
          <w:tcPr>
            <w:tcW w:w="1525" w:type="dxa"/>
            <w:gridSpan w:val="2"/>
            <w:vAlign w:val="center"/>
          </w:tcPr>
          <w:p>
            <w:pPr>
              <w:pStyle w:val="294"/>
            </w:pPr>
            <w: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1" w:type="dxa"/>
            <w:vMerge w:val="continue"/>
            <w:tcMar>
              <w:left w:w="0" w:type="dxa"/>
              <w:right w:w="0" w:type="dxa"/>
            </w:tcMar>
            <w:vAlign w:val="center"/>
          </w:tcPr>
          <w:p>
            <w:pPr>
              <w:pStyle w:val="294"/>
            </w:pPr>
          </w:p>
        </w:tc>
        <w:tc>
          <w:tcPr>
            <w:tcW w:w="922" w:type="dxa"/>
            <w:vMerge w:val="continue"/>
            <w:tcMar>
              <w:left w:w="0" w:type="dxa"/>
              <w:right w:w="0" w:type="dxa"/>
            </w:tcMar>
            <w:vAlign w:val="center"/>
          </w:tcPr>
          <w:p>
            <w:pPr>
              <w:pStyle w:val="294"/>
            </w:pPr>
          </w:p>
        </w:tc>
        <w:tc>
          <w:tcPr>
            <w:tcW w:w="709" w:type="dxa"/>
            <w:vMerge w:val="continue"/>
            <w:tcMar>
              <w:left w:w="0" w:type="dxa"/>
              <w:right w:w="0" w:type="dxa"/>
            </w:tcMar>
            <w:vAlign w:val="center"/>
          </w:tcPr>
          <w:p>
            <w:pPr>
              <w:pStyle w:val="294"/>
            </w:pPr>
          </w:p>
        </w:tc>
        <w:tc>
          <w:tcPr>
            <w:tcW w:w="762" w:type="dxa"/>
            <w:tcMar>
              <w:left w:w="0" w:type="dxa"/>
              <w:right w:w="0" w:type="dxa"/>
            </w:tcMar>
            <w:vAlign w:val="center"/>
          </w:tcPr>
          <w:p>
            <w:pPr>
              <w:pStyle w:val="294"/>
            </w:pPr>
            <w:r>
              <w:t>昼间</w:t>
            </w:r>
          </w:p>
        </w:tc>
        <w:tc>
          <w:tcPr>
            <w:tcW w:w="763" w:type="dxa"/>
            <w:tcMar>
              <w:left w:w="0" w:type="dxa"/>
              <w:right w:w="0" w:type="dxa"/>
            </w:tcMar>
            <w:vAlign w:val="center"/>
          </w:tcPr>
          <w:p>
            <w:pPr>
              <w:pStyle w:val="294"/>
            </w:pPr>
            <w:r>
              <w:t>夜间</w:t>
            </w:r>
          </w:p>
        </w:tc>
        <w:tc>
          <w:tcPr>
            <w:tcW w:w="762" w:type="dxa"/>
            <w:tcMar>
              <w:left w:w="0" w:type="dxa"/>
              <w:right w:w="0" w:type="dxa"/>
            </w:tcMar>
            <w:vAlign w:val="center"/>
          </w:tcPr>
          <w:p>
            <w:pPr>
              <w:pStyle w:val="294"/>
            </w:pPr>
            <w:r>
              <w:t>昼间</w:t>
            </w:r>
          </w:p>
        </w:tc>
        <w:tc>
          <w:tcPr>
            <w:tcW w:w="763" w:type="dxa"/>
            <w:tcMar>
              <w:left w:w="0" w:type="dxa"/>
              <w:right w:w="0" w:type="dxa"/>
            </w:tcMar>
            <w:vAlign w:val="center"/>
          </w:tcPr>
          <w:p>
            <w:pPr>
              <w:pStyle w:val="294"/>
            </w:pPr>
            <w:r>
              <w:t>夜间</w:t>
            </w:r>
          </w:p>
        </w:tc>
        <w:tc>
          <w:tcPr>
            <w:tcW w:w="762" w:type="dxa"/>
            <w:vAlign w:val="center"/>
          </w:tcPr>
          <w:p>
            <w:pPr>
              <w:pStyle w:val="294"/>
            </w:pPr>
            <w:r>
              <w:t>昼间</w:t>
            </w:r>
          </w:p>
        </w:tc>
        <w:tc>
          <w:tcPr>
            <w:tcW w:w="763" w:type="dxa"/>
            <w:vAlign w:val="center"/>
          </w:tcPr>
          <w:p>
            <w:pPr>
              <w:pStyle w:val="294"/>
            </w:pPr>
            <w:r>
              <w:t>夜间</w:t>
            </w:r>
          </w:p>
        </w:tc>
        <w:tc>
          <w:tcPr>
            <w:tcW w:w="762" w:type="dxa"/>
            <w:tcMar>
              <w:left w:w="0" w:type="dxa"/>
              <w:right w:w="0" w:type="dxa"/>
            </w:tcMar>
            <w:vAlign w:val="center"/>
          </w:tcPr>
          <w:p>
            <w:pPr>
              <w:pStyle w:val="294"/>
            </w:pPr>
            <w:r>
              <w:t>昼间</w:t>
            </w:r>
          </w:p>
        </w:tc>
        <w:tc>
          <w:tcPr>
            <w:tcW w:w="763" w:type="dxa"/>
            <w:tcMar>
              <w:left w:w="0" w:type="dxa"/>
              <w:right w:w="0" w:type="dxa"/>
            </w:tcMar>
            <w:vAlign w:val="center"/>
          </w:tcPr>
          <w:p>
            <w:pPr>
              <w:pStyle w:val="294"/>
            </w:pPr>
            <w:r>
              <w:t>夜间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1" w:type="dxa"/>
            <w:tcMar>
              <w:left w:w="0" w:type="dxa"/>
              <w:right w:w="0" w:type="dxa"/>
            </w:tcMar>
            <w:vAlign w:val="center"/>
          </w:tcPr>
          <w:p>
            <w:pPr>
              <w:pStyle w:val="294"/>
            </w:pPr>
            <w:r>
              <w:t>1#</w:t>
            </w:r>
          </w:p>
        </w:tc>
        <w:tc>
          <w:tcPr>
            <w:tcW w:w="922" w:type="dxa"/>
            <w:tcMar>
              <w:left w:w="0" w:type="dxa"/>
              <w:right w:w="0" w:type="dxa"/>
            </w:tcMar>
            <w:vAlign w:val="center"/>
          </w:tcPr>
          <w:p>
            <w:pPr>
              <w:pStyle w:val="294"/>
            </w:pPr>
            <w:r>
              <w:rPr>
                <w:rFonts w:hint="eastAsia"/>
              </w:rPr>
              <w:t>西南</w:t>
            </w:r>
            <w:r>
              <w:t>侧场界</w:t>
            </w:r>
          </w:p>
        </w:tc>
        <w:tc>
          <w:tcPr>
            <w:tcW w:w="709" w:type="dxa"/>
            <w:tcMar>
              <w:left w:w="0" w:type="dxa"/>
              <w:right w:w="0" w:type="dxa"/>
            </w:tcMar>
            <w:vAlign w:val="center"/>
          </w:tcPr>
          <w:p>
            <w:pPr>
              <w:pStyle w:val="294"/>
            </w:pPr>
            <w:r>
              <w:rPr>
                <w:rFonts w:hint="eastAsia"/>
              </w:rPr>
              <w:t>34</w:t>
            </w:r>
          </w:p>
        </w:tc>
        <w:tc>
          <w:tcPr>
            <w:tcW w:w="762" w:type="dxa"/>
            <w:vAlign w:val="center"/>
          </w:tcPr>
          <w:p>
            <w:pPr>
              <w:pStyle w:val="294"/>
            </w:pPr>
            <w:r>
              <w:rPr>
                <w:rFonts w:hint="eastAsia"/>
              </w:rPr>
              <w:t>55</w:t>
            </w:r>
          </w:p>
        </w:tc>
        <w:tc>
          <w:tcPr>
            <w:tcW w:w="763" w:type="dxa"/>
            <w:vAlign w:val="center"/>
          </w:tcPr>
          <w:p>
            <w:pPr>
              <w:pStyle w:val="294"/>
            </w:pPr>
            <w:r>
              <w:rPr>
                <w:rFonts w:hint="eastAsia"/>
              </w:rPr>
              <w:t>43</w:t>
            </w:r>
          </w:p>
        </w:tc>
        <w:tc>
          <w:tcPr>
            <w:tcW w:w="762" w:type="dxa"/>
            <w:vAlign w:val="center"/>
          </w:tcPr>
          <w:p>
            <w:pPr>
              <w:pStyle w:val="294"/>
            </w:pPr>
            <w:r>
              <w:rPr>
                <w:rFonts w:hint="eastAsia"/>
              </w:rPr>
              <w:t>8.05</w:t>
            </w:r>
          </w:p>
        </w:tc>
        <w:tc>
          <w:tcPr>
            <w:tcW w:w="763" w:type="dxa"/>
            <w:vAlign w:val="center"/>
          </w:tcPr>
          <w:p>
            <w:pPr>
              <w:pStyle w:val="294"/>
            </w:pPr>
            <w:r>
              <w:rPr>
                <w:rFonts w:hint="eastAsia"/>
              </w:rPr>
              <w:t>8.05</w:t>
            </w:r>
          </w:p>
        </w:tc>
        <w:tc>
          <w:tcPr>
            <w:tcW w:w="762" w:type="dxa"/>
            <w:vAlign w:val="center"/>
          </w:tcPr>
          <w:p>
            <w:pPr>
              <w:pStyle w:val="294"/>
            </w:pPr>
            <w:r>
              <w:rPr>
                <w:rFonts w:hint="eastAsia"/>
              </w:rPr>
              <w:t>55</w:t>
            </w:r>
          </w:p>
        </w:tc>
        <w:tc>
          <w:tcPr>
            <w:tcW w:w="763" w:type="dxa"/>
            <w:vAlign w:val="center"/>
          </w:tcPr>
          <w:p>
            <w:pPr>
              <w:pStyle w:val="294"/>
            </w:pPr>
            <w:r>
              <w:rPr>
                <w:rFonts w:hint="eastAsia"/>
              </w:rPr>
              <w:t>43</w:t>
            </w:r>
          </w:p>
        </w:tc>
        <w:tc>
          <w:tcPr>
            <w:tcW w:w="762" w:type="dxa"/>
            <w:vAlign w:val="center"/>
          </w:tcPr>
          <w:p>
            <w:pPr>
              <w:pStyle w:val="294"/>
            </w:pPr>
            <w:r>
              <w:t>达标</w:t>
            </w:r>
          </w:p>
        </w:tc>
        <w:tc>
          <w:tcPr>
            <w:tcW w:w="763" w:type="dxa"/>
            <w:vAlign w:val="center"/>
          </w:tcPr>
          <w:p>
            <w:pPr>
              <w:pStyle w:val="294"/>
            </w:pPr>
            <w: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1" w:type="dxa"/>
            <w:tcMar>
              <w:left w:w="0" w:type="dxa"/>
              <w:right w:w="0" w:type="dxa"/>
            </w:tcMar>
            <w:vAlign w:val="center"/>
          </w:tcPr>
          <w:p>
            <w:pPr>
              <w:pStyle w:val="294"/>
            </w:pPr>
            <w:r>
              <w:t>2#</w:t>
            </w:r>
          </w:p>
        </w:tc>
        <w:tc>
          <w:tcPr>
            <w:tcW w:w="922" w:type="dxa"/>
            <w:tcMar>
              <w:left w:w="0" w:type="dxa"/>
              <w:right w:w="0" w:type="dxa"/>
            </w:tcMar>
            <w:vAlign w:val="center"/>
          </w:tcPr>
          <w:p>
            <w:pPr>
              <w:pStyle w:val="294"/>
            </w:pPr>
            <w:r>
              <w:rPr>
                <w:rFonts w:hint="eastAsia"/>
              </w:rPr>
              <w:t>北</w:t>
            </w:r>
            <w:r>
              <w:t>侧场界</w:t>
            </w:r>
          </w:p>
        </w:tc>
        <w:tc>
          <w:tcPr>
            <w:tcW w:w="709" w:type="dxa"/>
            <w:tcMar>
              <w:left w:w="0" w:type="dxa"/>
              <w:right w:w="0" w:type="dxa"/>
            </w:tcMar>
            <w:vAlign w:val="center"/>
          </w:tcPr>
          <w:p>
            <w:pPr>
              <w:pStyle w:val="294"/>
            </w:pPr>
            <w:r>
              <w:rPr>
                <w:rFonts w:hint="eastAsia"/>
              </w:rPr>
              <w:t>25</w:t>
            </w:r>
          </w:p>
        </w:tc>
        <w:tc>
          <w:tcPr>
            <w:tcW w:w="762" w:type="dxa"/>
            <w:vAlign w:val="center"/>
          </w:tcPr>
          <w:p>
            <w:pPr>
              <w:pStyle w:val="294"/>
            </w:pPr>
            <w:r>
              <w:rPr>
                <w:rFonts w:hint="eastAsia"/>
              </w:rPr>
              <w:t>56</w:t>
            </w:r>
          </w:p>
        </w:tc>
        <w:tc>
          <w:tcPr>
            <w:tcW w:w="763" w:type="dxa"/>
            <w:vAlign w:val="center"/>
          </w:tcPr>
          <w:p>
            <w:pPr>
              <w:pStyle w:val="294"/>
            </w:pPr>
            <w:r>
              <w:rPr>
                <w:rFonts w:hint="eastAsia"/>
              </w:rPr>
              <w:t>49</w:t>
            </w:r>
          </w:p>
        </w:tc>
        <w:tc>
          <w:tcPr>
            <w:tcW w:w="762" w:type="dxa"/>
            <w:vAlign w:val="center"/>
          </w:tcPr>
          <w:p>
            <w:pPr>
              <w:pStyle w:val="294"/>
            </w:pPr>
            <w:r>
              <w:rPr>
                <w:rFonts w:hint="eastAsia"/>
              </w:rPr>
              <w:t>14.98</w:t>
            </w:r>
          </w:p>
        </w:tc>
        <w:tc>
          <w:tcPr>
            <w:tcW w:w="763" w:type="dxa"/>
            <w:vAlign w:val="center"/>
          </w:tcPr>
          <w:p>
            <w:pPr>
              <w:pStyle w:val="294"/>
            </w:pPr>
            <w:r>
              <w:rPr>
                <w:rFonts w:hint="eastAsia"/>
              </w:rPr>
              <w:t>14.98</w:t>
            </w:r>
          </w:p>
        </w:tc>
        <w:tc>
          <w:tcPr>
            <w:tcW w:w="762" w:type="dxa"/>
            <w:vAlign w:val="center"/>
          </w:tcPr>
          <w:p>
            <w:pPr>
              <w:pStyle w:val="294"/>
            </w:pPr>
            <w:r>
              <w:rPr>
                <w:rFonts w:hint="eastAsia"/>
              </w:rPr>
              <w:t>56</w:t>
            </w:r>
          </w:p>
        </w:tc>
        <w:tc>
          <w:tcPr>
            <w:tcW w:w="763" w:type="dxa"/>
            <w:vAlign w:val="center"/>
          </w:tcPr>
          <w:p>
            <w:pPr>
              <w:pStyle w:val="294"/>
            </w:pPr>
            <w:r>
              <w:rPr>
                <w:rFonts w:hint="eastAsia"/>
              </w:rPr>
              <w:t>49</w:t>
            </w:r>
          </w:p>
        </w:tc>
        <w:tc>
          <w:tcPr>
            <w:tcW w:w="762" w:type="dxa"/>
            <w:vAlign w:val="center"/>
          </w:tcPr>
          <w:p>
            <w:pPr>
              <w:pStyle w:val="294"/>
            </w:pPr>
            <w:r>
              <w:t>达标</w:t>
            </w:r>
          </w:p>
        </w:tc>
        <w:tc>
          <w:tcPr>
            <w:tcW w:w="763" w:type="dxa"/>
            <w:vAlign w:val="center"/>
          </w:tcPr>
          <w:p>
            <w:pPr>
              <w:pStyle w:val="294"/>
            </w:pPr>
            <w: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1" w:type="dxa"/>
            <w:tcMar>
              <w:left w:w="0" w:type="dxa"/>
              <w:right w:w="0" w:type="dxa"/>
            </w:tcMar>
            <w:vAlign w:val="center"/>
          </w:tcPr>
          <w:p>
            <w:pPr>
              <w:pStyle w:val="294"/>
            </w:pPr>
            <w:r>
              <w:t>3#</w:t>
            </w:r>
          </w:p>
        </w:tc>
        <w:tc>
          <w:tcPr>
            <w:tcW w:w="922" w:type="dxa"/>
            <w:tcMar>
              <w:left w:w="0" w:type="dxa"/>
              <w:right w:w="0" w:type="dxa"/>
            </w:tcMar>
            <w:vAlign w:val="center"/>
          </w:tcPr>
          <w:p>
            <w:pPr>
              <w:pStyle w:val="294"/>
            </w:pPr>
            <w:r>
              <w:rPr>
                <w:rFonts w:hint="eastAsia"/>
              </w:rPr>
              <w:t>东南</w:t>
            </w:r>
            <w:r>
              <w:t>侧场界</w:t>
            </w:r>
          </w:p>
        </w:tc>
        <w:tc>
          <w:tcPr>
            <w:tcW w:w="709" w:type="dxa"/>
            <w:tcMar>
              <w:left w:w="0" w:type="dxa"/>
              <w:right w:w="0" w:type="dxa"/>
            </w:tcMar>
            <w:vAlign w:val="center"/>
          </w:tcPr>
          <w:p>
            <w:pPr>
              <w:pStyle w:val="294"/>
            </w:pPr>
            <w:r>
              <w:rPr>
                <w:rFonts w:hint="eastAsia"/>
              </w:rPr>
              <w:t>10</w:t>
            </w:r>
          </w:p>
        </w:tc>
        <w:tc>
          <w:tcPr>
            <w:tcW w:w="762" w:type="dxa"/>
            <w:vAlign w:val="center"/>
          </w:tcPr>
          <w:p>
            <w:pPr>
              <w:pStyle w:val="294"/>
            </w:pPr>
            <w:r>
              <w:rPr>
                <w:rFonts w:hint="eastAsia"/>
              </w:rPr>
              <w:t>57</w:t>
            </w:r>
          </w:p>
        </w:tc>
        <w:tc>
          <w:tcPr>
            <w:tcW w:w="763" w:type="dxa"/>
            <w:vAlign w:val="center"/>
          </w:tcPr>
          <w:p>
            <w:pPr>
              <w:pStyle w:val="294"/>
            </w:pPr>
            <w:r>
              <w:rPr>
                <w:rFonts w:hint="eastAsia"/>
              </w:rPr>
              <w:t>44</w:t>
            </w:r>
          </w:p>
        </w:tc>
        <w:tc>
          <w:tcPr>
            <w:tcW w:w="762" w:type="dxa"/>
            <w:vAlign w:val="center"/>
          </w:tcPr>
          <w:p>
            <w:pPr>
              <w:pStyle w:val="294"/>
            </w:pPr>
            <w:r>
              <w:rPr>
                <w:rFonts w:hint="eastAsia"/>
              </w:rPr>
              <w:t>8.86</w:t>
            </w:r>
          </w:p>
        </w:tc>
        <w:tc>
          <w:tcPr>
            <w:tcW w:w="763" w:type="dxa"/>
            <w:vAlign w:val="center"/>
          </w:tcPr>
          <w:p>
            <w:pPr>
              <w:pStyle w:val="294"/>
              <w:rPr>
                <w:color w:val="000000" w:themeColor="text1"/>
                <w14:textFill>
                  <w14:solidFill>
                    <w14:schemeClr w14:val="tx1"/>
                  </w14:solidFill>
                </w14:textFill>
              </w:rPr>
            </w:pPr>
            <w:r>
              <w:rPr>
                <w:rFonts w:hint="eastAsia"/>
                <w:color w:val="000000" w:themeColor="text1"/>
                <w14:textFill>
                  <w14:solidFill>
                    <w14:schemeClr w14:val="tx1"/>
                  </w14:solidFill>
                </w14:textFill>
              </w:rPr>
              <w:t>8.86</w:t>
            </w:r>
          </w:p>
        </w:tc>
        <w:tc>
          <w:tcPr>
            <w:tcW w:w="762" w:type="dxa"/>
            <w:vAlign w:val="center"/>
          </w:tcPr>
          <w:p>
            <w:pPr>
              <w:pStyle w:val="294"/>
            </w:pPr>
            <w:r>
              <w:rPr>
                <w:rFonts w:hint="eastAsia"/>
              </w:rPr>
              <w:t>57</w:t>
            </w:r>
          </w:p>
        </w:tc>
        <w:tc>
          <w:tcPr>
            <w:tcW w:w="763" w:type="dxa"/>
            <w:vAlign w:val="center"/>
          </w:tcPr>
          <w:p>
            <w:pPr>
              <w:pStyle w:val="294"/>
            </w:pPr>
            <w:r>
              <w:rPr>
                <w:rFonts w:hint="eastAsia"/>
              </w:rPr>
              <w:t>44</w:t>
            </w:r>
          </w:p>
        </w:tc>
        <w:tc>
          <w:tcPr>
            <w:tcW w:w="762" w:type="dxa"/>
            <w:vAlign w:val="center"/>
          </w:tcPr>
          <w:p>
            <w:pPr>
              <w:pStyle w:val="294"/>
            </w:pPr>
            <w:r>
              <w:t>达标</w:t>
            </w:r>
          </w:p>
        </w:tc>
        <w:tc>
          <w:tcPr>
            <w:tcW w:w="763" w:type="dxa"/>
            <w:vAlign w:val="center"/>
          </w:tcPr>
          <w:p>
            <w:pPr>
              <w:pStyle w:val="294"/>
            </w:pPr>
            <w: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222" w:type="dxa"/>
            <w:gridSpan w:val="11"/>
            <w:tcMar>
              <w:left w:w="0" w:type="dxa"/>
              <w:right w:w="0" w:type="dxa"/>
            </w:tcMar>
            <w:vAlign w:val="center"/>
          </w:tcPr>
          <w:p>
            <w:pPr>
              <w:pStyle w:val="294"/>
            </w:pPr>
            <w:r>
              <w:t>标准值：昼间60dB（A），夜间50dB（A）</w:t>
            </w:r>
          </w:p>
        </w:tc>
      </w:tr>
    </w:tbl>
    <w:p>
      <w:pPr>
        <w:spacing w:before="120" w:beforeLines="50"/>
        <w:ind w:firstLine="480"/>
        <w:rPr>
          <w:rFonts w:cs="Times New Roman"/>
          <w:bCs/>
          <w:color w:val="000000" w:themeColor="text1"/>
          <w:szCs w:val="24"/>
          <w14:textFill>
            <w14:solidFill>
              <w14:schemeClr w14:val="tx1"/>
            </w14:solidFill>
          </w14:textFill>
        </w:rPr>
      </w:pPr>
      <w:r>
        <w:rPr>
          <w:rFonts w:cs="Times New Roman"/>
          <w:bCs/>
          <w:color w:val="000000" w:themeColor="text1"/>
          <w14:textFill>
            <w14:solidFill>
              <w14:schemeClr w14:val="tx1"/>
            </w14:solidFill>
          </w14:textFill>
        </w:rPr>
        <w:t>由表</w:t>
      </w:r>
      <w:r>
        <w:rPr>
          <w:rFonts w:cs="Times New Roman"/>
          <w:bCs/>
          <w:color w:val="000000" w:themeColor="text1"/>
          <w14:textFill>
            <w14:solidFill>
              <w14:schemeClr w14:val="tx1"/>
            </w14:solidFill>
          </w14:textFill>
        </w:rPr>
        <w:fldChar w:fldCharType="begin"/>
      </w:r>
      <w:r>
        <w:rPr>
          <w:rFonts w:cs="Times New Roman"/>
          <w:bCs/>
          <w:color w:val="000000" w:themeColor="text1"/>
          <w14:textFill>
            <w14:solidFill>
              <w14:schemeClr w14:val="tx1"/>
            </w14:solidFill>
          </w14:textFill>
        </w:rPr>
        <w:instrText xml:space="preserve"> REF _Ref142860021 \h  \* MERGEFORMAT </w:instrText>
      </w:r>
      <w:r>
        <w:rPr>
          <w:rFonts w:cs="Times New Roman"/>
          <w:bCs/>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5.2</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6</w:t>
      </w:r>
      <w:r>
        <w:rPr>
          <w:rFonts w:cs="Times New Roman"/>
          <w:bCs/>
          <w:color w:val="000000" w:themeColor="text1"/>
          <w14:textFill>
            <w14:solidFill>
              <w14:schemeClr w14:val="tx1"/>
            </w14:solidFill>
          </w14:textFill>
        </w:rPr>
        <w:fldChar w:fldCharType="end"/>
      </w:r>
      <w:r>
        <w:rPr>
          <w:rFonts w:cs="Times New Roman"/>
          <w:bCs/>
          <w:color w:val="000000" w:themeColor="text1"/>
          <w14:textFill>
            <w14:solidFill>
              <w14:schemeClr w14:val="tx1"/>
            </w14:solidFill>
          </w14:textFill>
        </w:rPr>
        <w:t>可见，项目试采期通过采取低噪声设备、优化站场工艺、合理布局等综合防噪措施后，厂界噪声能满足《工业企业厂界环境噪声排放标准》（GB12348-2008）中2类标准。采气站周边200m范围内无居民，项目试采期不会对区域声环境造成噪声污染影响。</w:t>
      </w:r>
    </w:p>
    <w:p>
      <w:pPr>
        <w:pStyle w:val="4"/>
        <w:ind w:firstLine="241"/>
      </w:pPr>
      <w:bookmarkStart w:id="268" w:name="_Toc120173159"/>
      <w:r>
        <w:rPr>
          <w:rFonts w:hint="eastAsia"/>
        </w:rPr>
        <w:t>5.2.5</w:t>
      </w:r>
      <w:r>
        <w:t>固废影响分析</w:t>
      </w:r>
      <w:bookmarkEnd w:id="268"/>
    </w:p>
    <w:p>
      <w:pPr>
        <w:adjustRightInd/>
        <w:ind w:firstLine="480"/>
        <w:rPr>
          <w:rFonts w:cs="Times New Roman"/>
          <w:color w:val="000000" w:themeColor="text1"/>
          <w:szCs w:val="20"/>
          <w14:textFill>
            <w14:solidFill>
              <w14:schemeClr w14:val="tx1"/>
            </w14:solidFill>
          </w14:textFill>
        </w:rPr>
      </w:pPr>
      <w:r>
        <w:rPr>
          <w:rFonts w:cs="Times New Roman"/>
          <w:color w:val="000000" w:themeColor="text1"/>
          <w:szCs w:val="20"/>
          <w14:textFill>
            <w14:solidFill>
              <w14:schemeClr w14:val="tx1"/>
            </w14:solidFill>
          </w14:textFill>
        </w:rPr>
        <w:t>普光3011-6井站内只新增井口采气装置、站内连接管线以及分酸分离装置和酸液缓冲罐，在正常试采运行过程中不会产生固体废物。本项目拟建工程内容不新增清管收发球装置，试采期无清管废渣产生。日常管理依托P301集气站进行，无新增定员，无生活垃圾新增</w:t>
      </w:r>
      <w:r>
        <w:rPr>
          <w:rFonts w:cs="Times New Roman"/>
          <w:bCs/>
          <w:color w:val="000000" w:themeColor="text1"/>
          <w14:textFill>
            <w14:solidFill>
              <w14:schemeClr w14:val="tx1"/>
            </w14:solidFill>
          </w14:textFill>
        </w:rPr>
        <w:t>。</w:t>
      </w:r>
    </w:p>
    <w:p>
      <w:pPr>
        <w:pStyle w:val="4"/>
        <w:ind w:firstLine="241"/>
      </w:pPr>
      <w:bookmarkStart w:id="269" w:name="_Toc120173160"/>
      <w:r>
        <w:rPr>
          <w:rFonts w:hint="eastAsia"/>
        </w:rPr>
        <w:t>5.2.6</w:t>
      </w:r>
      <w:r>
        <w:t>土壤环境影响分析</w:t>
      </w:r>
      <w:bookmarkEnd w:id="269"/>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本项目试采期污染物主要通过地面漫流、垂直入渗途径污染土壤。对于火炬分液罐区，在事故情况下会造成污染物的泄露，通过地面漫流、垂直入渗途径污染土壤。</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本项目试采期对井身固井合格后运行，地层水不会从井筒泄漏进入土壤环境；</w:t>
      </w:r>
      <w:r>
        <w:rPr>
          <w:rFonts w:cs="Times New Roman"/>
          <w:color w:val="000000" w:themeColor="text1"/>
          <w:szCs w:val="24"/>
          <w14:textFill>
            <w14:solidFill>
              <w14:schemeClr w14:val="tx1"/>
            </w14:solidFill>
          </w14:textFill>
        </w:rPr>
        <w:t>采气废水经新建的酸液缓冲罐和已建的</w:t>
      </w:r>
      <w:r>
        <w:rPr>
          <w:rFonts w:cs="Times New Roman"/>
          <w:color w:val="000000" w:themeColor="text1"/>
          <w14:textFill>
            <w14:solidFill>
              <w14:schemeClr w14:val="tx1"/>
            </w14:solidFill>
          </w14:textFill>
        </w:rPr>
        <w:t>火炬分液罐</w:t>
      </w:r>
      <w:r>
        <w:rPr>
          <w:rFonts w:cs="Times New Roman"/>
          <w:color w:val="000000" w:themeColor="text1"/>
          <w:szCs w:val="24"/>
          <w14:textFill>
            <w14:solidFill>
              <w14:schemeClr w14:val="tx1"/>
            </w14:solidFill>
          </w14:textFill>
        </w:rPr>
        <w:t>进行暂存，并最终由罐车外运行处理；非正常工况井下作业废水用密闭罐车拉运至赵家坝污水处理站处理达标后经普光11井回注站回注；试采期无人值守，无生活污水产生；除此之外，无其他废水产生，井站也无生产固废产生和堆放。同时</w:t>
      </w:r>
      <w:r>
        <w:rPr>
          <w:rFonts w:cs="Times New Roman"/>
          <w:bCs/>
          <w:color w:val="000000" w:themeColor="text1"/>
          <w14:textFill>
            <w14:solidFill>
              <w14:schemeClr w14:val="tx1"/>
            </w14:solidFill>
          </w14:textFill>
        </w:rPr>
        <w:t>井场四周设置有排水沟与自然沟渠连接，便于疏导场地雨水。本项目试采期对方井周边采取重点防渗，工艺区进行一般防渗，</w:t>
      </w:r>
      <w:r>
        <w:rPr>
          <w:rFonts w:cs="Times New Roman"/>
          <w:color w:val="000000" w:themeColor="text1"/>
          <w:szCs w:val="24"/>
          <w14:textFill>
            <w14:solidFill>
              <w14:schemeClr w14:val="tx1"/>
            </w14:solidFill>
          </w14:textFill>
        </w:rPr>
        <w:t>酸液缓冲罐和</w:t>
      </w:r>
      <w:r>
        <w:rPr>
          <w:rFonts w:cs="Times New Roman"/>
          <w:bCs/>
          <w:color w:val="000000" w:themeColor="text1"/>
          <w14:textFill>
            <w14:solidFill>
              <w14:schemeClr w14:val="tx1"/>
            </w14:solidFill>
          </w14:textFill>
        </w:rPr>
        <w:t>火炬分液罐暂存废水及时转运，污水发生泄露进入土壤环境可能性较小，在加强土壤环境的跟踪监测在后，试采期不会对土壤环境造成不利影响。</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同时调查了川东北地区诸多天然气勘探、钻采工程，试采期均未对土壤环境造成不利影响，因此本项目试采期对土壤环境影响很小，项目在试采期对土壤环境的影响是可以接受的。</w:t>
      </w:r>
    </w:p>
    <w:p>
      <w:pPr>
        <w:pStyle w:val="4"/>
        <w:ind w:firstLine="241"/>
      </w:pPr>
      <w:r>
        <w:rPr>
          <w:rFonts w:hint="eastAsia"/>
        </w:rPr>
        <w:t>5.2.7</w:t>
      </w:r>
      <w:r>
        <w:t>地下水环境影响分析</w:t>
      </w:r>
    </w:p>
    <w:p>
      <w:pPr>
        <w:pStyle w:val="5"/>
      </w:pPr>
      <w:r>
        <w:t>5.2.7.1项目区水文地质条件</w:t>
      </w:r>
    </w:p>
    <w:p>
      <w:pPr>
        <w:pStyle w:val="21"/>
        <w:spacing w:before="0"/>
        <w:ind w:left="0" w:firstLine="480"/>
        <w:jc w:val="both"/>
        <w:rPr>
          <w:rFonts w:ascii="Times New Roman" w:hAnsi="Times New Roman" w:eastAsia="黑体"/>
          <w:bCs/>
          <w:color w:val="000000" w:themeColor="text1"/>
          <w:kern w:val="2"/>
          <w:lang w:eastAsia="zh-CN"/>
          <w14:textFill>
            <w14:solidFill>
              <w14:schemeClr w14:val="tx1"/>
            </w14:solidFill>
          </w14:textFill>
        </w:rPr>
      </w:pPr>
      <w:r>
        <w:rPr>
          <w:rFonts w:ascii="Times New Roman" w:hAnsi="Times New Roman" w:eastAsia="黑体"/>
          <w:bCs/>
          <w:color w:val="000000" w:themeColor="text1"/>
          <w:kern w:val="2"/>
          <w:lang w:eastAsia="zh-CN"/>
          <w14:textFill>
            <w14:solidFill>
              <w14:schemeClr w14:val="tx1"/>
            </w14:solidFill>
          </w14:textFill>
        </w:rPr>
        <w:t>1、地下水类型及补给、径流和排泄</w:t>
      </w:r>
    </w:p>
    <w:p>
      <w:pPr>
        <w:ind w:firstLine="480"/>
        <w:rPr>
          <w:rFonts w:cs="Times New Roman"/>
          <w:color w:val="000000" w:themeColor="text1"/>
          <w:szCs w:val="24"/>
          <w14:textFill>
            <w14:solidFill>
              <w14:schemeClr w14:val="tx1"/>
            </w14:solidFill>
          </w14:textFill>
        </w:rPr>
      </w:pPr>
      <w:bookmarkStart w:id="270" w:name="_Toc14702819"/>
      <w:r>
        <w:rPr>
          <w:rFonts w:cs="Times New Roman"/>
          <w:color w:val="000000" w:themeColor="text1"/>
          <w:szCs w:val="24"/>
          <w14:textFill>
            <w14:solidFill>
              <w14:schemeClr w14:val="tx1"/>
            </w14:solidFill>
          </w14:textFill>
        </w:rPr>
        <w:t>普光气田区含有地下水的层位主要有侏罗系蓬莱镇组、遂宁组和上沙溪庙组，地形不同、地表出露地层不同，其主要含有地下水的层位也不同。</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普光气田开发区内地下水类型包括松散堆积层孔隙水、碎屑岩裂隙孔隙水和基岩裂隙水，其中本项目所在区域以基岩裂隙水与碎屑岩类裂隙水为主。沟谷地段为地下水的排泄区。岩性变化地段和结构松散的卸荷岩体具有较强的透水性能，岩体的透水性具有随着深度的增加、卸荷的减弱而递减的一般规律。</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1）松散堆积层孔隙水</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松散堆积层孔隙潜水主要赋存于河流阶地的细砂层中，基岩为相对隔水层，零星分布在赵家坝、清溪镇等地，即中河、后河、清溪河宽谷地带，含水层为第四系全新统，以冲积、冲洪积砂质粘土夹砾石为主，次为残坡积和崩坡积之砂质粘土，粘质砂土夹杂碎石块。泉流量一般小于0.1L/s，钻孔涌水量小于50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/d。分布零星，面积窄小，厚度薄（0～20m），地下水较为贫乏，不具有供水意义。一般属HCO</w:t>
      </w:r>
      <w:r>
        <w:rPr>
          <w:rFonts w:cs="Times New Roman"/>
          <w:color w:val="000000" w:themeColor="text1"/>
          <w:szCs w:val="24"/>
          <w:vertAlign w:val="subscript"/>
          <w14:textFill>
            <w14:solidFill>
              <w14:schemeClr w14:val="tx1"/>
            </w14:solidFill>
          </w14:textFill>
        </w:rPr>
        <w:t>3</w:t>
      </w:r>
      <w:r>
        <w:rPr>
          <w:rFonts w:cs="Times New Roman"/>
          <w:color w:val="000000" w:themeColor="text1"/>
          <w:szCs w:val="24"/>
          <w14:textFill>
            <w14:solidFill>
              <w14:schemeClr w14:val="tx1"/>
            </w14:solidFill>
          </w14:textFill>
        </w:rPr>
        <w:t>-Ca（Na+K）水，矿化度0.356～0.392g/L，总硬度13～15德度，pH值5～6。</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2碎屑岩裂隙孔隙水</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分布于黄金口背斜中段一带，主要由沙溪庙组地层组成，但在其中段核部有两处出露了千佛崖组地层，形成构造窗。其中南面的一处位于普光镇西北，长15km左右，宽1～2km；北面一处位于黄金口边，长10km，宽1～4km。由于该背斜穿插于北西向构造之中，并受到强烈的挤压，因而两翼岩层产状较陡，倾角达20°～50°。但向外围很快变缓，节理裂隙发育。在地貌上形成背斜山，千佛崖组地层裸露于轴部附近山岭一带，补给区位置较高，对于翼部地下水的补给、运移和富集有利，因而黄金口背斜翼部地下水比较丰富，特别是在千佛崖组和沙溪庙组接触带附近，有较丰富的层间承压水，泉水流量大于11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/d，单井涌水量可达100～500m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/d，含水层顶板埋深50～100m。</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由于含水层主要出露于山岭地带，补给区所处位置较高，地下水以接受大气降水的渗入补给为主，补给后地下水主要通过构造裂隙和层间裂隙沿岩层倾斜方向作垂向（倾向）运动。一部分地下水在地表侵蚀基准面之上以下降泉的形式排泄，一部分向深部运移、贮集，并作水平（走向）运动。在含水层被沟谷切割的地段，可以接受地表水的补给，地下水运动的总趋势是由北东向南西方向径流。地下水化学类型为重碳酸钙镁型和重碳酸硫酸钙镁型，矿化度0.2g/L左右，总硬度0.8～6.5德度，pH值6～7。</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3）基岩裂隙水</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此类型在气田区广泛分布，本项目区也属于此类型，按裂隙性质，地下水的富存条件可分为构造裂隙水和风化带网状裂隙水两大亚类。</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A、构造裂隙水</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构造裂隙水主要分布在侏罗系蓬莱镇组（J</w:t>
      </w:r>
      <w:r>
        <w:rPr>
          <w:rFonts w:cs="Times New Roman"/>
          <w:color w:val="000000" w:themeColor="text1"/>
          <w:szCs w:val="24"/>
          <w:vertAlign w:val="subscript"/>
          <w14:textFill>
            <w14:solidFill>
              <w14:schemeClr w14:val="tx1"/>
            </w14:solidFill>
          </w14:textFill>
        </w:rPr>
        <w:t>3</w:t>
      </w:r>
      <w:r>
        <w:rPr>
          <w:rFonts w:cs="Times New Roman"/>
          <w:color w:val="000000" w:themeColor="text1"/>
          <w:szCs w:val="24"/>
          <w14:textFill>
            <w14:solidFill>
              <w14:schemeClr w14:val="tx1"/>
            </w14:solidFill>
          </w14:textFill>
        </w:rPr>
        <w:t>p</w:t>
      </w:r>
      <w:r>
        <w:rPr>
          <w:rFonts w:cs="Times New Roman"/>
          <w:color w:val="000000" w:themeColor="text1"/>
          <w:szCs w:val="24"/>
          <w:vertAlign w:val="subscript"/>
          <w14:textFill>
            <w14:solidFill>
              <w14:schemeClr w14:val="tx1"/>
            </w14:solidFill>
          </w14:textFill>
        </w:rPr>
        <w:t>2</w:t>
      </w:r>
      <w:r>
        <w:rPr>
          <w:rFonts w:cs="Times New Roman"/>
          <w:color w:val="000000" w:themeColor="text1"/>
          <w:szCs w:val="24"/>
          <w14:textFill>
            <w14:solidFill>
              <w14:schemeClr w14:val="tx1"/>
            </w14:solidFill>
          </w14:textFill>
        </w:rPr>
        <w:t>）、下白垩统苍溪组（K</w:t>
      </w:r>
      <w:r>
        <w:rPr>
          <w:rFonts w:cs="Times New Roman"/>
          <w:color w:val="000000" w:themeColor="text1"/>
          <w:szCs w:val="24"/>
          <w:vertAlign w:val="subscript"/>
          <w14:textFill>
            <w14:solidFill>
              <w14:schemeClr w14:val="tx1"/>
            </w14:solidFill>
          </w14:textFill>
        </w:rPr>
        <w:t>1</w:t>
      </w:r>
      <w:r>
        <w:rPr>
          <w:rFonts w:cs="Times New Roman"/>
          <w:color w:val="000000" w:themeColor="text1"/>
          <w:szCs w:val="24"/>
          <w14:textFill>
            <w14:solidFill>
              <w14:schemeClr w14:val="tx1"/>
            </w14:solidFill>
          </w14:textFill>
        </w:rPr>
        <w:t>c）、白龙组（K</w:t>
      </w:r>
      <w:r>
        <w:rPr>
          <w:rFonts w:cs="Times New Roman"/>
          <w:color w:val="000000" w:themeColor="text1"/>
          <w:szCs w:val="24"/>
          <w:vertAlign w:val="subscript"/>
          <w14:textFill>
            <w14:solidFill>
              <w14:schemeClr w14:val="tx1"/>
            </w14:solidFill>
          </w14:textFill>
        </w:rPr>
        <w:t>1</w:t>
      </w:r>
      <w:r>
        <w:rPr>
          <w:rFonts w:cs="Times New Roman"/>
          <w:color w:val="000000" w:themeColor="text1"/>
          <w:szCs w:val="24"/>
          <w14:textFill>
            <w14:solidFill>
              <w14:schemeClr w14:val="tx1"/>
            </w14:solidFill>
          </w14:textFill>
        </w:rPr>
        <w:t>b），岩性主要是紫红色泥岩、粉砂质泥岩与厚至块状细粒长石、石英砂岩互层，上侏罗统蓬莱镇组上段和的砂岩和泥岩之不等厚互层组成，一般以砂岩为主要含水层，且为双层结构（即上部以浅层潜水为主，下部以承压水为主）的含水特征，以碎屑岩裂隙孔隙水－层间承压水为主。地下水位埋深一般小于20m，含水层顶板埋深一般小于50m。地下径流模数0.5～1L/（s·km</w:t>
      </w:r>
      <w:r>
        <w:rPr>
          <w:rFonts w:cs="Times New Roman"/>
          <w:color w:val="000000" w:themeColor="text1"/>
          <w:szCs w:val="24"/>
          <w:vertAlign w:val="superscript"/>
          <w14:textFill>
            <w14:solidFill>
              <w14:schemeClr w14:val="tx1"/>
            </w14:solidFill>
          </w14:textFill>
        </w:rPr>
        <w:t>2</w:t>
      </w:r>
      <w:r>
        <w:rPr>
          <w:rFonts w:cs="Times New Roman"/>
          <w:color w:val="000000" w:themeColor="text1"/>
          <w:szCs w:val="24"/>
          <w14:textFill>
            <w14:solidFill>
              <w14:schemeClr w14:val="tx1"/>
            </w14:solidFill>
          </w14:textFill>
        </w:rPr>
        <w:t>），钻孔涌水量一般可达100～500m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/d，属于中等富水地带。</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 xml:space="preserve">水质以重碳酸钠型和重碳酸钙型为主，矿化度0.1～0.5g/L，总硬度为0.5～10德度，pH值为7.5～9。泉流量一般在0.1～1L/s之间。 </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B、风化带网状裂隙水</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风化带网状裂隙水主要分布于普光气田区西部、西南部，地下水为潜水，主要赋存于沙溪庙组和遂宁组地层中浅部风化网状裂隙发育地带。普光气田区西部、西南相对高差较小，故侵蚀作用较弱，对风化带发育比较有利，风化带发育深度一般为0～10m。由于风化带厚度较薄并因发育不均匀呈断续分布，一般不能形成连续分布的统一含水层，其地下水的补给条件和赋存条件比较差，表现为富水性弱和水量一般较为贫乏。泉流量一般在0.01～0.1L/s，地下径流模数0.1～0.5L/（s·km</w:t>
      </w:r>
      <w:r>
        <w:rPr>
          <w:rFonts w:cs="Times New Roman"/>
          <w:color w:val="000000" w:themeColor="text1"/>
          <w:szCs w:val="24"/>
          <w:vertAlign w:val="superscript"/>
          <w14:textFill>
            <w14:solidFill>
              <w14:schemeClr w14:val="tx1"/>
            </w14:solidFill>
          </w14:textFill>
        </w:rPr>
        <w:t>2</w:t>
      </w:r>
      <w:r>
        <w:rPr>
          <w:rFonts w:cs="Times New Roman"/>
          <w:color w:val="000000" w:themeColor="text1"/>
          <w:szCs w:val="24"/>
          <w14:textFill>
            <w14:solidFill>
              <w14:schemeClr w14:val="tx1"/>
            </w14:solidFill>
          </w14:textFill>
        </w:rPr>
        <w:t>），钻孔涌水量多小于50m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/d。因此，虽然通常可供分散的独家小户居民用水之需，但遇干旱季节，则常有枯竭之忧。</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水质一般为重碳酸钙型或重碳酸钙镁型水，矿化度0.1～0.3g/L，总硬度在8 ～13德度，pH值6.5～7.5。</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普光气田区的基岩裂隙水由于地质、地貌条件不利于大气降水渗入补给，故该地区地下水属于就地补给就近排泄的浅层潜水。泉水多出露在砂岩底部与泥岩接触面附近，说明各含水层之间，一般不发生水力联系。</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②</w:t>
      </w:r>
      <w:r>
        <w:rPr>
          <w:rFonts w:cs="Times New Roman"/>
          <w:color w:val="000000" w:themeColor="text1"/>
          <w:szCs w:val="24"/>
          <w14:textFill>
            <w14:solidFill>
              <w14:schemeClr w14:val="tx1"/>
            </w14:solidFill>
          </w14:textFill>
        </w:rPr>
        <w:t>地下水赋存特征及补径排关系</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基岩裂隙水与碎屑岩类裂隙水广泛分布全区，地表出露较常见，井、泉可见，为当地居民饮用水源，一般埋深较浅（10～200m），几乎都产出在风化带影响范围之内。含水层的埋藏特点以及补给、径流、排泄条件，决定区内地下水的水质、水量。地下水主要赋存特征如下：</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A、风化带网状裂隙水分布十分广泛</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地下水储水性质及埋藏条件，本区基岩裂隙水皆埋藏于浅部砂、泥岩之风化带中，以砂岩裂隙和泥岩网状微细裂隙储集为主，孔隙储集次之，局部地区兼有溶蚀孔隙裂隙储水。多属潜水类型，部分微具承压。其分布相当广泛，无论是田边地角、丘陵谷旁，凡有汇水条件的地方均可见及，但主要还是位于河谷与丘间汇水面积较大之洼地，并形成相对富集带。</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B、各地段富水性一般较差，水量极不均匀</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据1：20万区域水文地质普查报告统计，在广大红层丘陵区，60%以上的泉水流量在0.05L/s以下，超过0.1L/s的大泉仅占16%，其中最大的只达0.15L/s左右。80%以上的地区单孔涌水量在100t/d以下，其中单孔涌水量小于30t/d的地区30%左右。这种不均匀性在区域上的表现通常是贫中有富，即在广大贫水地区存在着一些相对富水地段。而这些富水地段的泉水流量一般为0.105～0.15L/s，钻孔涌水量100～1000t/d，其面积一般只占基岩裂隙水地区的10%～15%。另外，这种不均匀性还表现在同一局部地区或同一含水层富水性的悬殊上，这大概正是基岩风化裂隙水的特点。由此可见，富水地段并非井井富水，贫水地段并非井井贫水，水量多少实际上与具体井位的选择有很大关系；即使在同一含水层中，由于岩性、裂隙发育程度的变化，其含水性在不同的井、孔中也可能相差十分悬殊。</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C地下水位高，埋深浅，淡水带厚度通常较薄</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区基岩裂隙水一般为潜水，其埋深80%以上的在0～5m之间，尤以0～3m为多。但在上沙溪庙组分布的丘陵区，也有水位较深者。另外，在裂隙潜水广泛分布的背景下，亦有时可见局部承压水出现。究其原因主要是与覆盖层性质有关，即在以遂宁组泥岩为含水层的宽谷丘陵区，不仅覆盖层以第四系粘性土为主，而且基岩顶部强风化层在地下水作用下也多强烈泥化，而具有隔水性。这种由二者所共同组成沟谷中的隔水层，势必会使浅层地下水具有一定的承压性质。另一种原因则可能与局部构造因素有关，即它们或许正处于背斜倾角由陡变缓的倾末端或转折端。</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D、地下水补给、径流、排泄条件良好，动态不稳定</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浅层地下水是可供饮用和灌溉的优良淡矿化水，其淡水带深度一般不大，风化裂隙带发育深度一般在20～30m，地下水位埋深在沟谷地带一般为3～5m，丘坡下部一般6～9m，井深20m左右一般可揭露主要潜水含水层。因向下部多迅速转为微咸水、咸水，以至盐卤水所接替。淡水带深度，即咸、淡水界面埋藏深度，因受地下水径流条件控制，表现出周边深，盆内浅的规律。盆地腹心，以沙溪庙组（J</w:t>
      </w:r>
      <w:r>
        <w:rPr>
          <w:rFonts w:cs="Times New Roman"/>
          <w:color w:val="000000" w:themeColor="text1"/>
          <w:szCs w:val="24"/>
          <w:vertAlign w:val="subscript"/>
          <w14:textFill>
            <w14:solidFill>
              <w14:schemeClr w14:val="tx1"/>
            </w14:solidFill>
          </w14:textFill>
        </w:rPr>
        <w:t>2</w:t>
      </w:r>
      <w:r>
        <w:rPr>
          <w:rFonts w:cs="Times New Roman"/>
          <w:color w:val="000000" w:themeColor="text1"/>
          <w:szCs w:val="24"/>
          <w14:textFill>
            <w14:solidFill>
              <w14:schemeClr w14:val="tx1"/>
            </w14:solidFill>
          </w14:textFill>
        </w:rPr>
        <w:t>s）、遂宁组（J</w:t>
      </w:r>
      <w:r>
        <w:rPr>
          <w:rFonts w:cs="Times New Roman"/>
          <w:color w:val="000000" w:themeColor="text1"/>
          <w:szCs w:val="24"/>
          <w:vertAlign w:val="subscript"/>
          <w14:textFill>
            <w14:solidFill>
              <w14:schemeClr w14:val="tx1"/>
            </w14:solidFill>
          </w14:textFill>
        </w:rPr>
        <w:t>2</w:t>
      </w:r>
      <w:r>
        <w:rPr>
          <w:rFonts w:cs="Times New Roman"/>
          <w:color w:val="000000" w:themeColor="text1"/>
          <w:szCs w:val="24"/>
          <w14:textFill>
            <w14:solidFill>
              <w14:schemeClr w14:val="tx1"/>
            </w14:solidFill>
          </w14:textFill>
        </w:rPr>
        <w:t>sn）为主，组成的浅丘区，地下水交替条件差，咸淡水界面埋深一般50m左右，甚或小于50m。向外围低山丘陵区，随着径流条件变化，渐增至50～100m，100～200m。接近盆缘地区，深度大于200m。本项目区可利用地下水淡水深度在100～200m。</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区内含水层主要接受大气降雨补给，该类地下水主要依靠大气降水补给。因评价区内地形坡降较大，地表径流条件好，大气降水多以面流方式排泄，少量沿地表岩土层裂隙下渗并径流补给地下水。项目区含水层接受补给后，主要由项目区西北向东南径流，于地势较低及构造有利位置以泉的形式出露，或呈泄流的方式排泄至评价区最低排泄基准面后河。经调查，当地地下水水质良好，无原生水文地质环境问题。</w:t>
      </w:r>
    </w:p>
    <w:p>
      <w:pPr>
        <w:pStyle w:val="21"/>
        <w:spacing w:before="0"/>
        <w:ind w:left="0" w:firstLine="480"/>
        <w:jc w:val="both"/>
        <w:rPr>
          <w:rFonts w:ascii="Times New Roman" w:hAnsi="Times New Roman" w:eastAsia="黑体"/>
          <w:bCs/>
          <w:color w:val="000000" w:themeColor="text1"/>
          <w:kern w:val="2"/>
          <w:lang w:eastAsia="zh-CN"/>
          <w14:textFill>
            <w14:solidFill>
              <w14:schemeClr w14:val="tx1"/>
            </w14:solidFill>
          </w14:textFill>
        </w:rPr>
      </w:pPr>
      <w:r>
        <w:rPr>
          <w:rFonts w:ascii="Times New Roman" w:hAnsi="Times New Roman" w:eastAsia="黑体"/>
          <w:bCs/>
          <w:color w:val="000000" w:themeColor="text1"/>
          <w:kern w:val="2"/>
          <w:lang w:eastAsia="zh-CN"/>
          <w14:textFill>
            <w14:solidFill>
              <w14:schemeClr w14:val="tx1"/>
            </w14:solidFill>
          </w14:textFill>
        </w:rPr>
        <w:t>2、地下水开发利用现状</w:t>
      </w:r>
      <w:bookmarkEnd w:id="270"/>
    </w:p>
    <w:p>
      <w:pPr>
        <w:pStyle w:val="21"/>
        <w:spacing w:before="0"/>
        <w:ind w:left="0" w:firstLine="480"/>
        <w:jc w:val="both"/>
        <w:rPr>
          <w:bCs/>
          <w:color w:val="000000" w:themeColor="text1"/>
          <w:lang w:eastAsia="zh-CN"/>
          <w14:textFill>
            <w14:solidFill>
              <w14:schemeClr w14:val="tx1"/>
            </w14:solidFill>
          </w14:textFill>
        </w:rPr>
      </w:pPr>
      <w:r>
        <w:rPr>
          <w:bCs/>
          <w:color w:val="000000" w:themeColor="text1"/>
          <w:lang w:eastAsia="zh-CN"/>
          <w14:textFill>
            <w14:solidFill>
              <w14:schemeClr w14:val="tx1"/>
            </w14:solidFill>
          </w14:textFill>
        </w:rPr>
        <w:t>经调查，井场附近居民家中均使用山泉水作为饮用水源，</w:t>
      </w:r>
      <w:r>
        <w:rPr>
          <w:rFonts w:hint="eastAsia"/>
          <w:bCs/>
          <w:color w:val="000000" w:themeColor="text1"/>
          <w:lang w:eastAsia="zh-CN"/>
          <w14:textFill>
            <w14:solidFill>
              <w14:schemeClr w14:val="tx1"/>
            </w14:solidFill>
          </w14:textFill>
        </w:rPr>
        <w:t>各居民点处均修建有蓄水池，通过管道将山泉水从山上引至蓄水池中，然后</w:t>
      </w:r>
      <w:r>
        <w:rPr>
          <w:bCs/>
          <w:color w:val="000000" w:themeColor="text1"/>
          <w:lang w:eastAsia="zh-CN"/>
          <w14:textFill>
            <w14:solidFill>
              <w14:schemeClr w14:val="tx1"/>
            </w14:solidFill>
          </w14:textFill>
        </w:rPr>
        <w:t>分散供周边居民使用，地下水评价范围内具备饮用功能的井泉约</w:t>
      </w:r>
      <w:r>
        <w:rPr>
          <w:rFonts w:ascii="Times New Roman" w:hAnsi="Times New Roman"/>
          <w:bCs/>
          <w:color w:val="000000" w:themeColor="text1"/>
          <w:lang w:eastAsia="zh-CN"/>
          <w14:textFill>
            <w14:solidFill>
              <w14:schemeClr w14:val="tx1"/>
            </w14:solidFill>
          </w14:textFill>
        </w:rPr>
        <w:t>9处</w:t>
      </w:r>
      <w:r>
        <w:rPr>
          <w:bCs/>
          <w:color w:val="000000" w:themeColor="text1"/>
          <w:lang w:eastAsia="zh-CN"/>
          <w14:textFill>
            <w14:solidFill>
              <w14:schemeClr w14:val="tx1"/>
            </w14:solidFill>
          </w14:textFill>
        </w:rPr>
        <w:t>。</w:t>
      </w:r>
    </w:p>
    <w:p>
      <w:pPr>
        <w:pStyle w:val="21"/>
        <w:spacing w:before="0"/>
        <w:ind w:left="0" w:firstLine="480"/>
        <w:jc w:val="both"/>
        <w:rPr>
          <w:rFonts w:ascii="Times New Roman" w:hAnsi="Times New Roman" w:eastAsia="黑体"/>
          <w:bCs/>
          <w:color w:val="000000" w:themeColor="text1"/>
          <w:kern w:val="2"/>
          <w:lang w:eastAsia="zh-CN"/>
          <w14:textFill>
            <w14:solidFill>
              <w14:schemeClr w14:val="tx1"/>
            </w14:solidFill>
          </w14:textFill>
        </w:rPr>
      </w:pPr>
      <w:bookmarkStart w:id="271" w:name="_Toc498501600"/>
      <w:bookmarkStart w:id="272" w:name="_Toc14702820"/>
      <w:r>
        <w:rPr>
          <w:rFonts w:ascii="Times New Roman" w:hAnsi="Times New Roman" w:eastAsia="黑体"/>
          <w:bCs/>
          <w:color w:val="000000" w:themeColor="text1"/>
          <w:kern w:val="2"/>
          <w:lang w:eastAsia="zh-CN"/>
          <w14:textFill>
            <w14:solidFill>
              <w14:schemeClr w14:val="tx1"/>
            </w14:solidFill>
          </w14:textFill>
        </w:rPr>
        <w:t>3、环境水文地质调查</w:t>
      </w:r>
      <w:bookmarkEnd w:id="271"/>
      <w:bookmarkEnd w:id="272"/>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按照地下水环境影响评价导则，针对本项目特征，本次调查包括：</w:t>
      </w:r>
      <w:r>
        <w:rPr>
          <w:rFonts w:hint="eastAsia" w:cs="宋体"/>
          <w:bCs/>
          <w:color w:val="000000" w:themeColor="text1"/>
          <w:kern w:val="2"/>
          <w:lang w:eastAsia="zh-CN"/>
          <w14:textFill>
            <w14:solidFill>
              <w14:schemeClr w14:val="tx1"/>
            </w14:solidFill>
          </w14:textFill>
        </w:rPr>
        <w:t>①</w:t>
      </w:r>
      <w:r>
        <w:rPr>
          <w:rFonts w:ascii="Times New Roman" w:hAnsi="Times New Roman"/>
          <w:bCs/>
          <w:color w:val="000000" w:themeColor="text1"/>
          <w:kern w:val="2"/>
          <w:lang w:eastAsia="zh-CN"/>
          <w14:textFill>
            <w14:solidFill>
              <w14:schemeClr w14:val="tx1"/>
            </w14:solidFill>
          </w14:textFill>
        </w:rPr>
        <w:t>原生水文地质问题调查；</w:t>
      </w:r>
      <w:r>
        <w:rPr>
          <w:rFonts w:hint="eastAsia" w:cs="宋体"/>
          <w:bCs/>
          <w:color w:val="000000" w:themeColor="text1"/>
          <w:kern w:val="2"/>
          <w:lang w:eastAsia="zh-CN"/>
          <w14:textFill>
            <w14:solidFill>
              <w14:schemeClr w14:val="tx1"/>
            </w14:solidFill>
          </w14:textFill>
        </w:rPr>
        <w:t>②</w:t>
      </w:r>
      <w:r>
        <w:rPr>
          <w:rFonts w:ascii="Times New Roman" w:hAnsi="Times New Roman"/>
          <w:bCs/>
          <w:color w:val="000000" w:themeColor="text1"/>
          <w:kern w:val="2"/>
          <w:lang w:eastAsia="zh-CN"/>
          <w14:textFill>
            <w14:solidFill>
              <w14:schemeClr w14:val="tx1"/>
            </w14:solidFill>
          </w14:textFill>
        </w:rPr>
        <w:t>地下水污染源分布及类型调查。</w:t>
      </w:r>
    </w:p>
    <w:p>
      <w:pPr>
        <w:pStyle w:val="21"/>
        <w:spacing w:before="0"/>
        <w:ind w:left="0" w:firstLine="482"/>
        <w:jc w:val="both"/>
        <w:rPr>
          <w:rFonts w:ascii="Times New Roman" w:hAnsi="Times New Roman"/>
          <w:b/>
          <w:color w:val="000000" w:themeColor="text1"/>
          <w:kern w:val="2"/>
          <w:lang w:eastAsia="zh-CN"/>
          <w14:textFill>
            <w14:solidFill>
              <w14:schemeClr w14:val="tx1"/>
            </w14:solidFill>
          </w14:textFill>
        </w:rPr>
      </w:pPr>
      <w:bookmarkStart w:id="273" w:name="_Toc14702821"/>
      <w:r>
        <w:rPr>
          <w:rFonts w:ascii="Times New Roman" w:hAnsi="Times New Roman"/>
          <w:b/>
          <w:color w:val="000000" w:themeColor="text1"/>
          <w:kern w:val="2"/>
          <w:lang w:eastAsia="zh-CN"/>
          <w14:textFill>
            <w14:solidFill>
              <w14:schemeClr w14:val="tx1"/>
            </w14:solidFill>
          </w14:textFill>
        </w:rPr>
        <w:t>（1）原生水文地质问题调查</w:t>
      </w:r>
      <w:bookmarkEnd w:id="273"/>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根据评价区下水水质监测结果，本项目区地下水属于低矿化度淡水，水质情况尚可；根据相关资料及调查访问，评价区未出现地方病等与地下水相关的环境问题。</w:t>
      </w:r>
    </w:p>
    <w:p>
      <w:pPr>
        <w:pStyle w:val="21"/>
        <w:spacing w:before="0"/>
        <w:ind w:left="0" w:firstLine="482"/>
        <w:jc w:val="both"/>
        <w:rPr>
          <w:rFonts w:ascii="Times New Roman" w:hAnsi="Times New Roman"/>
          <w:b/>
          <w:color w:val="000000" w:themeColor="text1"/>
          <w:kern w:val="2"/>
          <w:lang w:eastAsia="zh-CN"/>
          <w14:textFill>
            <w14:solidFill>
              <w14:schemeClr w14:val="tx1"/>
            </w14:solidFill>
          </w14:textFill>
        </w:rPr>
      </w:pPr>
      <w:bookmarkStart w:id="274" w:name="_Toc14702822"/>
      <w:r>
        <w:rPr>
          <w:rFonts w:ascii="Times New Roman" w:hAnsi="Times New Roman"/>
          <w:b/>
          <w:color w:val="000000" w:themeColor="text1"/>
          <w:kern w:val="2"/>
          <w:lang w:eastAsia="zh-CN"/>
          <w14:textFill>
            <w14:solidFill>
              <w14:schemeClr w14:val="tx1"/>
            </w14:solidFill>
          </w14:textFill>
        </w:rPr>
        <w:t>（2）地下水污染源调查</w:t>
      </w:r>
      <w:bookmarkEnd w:id="274"/>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根据现场调查，评价范围内主要地下水污染源为：分散居民农业生产及生活污水对地下水水质的扰动。</w:t>
      </w:r>
    </w:p>
    <w:p>
      <w:pPr>
        <w:pStyle w:val="5"/>
      </w:pPr>
      <w:r>
        <w:rPr>
          <w:rFonts w:hint="eastAsia"/>
        </w:rPr>
        <w:t>5.2.7.2</w:t>
      </w:r>
      <w:r>
        <w:t>地下水环境功能与环境保护目标</w:t>
      </w:r>
    </w:p>
    <w:p>
      <w:pPr>
        <w:pStyle w:val="21"/>
        <w:spacing w:before="0"/>
        <w:ind w:left="0" w:firstLine="480"/>
        <w:jc w:val="both"/>
        <w:rPr>
          <w:rFonts w:ascii="Times New Roman" w:hAnsi="Times New Roman" w:eastAsia="黑体"/>
          <w:bCs/>
          <w:color w:val="000000" w:themeColor="text1"/>
          <w:kern w:val="2"/>
          <w:lang w:eastAsia="zh-CN"/>
          <w14:textFill>
            <w14:solidFill>
              <w14:schemeClr w14:val="tx1"/>
            </w14:solidFill>
          </w14:textFill>
        </w:rPr>
      </w:pPr>
      <w:r>
        <w:rPr>
          <w:rFonts w:ascii="Times New Roman" w:hAnsi="Times New Roman" w:eastAsia="黑体"/>
          <w:bCs/>
          <w:color w:val="000000" w:themeColor="text1"/>
          <w:kern w:val="2"/>
          <w:lang w:eastAsia="zh-CN"/>
          <w14:textFill>
            <w14:solidFill>
              <w14:schemeClr w14:val="tx1"/>
            </w14:solidFill>
          </w14:textFill>
        </w:rPr>
        <w:t>1、地下水功能划分</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确定评价区地下水环境的主要功能是分析地下水环境影响、布置工作重点的重要工作之一。地下水系统是一个具有综合服务功能的开放系统，是维持社会经济发展的重要供水水源，也是维持生态环境系统稳定的重要因素。确定工程区地下水环境功能从两个方面进行：依据《全国地下水功能区划分技术大纲》的要求和规定、根据实地调查的本项目工程区的地下水环境状况。</w:t>
      </w:r>
    </w:p>
    <w:p>
      <w:pPr>
        <w:pStyle w:val="21"/>
        <w:spacing w:before="0"/>
        <w:ind w:left="0" w:firstLine="482"/>
        <w:jc w:val="both"/>
        <w:rPr>
          <w:rFonts w:ascii="Times New Roman" w:hAnsi="Times New Roman"/>
          <w:b/>
          <w:color w:val="000000" w:themeColor="text1"/>
          <w:kern w:val="2"/>
          <w:lang w:eastAsia="zh-CN"/>
          <w14:textFill>
            <w14:solidFill>
              <w14:schemeClr w14:val="tx1"/>
            </w14:solidFill>
          </w14:textFill>
        </w:rPr>
      </w:pPr>
      <w:r>
        <w:rPr>
          <w:rFonts w:ascii="Times New Roman" w:hAnsi="Times New Roman"/>
          <w:b/>
          <w:color w:val="000000" w:themeColor="text1"/>
          <w:kern w:val="2"/>
          <w:lang w:eastAsia="zh-CN"/>
          <w14:textFill>
            <w14:solidFill>
              <w14:schemeClr w14:val="tx1"/>
            </w14:solidFill>
          </w14:textFill>
        </w:rPr>
        <w:t>（1）地下水功能及其划分</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地下水功能是指地下水的水质和水量及其在空间和时间上的变化对人类社会和环境所产生的作用或效应，它由地下水的资源功能、生态环境功能和地质环境功能组成。</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1）地下水的资源功能是指具备一定的补给、储存和更新条件的地下水资源供给保障作用或效应。为了保持地下水的资源供给功能，首先在水量上，地下水要得到可持续的稳定补给，这样才能保障可持续开发。</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2）地下水的生态功能是指地下水系统对陆表植被或湖泊、湿地或土地质量良性维持的作用或效应，如果地下水系统发生变化，则生态环境出现相应的改变。地表水生态系统（河道基流、湿地、泉水等）和陆地非地带性植被都需要地下水的补给和调节。地下水位下降和水质的恶化对地表生态系统会带来严重影响。</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3）地下水的地质环境功能是指地下水的地质安全保障功能，对其所赋存的地质环境稳定性所具有支撑和保护的作用或效应，如果地下水系统发生变化，则地质环境出现相应的改变。</w:t>
      </w:r>
    </w:p>
    <w:p>
      <w:pPr>
        <w:pStyle w:val="21"/>
        <w:spacing w:before="0"/>
        <w:ind w:left="0" w:firstLine="482"/>
        <w:jc w:val="both"/>
        <w:rPr>
          <w:rFonts w:ascii="Times New Roman" w:hAnsi="Times New Roman"/>
          <w:b/>
          <w:color w:val="000000" w:themeColor="text1"/>
          <w:kern w:val="2"/>
          <w:lang w:eastAsia="zh-CN"/>
          <w14:textFill>
            <w14:solidFill>
              <w14:schemeClr w14:val="tx1"/>
            </w14:solidFill>
          </w14:textFill>
        </w:rPr>
      </w:pPr>
      <w:r>
        <w:rPr>
          <w:rFonts w:ascii="Times New Roman" w:hAnsi="Times New Roman"/>
          <w:b/>
          <w:color w:val="000000" w:themeColor="text1"/>
          <w:kern w:val="2"/>
          <w:lang w:eastAsia="zh-CN"/>
          <w14:textFill>
            <w14:solidFill>
              <w14:schemeClr w14:val="tx1"/>
            </w14:solidFill>
          </w14:textFill>
        </w:rPr>
        <w:t>（2）地下水环境调查</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通过对项目区地下水、地表水、居民用水及环境状况调查，本项目位于四川省达州市宣汉县普光镇陡梯村，评价区内有居民分布，</w:t>
      </w:r>
      <w:r>
        <w:rPr>
          <w:rFonts w:hint="eastAsia" w:ascii="Times New Roman" w:hAnsi="Times New Roman"/>
          <w:bCs/>
          <w:color w:val="000000" w:themeColor="text1"/>
          <w:kern w:val="2"/>
          <w:lang w:eastAsia="zh-CN"/>
          <w14:textFill>
            <w14:solidFill>
              <w14:schemeClr w14:val="tx1"/>
            </w14:solidFill>
          </w14:textFill>
        </w:rPr>
        <w:t>各居民点处均修建有蓄水池，通过管道将山泉水从山上引至蓄水池中，然后</w:t>
      </w:r>
      <w:r>
        <w:rPr>
          <w:rFonts w:ascii="Times New Roman" w:hAnsi="Times New Roman"/>
          <w:bCs/>
          <w:color w:val="000000" w:themeColor="text1"/>
          <w:kern w:val="2"/>
          <w:lang w:eastAsia="zh-CN"/>
          <w14:textFill>
            <w14:solidFill>
              <w14:schemeClr w14:val="tx1"/>
            </w14:solidFill>
          </w14:textFill>
        </w:rPr>
        <w:t>分散供周边居民使用，平均约</w:t>
      </w:r>
      <w:r>
        <w:rPr>
          <w:rFonts w:hint="eastAsia" w:ascii="Times New Roman" w:hAnsi="Times New Roman"/>
          <w:bCs/>
          <w:color w:val="000000" w:themeColor="text1"/>
          <w:kern w:val="2"/>
          <w:lang w:eastAsia="zh-CN"/>
          <w14:textFill>
            <w14:solidFill>
              <w14:schemeClr w14:val="tx1"/>
            </w14:solidFill>
          </w14:textFill>
        </w:rPr>
        <w:t>5</w:t>
      </w:r>
      <w:r>
        <w:rPr>
          <w:rFonts w:ascii="Times New Roman" w:hAnsi="Times New Roman"/>
          <w:bCs/>
          <w:color w:val="000000" w:themeColor="text1"/>
          <w:kern w:val="2"/>
          <w:lang w:eastAsia="zh-CN"/>
          <w14:textFill>
            <w14:solidFill>
              <w14:schemeClr w14:val="tx1"/>
            </w14:solidFill>
          </w14:textFill>
        </w:rPr>
        <w:t>~</w:t>
      </w:r>
      <w:r>
        <w:rPr>
          <w:rFonts w:hint="eastAsia" w:ascii="Times New Roman" w:hAnsi="Times New Roman"/>
          <w:bCs/>
          <w:color w:val="000000" w:themeColor="text1"/>
          <w:kern w:val="2"/>
          <w:lang w:eastAsia="zh-CN"/>
          <w14:textFill>
            <w14:solidFill>
              <w14:schemeClr w14:val="tx1"/>
            </w14:solidFill>
          </w14:textFill>
        </w:rPr>
        <w:t>20</w:t>
      </w:r>
      <w:r>
        <w:rPr>
          <w:rFonts w:ascii="Times New Roman" w:hAnsi="Times New Roman"/>
          <w:bCs/>
          <w:color w:val="000000" w:themeColor="text1"/>
          <w:kern w:val="2"/>
          <w:lang w:eastAsia="zh-CN"/>
          <w14:textFill>
            <w14:solidFill>
              <w14:schemeClr w14:val="tx1"/>
            </w14:solidFill>
          </w14:textFill>
        </w:rPr>
        <w:t>户使用1处</w:t>
      </w:r>
      <w:r>
        <w:rPr>
          <w:rFonts w:hint="eastAsia" w:ascii="Times New Roman" w:hAnsi="Times New Roman"/>
          <w:bCs/>
          <w:color w:val="000000" w:themeColor="text1"/>
          <w:kern w:val="2"/>
          <w:lang w:eastAsia="zh-CN"/>
          <w14:textFill>
            <w14:solidFill>
              <w14:schemeClr w14:val="tx1"/>
            </w14:solidFill>
          </w14:textFill>
        </w:rPr>
        <w:t>蓄水池</w:t>
      </w:r>
      <w:r>
        <w:rPr>
          <w:rFonts w:ascii="Times New Roman" w:hAnsi="Times New Roman"/>
          <w:bCs/>
          <w:color w:val="000000" w:themeColor="text1"/>
          <w:kern w:val="2"/>
          <w:lang w:eastAsia="zh-CN"/>
          <w14:textFill>
            <w14:solidFill>
              <w14:schemeClr w14:val="tx1"/>
            </w14:solidFill>
          </w14:textFill>
        </w:rPr>
        <w:t>。</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综上，根据《全国地下水功能区划分技术大纲》的要求和实地调查评价区地下水环境状况，本项目评价区地下水功能为供水水源资源功能。</w:t>
      </w:r>
    </w:p>
    <w:p>
      <w:pPr>
        <w:pStyle w:val="21"/>
        <w:spacing w:before="0"/>
        <w:ind w:left="0" w:firstLine="480"/>
        <w:jc w:val="both"/>
        <w:rPr>
          <w:rFonts w:ascii="Times New Roman" w:hAnsi="Times New Roman" w:eastAsia="黑体"/>
          <w:bCs/>
          <w:color w:val="000000" w:themeColor="text1"/>
          <w:kern w:val="2"/>
          <w:lang w:eastAsia="zh-CN"/>
          <w14:textFill>
            <w14:solidFill>
              <w14:schemeClr w14:val="tx1"/>
            </w14:solidFill>
          </w14:textFill>
        </w:rPr>
      </w:pPr>
      <w:r>
        <w:rPr>
          <w:rFonts w:ascii="Times New Roman" w:hAnsi="Times New Roman" w:eastAsia="黑体"/>
          <w:bCs/>
          <w:color w:val="000000" w:themeColor="text1"/>
          <w:kern w:val="2"/>
          <w:lang w:eastAsia="zh-CN"/>
          <w14:textFill>
            <w14:solidFill>
              <w14:schemeClr w14:val="tx1"/>
            </w14:solidFill>
          </w14:textFill>
        </w:rPr>
        <w:t>2、地下水环境保护目标</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根据外环境调查，结合项目场地所处水文地质条件，区域地下水总体流向为西北至东南，排泄至后河。项目施工可能受影响的含水层为</w:t>
      </w:r>
      <w:r>
        <w:rPr>
          <w:rFonts w:ascii="Times New Roman" w:hAnsi="Times New Roman"/>
          <w:color w:val="000000" w:themeColor="text1"/>
          <w:lang w:eastAsia="zh-CN"/>
          <w14:textFill>
            <w14:solidFill>
              <w14:schemeClr w14:val="tx1"/>
            </w14:solidFill>
          </w14:textFill>
        </w:rPr>
        <w:t>基岩裂隙水与碎屑岩类裂隙水</w:t>
      </w:r>
      <w:r>
        <w:rPr>
          <w:rFonts w:ascii="Times New Roman" w:hAnsi="Times New Roman"/>
          <w:bCs/>
          <w:color w:val="000000" w:themeColor="text1"/>
          <w:kern w:val="2"/>
          <w:lang w:eastAsia="zh-CN"/>
          <w14:textFill>
            <w14:solidFill>
              <w14:schemeClr w14:val="tx1"/>
            </w14:solidFill>
          </w14:textFill>
        </w:rPr>
        <w:t>。</w:t>
      </w:r>
    </w:p>
    <w:p>
      <w:pPr>
        <w:pStyle w:val="4"/>
        <w:ind w:firstLine="241"/>
      </w:pPr>
      <w:bookmarkStart w:id="275" w:name="_Toc120173171"/>
      <w:r>
        <w:rPr>
          <w:rFonts w:hint="eastAsia"/>
        </w:rPr>
        <w:t>6.1.1</w:t>
      </w:r>
      <w:r>
        <w:t>风险调查</w:t>
      </w:r>
      <w:bookmarkEnd w:id="275"/>
    </w:p>
    <w:p>
      <w:pPr>
        <w:widowControl/>
        <w:ind w:firstLine="480"/>
        <w:rPr>
          <w:rFonts w:cs="Times New Roman"/>
          <w:bCs/>
          <w:color w:val="000000"/>
          <w:szCs w:val="24"/>
        </w:rPr>
      </w:pPr>
      <w:r>
        <w:rPr>
          <w:rFonts w:cs="Times New Roman"/>
          <w:bCs/>
          <w:color w:val="000000"/>
          <w:szCs w:val="24"/>
        </w:rPr>
        <w:t>根据《危险化学品重大危险源辨识》（GB18218-2018）的有关规定，本项目试采的天然气为高含H</w:t>
      </w:r>
      <w:r>
        <w:rPr>
          <w:rFonts w:cs="Times New Roman"/>
          <w:bCs/>
          <w:color w:val="000000"/>
          <w:szCs w:val="24"/>
          <w:vertAlign w:val="subscript"/>
        </w:rPr>
        <w:t>2</w:t>
      </w:r>
      <w:r>
        <w:rPr>
          <w:rFonts w:cs="Times New Roman"/>
          <w:bCs/>
          <w:color w:val="000000"/>
          <w:szCs w:val="24"/>
        </w:rPr>
        <w:t>S中含CO</w:t>
      </w:r>
      <w:r>
        <w:rPr>
          <w:rFonts w:cs="Times New Roman"/>
          <w:bCs/>
          <w:color w:val="000000"/>
          <w:szCs w:val="24"/>
          <w:vertAlign w:val="subscript"/>
        </w:rPr>
        <w:t>2</w:t>
      </w:r>
      <w:r>
        <w:rPr>
          <w:rFonts w:cs="Times New Roman"/>
          <w:bCs/>
          <w:color w:val="000000"/>
          <w:szCs w:val="24"/>
        </w:rPr>
        <w:t>气藏，因此，项目涉及的主要危险物质主要包括CH</w:t>
      </w:r>
      <w:r>
        <w:rPr>
          <w:rFonts w:cs="Times New Roman"/>
          <w:bCs/>
          <w:color w:val="000000"/>
          <w:szCs w:val="24"/>
          <w:vertAlign w:val="subscript"/>
        </w:rPr>
        <w:t>4</w:t>
      </w:r>
      <w:r>
        <w:rPr>
          <w:rFonts w:cs="Times New Roman"/>
          <w:bCs/>
          <w:color w:val="000000"/>
          <w:szCs w:val="24"/>
        </w:rPr>
        <w:t>、H</w:t>
      </w:r>
      <w:r>
        <w:rPr>
          <w:rFonts w:cs="Times New Roman"/>
          <w:bCs/>
          <w:color w:val="000000"/>
          <w:szCs w:val="24"/>
          <w:vertAlign w:val="subscript"/>
        </w:rPr>
        <w:t>2</w:t>
      </w:r>
      <w:r>
        <w:rPr>
          <w:rFonts w:cs="Times New Roman"/>
          <w:bCs/>
          <w:color w:val="000000"/>
          <w:szCs w:val="24"/>
        </w:rPr>
        <w:t>S、盐酸、停电等紧急情况下使用柴油发电机所需的易燃物质柴油以及生产过程中产生的废油、若三开采用油基钻井则还有白油和油基泥浆，存在发生火灾、泄露、爆炸等突发性风险事故的可能性。</w:t>
      </w:r>
    </w:p>
    <w:p>
      <w:pPr>
        <w:widowControl/>
        <w:ind w:firstLine="480"/>
        <w:rPr>
          <w:rFonts w:cs="Times New Roman"/>
          <w:bCs/>
          <w:color w:val="000000"/>
          <w:szCs w:val="24"/>
        </w:rPr>
      </w:pPr>
      <w:r>
        <w:rPr>
          <w:rFonts w:cs="Times New Roman"/>
          <w:bCs/>
          <w:color w:val="000000"/>
          <w:szCs w:val="24"/>
        </w:rPr>
        <w:t>根据工艺生产特点，该项目钻井过程中使用涉及的风险物质有泥浆、加重剂、固井水泥、添加剂、堵漏剂、试采的天然气、柴油发电机用柴油、白油（三开采用油基钻井），井站试采期由工艺系统分离产生的气田水、试采的天然气。</w:t>
      </w:r>
    </w:p>
    <w:p>
      <w:pPr>
        <w:widowControl/>
        <w:ind w:firstLine="480"/>
        <w:rPr>
          <w:rFonts w:cs="Times New Roman"/>
          <w:color w:val="000000"/>
          <w:kern w:val="0"/>
          <w:szCs w:val="24"/>
        </w:rPr>
      </w:pPr>
      <w:r>
        <w:rPr>
          <w:rFonts w:cs="Times New Roman"/>
          <w:bCs/>
          <w:color w:val="000000"/>
          <w:szCs w:val="24"/>
        </w:rPr>
        <w:t>钻井过程中每口井设置了自动、手动和电子共3套点火装置，根据《石油天然气钻井井控技术规范》（GB/T31033-2014）等井控技术规范，发生井喷后可保证在15min内实施井口点火，故钻井施工现场风险事故泄漏的甲烷和硫化氢泄漏量按15min计。根据项目可研报告可知，本次风险事故情形考虑为酸压前发生风险事故，酸化压裂前无阻流量</w:t>
      </w:r>
      <w:r>
        <w:rPr>
          <w:rFonts w:hint="eastAsia" w:cs="Times New Roman"/>
          <w:bCs/>
          <w:color w:val="000000"/>
          <w:szCs w:val="24"/>
        </w:rPr>
        <w:t>30</w:t>
      </w:r>
      <w:r>
        <w:rPr>
          <w:rFonts w:cs="Times New Roman"/>
          <w:bCs/>
          <w:color w:val="000000"/>
          <w:szCs w:val="24"/>
        </w:rPr>
        <w:t>×10</w:t>
      </w:r>
      <w:r>
        <w:rPr>
          <w:rFonts w:cs="Times New Roman"/>
          <w:bCs/>
          <w:color w:val="000000"/>
          <w:szCs w:val="24"/>
          <w:vertAlign w:val="superscript"/>
        </w:rPr>
        <w:t>4</w:t>
      </w:r>
      <w:r>
        <w:rPr>
          <w:rFonts w:cs="Times New Roman"/>
          <w:bCs/>
          <w:color w:val="000000"/>
          <w:szCs w:val="24"/>
        </w:rPr>
        <w:t>m</w:t>
      </w:r>
      <w:r>
        <w:rPr>
          <w:rFonts w:cs="Times New Roman"/>
          <w:bCs/>
          <w:color w:val="000000"/>
          <w:szCs w:val="24"/>
          <w:vertAlign w:val="superscript"/>
        </w:rPr>
        <w:t>3</w:t>
      </w:r>
      <w:r>
        <w:rPr>
          <w:rFonts w:cs="Times New Roman"/>
          <w:bCs/>
          <w:color w:val="000000"/>
          <w:szCs w:val="24"/>
        </w:rPr>
        <w:t>/d进行核算，15min井喷天然气量为</w:t>
      </w:r>
      <w:r>
        <w:rPr>
          <w:rFonts w:hint="eastAsia" w:cs="Times New Roman"/>
          <w:bCs/>
          <w:color w:val="000000"/>
          <w:szCs w:val="24"/>
        </w:rPr>
        <w:t>3125</w:t>
      </w:r>
      <w:r>
        <w:rPr>
          <w:rFonts w:cs="Times New Roman"/>
          <w:bCs/>
          <w:color w:val="000000"/>
          <w:szCs w:val="24"/>
        </w:rPr>
        <w:t>m</w:t>
      </w:r>
      <w:r>
        <w:rPr>
          <w:rFonts w:cs="Times New Roman"/>
          <w:bCs/>
          <w:color w:val="000000"/>
          <w:szCs w:val="24"/>
          <w:vertAlign w:val="superscript"/>
        </w:rPr>
        <w:t>3</w:t>
      </w:r>
      <w:r>
        <w:rPr>
          <w:rFonts w:cs="Times New Roman"/>
          <w:bCs/>
          <w:color w:val="000000"/>
          <w:szCs w:val="24"/>
        </w:rPr>
        <w:t>，按照环境风险管理规定，事故状态下在不超过15min内对井场可燃气体实施点火应急处置作业。H</w:t>
      </w:r>
      <w:r>
        <w:rPr>
          <w:rFonts w:cs="Times New Roman"/>
          <w:bCs/>
          <w:color w:val="000000"/>
          <w:szCs w:val="24"/>
          <w:vertAlign w:val="subscript"/>
        </w:rPr>
        <w:t>2</w:t>
      </w:r>
      <w:r>
        <w:rPr>
          <w:rFonts w:cs="Times New Roman"/>
          <w:bCs/>
          <w:color w:val="000000"/>
          <w:szCs w:val="24"/>
        </w:rPr>
        <w:t>S含量为15.16mol%，H</w:t>
      </w:r>
      <w:r>
        <w:rPr>
          <w:rFonts w:cs="Times New Roman"/>
          <w:bCs/>
          <w:color w:val="000000"/>
          <w:szCs w:val="24"/>
          <w:vertAlign w:val="subscript"/>
        </w:rPr>
        <w:t>2</w:t>
      </w:r>
      <w:r>
        <w:rPr>
          <w:rFonts w:cs="Times New Roman"/>
          <w:bCs/>
          <w:color w:val="000000"/>
          <w:szCs w:val="24"/>
        </w:rPr>
        <w:t>S含量为230092.42mg/m</w:t>
      </w:r>
      <w:r>
        <w:rPr>
          <w:rFonts w:cs="Times New Roman"/>
          <w:bCs/>
          <w:color w:val="000000"/>
          <w:szCs w:val="24"/>
          <w:vertAlign w:val="superscript"/>
        </w:rPr>
        <w:t>3</w:t>
      </w:r>
      <w:r>
        <w:rPr>
          <w:rFonts w:cs="Times New Roman"/>
          <w:bCs/>
          <w:color w:val="000000"/>
          <w:szCs w:val="24"/>
        </w:rPr>
        <w:t>，15min井喷H</w:t>
      </w:r>
      <w:r>
        <w:rPr>
          <w:rFonts w:cs="Times New Roman"/>
          <w:bCs/>
          <w:color w:val="000000"/>
          <w:szCs w:val="24"/>
          <w:vertAlign w:val="subscript"/>
        </w:rPr>
        <w:t>2</w:t>
      </w:r>
      <w:r>
        <w:rPr>
          <w:rFonts w:cs="Times New Roman"/>
          <w:bCs/>
          <w:color w:val="000000"/>
          <w:szCs w:val="24"/>
        </w:rPr>
        <w:t>S量为0.</w:t>
      </w:r>
      <w:r>
        <w:rPr>
          <w:rFonts w:hint="eastAsia" w:cs="Times New Roman"/>
          <w:bCs/>
          <w:color w:val="000000"/>
          <w:szCs w:val="24"/>
        </w:rPr>
        <w:t>72</w:t>
      </w:r>
      <w:r>
        <w:rPr>
          <w:rFonts w:cs="Times New Roman"/>
          <w:bCs/>
          <w:color w:val="000000"/>
          <w:szCs w:val="24"/>
        </w:rPr>
        <w:t>t；CH</w:t>
      </w:r>
      <w:r>
        <w:rPr>
          <w:rFonts w:cs="Times New Roman"/>
          <w:bCs/>
          <w:color w:val="000000"/>
          <w:szCs w:val="24"/>
          <w:vertAlign w:val="subscript"/>
        </w:rPr>
        <w:t>4</w:t>
      </w:r>
      <w:r>
        <w:rPr>
          <w:rFonts w:cs="Times New Roman"/>
          <w:bCs/>
          <w:color w:val="000000"/>
          <w:szCs w:val="24"/>
        </w:rPr>
        <w:t>含量为73.02mol%，即CH</w:t>
      </w:r>
      <w:r>
        <w:rPr>
          <w:rFonts w:cs="Times New Roman"/>
          <w:bCs/>
          <w:color w:val="000000"/>
          <w:szCs w:val="24"/>
          <w:vertAlign w:val="subscript"/>
        </w:rPr>
        <w:t>4</w:t>
      </w:r>
      <w:r>
        <w:rPr>
          <w:rFonts w:cs="Times New Roman"/>
          <w:bCs/>
          <w:color w:val="000000"/>
          <w:szCs w:val="24"/>
        </w:rPr>
        <w:t>含量为521538.05mg/m</w:t>
      </w:r>
      <w:r>
        <w:rPr>
          <w:rFonts w:cs="Times New Roman"/>
          <w:bCs/>
          <w:color w:val="000000"/>
          <w:szCs w:val="24"/>
          <w:vertAlign w:val="superscript"/>
        </w:rPr>
        <w:t>3</w:t>
      </w:r>
      <w:r>
        <w:rPr>
          <w:rFonts w:cs="Times New Roman"/>
          <w:bCs/>
          <w:color w:val="000000"/>
          <w:szCs w:val="24"/>
        </w:rPr>
        <w:t>，15min井喷CH</w:t>
      </w:r>
      <w:r>
        <w:rPr>
          <w:rFonts w:cs="Times New Roman"/>
          <w:bCs/>
          <w:color w:val="000000"/>
          <w:szCs w:val="24"/>
          <w:vertAlign w:val="subscript"/>
        </w:rPr>
        <w:t>4</w:t>
      </w:r>
      <w:r>
        <w:rPr>
          <w:rFonts w:cs="Times New Roman"/>
          <w:bCs/>
          <w:color w:val="000000"/>
          <w:szCs w:val="24"/>
        </w:rPr>
        <w:t>量为</w:t>
      </w:r>
      <w:r>
        <w:rPr>
          <w:rFonts w:hint="eastAsia" w:cs="Times New Roman"/>
          <w:bCs/>
          <w:color w:val="000000"/>
          <w:szCs w:val="24"/>
        </w:rPr>
        <w:t>1.63</w:t>
      </w:r>
      <w:r>
        <w:rPr>
          <w:rFonts w:cs="Times New Roman"/>
          <w:bCs/>
          <w:color w:val="000000"/>
          <w:szCs w:val="24"/>
        </w:rPr>
        <w:t>t。</w:t>
      </w:r>
    </w:p>
    <w:p>
      <w:pPr>
        <w:widowControl/>
        <w:ind w:firstLine="480"/>
        <w:rPr>
          <w:rFonts w:cs="Times New Roman"/>
          <w:bCs/>
          <w:color w:val="000000"/>
          <w:szCs w:val="24"/>
        </w:rPr>
      </w:pPr>
      <w:r>
        <w:rPr>
          <w:rFonts w:cs="Times New Roman"/>
          <w:bCs/>
          <w:color w:val="000000"/>
          <w:szCs w:val="24"/>
        </w:rPr>
        <w:t>本项目涉及危险物质数量及分布情况见</w:t>
      </w:r>
      <w:r>
        <w:rPr>
          <w:rFonts w:cs="Times New Roman"/>
          <w:bCs/>
          <w:color w:val="000000"/>
          <w:szCs w:val="24"/>
        </w:rPr>
        <w:fldChar w:fldCharType="begin"/>
      </w:r>
      <w:r>
        <w:rPr>
          <w:rFonts w:cs="Times New Roman"/>
          <w:bCs/>
          <w:color w:val="000000"/>
          <w:szCs w:val="24"/>
        </w:rPr>
        <w:instrText xml:space="preserve"> REF _Ref142859000 \h  \* MERGEFORMAT </w:instrText>
      </w:r>
      <w:r>
        <w:rPr>
          <w:rFonts w:cs="Times New Roman"/>
          <w:bCs/>
          <w:color w:val="000000"/>
          <w:szCs w:val="24"/>
        </w:rPr>
        <w:fldChar w:fldCharType="separate"/>
      </w:r>
      <w:r>
        <w:rPr>
          <w:rFonts w:cs="Times New Roman"/>
          <w:color w:val="000000"/>
          <w:kern w:val="0"/>
          <w:szCs w:val="24"/>
        </w:rPr>
        <w:t>表6.1</w:t>
      </w:r>
      <w:r>
        <w:rPr>
          <w:rFonts w:cs="Times New Roman"/>
          <w:color w:val="000000"/>
          <w:kern w:val="0"/>
          <w:szCs w:val="24"/>
        </w:rPr>
        <w:noBreakHyphen/>
      </w:r>
      <w:r>
        <w:rPr>
          <w:rFonts w:cs="Times New Roman"/>
          <w:color w:val="000000"/>
          <w:kern w:val="0"/>
          <w:szCs w:val="24"/>
        </w:rPr>
        <w:t>1</w:t>
      </w:r>
      <w:r>
        <w:rPr>
          <w:rFonts w:cs="Times New Roman"/>
          <w:bCs/>
          <w:color w:val="000000"/>
          <w:szCs w:val="24"/>
        </w:rPr>
        <w:fldChar w:fldCharType="end"/>
      </w:r>
      <w:r>
        <w:rPr>
          <w:rFonts w:cs="Times New Roman"/>
          <w:bCs/>
          <w:color w:val="000000"/>
          <w:szCs w:val="24"/>
        </w:rPr>
        <w:t>。</w:t>
      </w:r>
    </w:p>
    <w:p>
      <w:pPr>
        <w:pStyle w:val="95"/>
      </w:pPr>
      <w:bookmarkStart w:id="276" w:name="_Ref142859000"/>
      <w:r>
        <w:t>表</w:t>
      </w:r>
      <w:r>
        <w:fldChar w:fldCharType="begin"/>
      </w:r>
      <w:r>
        <w:instrText xml:space="preserve"> STYLEREF 2 \s </w:instrText>
      </w:r>
      <w:r>
        <w:fldChar w:fldCharType="separate"/>
      </w:r>
      <w:r>
        <w:t>6.1</w:t>
      </w:r>
      <w:r>
        <w:fldChar w:fldCharType="end"/>
      </w:r>
      <w:r>
        <w:noBreakHyphen/>
      </w:r>
      <w:r>
        <w:fldChar w:fldCharType="begin"/>
      </w:r>
      <w:r>
        <w:instrText xml:space="preserve"> SEQ 表 \* ARABIC \s 2 </w:instrText>
      </w:r>
      <w:r>
        <w:fldChar w:fldCharType="separate"/>
      </w:r>
      <w:r>
        <w:t>1</w:t>
      </w:r>
      <w:r>
        <w:fldChar w:fldCharType="end"/>
      </w:r>
      <w:bookmarkEnd w:id="276"/>
      <w:r>
        <w:t xml:space="preserve"> 本项目涉及危险物质数量及分布情况表</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28" w:type="dxa"/>
          <w:left w:w="28" w:type="dxa"/>
          <w:bottom w:w="28" w:type="dxa"/>
          <w:right w:w="28" w:type="dxa"/>
        </w:tblCellMar>
      </w:tblPr>
      <w:tblGrid>
        <w:gridCol w:w="701"/>
        <w:gridCol w:w="992"/>
        <w:gridCol w:w="1701"/>
        <w:gridCol w:w="1418"/>
        <w:gridCol w:w="3410"/>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28" w:type="dxa"/>
            <w:bottom w:w="28" w:type="dxa"/>
            <w:right w:w="28" w:type="dxa"/>
          </w:tblCellMar>
        </w:tblPrEx>
        <w:trPr>
          <w:tblHeader/>
          <w:jc w:val="center"/>
        </w:trPr>
        <w:tc>
          <w:tcPr>
            <w:tcW w:w="70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序号</w:t>
            </w:r>
          </w:p>
        </w:tc>
        <w:tc>
          <w:tcPr>
            <w:tcW w:w="99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时段</w:t>
            </w:r>
          </w:p>
        </w:tc>
        <w:tc>
          <w:tcPr>
            <w:tcW w:w="170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物质</w:t>
            </w:r>
          </w:p>
        </w:tc>
        <w:tc>
          <w:tcPr>
            <w:tcW w:w="141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最大存在量</w:t>
            </w:r>
          </w:p>
        </w:tc>
        <w:tc>
          <w:tcPr>
            <w:tcW w:w="3410"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分布位置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widowControl/>
              <w:numPr>
                <w:ilvl w:val="0"/>
                <w:numId w:val="7"/>
              </w:numPr>
              <w:spacing w:line="240" w:lineRule="auto"/>
              <w:ind w:firstLineChars="0"/>
              <w:jc w:val="center"/>
              <w:textAlignment w:val="baseline"/>
              <w:rPr>
                <w:rFonts w:cs="Times New Roman"/>
                <w:color w:val="000000"/>
                <w:sz w:val="21"/>
                <w:szCs w:val="20"/>
              </w:rPr>
            </w:pPr>
          </w:p>
        </w:tc>
        <w:tc>
          <w:tcPr>
            <w:tcW w:w="992" w:type="dxa"/>
            <w:vMerge w:val="restar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施工期（钻井工程）</w:t>
            </w:r>
          </w:p>
        </w:tc>
        <w:tc>
          <w:tcPr>
            <w:tcW w:w="170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水基钻井固废</w:t>
            </w:r>
          </w:p>
        </w:tc>
        <w:tc>
          <w:tcPr>
            <w:tcW w:w="141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约3609t</w:t>
            </w:r>
          </w:p>
        </w:tc>
        <w:tc>
          <w:tcPr>
            <w:tcW w:w="3410"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泥浆循环系统、泥浆不落地工艺区，重浆罐、泥浆材料区</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widowControl/>
              <w:numPr>
                <w:ilvl w:val="0"/>
                <w:numId w:val="7"/>
              </w:numPr>
              <w:spacing w:line="240" w:lineRule="auto"/>
              <w:ind w:firstLineChars="0"/>
              <w:jc w:val="center"/>
              <w:textAlignment w:val="baseline"/>
              <w:rPr>
                <w:rFonts w:cs="Times New Roman"/>
                <w:color w:val="000000"/>
                <w:sz w:val="21"/>
                <w:szCs w:val="20"/>
              </w:rPr>
            </w:pPr>
          </w:p>
        </w:tc>
        <w:tc>
          <w:tcPr>
            <w:tcW w:w="992"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70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钻井废水</w:t>
            </w:r>
          </w:p>
        </w:tc>
        <w:tc>
          <w:tcPr>
            <w:tcW w:w="141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1141.53m</w:t>
            </w:r>
            <w:r>
              <w:rPr>
                <w:rFonts w:cs="Times New Roman"/>
                <w:color w:val="000000"/>
                <w:sz w:val="21"/>
                <w:szCs w:val="20"/>
                <w:vertAlign w:val="superscript"/>
              </w:rPr>
              <w:t>3</w:t>
            </w:r>
          </w:p>
        </w:tc>
        <w:tc>
          <w:tcPr>
            <w:tcW w:w="3410"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废水收集罐</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widowControl/>
              <w:numPr>
                <w:ilvl w:val="0"/>
                <w:numId w:val="7"/>
              </w:numPr>
              <w:spacing w:line="240" w:lineRule="auto"/>
              <w:ind w:firstLineChars="0"/>
              <w:jc w:val="center"/>
              <w:textAlignment w:val="baseline"/>
              <w:rPr>
                <w:rFonts w:cs="Times New Roman"/>
                <w:color w:val="000000"/>
                <w:sz w:val="21"/>
                <w:szCs w:val="20"/>
              </w:rPr>
            </w:pPr>
          </w:p>
        </w:tc>
        <w:tc>
          <w:tcPr>
            <w:tcW w:w="992"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70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柴油</w:t>
            </w:r>
          </w:p>
        </w:tc>
        <w:tc>
          <w:tcPr>
            <w:tcW w:w="141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16t</w:t>
            </w:r>
          </w:p>
        </w:tc>
        <w:tc>
          <w:tcPr>
            <w:tcW w:w="3410"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柴油罐区</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widowControl/>
              <w:numPr>
                <w:ilvl w:val="0"/>
                <w:numId w:val="7"/>
              </w:numPr>
              <w:spacing w:line="240" w:lineRule="auto"/>
              <w:ind w:firstLineChars="0"/>
              <w:jc w:val="center"/>
              <w:textAlignment w:val="baseline"/>
              <w:rPr>
                <w:rFonts w:cs="Times New Roman"/>
                <w:color w:val="000000"/>
                <w:sz w:val="21"/>
                <w:szCs w:val="20"/>
              </w:rPr>
            </w:pPr>
          </w:p>
        </w:tc>
        <w:tc>
          <w:tcPr>
            <w:tcW w:w="992"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70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废油</w:t>
            </w:r>
          </w:p>
        </w:tc>
        <w:tc>
          <w:tcPr>
            <w:tcW w:w="141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0.7t</w:t>
            </w:r>
          </w:p>
        </w:tc>
        <w:tc>
          <w:tcPr>
            <w:tcW w:w="3410"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油桶区</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widowControl/>
              <w:numPr>
                <w:ilvl w:val="0"/>
                <w:numId w:val="7"/>
              </w:numPr>
              <w:spacing w:line="240" w:lineRule="auto"/>
              <w:ind w:firstLineChars="0"/>
              <w:jc w:val="center"/>
              <w:textAlignment w:val="baseline"/>
              <w:rPr>
                <w:rFonts w:cs="Times New Roman"/>
                <w:color w:val="000000"/>
                <w:sz w:val="21"/>
                <w:szCs w:val="20"/>
              </w:rPr>
            </w:pPr>
          </w:p>
        </w:tc>
        <w:tc>
          <w:tcPr>
            <w:tcW w:w="992"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70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白油（采用油基钻井时）</w:t>
            </w:r>
          </w:p>
        </w:tc>
        <w:tc>
          <w:tcPr>
            <w:tcW w:w="141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40t</w:t>
            </w:r>
          </w:p>
        </w:tc>
        <w:tc>
          <w:tcPr>
            <w:tcW w:w="3410"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油桶区</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widowControl/>
              <w:numPr>
                <w:ilvl w:val="0"/>
                <w:numId w:val="7"/>
              </w:numPr>
              <w:spacing w:line="240" w:lineRule="auto"/>
              <w:ind w:firstLineChars="0"/>
              <w:jc w:val="center"/>
              <w:textAlignment w:val="baseline"/>
              <w:rPr>
                <w:rFonts w:cs="Times New Roman"/>
                <w:color w:val="000000"/>
                <w:sz w:val="21"/>
                <w:szCs w:val="20"/>
              </w:rPr>
            </w:pPr>
          </w:p>
        </w:tc>
        <w:tc>
          <w:tcPr>
            <w:tcW w:w="992"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70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油基泥浆（采用油基钻井时）</w:t>
            </w:r>
          </w:p>
        </w:tc>
        <w:tc>
          <w:tcPr>
            <w:tcW w:w="141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595.44m</w:t>
            </w:r>
            <w:r>
              <w:rPr>
                <w:rFonts w:cs="Times New Roman"/>
                <w:color w:val="000000"/>
                <w:sz w:val="21"/>
                <w:szCs w:val="20"/>
                <w:vertAlign w:val="superscript"/>
              </w:rPr>
              <w:t>3</w:t>
            </w:r>
          </w:p>
        </w:tc>
        <w:tc>
          <w:tcPr>
            <w:tcW w:w="3410"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泥浆循环系统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widowControl/>
              <w:numPr>
                <w:ilvl w:val="0"/>
                <w:numId w:val="7"/>
              </w:numPr>
              <w:spacing w:line="240" w:lineRule="auto"/>
              <w:ind w:firstLineChars="0"/>
              <w:jc w:val="center"/>
              <w:textAlignment w:val="baseline"/>
              <w:rPr>
                <w:rFonts w:cs="Times New Roman"/>
                <w:color w:val="000000"/>
                <w:sz w:val="21"/>
                <w:szCs w:val="20"/>
              </w:rPr>
            </w:pPr>
          </w:p>
        </w:tc>
        <w:tc>
          <w:tcPr>
            <w:tcW w:w="992"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70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甲烷</w:t>
            </w:r>
          </w:p>
        </w:tc>
        <w:tc>
          <w:tcPr>
            <w:tcW w:w="1418" w:type="dxa"/>
            <w:vAlign w:val="center"/>
          </w:tcPr>
          <w:p>
            <w:pPr>
              <w:widowControl/>
              <w:spacing w:line="240" w:lineRule="auto"/>
              <w:ind w:firstLine="0" w:firstLineChars="0"/>
              <w:jc w:val="center"/>
              <w:textAlignment w:val="baseline"/>
              <w:rPr>
                <w:rFonts w:cs="Times New Roman"/>
                <w:color w:val="000000"/>
                <w:sz w:val="21"/>
                <w:szCs w:val="20"/>
              </w:rPr>
            </w:pPr>
            <w:r>
              <w:rPr>
                <w:rFonts w:hint="eastAsia" w:cs="Times New Roman"/>
                <w:color w:val="000000"/>
                <w:sz w:val="21"/>
                <w:szCs w:val="20"/>
              </w:rPr>
              <w:t>1.63</w:t>
            </w:r>
            <w:r>
              <w:rPr>
                <w:rFonts w:cs="Times New Roman"/>
                <w:color w:val="000000"/>
                <w:sz w:val="21"/>
                <w:szCs w:val="20"/>
              </w:rPr>
              <w:t>t（按井喷15min计算）</w:t>
            </w:r>
          </w:p>
        </w:tc>
        <w:tc>
          <w:tcPr>
            <w:tcW w:w="3410"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单井井喷失控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widowControl/>
              <w:numPr>
                <w:ilvl w:val="0"/>
                <w:numId w:val="7"/>
              </w:numPr>
              <w:spacing w:line="240" w:lineRule="auto"/>
              <w:ind w:firstLineChars="0"/>
              <w:jc w:val="center"/>
              <w:textAlignment w:val="baseline"/>
              <w:rPr>
                <w:rFonts w:cs="Times New Roman"/>
                <w:color w:val="000000"/>
                <w:sz w:val="21"/>
                <w:szCs w:val="20"/>
              </w:rPr>
            </w:pPr>
          </w:p>
        </w:tc>
        <w:tc>
          <w:tcPr>
            <w:tcW w:w="992"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70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硫化氢</w:t>
            </w:r>
          </w:p>
        </w:tc>
        <w:tc>
          <w:tcPr>
            <w:tcW w:w="1418" w:type="dxa"/>
            <w:vAlign w:val="center"/>
          </w:tcPr>
          <w:p>
            <w:pPr>
              <w:widowControl/>
              <w:spacing w:line="240" w:lineRule="auto"/>
              <w:ind w:firstLine="0" w:firstLineChars="0"/>
              <w:jc w:val="center"/>
              <w:textAlignment w:val="baseline"/>
              <w:rPr>
                <w:rFonts w:cs="Times New Roman"/>
                <w:color w:val="000000"/>
                <w:sz w:val="21"/>
                <w:szCs w:val="20"/>
              </w:rPr>
            </w:pPr>
            <w:r>
              <w:rPr>
                <w:rFonts w:hint="eastAsia" w:cs="Times New Roman"/>
                <w:color w:val="000000"/>
                <w:sz w:val="21"/>
                <w:szCs w:val="20"/>
              </w:rPr>
              <w:t>0.72</w:t>
            </w:r>
            <w:r>
              <w:rPr>
                <w:rFonts w:cs="Times New Roman"/>
                <w:color w:val="000000"/>
                <w:sz w:val="21"/>
                <w:szCs w:val="20"/>
              </w:rPr>
              <w:t>t（按井喷15min计算）</w:t>
            </w:r>
          </w:p>
        </w:tc>
        <w:tc>
          <w:tcPr>
            <w:tcW w:w="3410"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单井井喷失控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widowControl/>
              <w:numPr>
                <w:ilvl w:val="0"/>
                <w:numId w:val="7"/>
              </w:numPr>
              <w:spacing w:line="240" w:lineRule="auto"/>
              <w:ind w:firstLineChars="0"/>
              <w:jc w:val="center"/>
              <w:textAlignment w:val="baseline"/>
              <w:rPr>
                <w:rFonts w:cs="Times New Roman"/>
                <w:color w:val="000000"/>
                <w:sz w:val="21"/>
                <w:szCs w:val="20"/>
              </w:rPr>
            </w:pPr>
          </w:p>
        </w:tc>
        <w:tc>
          <w:tcPr>
            <w:tcW w:w="992" w:type="dxa"/>
            <w:vMerge w:val="restar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施工期（压裂测试）</w:t>
            </w:r>
          </w:p>
        </w:tc>
        <w:tc>
          <w:tcPr>
            <w:tcW w:w="1701" w:type="dxa"/>
            <w:vMerge w:val="restar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压裂液（含压裂反排液）</w:t>
            </w:r>
          </w:p>
        </w:tc>
        <w:tc>
          <w:tcPr>
            <w:tcW w:w="141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320m</w:t>
            </w:r>
            <w:r>
              <w:rPr>
                <w:rFonts w:cs="Times New Roman"/>
                <w:color w:val="000000"/>
                <w:sz w:val="21"/>
                <w:szCs w:val="20"/>
                <w:vertAlign w:val="superscript"/>
              </w:rPr>
              <w:t>3</w:t>
            </w:r>
          </w:p>
        </w:tc>
        <w:tc>
          <w:tcPr>
            <w:tcW w:w="3410"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井场压裂液储罐</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widowControl/>
              <w:numPr>
                <w:ilvl w:val="0"/>
                <w:numId w:val="7"/>
              </w:numPr>
              <w:spacing w:line="240" w:lineRule="auto"/>
              <w:ind w:firstLineChars="0"/>
              <w:jc w:val="center"/>
              <w:textAlignment w:val="baseline"/>
              <w:rPr>
                <w:rFonts w:cs="Times New Roman"/>
                <w:color w:val="000000"/>
                <w:sz w:val="21"/>
                <w:szCs w:val="20"/>
              </w:rPr>
            </w:pPr>
          </w:p>
        </w:tc>
        <w:tc>
          <w:tcPr>
            <w:tcW w:w="992"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701"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41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96m</w:t>
            </w:r>
            <w:r>
              <w:rPr>
                <w:rFonts w:cs="Times New Roman"/>
                <w:color w:val="000000"/>
                <w:sz w:val="21"/>
                <w:szCs w:val="20"/>
                <w:vertAlign w:val="superscript"/>
              </w:rPr>
              <w:t>3</w:t>
            </w:r>
          </w:p>
        </w:tc>
        <w:tc>
          <w:tcPr>
            <w:tcW w:w="3410"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放喷池</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widowControl/>
              <w:numPr>
                <w:ilvl w:val="0"/>
                <w:numId w:val="7"/>
              </w:numPr>
              <w:spacing w:line="240" w:lineRule="auto"/>
              <w:ind w:firstLineChars="0"/>
              <w:jc w:val="center"/>
              <w:textAlignment w:val="baseline"/>
              <w:rPr>
                <w:rFonts w:cs="Times New Roman"/>
                <w:color w:val="000000"/>
                <w:sz w:val="21"/>
                <w:szCs w:val="20"/>
              </w:rPr>
            </w:pPr>
          </w:p>
        </w:tc>
        <w:tc>
          <w:tcPr>
            <w:tcW w:w="992"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70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柴油</w:t>
            </w:r>
          </w:p>
        </w:tc>
        <w:tc>
          <w:tcPr>
            <w:tcW w:w="141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16t</w:t>
            </w:r>
          </w:p>
        </w:tc>
        <w:tc>
          <w:tcPr>
            <w:tcW w:w="3410"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柴油罐区</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widowControl/>
              <w:numPr>
                <w:ilvl w:val="0"/>
                <w:numId w:val="7"/>
              </w:numPr>
              <w:spacing w:line="240" w:lineRule="auto"/>
              <w:ind w:firstLineChars="0"/>
              <w:jc w:val="center"/>
              <w:textAlignment w:val="baseline"/>
              <w:rPr>
                <w:rFonts w:cs="Times New Roman"/>
                <w:color w:val="000000"/>
                <w:sz w:val="21"/>
                <w:szCs w:val="20"/>
              </w:rPr>
            </w:pPr>
          </w:p>
        </w:tc>
        <w:tc>
          <w:tcPr>
            <w:tcW w:w="992"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70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盐酸</w:t>
            </w:r>
          </w:p>
        </w:tc>
        <w:tc>
          <w:tcPr>
            <w:tcW w:w="141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4.5t</w:t>
            </w:r>
          </w:p>
        </w:tc>
        <w:tc>
          <w:tcPr>
            <w:tcW w:w="3410"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盐酸罐车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widowControl/>
              <w:numPr>
                <w:ilvl w:val="0"/>
                <w:numId w:val="7"/>
              </w:numPr>
              <w:spacing w:line="240" w:lineRule="auto"/>
              <w:ind w:firstLineChars="0"/>
              <w:jc w:val="center"/>
              <w:textAlignment w:val="baseline"/>
              <w:rPr>
                <w:rFonts w:cs="Times New Roman"/>
                <w:color w:val="000000"/>
                <w:sz w:val="21"/>
                <w:szCs w:val="20"/>
              </w:rPr>
            </w:pPr>
          </w:p>
        </w:tc>
        <w:tc>
          <w:tcPr>
            <w:tcW w:w="992" w:type="dxa"/>
            <w:vMerge w:val="restar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试采期</w:t>
            </w:r>
          </w:p>
        </w:tc>
        <w:tc>
          <w:tcPr>
            <w:tcW w:w="170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甲烷</w:t>
            </w:r>
          </w:p>
        </w:tc>
        <w:tc>
          <w:tcPr>
            <w:tcW w:w="141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0.29t</w:t>
            </w:r>
          </w:p>
        </w:tc>
        <w:tc>
          <w:tcPr>
            <w:tcW w:w="3410"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井口和站场工艺设备、管线（按550m</w:t>
            </w:r>
            <w:r>
              <w:rPr>
                <w:rFonts w:cs="Times New Roman"/>
                <w:color w:val="000000"/>
                <w:sz w:val="21"/>
                <w:szCs w:val="20"/>
                <w:vertAlign w:val="superscript"/>
              </w:rPr>
              <w:t>3</w:t>
            </w:r>
            <w:r>
              <w:rPr>
                <w:rFonts w:cs="Times New Roman"/>
                <w:color w:val="000000"/>
                <w:sz w:val="21"/>
                <w:szCs w:val="20"/>
              </w:rPr>
              <w:t>计）</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widowControl/>
              <w:numPr>
                <w:ilvl w:val="0"/>
                <w:numId w:val="7"/>
              </w:numPr>
              <w:spacing w:line="240" w:lineRule="auto"/>
              <w:ind w:firstLineChars="0"/>
              <w:jc w:val="center"/>
              <w:textAlignment w:val="baseline"/>
              <w:rPr>
                <w:rFonts w:cs="Times New Roman"/>
                <w:color w:val="000000"/>
                <w:sz w:val="21"/>
                <w:szCs w:val="20"/>
              </w:rPr>
            </w:pPr>
          </w:p>
        </w:tc>
        <w:tc>
          <w:tcPr>
            <w:tcW w:w="992" w:type="dxa"/>
            <w:vMerge w:val="continue"/>
            <w:vAlign w:val="center"/>
          </w:tcPr>
          <w:p>
            <w:pPr>
              <w:widowControl/>
              <w:numPr>
                <w:ilvl w:val="0"/>
                <w:numId w:val="8"/>
              </w:numPr>
              <w:spacing w:line="240" w:lineRule="auto"/>
              <w:ind w:left="0" w:firstLineChars="0"/>
              <w:jc w:val="center"/>
              <w:textAlignment w:val="baseline"/>
              <w:rPr>
                <w:rFonts w:cs="Times New Roman"/>
                <w:color w:val="000000"/>
                <w:sz w:val="21"/>
                <w:szCs w:val="20"/>
              </w:rPr>
            </w:pPr>
          </w:p>
        </w:tc>
        <w:tc>
          <w:tcPr>
            <w:tcW w:w="170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硫化氢</w:t>
            </w:r>
          </w:p>
        </w:tc>
        <w:tc>
          <w:tcPr>
            <w:tcW w:w="141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0.13t</w:t>
            </w:r>
          </w:p>
        </w:tc>
        <w:tc>
          <w:tcPr>
            <w:tcW w:w="3410"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井口和站场工艺设备、管线（按550m</w:t>
            </w:r>
            <w:r>
              <w:rPr>
                <w:rFonts w:cs="Times New Roman"/>
                <w:color w:val="000000"/>
                <w:sz w:val="21"/>
                <w:szCs w:val="20"/>
                <w:vertAlign w:val="superscript"/>
              </w:rPr>
              <w:t>3</w:t>
            </w:r>
            <w:r>
              <w:rPr>
                <w:rFonts w:cs="Times New Roman"/>
                <w:color w:val="000000"/>
                <w:sz w:val="21"/>
                <w:szCs w:val="20"/>
              </w:rPr>
              <w:t>计）</w:t>
            </w:r>
          </w:p>
        </w:tc>
      </w:tr>
    </w:tbl>
    <w:p>
      <w:pPr>
        <w:widowControl/>
        <w:spacing w:before="120" w:beforeLines="50"/>
        <w:ind w:firstLine="480"/>
        <w:rPr>
          <w:rFonts w:cs="Times New Roman"/>
          <w:bCs/>
          <w:color w:val="000000"/>
          <w:szCs w:val="24"/>
        </w:rPr>
      </w:pPr>
      <w:bookmarkStart w:id="277" w:name="_Hlk149209152"/>
      <w:r>
        <w:rPr>
          <w:rFonts w:cs="Times New Roman"/>
          <w:bCs/>
          <w:color w:val="000000"/>
          <w:szCs w:val="24"/>
        </w:rPr>
        <w:t>本项目酸化压裂使用稀盐酸由玻璃钢罐车专业运输车辆拉运至现场使用，每批次约20m</w:t>
      </w:r>
      <w:r>
        <w:rPr>
          <w:rFonts w:cs="Times New Roman"/>
          <w:bCs/>
          <w:color w:val="000000"/>
          <w:szCs w:val="24"/>
          <w:vertAlign w:val="superscript"/>
        </w:rPr>
        <w:t>3</w:t>
      </w:r>
      <w:r>
        <w:rPr>
          <w:rFonts w:cs="Times New Roman"/>
          <w:bCs/>
          <w:color w:val="000000"/>
          <w:szCs w:val="24"/>
        </w:rPr>
        <w:t>。井场内不再设置储罐暂存，根据预估使用量，分批次运输至井场。现场最大贮存量不超20m</w:t>
      </w:r>
      <w:r>
        <w:rPr>
          <w:rFonts w:cs="Times New Roman"/>
          <w:bCs/>
          <w:color w:val="000000"/>
          <w:szCs w:val="24"/>
          <w:vertAlign w:val="superscript"/>
        </w:rPr>
        <w:t>3</w:t>
      </w:r>
      <w:r>
        <w:rPr>
          <w:rFonts w:cs="Times New Roman"/>
          <w:bCs/>
          <w:color w:val="000000"/>
          <w:szCs w:val="24"/>
        </w:rPr>
        <w:t>。本项目酸化压裂使用酸液为7%的稀盐酸，根据《企业突发环境事假风险分级》（HJ941-2018）中提出“混合或稀释的风险物质按其组分比例折算成纯物质”的原则折算成37%浓度盐酸，同时查表盐酸在37%、温度25</w:t>
      </w:r>
      <w:r>
        <w:rPr>
          <w:rFonts w:hint="eastAsia" w:ascii="宋体" w:hAnsi="宋体" w:cs="宋体"/>
          <w:bCs/>
          <w:color w:val="000000"/>
          <w:szCs w:val="24"/>
        </w:rPr>
        <w:t>℃</w:t>
      </w:r>
      <w:r>
        <w:rPr>
          <w:rFonts w:cs="Times New Roman"/>
          <w:bCs/>
          <w:color w:val="000000"/>
          <w:szCs w:val="24"/>
        </w:rPr>
        <w:t>情况下密度为1.1899t/m</w:t>
      </w:r>
      <w:r>
        <w:rPr>
          <w:rFonts w:cs="Times New Roman"/>
          <w:bCs/>
          <w:color w:val="000000"/>
          <w:szCs w:val="24"/>
          <w:vertAlign w:val="superscript"/>
        </w:rPr>
        <w:t>3</w:t>
      </w:r>
      <w:r>
        <w:rPr>
          <w:rFonts w:cs="Times New Roman"/>
          <w:bCs/>
          <w:color w:val="000000"/>
          <w:szCs w:val="24"/>
        </w:rPr>
        <w:t>，可计算本项目折算成（37%）盐酸风险物质最大在线量为4.5t。</w:t>
      </w:r>
    </w:p>
    <w:bookmarkEnd w:id="277"/>
    <w:p>
      <w:pPr>
        <w:widowControl/>
        <w:spacing w:before="120" w:beforeLines="50"/>
        <w:ind w:firstLine="480"/>
        <w:rPr>
          <w:rFonts w:cs="Times New Roman"/>
          <w:bCs/>
          <w:color w:val="000000"/>
          <w:szCs w:val="24"/>
        </w:rPr>
      </w:pPr>
      <w:r>
        <w:rPr>
          <w:rFonts w:cs="Times New Roman"/>
          <w:bCs/>
          <w:color w:val="000000"/>
          <w:szCs w:val="24"/>
        </w:rPr>
        <w:t>本项目涉及的危险物质物理化学特性及毒理性如下：</w:t>
      </w:r>
    </w:p>
    <w:p>
      <w:pPr>
        <w:widowControl/>
        <w:ind w:firstLine="482"/>
        <w:rPr>
          <w:rFonts w:cs="Times New Roman"/>
          <w:b/>
          <w:color w:val="000000"/>
          <w:szCs w:val="24"/>
        </w:rPr>
      </w:pPr>
      <w:r>
        <w:rPr>
          <w:rFonts w:cs="Times New Roman"/>
          <w:b/>
          <w:color w:val="000000"/>
          <w:szCs w:val="24"/>
        </w:rPr>
        <w:t>（1）水基钻井固废危险性分析</w:t>
      </w:r>
    </w:p>
    <w:p>
      <w:pPr>
        <w:widowControl/>
        <w:ind w:firstLine="480"/>
        <w:rPr>
          <w:rFonts w:cs="Times New Roman"/>
          <w:bCs/>
          <w:color w:val="000000"/>
          <w:szCs w:val="24"/>
        </w:rPr>
      </w:pPr>
      <w:r>
        <w:rPr>
          <w:rFonts w:cs="Times New Roman"/>
          <w:bCs/>
          <w:color w:val="000000"/>
          <w:szCs w:val="24"/>
        </w:rPr>
        <w:t>泥浆为水基泥浆，以粘土（主要用膨润土）、水作为基础配浆材料，加入各种有机和无机材料形成的多种成份和相态共存的悬浮液，主要添加成分有聚合物、氯化钠、羧甲基纤维素（CMC）、木质硫酸盐、盐抑制剂以及改性石棉、石墨粉、烧碱等20多种化学品。膨润土的主要成分是蒙脱石。泥浆中影响环境的主要成分是有机物类、无机盐类、烧碱等配浆和加重材料中的杂质，本项目采用的泥浆不含重金属及其他有毒物质，呈碱性。水泥及添加剂主要为微硅水泥及重晶石添加剂，不含易燃、易爆、有毒物质。</w:t>
      </w:r>
    </w:p>
    <w:p>
      <w:pPr>
        <w:widowControl/>
        <w:ind w:firstLine="482"/>
        <w:rPr>
          <w:rFonts w:cs="Times New Roman"/>
          <w:b/>
          <w:color w:val="000000"/>
          <w:szCs w:val="24"/>
        </w:rPr>
      </w:pPr>
      <w:r>
        <w:rPr>
          <w:rFonts w:cs="Times New Roman"/>
          <w:b/>
          <w:color w:val="000000"/>
          <w:szCs w:val="24"/>
        </w:rPr>
        <w:t>（2）钻井废水危险性分析</w:t>
      </w:r>
    </w:p>
    <w:p>
      <w:pPr>
        <w:widowControl/>
        <w:ind w:firstLine="480"/>
        <w:rPr>
          <w:rFonts w:cs="Times New Roman"/>
          <w:bCs/>
          <w:color w:val="000000"/>
          <w:szCs w:val="24"/>
        </w:rPr>
      </w:pPr>
      <w:r>
        <w:rPr>
          <w:rFonts w:cs="Times New Roman"/>
          <w:bCs/>
          <w:color w:val="000000"/>
          <w:szCs w:val="24"/>
        </w:rPr>
        <w:t>钻井废水主要呈现出pH值偏高，属碱性废水，含较高的COD和色度，具有一定的腐蚀性。</w:t>
      </w:r>
    </w:p>
    <w:p>
      <w:pPr>
        <w:widowControl/>
        <w:ind w:firstLine="482"/>
        <w:rPr>
          <w:rFonts w:cs="Times New Roman"/>
          <w:b/>
          <w:color w:val="000000"/>
          <w:szCs w:val="24"/>
        </w:rPr>
      </w:pPr>
      <w:r>
        <w:rPr>
          <w:rFonts w:cs="Times New Roman"/>
          <w:b/>
          <w:color w:val="000000"/>
          <w:szCs w:val="24"/>
        </w:rPr>
        <w:t>（3）压裂液危险性分析</w:t>
      </w:r>
    </w:p>
    <w:p>
      <w:pPr>
        <w:widowControl/>
        <w:ind w:firstLine="480"/>
        <w:rPr>
          <w:rFonts w:cs="Times New Roman"/>
          <w:bCs/>
          <w:color w:val="000000"/>
          <w:szCs w:val="24"/>
        </w:rPr>
      </w:pPr>
      <w:r>
        <w:rPr>
          <w:rFonts w:cs="Times New Roman"/>
          <w:bCs/>
          <w:color w:val="000000"/>
          <w:szCs w:val="24"/>
        </w:rPr>
        <w:t>压裂液主要成分为清水，主要添加成分为稀盐酸、胶凝剂、缓蚀剂、铁稳剂、助排剂、NaOH、多功能增效剂、瓜胶等。本项目采用的压裂液不含有重金属和其他有毒物质，呈酸性，影响环境的主要成分是有机物类、无机盐类。</w:t>
      </w:r>
    </w:p>
    <w:p>
      <w:pPr>
        <w:widowControl/>
        <w:ind w:firstLine="482"/>
        <w:rPr>
          <w:rFonts w:cs="Times New Roman"/>
          <w:b/>
          <w:color w:val="000000"/>
          <w:szCs w:val="24"/>
        </w:rPr>
      </w:pPr>
      <w:r>
        <w:rPr>
          <w:rFonts w:cs="Times New Roman"/>
          <w:b/>
          <w:color w:val="000000"/>
          <w:szCs w:val="24"/>
        </w:rPr>
        <w:t>（4）气田水危险性分析</w:t>
      </w:r>
    </w:p>
    <w:p>
      <w:pPr>
        <w:widowControl/>
        <w:ind w:firstLine="480"/>
        <w:rPr>
          <w:rFonts w:cs="Times New Roman"/>
          <w:bCs/>
          <w:color w:val="000000"/>
          <w:szCs w:val="24"/>
        </w:rPr>
      </w:pPr>
      <w:r>
        <w:rPr>
          <w:rFonts w:cs="Times New Roman"/>
          <w:bCs/>
          <w:color w:val="000000"/>
          <w:szCs w:val="24"/>
        </w:rPr>
        <w:t>采气废水中的主要污染物成分为石油类、COD、Cl</w:t>
      </w:r>
      <w:r>
        <w:rPr>
          <w:rFonts w:cs="Times New Roman"/>
          <w:bCs/>
          <w:color w:val="000000"/>
          <w:szCs w:val="24"/>
          <w:vertAlign w:val="superscript"/>
        </w:rPr>
        <w:t>-</w:t>
      </w:r>
      <w:r>
        <w:rPr>
          <w:rFonts w:cs="Times New Roman"/>
          <w:bCs/>
          <w:color w:val="000000"/>
          <w:szCs w:val="24"/>
        </w:rPr>
        <w:t>。结合工程项目的实际情况，采气废水泄漏后会对地表水、地下水和土壤产生一定危害。</w:t>
      </w:r>
    </w:p>
    <w:p>
      <w:pPr>
        <w:widowControl/>
        <w:ind w:firstLine="482"/>
        <w:rPr>
          <w:rFonts w:cs="Times New Roman"/>
          <w:b/>
          <w:color w:val="000000"/>
          <w:szCs w:val="24"/>
        </w:rPr>
      </w:pPr>
      <w:r>
        <w:rPr>
          <w:rFonts w:cs="Times New Roman"/>
          <w:b/>
          <w:color w:val="000000"/>
          <w:szCs w:val="24"/>
        </w:rPr>
        <w:t>（5）甲烷危险性分析</w:t>
      </w:r>
    </w:p>
    <w:p>
      <w:pPr>
        <w:widowControl/>
        <w:ind w:firstLine="480"/>
        <w:rPr>
          <w:rFonts w:cs="Times New Roman"/>
          <w:bCs/>
          <w:color w:val="000000"/>
          <w:szCs w:val="24"/>
        </w:rPr>
      </w:pPr>
      <w:r>
        <w:rPr>
          <w:rFonts w:cs="Times New Roman"/>
          <w:bCs/>
          <w:color w:val="000000"/>
          <w:szCs w:val="24"/>
        </w:rPr>
        <w:t>从地层中试采出的天然气属易燃、易爆物质，极易在通常环境中引起燃烧和爆炸，主要烃组份的甲烷属于《化学品分类和危险性公示通则》（GB13690-2009）中的气相爆炸物质，泄漏在环境中与空气混合后易达到爆炸极限，此时若遇火或静电可能引起燃烧和爆炸。其爆炸极限范围为5%～15%（体积比）。当空气中甲烷浓度达到10%时，就使人感到氧气不足；当空气中甲烷浓度达25%～30%时，可引起头痛、头晕、注意力不集中，呼吸和心跳加速、精细动作障碍等；当空气中甲烷浓度达30%以上时可能会因缺氧窒息、昏迷等。《石油天然气工程设计防火规范》（GB50183-2015）将使用或产生甲烷（CH</w:t>
      </w:r>
      <w:r>
        <w:rPr>
          <w:rFonts w:cs="Times New Roman"/>
          <w:bCs/>
          <w:color w:val="000000"/>
          <w:szCs w:val="24"/>
          <w:vertAlign w:val="subscript"/>
        </w:rPr>
        <w:t>4</w:t>
      </w:r>
      <w:r>
        <w:rPr>
          <w:rFonts w:cs="Times New Roman"/>
          <w:bCs/>
          <w:color w:val="000000"/>
          <w:szCs w:val="24"/>
        </w:rPr>
        <w:t>）的生产列为甲类火灾危险性生产。甲烷的危险、有害特性详见</w:t>
      </w:r>
      <w:r>
        <w:rPr>
          <w:rFonts w:cs="Times New Roman"/>
          <w:bCs/>
          <w:color w:val="000000"/>
          <w:szCs w:val="24"/>
        </w:rPr>
        <w:fldChar w:fldCharType="begin"/>
      </w:r>
      <w:r>
        <w:rPr>
          <w:rFonts w:cs="Times New Roman"/>
          <w:bCs/>
          <w:color w:val="000000"/>
          <w:szCs w:val="24"/>
        </w:rPr>
        <w:instrText xml:space="preserve"> REF _Ref142859020 \h  \* MERGEFORMAT </w:instrText>
      </w:r>
      <w:r>
        <w:rPr>
          <w:rFonts w:cs="Times New Roman"/>
          <w:bCs/>
          <w:color w:val="000000"/>
          <w:szCs w:val="24"/>
        </w:rPr>
        <w:fldChar w:fldCharType="separate"/>
      </w:r>
      <w:r>
        <w:rPr>
          <w:rFonts w:cs="Times New Roman"/>
          <w:bCs/>
          <w:color w:val="000000"/>
          <w:szCs w:val="24"/>
        </w:rPr>
        <w:t>表6.1</w:t>
      </w:r>
      <w:r>
        <w:rPr>
          <w:rFonts w:cs="Times New Roman"/>
          <w:bCs/>
          <w:color w:val="000000"/>
          <w:szCs w:val="24"/>
        </w:rPr>
        <w:noBreakHyphen/>
      </w:r>
      <w:r>
        <w:rPr>
          <w:rFonts w:cs="Times New Roman"/>
          <w:bCs/>
          <w:color w:val="000000"/>
          <w:szCs w:val="24"/>
        </w:rPr>
        <w:t>2</w:t>
      </w:r>
      <w:r>
        <w:rPr>
          <w:rFonts w:cs="Times New Roman"/>
          <w:bCs/>
          <w:color w:val="000000"/>
          <w:szCs w:val="24"/>
        </w:rPr>
        <w:fldChar w:fldCharType="end"/>
      </w:r>
      <w:r>
        <w:rPr>
          <w:rFonts w:cs="Times New Roman"/>
          <w:bCs/>
          <w:color w:val="000000"/>
          <w:szCs w:val="24"/>
        </w:rPr>
        <w:t>。</w:t>
      </w:r>
    </w:p>
    <w:p>
      <w:pPr>
        <w:pStyle w:val="95"/>
      </w:pPr>
      <w:bookmarkStart w:id="278" w:name="_Ref142859020"/>
      <w:r>
        <w:t>表</w:t>
      </w:r>
      <w:r>
        <w:fldChar w:fldCharType="begin"/>
      </w:r>
      <w:r>
        <w:instrText xml:space="preserve"> STYLEREF 2 \s </w:instrText>
      </w:r>
      <w:r>
        <w:fldChar w:fldCharType="separate"/>
      </w:r>
      <w:r>
        <w:t>6.1</w:t>
      </w:r>
      <w:r>
        <w:fldChar w:fldCharType="end"/>
      </w:r>
      <w:r>
        <w:noBreakHyphen/>
      </w:r>
      <w:r>
        <w:fldChar w:fldCharType="begin"/>
      </w:r>
      <w:r>
        <w:instrText xml:space="preserve"> SEQ 表 \* ARABIC \s 2 </w:instrText>
      </w:r>
      <w:r>
        <w:fldChar w:fldCharType="separate"/>
      </w:r>
      <w:r>
        <w:t>2</w:t>
      </w:r>
      <w:r>
        <w:fldChar w:fldCharType="end"/>
      </w:r>
      <w:bookmarkEnd w:id="278"/>
      <w:r>
        <w:t xml:space="preserve"> 甲烷危险、有害特性表</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57" w:type="dxa"/>
          <w:bottom w:w="0" w:type="dxa"/>
          <w:right w:w="57" w:type="dxa"/>
        </w:tblCellMar>
      </w:tblPr>
      <w:tblGrid>
        <w:gridCol w:w="791"/>
        <w:gridCol w:w="1581"/>
        <w:gridCol w:w="1702"/>
        <w:gridCol w:w="1848"/>
        <w:gridCol w:w="97"/>
        <w:gridCol w:w="2203"/>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标识</w:t>
            </w: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中文名</w:t>
            </w: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甲烷</w:t>
            </w:r>
          </w:p>
        </w:tc>
        <w:tc>
          <w:tcPr>
            <w:tcW w:w="184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英文名</w:t>
            </w:r>
          </w:p>
        </w:tc>
        <w:tc>
          <w:tcPr>
            <w:tcW w:w="2300" w:type="dxa"/>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Methane</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化学式</w:t>
            </w: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CH</w:t>
            </w:r>
            <w:r>
              <w:rPr>
                <w:rFonts w:cs="Times New Roman"/>
                <w:color w:val="000000"/>
                <w:sz w:val="21"/>
                <w:szCs w:val="20"/>
                <w:vertAlign w:val="subscript"/>
              </w:rPr>
              <w:t>4</w:t>
            </w:r>
          </w:p>
        </w:tc>
        <w:tc>
          <w:tcPr>
            <w:tcW w:w="184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分子量</w:t>
            </w:r>
          </w:p>
        </w:tc>
        <w:tc>
          <w:tcPr>
            <w:tcW w:w="2300" w:type="dxa"/>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16.04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ICSC编号</w:t>
            </w: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0291</w:t>
            </w:r>
          </w:p>
        </w:tc>
        <w:tc>
          <w:tcPr>
            <w:tcW w:w="184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IMDG规则页码</w:t>
            </w:r>
          </w:p>
        </w:tc>
        <w:tc>
          <w:tcPr>
            <w:tcW w:w="2300" w:type="dxa"/>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2156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CAS号</w:t>
            </w: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74-82-8</w:t>
            </w:r>
          </w:p>
        </w:tc>
        <w:tc>
          <w:tcPr>
            <w:tcW w:w="184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RTECS号</w:t>
            </w:r>
          </w:p>
        </w:tc>
        <w:tc>
          <w:tcPr>
            <w:tcW w:w="2300" w:type="dxa"/>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PA1490000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UN编号</w:t>
            </w: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1971</w:t>
            </w:r>
          </w:p>
        </w:tc>
        <w:tc>
          <w:tcPr>
            <w:tcW w:w="184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危险货物编号</w:t>
            </w:r>
          </w:p>
        </w:tc>
        <w:tc>
          <w:tcPr>
            <w:tcW w:w="2300" w:type="dxa"/>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21007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EC编号</w:t>
            </w: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601-001-00-4</w:t>
            </w:r>
          </w:p>
        </w:tc>
        <w:tc>
          <w:tcPr>
            <w:tcW w:w="1848" w:type="dxa"/>
            <w:vAlign w:val="center"/>
          </w:tcPr>
          <w:p>
            <w:pPr>
              <w:widowControl/>
              <w:spacing w:line="240" w:lineRule="auto"/>
              <w:ind w:firstLine="0" w:firstLineChars="0"/>
              <w:jc w:val="center"/>
              <w:textAlignment w:val="baseline"/>
              <w:rPr>
                <w:rFonts w:cs="Times New Roman"/>
                <w:color w:val="000000"/>
                <w:sz w:val="21"/>
                <w:szCs w:val="20"/>
              </w:rPr>
            </w:pPr>
          </w:p>
        </w:tc>
        <w:tc>
          <w:tcPr>
            <w:tcW w:w="2300" w:type="dxa"/>
            <w:gridSpan w:val="2"/>
            <w:vAlign w:val="center"/>
          </w:tcPr>
          <w:p>
            <w:pPr>
              <w:widowControl/>
              <w:spacing w:line="240" w:lineRule="auto"/>
              <w:ind w:firstLine="0" w:firstLineChars="0"/>
              <w:jc w:val="center"/>
              <w:textAlignment w:val="baseline"/>
              <w:rPr>
                <w:rFonts w:cs="Times New Roman"/>
                <w:color w:val="000000"/>
                <w:sz w:val="21"/>
                <w:szCs w:val="2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理化</w:t>
            </w:r>
          </w:p>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性质</w:t>
            </w: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外观与性状</w:t>
            </w:r>
          </w:p>
        </w:tc>
        <w:tc>
          <w:tcPr>
            <w:tcW w:w="5850" w:type="dxa"/>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无色无臭气体。</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溶解性</w:t>
            </w:r>
          </w:p>
        </w:tc>
        <w:tc>
          <w:tcPr>
            <w:tcW w:w="5850" w:type="dxa"/>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微溶于水，溶于乙醇、乙醚.</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主要用途</w:t>
            </w:r>
          </w:p>
        </w:tc>
        <w:tc>
          <w:tcPr>
            <w:tcW w:w="5850" w:type="dxa"/>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用作燃料和用于炭黑、氢、乙炔、甲醛等的制造。</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熔点（</w:t>
            </w:r>
            <w:r>
              <w:rPr>
                <w:rFonts w:hint="eastAsia" w:ascii="宋体" w:hAnsi="宋体" w:cs="宋体"/>
                <w:color w:val="000000"/>
                <w:sz w:val="21"/>
                <w:szCs w:val="20"/>
              </w:rPr>
              <w:t>℃</w:t>
            </w:r>
            <w:r>
              <w:rPr>
                <w:rFonts w:cs="Times New Roman"/>
                <w:color w:val="000000"/>
                <w:sz w:val="21"/>
                <w:szCs w:val="20"/>
              </w:rPr>
              <w:t>）</w:t>
            </w: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-182.5</w:t>
            </w:r>
          </w:p>
        </w:tc>
        <w:tc>
          <w:tcPr>
            <w:tcW w:w="1945" w:type="dxa"/>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相对密度（水=1）</w:t>
            </w:r>
          </w:p>
        </w:tc>
        <w:tc>
          <w:tcPr>
            <w:tcW w:w="22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0.42/-164</w:t>
            </w:r>
            <w:r>
              <w:rPr>
                <w:rFonts w:hint="eastAsia" w:ascii="宋体" w:hAnsi="宋体" w:cs="宋体"/>
                <w:color w:val="000000"/>
                <w:sz w:val="21"/>
                <w:szCs w:val="20"/>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沸点（</w:t>
            </w:r>
            <w:r>
              <w:rPr>
                <w:rFonts w:hint="eastAsia" w:ascii="宋体" w:hAnsi="宋体" w:cs="宋体"/>
                <w:color w:val="000000"/>
                <w:sz w:val="21"/>
                <w:szCs w:val="20"/>
              </w:rPr>
              <w:t>℃</w:t>
            </w:r>
            <w:r>
              <w:rPr>
                <w:rFonts w:cs="Times New Roman"/>
                <w:color w:val="000000"/>
                <w:sz w:val="21"/>
                <w:szCs w:val="20"/>
              </w:rPr>
              <w:t>）</w:t>
            </w: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-161.5</w:t>
            </w:r>
          </w:p>
        </w:tc>
        <w:tc>
          <w:tcPr>
            <w:tcW w:w="1945" w:type="dxa"/>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相对密度（空气=1）</w:t>
            </w:r>
          </w:p>
        </w:tc>
        <w:tc>
          <w:tcPr>
            <w:tcW w:w="22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0.55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饱和蒸汽压（kpa）</w:t>
            </w:r>
          </w:p>
        </w:tc>
        <w:tc>
          <w:tcPr>
            <w:tcW w:w="3647" w:type="dxa"/>
            <w:gridSpan w:val="3"/>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53.32（-168.8</w:t>
            </w:r>
            <w:r>
              <w:rPr>
                <w:rFonts w:hint="eastAsia" w:ascii="宋体" w:hAnsi="宋体" w:cs="宋体"/>
                <w:color w:val="000000"/>
                <w:sz w:val="21"/>
                <w:szCs w:val="20"/>
              </w:rPr>
              <w:t>℃</w:t>
            </w:r>
            <w:r>
              <w:rPr>
                <w:rFonts w:cs="Times New Roman"/>
                <w:color w:val="000000"/>
                <w:sz w:val="21"/>
                <w:szCs w:val="20"/>
              </w:rPr>
              <w:t>）</w:t>
            </w:r>
          </w:p>
        </w:tc>
        <w:tc>
          <w:tcPr>
            <w:tcW w:w="2203" w:type="dxa"/>
            <w:vAlign w:val="center"/>
          </w:tcPr>
          <w:p>
            <w:pPr>
              <w:widowControl/>
              <w:spacing w:line="240" w:lineRule="auto"/>
              <w:ind w:firstLine="0" w:firstLineChars="0"/>
              <w:jc w:val="center"/>
              <w:textAlignment w:val="baseline"/>
              <w:rPr>
                <w:rFonts w:cs="Times New Roman"/>
                <w:color w:val="000000"/>
                <w:sz w:val="21"/>
                <w:szCs w:val="2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临界温度（</w:t>
            </w:r>
            <w:r>
              <w:rPr>
                <w:rFonts w:hint="eastAsia" w:ascii="宋体" w:hAnsi="宋体" w:cs="宋体"/>
                <w:color w:val="000000"/>
                <w:sz w:val="21"/>
                <w:szCs w:val="20"/>
              </w:rPr>
              <w:t>℃</w:t>
            </w:r>
            <w:r>
              <w:rPr>
                <w:rFonts w:cs="Times New Roman"/>
                <w:color w:val="000000"/>
                <w:sz w:val="21"/>
                <w:szCs w:val="20"/>
              </w:rPr>
              <w:t>）</w:t>
            </w: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-82.6</w:t>
            </w:r>
          </w:p>
        </w:tc>
        <w:tc>
          <w:tcPr>
            <w:tcW w:w="1945" w:type="dxa"/>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临界压力（Mpa）</w:t>
            </w:r>
          </w:p>
        </w:tc>
        <w:tc>
          <w:tcPr>
            <w:tcW w:w="22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4.59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燃烧热（KJ/mol）</w:t>
            </w: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889.5</w:t>
            </w:r>
          </w:p>
        </w:tc>
        <w:tc>
          <w:tcPr>
            <w:tcW w:w="1945" w:type="dxa"/>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最小引燃能量（mJ）</w:t>
            </w:r>
          </w:p>
        </w:tc>
        <w:tc>
          <w:tcPr>
            <w:tcW w:w="22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0.28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毒性</w:t>
            </w:r>
          </w:p>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及健</w:t>
            </w:r>
          </w:p>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康危</w:t>
            </w:r>
          </w:p>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害</w:t>
            </w:r>
          </w:p>
        </w:tc>
        <w:tc>
          <w:tcPr>
            <w:tcW w:w="1581" w:type="dxa"/>
            <w:vMerge w:val="restar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接触限值</w:t>
            </w: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中国MAC</w:t>
            </w:r>
          </w:p>
        </w:tc>
        <w:tc>
          <w:tcPr>
            <w:tcW w:w="4148" w:type="dxa"/>
            <w:gridSpan w:val="3"/>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未制定标准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581"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前苏联MAC</w:t>
            </w:r>
          </w:p>
        </w:tc>
        <w:tc>
          <w:tcPr>
            <w:tcW w:w="4148" w:type="dxa"/>
            <w:gridSpan w:val="3"/>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300mg/m</w:t>
            </w:r>
            <w:r>
              <w:rPr>
                <w:rFonts w:cs="Times New Roman"/>
                <w:color w:val="000000"/>
                <w:sz w:val="21"/>
                <w:szCs w:val="20"/>
                <w:vertAlign w:val="superscript"/>
              </w:rPr>
              <w:t>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581"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美国TWA</w:t>
            </w:r>
          </w:p>
        </w:tc>
        <w:tc>
          <w:tcPr>
            <w:tcW w:w="4148" w:type="dxa"/>
            <w:gridSpan w:val="3"/>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ACGIH窒息性气体</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581"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美国STEL</w:t>
            </w:r>
          </w:p>
        </w:tc>
        <w:tc>
          <w:tcPr>
            <w:tcW w:w="4148" w:type="dxa"/>
            <w:gridSpan w:val="3"/>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未制定标准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侵入途径</w:t>
            </w:r>
          </w:p>
        </w:tc>
        <w:tc>
          <w:tcPr>
            <w:tcW w:w="5850" w:type="dxa"/>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吸入</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健康危害</w:t>
            </w:r>
          </w:p>
        </w:tc>
        <w:tc>
          <w:tcPr>
            <w:tcW w:w="5850" w:type="dxa"/>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1、当空气中甲烷浓度达25—30%时，可引起头痛、头晕、乏力、注意力不集中、呼吸和心跳加速、精细动作障碍等；</w:t>
            </w:r>
          </w:p>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2、当空气中甲烷浓度更高时，可能使人出现窒息、昏迷等。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燃烧</w:t>
            </w:r>
          </w:p>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爆炸</w:t>
            </w:r>
          </w:p>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危险</w:t>
            </w:r>
          </w:p>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性</w:t>
            </w: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燃烧性</w:t>
            </w: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易燃</w:t>
            </w:r>
          </w:p>
        </w:tc>
        <w:tc>
          <w:tcPr>
            <w:tcW w:w="1945" w:type="dxa"/>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建规火险等级</w:t>
            </w:r>
          </w:p>
        </w:tc>
        <w:tc>
          <w:tcPr>
            <w:tcW w:w="22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甲</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闪点（</w:t>
            </w:r>
            <w:r>
              <w:rPr>
                <w:rFonts w:hint="eastAsia" w:ascii="宋体" w:hAnsi="宋体" w:cs="宋体"/>
                <w:color w:val="000000"/>
                <w:sz w:val="21"/>
                <w:szCs w:val="20"/>
              </w:rPr>
              <w:t>℃</w:t>
            </w:r>
            <w:r>
              <w:rPr>
                <w:rFonts w:cs="Times New Roman"/>
                <w:color w:val="000000"/>
                <w:sz w:val="21"/>
                <w:szCs w:val="20"/>
              </w:rPr>
              <w:t>）</w:t>
            </w: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-188</w:t>
            </w:r>
          </w:p>
        </w:tc>
        <w:tc>
          <w:tcPr>
            <w:tcW w:w="1945" w:type="dxa"/>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爆炸下限（v%）</w:t>
            </w:r>
          </w:p>
        </w:tc>
        <w:tc>
          <w:tcPr>
            <w:tcW w:w="22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自然温度（</w:t>
            </w:r>
            <w:r>
              <w:rPr>
                <w:rFonts w:hint="eastAsia" w:ascii="宋体" w:hAnsi="宋体" w:cs="宋体"/>
                <w:color w:val="000000"/>
                <w:sz w:val="21"/>
                <w:szCs w:val="20"/>
              </w:rPr>
              <w:t>℃</w:t>
            </w:r>
            <w:r>
              <w:rPr>
                <w:rFonts w:cs="Times New Roman"/>
                <w:color w:val="000000"/>
                <w:sz w:val="21"/>
                <w:szCs w:val="20"/>
              </w:rPr>
              <w:t>）</w:t>
            </w:r>
          </w:p>
        </w:tc>
        <w:tc>
          <w:tcPr>
            <w:tcW w:w="1702"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538</w:t>
            </w:r>
          </w:p>
        </w:tc>
        <w:tc>
          <w:tcPr>
            <w:tcW w:w="1945" w:type="dxa"/>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爆炸上限（v%）</w:t>
            </w:r>
          </w:p>
        </w:tc>
        <w:tc>
          <w:tcPr>
            <w:tcW w:w="22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危险特性</w:t>
            </w:r>
          </w:p>
        </w:tc>
        <w:tc>
          <w:tcPr>
            <w:tcW w:w="5850" w:type="dxa"/>
            <w:gridSpan w:val="4"/>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1、甲烷与空气混合能形成爆炸性混合物，当在爆炸极限范围内遇明火、高热能时引起燃烧爆炸。2、甲烷与氟、氯等能发生剧烈的化学反应。3、甲烷若遇高热，容器内压增大，有开裂和爆炸的危险。</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稳定性</w:t>
            </w:r>
          </w:p>
        </w:tc>
        <w:tc>
          <w:tcPr>
            <w:tcW w:w="5850" w:type="dxa"/>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稳定</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聚合危害</w:t>
            </w:r>
          </w:p>
        </w:tc>
        <w:tc>
          <w:tcPr>
            <w:tcW w:w="5850" w:type="dxa"/>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不会出现聚合危害</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禁忌物</w:t>
            </w:r>
          </w:p>
        </w:tc>
        <w:tc>
          <w:tcPr>
            <w:tcW w:w="5850" w:type="dxa"/>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强氧化剂，如氟、氯等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灭火方法</w:t>
            </w:r>
          </w:p>
        </w:tc>
        <w:tc>
          <w:tcPr>
            <w:tcW w:w="5850" w:type="dxa"/>
            <w:gridSpan w:val="4"/>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1、立即切断气源。2、若不能立即切断气源，则不允许熄灭正在燃烧的气体。3、喷水冷却容器，如果可能应将容器从火场移至空旷处。4、采用雾状水、泡沫灭火器和二氧化碳灭火器等。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包装</w:t>
            </w:r>
          </w:p>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储运</w:t>
            </w: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危险性类别</w:t>
            </w:r>
          </w:p>
        </w:tc>
        <w:tc>
          <w:tcPr>
            <w:tcW w:w="5850" w:type="dxa"/>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第2.1类（UN类别）易燃气体</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危险货物包装标志</w:t>
            </w:r>
          </w:p>
        </w:tc>
        <w:tc>
          <w:tcPr>
            <w:tcW w:w="5850" w:type="dxa"/>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包装</w:t>
            </w:r>
          </w:p>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储运</w:t>
            </w: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储运注意事项</w:t>
            </w:r>
          </w:p>
        </w:tc>
        <w:tc>
          <w:tcPr>
            <w:tcW w:w="5850" w:type="dxa"/>
            <w:gridSpan w:val="4"/>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1、储存于阴凉、通风的储存间内，且储存间内温度不宜超过30</w:t>
            </w:r>
            <w:r>
              <w:rPr>
                <w:rFonts w:hint="eastAsia" w:ascii="宋体" w:hAnsi="宋体" w:cs="宋体"/>
                <w:color w:val="000000"/>
                <w:sz w:val="21"/>
                <w:szCs w:val="20"/>
              </w:rPr>
              <w:t>℃</w:t>
            </w:r>
            <w:r>
              <w:rPr>
                <w:rFonts w:cs="Times New Roman"/>
                <w:color w:val="000000"/>
                <w:sz w:val="21"/>
                <w:szCs w:val="20"/>
              </w:rPr>
              <w:t>，储存间内的照明、通风设施应采用防爆型，开关设置于储存间外。2、罐储时，要有防火防爆措施，若为露天储罐夏季应有降温措施。3、储存间和储罐附近应配备相应品种和数量的消防器材。4、远离火种、热源，禁止使用易产生火花的机械设备和工具。5、防止阳光直射。6、与氧气、压缩空气、卤素（氟、氯、溴）等分开存放，切忌混储混运。7、验收时应注意品名，注意验瓶日期，先进储存的先发用。8、搬运时轻装轻卸，防止钢瓶及附件破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急救</w:t>
            </w: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皮肤接触</w:t>
            </w:r>
          </w:p>
        </w:tc>
        <w:tc>
          <w:tcPr>
            <w:tcW w:w="5850" w:type="dxa"/>
            <w:gridSpan w:val="4"/>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若有冻伤，就医治疗。</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吸入</w:t>
            </w:r>
          </w:p>
        </w:tc>
        <w:tc>
          <w:tcPr>
            <w:tcW w:w="5850" w:type="dxa"/>
            <w:gridSpan w:val="4"/>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1、迅速脱离现场至空气新鲜处。2、注意保暖，呼吸困难时给输氧。3、呼吸及心跳停止者立即进行人工呼吸和心脏按压术，并就医治疗。</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防护</w:t>
            </w:r>
          </w:p>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措施</w:t>
            </w: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工程控制</w:t>
            </w:r>
          </w:p>
        </w:tc>
        <w:tc>
          <w:tcPr>
            <w:tcW w:w="5850" w:type="dxa"/>
            <w:gridSpan w:val="4"/>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全面通风。</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呼吸系统防护</w:t>
            </w:r>
          </w:p>
        </w:tc>
        <w:tc>
          <w:tcPr>
            <w:tcW w:w="5850" w:type="dxa"/>
            <w:gridSpan w:val="4"/>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一般不需要特殊防护，高浓度环境中，可佩带供气式呼吸器。</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眼睛防护</w:t>
            </w:r>
          </w:p>
        </w:tc>
        <w:tc>
          <w:tcPr>
            <w:tcW w:w="5850" w:type="dxa"/>
            <w:gridSpan w:val="4"/>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一般不需要特殊防护，高浓度接触时可戴安全防护眼镜。</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手防护</w:t>
            </w:r>
          </w:p>
        </w:tc>
        <w:tc>
          <w:tcPr>
            <w:tcW w:w="5850" w:type="dxa"/>
            <w:gridSpan w:val="4"/>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一般不需要特殊防护，高浓度接触可戴防护手套。</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1581"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其它</w:t>
            </w:r>
          </w:p>
        </w:tc>
        <w:tc>
          <w:tcPr>
            <w:tcW w:w="5850" w:type="dxa"/>
            <w:gridSpan w:val="4"/>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1、工作现场严禁吸烟；2、避免长期反复接触；</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3、进入罐区或其它高浓度区作业时须有人监护。</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泄露</w:t>
            </w:r>
          </w:p>
          <w:p>
            <w:pPr>
              <w:widowControl/>
              <w:spacing w:line="240" w:lineRule="auto"/>
              <w:ind w:firstLine="0" w:firstLineChars="0"/>
              <w:jc w:val="center"/>
              <w:textAlignment w:val="baseline"/>
              <w:rPr>
                <w:rFonts w:cs="Times New Roman"/>
                <w:color w:val="000000"/>
                <w:sz w:val="21"/>
                <w:szCs w:val="20"/>
              </w:rPr>
            </w:pPr>
            <w:r>
              <w:rPr>
                <w:rFonts w:cs="Times New Roman"/>
                <w:b/>
                <w:bCs/>
                <w:color w:val="000000"/>
                <w:sz w:val="21"/>
                <w:szCs w:val="20"/>
              </w:rPr>
              <w:t>处理</w:t>
            </w:r>
          </w:p>
        </w:tc>
        <w:tc>
          <w:tcPr>
            <w:tcW w:w="7431" w:type="dxa"/>
            <w:gridSpan w:val="5"/>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1、切断气源，喷雾状水稀释、降温，抽排（室内）或强力通风（室外）。2、切断火源，迅速撤离泄露污染区人员至上风处，并隔离直至气体散尽。3、应急处理人员应戴自给式呼吸器，穿一般消防防护服。4、如有可能，应将漏出气用排风机送至空旷地方或装设适当喷头烧掉；也可以将漏气的容器移至空旷处，注意通风。5、漏气容器不能再用，且要经过技术处理以清除可能剩下的气休。</w:t>
            </w:r>
          </w:p>
        </w:tc>
      </w:tr>
    </w:tbl>
    <w:p>
      <w:pPr>
        <w:widowControl/>
        <w:spacing w:before="120" w:beforeLines="50"/>
        <w:ind w:firstLine="482"/>
        <w:rPr>
          <w:rFonts w:cs="Times New Roman"/>
          <w:b/>
          <w:color w:val="000000"/>
          <w:szCs w:val="24"/>
        </w:rPr>
      </w:pPr>
      <w:r>
        <w:rPr>
          <w:rFonts w:cs="Times New Roman"/>
          <w:b/>
          <w:color w:val="000000"/>
          <w:szCs w:val="24"/>
        </w:rPr>
        <w:t>（6）硫化氢危险性分析</w:t>
      </w:r>
    </w:p>
    <w:p>
      <w:pPr>
        <w:adjustRightInd/>
        <w:snapToGrid/>
        <w:ind w:firstLine="480"/>
        <w:rPr>
          <w:rFonts w:cs="Times New Roman"/>
          <w:color w:val="000000"/>
          <w:kern w:val="0"/>
          <w:szCs w:val="20"/>
        </w:rPr>
      </w:pPr>
      <w:r>
        <w:rPr>
          <w:rFonts w:cs="Times New Roman"/>
          <w:color w:val="000000"/>
          <w:kern w:val="0"/>
          <w:szCs w:val="20"/>
        </w:rPr>
        <w:t>本工程天然气为含硫气，可能对环境造成危害的物质为硫化氢。硫化氢为强烈的神经性毒物，对粘膜有强烈的刺激作用。硫化氢对人的生理影响及危害见</w:t>
      </w:r>
      <w:r>
        <w:rPr>
          <w:rFonts w:cs="Times New Roman"/>
          <w:color w:val="000000"/>
          <w:kern w:val="0"/>
          <w:szCs w:val="20"/>
        </w:rPr>
        <w:fldChar w:fldCharType="begin"/>
      </w:r>
      <w:r>
        <w:rPr>
          <w:rFonts w:cs="Times New Roman"/>
          <w:color w:val="000000"/>
          <w:kern w:val="0"/>
          <w:szCs w:val="20"/>
        </w:rPr>
        <w:instrText xml:space="preserve"> REF _Ref142859037 \h  \* MERGEFORMAT </w:instrText>
      </w:r>
      <w:r>
        <w:rPr>
          <w:rFonts w:cs="Times New Roman"/>
          <w:color w:val="000000"/>
          <w:kern w:val="0"/>
          <w:szCs w:val="20"/>
        </w:rPr>
        <w:fldChar w:fldCharType="separate"/>
      </w:r>
      <w:r>
        <w:rPr>
          <w:rFonts w:cs="Times New Roman"/>
          <w:color w:val="000000"/>
          <w:kern w:val="0"/>
          <w:szCs w:val="20"/>
        </w:rPr>
        <w:t>表6.1</w:t>
      </w:r>
      <w:r>
        <w:rPr>
          <w:rFonts w:cs="Times New Roman"/>
          <w:color w:val="000000"/>
          <w:kern w:val="0"/>
          <w:szCs w:val="20"/>
        </w:rPr>
        <w:noBreakHyphen/>
      </w:r>
      <w:r>
        <w:rPr>
          <w:rFonts w:cs="Times New Roman"/>
          <w:color w:val="000000"/>
          <w:kern w:val="0"/>
          <w:szCs w:val="20"/>
        </w:rPr>
        <w:t>3</w:t>
      </w:r>
      <w:r>
        <w:rPr>
          <w:rFonts w:cs="Times New Roman"/>
          <w:color w:val="000000"/>
          <w:kern w:val="0"/>
          <w:szCs w:val="20"/>
        </w:rPr>
        <w:fldChar w:fldCharType="end"/>
      </w:r>
      <w:r>
        <w:rPr>
          <w:rFonts w:cs="Times New Roman"/>
          <w:color w:val="000000"/>
          <w:kern w:val="0"/>
          <w:szCs w:val="20"/>
        </w:rPr>
        <w:t>和</w:t>
      </w:r>
      <w:r>
        <w:rPr>
          <w:rFonts w:cs="Times New Roman"/>
          <w:color w:val="000000"/>
          <w:kern w:val="0"/>
          <w:szCs w:val="20"/>
        </w:rPr>
        <w:fldChar w:fldCharType="begin"/>
      </w:r>
      <w:r>
        <w:rPr>
          <w:rFonts w:cs="Times New Roman"/>
          <w:color w:val="000000"/>
          <w:kern w:val="0"/>
          <w:szCs w:val="20"/>
        </w:rPr>
        <w:instrText xml:space="preserve"> REF _Ref142859063 \h  \* MERGEFORMAT </w:instrText>
      </w:r>
      <w:r>
        <w:rPr>
          <w:rFonts w:cs="Times New Roman"/>
          <w:color w:val="000000"/>
          <w:kern w:val="0"/>
          <w:szCs w:val="20"/>
        </w:rPr>
        <w:fldChar w:fldCharType="separate"/>
      </w:r>
      <w:r>
        <w:rPr>
          <w:rFonts w:cs="Times New Roman"/>
          <w:color w:val="000000"/>
          <w:kern w:val="0"/>
          <w:szCs w:val="20"/>
        </w:rPr>
        <w:t>表6.1</w:t>
      </w:r>
      <w:r>
        <w:rPr>
          <w:rFonts w:cs="Times New Roman"/>
          <w:color w:val="000000"/>
          <w:kern w:val="0"/>
          <w:szCs w:val="20"/>
        </w:rPr>
        <w:noBreakHyphen/>
      </w:r>
      <w:r>
        <w:rPr>
          <w:rFonts w:cs="Times New Roman"/>
          <w:color w:val="000000"/>
          <w:kern w:val="0"/>
          <w:szCs w:val="20"/>
        </w:rPr>
        <w:t>4</w:t>
      </w:r>
      <w:r>
        <w:rPr>
          <w:rFonts w:cs="Times New Roman"/>
          <w:color w:val="000000"/>
          <w:kern w:val="0"/>
          <w:szCs w:val="20"/>
        </w:rPr>
        <w:fldChar w:fldCharType="end"/>
      </w:r>
      <w:r>
        <w:rPr>
          <w:rFonts w:cs="Times New Roman"/>
          <w:color w:val="000000"/>
          <w:kern w:val="0"/>
          <w:szCs w:val="20"/>
        </w:rPr>
        <w:t>。</w:t>
      </w:r>
    </w:p>
    <w:p>
      <w:pPr>
        <w:pStyle w:val="95"/>
      </w:pPr>
      <w:bookmarkStart w:id="279" w:name="_Ref142859037"/>
      <w:r>
        <w:t>表</w:t>
      </w:r>
      <w:r>
        <w:fldChar w:fldCharType="begin"/>
      </w:r>
      <w:r>
        <w:instrText xml:space="preserve"> STYLEREF 2 \s </w:instrText>
      </w:r>
      <w:r>
        <w:fldChar w:fldCharType="separate"/>
      </w:r>
      <w:r>
        <w:t>6.1</w:t>
      </w:r>
      <w:r>
        <w:fldChar w:fldCharType="end"/>
      </w:r>
      <w:r>
        <w:noBreakHyphen/>
      </w:r>
      <w:r>
        <w:fldChar w:fldCharType="begin"/>
      </w:r>
      <w:r>
        <w:instrText xml:space="preserve"> SEQ 表 \* ARABIC \s 2 </w:instrText>
      </w:r>
      <w:r>
        <w:fldChar w:fldCharType="separate"/>
      </w:r>
      <w:r>
        <w:t>3</w:t>
      </w:r>
      <w:r>
        <w:fldChar w:fldCharType="end"/>
      </w:r>
      <w:bookmarkEnd w:id="279"/>
      <w:r>
        <w:t xml:space="preserve"> 硫化氢物化性质表</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566"/>
        <w:gridCol w:w="1279"/>
        <w:gridCol w:w="2132"/>
        <w:gridCol w:w="2011"/>
        <w:gridCol w:w="182"/>
        <w:gridCol w:w="216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restar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标识</w:t>
            </w: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中文名</w:t>
            </w:r>
          </w:p>
        </w:tc>
        <w:tc>
          <w:tcPr>
            <w:tcW w:w="1280"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硫化氢</w:t>
            </w:r>
          </w:p>
        </w:tc>
        <w:tc>
          <w:tcPr>
            <w:tcW w:w="119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英文名</w:t>
            </w:r>
          </w:p>
        </w:tc>
        <w:tc>
          <w:tcPr>
            <w:tcW w:w="1414" w:type="pct"/>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Hydrogen Sulfide</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分子式</w:t>
            </w:r>
          </w:p>
        </w:tc>
        <w:tc>
          <w:tcPr>
            <w:tcW w:w="1280"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H</w:t>
            </w:r>
            <w:r>
              <w:rPr>
                <w:rFonts w:cs="Times New Roman"/>
                <w:color w:val="000000"/>
                <w:sz w:val="21"/>
                <w:szCs w:val="20"/>
                <w:vertAlign w:val="subscript"/>
              </w:rPr>
              <w:t>2</w:t>
            </w:r>
            <w:r>
              <w:rPr>
                <w:rFonts w:cs="Times New Roman"/>
                <w:color w:val="000000"/>
                <w:sz w:val="21"/>
                <w:szCs w:val="20"/>
              </w:rPr>
              <w:t>S</w:t>
            </w:r>
          </w:p>
        </w:tc>
        <w:tc>
          <w:tcPr>
            <w:tcW w:w="120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危险货物：UN编号</w:t>
            </w:r>
          </w:p>
        </w:tc>
        <w:tc>
          <w:tcPr>
            <w:tcW w:w="1404" w:type="pct"/>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21006：1053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沸点</w:t>
            </w:r>
          </w:p>
        </w:tc>
        <w:tc>
          <w:tcPr>
            <w:tcW w:w="1280"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-60.4</w:t>
            </w:r>
            <w:r>
              <w:rPr>
                <w:rFonts w:hint="eastAsia" w:ascii="宋体" w:hAnsi="宋体" w:cs="宋体"/>
                <w:color w:val="000000"/>
                <w:sz w:val="21"/>
                <w:szCs w:val="20"/>
              </w:rPr>
              <w:t>℃</w:t>
            </w:r>
          </w:p>
        </w:tc>
        <w:tc>
          <w:tcPr>
            <w:tcW w:w="120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临界温度</w:t>
            </w:r>
          </w:p>
        </w:tc>
        <w:tc>
          <w:tcPr>
            <w:tcW w:w="1404" w:type="pct"/>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100.4</w:t>
            </w:r>
            <w:r>
              <w:rPr>
                <w:rFonts w:hint="eastAsia" w:ascii="宋体" w:hAnsi="宋体" w:cs="宋体"/>
                <w:color w:val="000000"/>
                <w:sz w:val="21"/>
                <w:szCs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相对密度</w:t>
            </w:r>
          </w:p>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（水=1）</w:t>
            </w:r>
          </w:p>
        </w:tc>
        <w:tc>
          <w:tcPr>
            <w:tcW w:w="1280"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w:t>
            </w:r>
          </w:p>
        </w:tc>
        <w:tc>
          <w:tcPr>
            <w:tcW w:w="120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相对密度</w:t>
            </w:r>
          </w:p>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（空气=1）</w:t>
            </w:r>
          </w:p>
        </w:tc>
        <w:tc>
          <w:tcPr>
            <w:tcW w:w="1404" w:type="pct"/>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外观性状</w:t>
            </w:r>
          </w:p>
        </w:tc>
        <w:tc>
          <w:tcPr>
            <w:tcW w:w="3892" w:type="pct"/>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无色、有恶臭的气体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溶解性</w:t>
            </w:r>
          </w:p>
        </w:tc>
        <w:tc>
          <w:tcPr>
            <w:tcW w:w="3892" w:type="pct"/>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溶于水、乙醇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4660" w:type="pct"/>
            <w:gridSpan w:val="5"/>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外观与性状：无色无臭气体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restar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危险性参数</w:t>
            </w: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闪点</w:t>
            </w:r>
          </w:p>
        </w:tc>
        <w:tc>
          <w:tcPr>
            <w:tcW w:w="1280"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w:t>
            </w:r>
          </w:p>
        </w:tc>
        <w:tc>
          <w:tcPr>
            <w:tcW w:w="1316" w:type="pct"/>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爆炸上限</w:t>
            </w:r>
          </w:p>
        </w:tc>
        <w:tc>
          <w:tcPr>
            <w:tcW w:w="1295"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46%（V/V）</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引燃温度</w:t>
            </w:r>
          </w:p>
        </w:tc>
        <w:tc>
          <w:tcPr>
            <w:tcW w:w="1280"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260</w:t>
            </w:r>
            <w:r>
              <w:rPr>
                <w:rFonts w:hint="eastAsia" w:ascii="宋体" w:hAnsi="宋体" w:cs="宋体"/>
                <w:color w:val="000000"/>
                <w:sz w:val="21"/>
                <w:szCs w:val="20"/>
              </w:rPr>
              <w:t>℃</w:t>
            </w:r>
          </w:p>
        </w:tc>
        <w:tc>
          <w:tcPr>
            <w:tcW w:w="1316" w:type="pct"/>
            <w:gridSpan w:val="2"/>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爆炸下限</w:t>
            </w:r>
          </w:p>
        </w:tc>
        <w:tc>
          <w:tcPr>
            <w:tcW w:w="1295"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4%（V/V）</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危险特性</w:t>
            </w:r>
          </w:p>
        </w:tc>
        <w:tc>
          <w:tcPr>
            <w:tcW w:w="3892" w:type="pct"/>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易燃，与空气混合能形成爆炸性混合物，遇明火、高热能引起燃烧爆炸。与浓硝酸、发烟硝酸或其它强氧化剂剧烈反应，发生爆炸。气体比空气重，能在较低处扩散到相当远的地方，遇火源会着火回燃。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燃烧产物</w:t>
            </w:r>
          </w:p>
        </w:tc>
        <w:tc>
          <w:tcPr>
            <w:tcW w:w="3892" w:type="pct"/>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二氧化硫</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restar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灭火</w:t>
            </w: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灭火剂</w:t>
            </w:r>
          </w:p>
        </w:tc>
        <w:tc>
          <w:tcPr>
            <w:tcW w:w="3892" w:type="pct"/>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雾状水、抗溶性泡沫、干粉。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灭火方法</w:t>
            </w:r>
          </w:p>
        </w:tc>
        <w:tc>
          <w:tcPr>
            <w:tcW w:w="3892" w:type="pct"/>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消防人员必须穿全身防火防毒服，在上风向灭火。切断气源。若不能切断气源，则不允许熄灭泄漏处的火焰。喷水冷却容器，可能的话将容器从火场移至空旷处。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restar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毒性及健康危害</w:t>
            </w: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1"/>
              </w:rPr>
              <w:t>毒性</w:t>
            </w:r>
          </w:p>
        </w:tc>
        <w:tc>
          <w:tcPr>
            <w:tcW w:w="3892" w:type="pct"/>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LC50：618mg/m</w:t>
            </w:r>
            <w:r>
              <w:rPr>
                <w:rFonts w:cs="Times New Roman"/>
                <w:color w:val="000000"/>
                <w:sz w:val="21"/>
                <w:szCs w:val="20"/>
                <w:vertAlign w:val="superscript"/>
              </w:rPr>
              <w:t>3</w:t>
            </w:r>
            <w:r>
              <w:rPr>
                <w:rFonts w:cs="Times New Roman"/>
                <w:color w:val="000000"/>
                <w:sz w:val="21"/>
                <w:szCs w:val="20"/>
              </w:rPr>
              <w:t>（大鼠吸入）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widowControl/>
              <w:spacing w:line="240" w:lineRule="auto"/>
              <w:ind w:firstLine="0" w:firstLineChars="0"/>
              <w:jc w:val="center"/>
              <w:textAlignment w:val="baseline"/>
              <w:rPr>
                <w:rFonts w:cs="Times New Roman"/>
                <w:b/>
                <w:bCs/>
                <w:color w:val="000000"/>
                <w:sz w:val="21"/>
                <w:szCs w:val="20"/>
              </w:rPr>
            </w:pP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健康危害</w:t>
            </w:r>
          </w:p>
        </w:tc>
        <w:tc>
          <w:tcPr>
            <w:tcW w:w="3892" w:type="pct"/>
            <w:gridSpan w:val="4"/>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本品是强烈的神经毒物，对粘膜有强烈刺激作用。急性中毒：短期内吸入高浓度硫化氢后出现流泪、眼痛、眼内异物感、畏光、视物模糊、流涕、咽喉部灼热感、咳嗽、胸闷、头痛、头晕、乏力、意识模糊等。部分患者可有心肌损害。重者可出现脑水肿、肺水肿。极高浓度（1000mg/m</w:t>
            </w:r>
            <w:r>
              <w:rPr>
                <w:rFonts w:cs="Times New Roman"/>
                <w:color w:val="000000"/>
                <w:sz w:val="21"/>
                <w:szCs w:val="20"/>
                <w:vertAlign w:val="superscript"/>
              </w:rPr>
              <w:t>3</w:t>
            </w:r>
            <w:r>
              <w:rPr>
                <w:rFonts w:cs="Times New Roman"/>
                <w:color w:val="000000"/>
                <w:sz w:val="21"/>
                <w:szCs w:val="20"/>
              </w:rPr>
              <w:t>以上）时可在数秒钟内突然昏迷，呼吸和心跳骤停，发生闪电型死亡。高浓度接触眼结膜发生水肿和角膜溃疡。长期低浓度接触，引起神经衰弱综合征和植物神经功能紊乱。</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restar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应急处理处置方法</w:t>
            </w: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泄漏应急处理</w:t>
            </w:r>
          </w:p>
        </w:tc>
        <w:tc>
          <w:tcPr>
            <w:tcW w:w="3892" w:type="pct"/>
            <w:gridSpan w:val="4"/>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迅速撤离泄漏污染区人员至上风处，并立即进行隔离，小泄漏时隔离150m，大泄漏时隔离300m，严格限制出入。切断火源。建议应急处理人员戴自给正压式呼吸器，穿防静电工作服。从上风处进入现场。尽可能切断泄漏源。合理通风，加速扩散。喷雾状水稀释、溶解。构筑围堤或挖坑收容产生的大量废水。如有可能，将残余气或漏出气用排风机送至水洗塔或与塔相连的通风橱内。或使其通过三氯化铁水溶液，管路装止回装置以防溶液吸回。漏气容器要妥善处理，修复、检验后再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眼睛接触</w:t>
            </w:r>
          </w:p>
        </w:tc>
        <w:tc>
          <w:tcPr>
            <w:tcW w:w="3892" w:type="pct"/>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立即提起眼睑，用大量流动清水或生理盐水彻底冲洗至少15分钟。就医。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76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吸入</w:t>
            </w:r>
          </w:p>
        </w:tc>
        <w:tc>
          <w:tcPr>
            <w:tcW w:w="3892" w:type="pct"/>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迅速脱离现场至空气新鲜处。保持呼吸道通畅。如呼吸困难，给输氧。如呼吸停止，立即进行人工呼吸。就医。</w:t>
            </w:r>
          </w:p>
        </w:tc>
      </w:tr>
    </w:tbl>
    <w:p>
      <w:pPr>
        <w:pStyle w:val="95"/>
      </w:pPr>
      <w:bookmarkStart w:id="280" w:name="_Ref142859063"/>
      <w:r>
        <w:t>表</w:t>
      </w:r>
      <w:r>
        <w:fldChar w:fldCharType="begin"/>
      </w:r>
      <w:r>
        <w:instrText xml:space="preserve"> STYLEREF 2 \s </w:instrText>
      </w:r>
      <w:r>
        <w:fldChar w:fldCharType="separate"/>
      </w:r>
      <w:r>
        <w:t>6.1</w:t>
      </w:r>
      <w:r>
        <w:fldChar w:fldCharType="end"/>
      </w:r>
      <w:r>
        <w:noBreakHyphen/>
      </w:r>
      <w:r>
        <w:fldChar w:fldCharType="begin"/>
      </w:r>
      <w:r>
        <w:instrText xml:space="preserve"> SEQ 表 \* ARABIC \s 2 </w:instrText>
      </w:r>
      <w:r>
        <w:fldChar w:fldCharType="separate"/>
      </w:r>
      <w:r>
        <w:t>4</w:t>
      </w:r>
      <w:r>
        <w:fldChar w:fldCharType="end"/>
      </w:r>
      <w:bookmarkEnd w:id="280"/>
      <w:r>
        <w:t xml:space="preserve"> 硫化氢对人的生理影响及危害</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843"/>
        <w:gridCol w:w="2527"/>
        <w:gridCol w:w="315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空气中H</w:t>
            </w:r>
            <w:r>
              <w:rPr>
                <w:rFonts w:cs="Times New Roman"/>
                <w:b/>
                <w:bCs/>
                <w:color w:val="000000"/>
                <w:sz w:val="21"/>
                <w:szCs w:val="20"/>
                <w:vertAlign w:val="subscript"/>
              </w:rPr>
              <w:t>2</w:t>
            </w:r>
            <w:r>
              <w:rPr>
                <w:rFonts w:cs="Times New Roman"/>
                <w:b/>
                <w:bCs/>
                <w:color w:val="000000"/>
                <w:sz w:val="21"/>
                <w:szCs w:val="20"/>
              </w:rPr>
              <w:t>S浓度（mg/m</w:t>
            </w:r>
            <w:r>
              <w:rPr>
                <w:rFonts w:cs="Times New Roman"/>
                <w:b/>
                <w:bCs/>
                <w:color w:val="000000"/>
                <w:sz w:val="21"/>
                <w:szCs w:val="20"/>
                <w:vertAlign w:val="superscript"/>
              </w:rPr>
              <w:t>3</w:t>
            </w:r>
            <w:r>
              <w:rPr>
                <w:rFonts w:cs="Times New Roman"/>
                <w:b/>
                <w:bCs/>
                <w:color w:val="000000"/>
                <w:sz w:val="21"/>
                <w:szCs w:val="20"/>
              </w:rPr>
              <w:t>）</w:t>
            </w:r>
          </w:p>
        </w:tc>
        <w:tc>
          <w:tcPr>
            <w:tcW w:w="1482" w:type="pc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接触时间</w:t>
            </w:r>
          </w:p>
        </w:tc>
        <w:tc>
          <w:tcPr>
            <w:tcW w:w="1851" w:type="pc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生理影响及危害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0.04</w:t>
            </w:r>
          </w:p>
        </w:tc>
        <w:tc>
          <w:tcPr>
            <w:tcW w:w="148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w:t>
            </w:r>
          </w:p>
        </w:tc>
        <w:tc>
          <w:tcPr>
            <w:tcW w:w="1851"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感到臭味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0.5</w:t>
            </w:r>
          </w:p>
        </w:tc>
        <w:tc>
          <w:tcPr>
            <w:tcW w:w="148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w:t>
            </w:r>
          </w:p>
        </w:tc>
        <w:tc>
          <w:tcPr>
            <w:tcW w:w="1851"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感到明显臭味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5.0</w:t>
            </w:r>
          </w:p>
        </w:tc>
        <w:tc>
          <w:tcPr>
            <w:tcW w:w="148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w:t>
            </w:r>
          </w:p>
        </w:tc>
        <w:tc>
          <w:tcPr>
            <w:tcW w:w="1851"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有强烈臭味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7.5</w:t>
            </w:r>
          </w:p>
        </w:tc>
        <w:tc>
          <w:tcPr>
            <w:tcW w:w="148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w:t>
            </w:r>
          </w:p>
        </w:tc>
        <w:tc>
          <w:tcPr>
            <w:tcW w:w="1851"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有不快感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15</w:t>
            </w:r>
          </w:p>
        </w:tc>
        <w:tc>
          <w:tcPr>
            <w:tcW w:w="148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w:t>
            </w:r>
          </w:p>
        </w:tc>
        <w:tc>
          <w:tcPr>
            <w:tcW w:w="1851"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刺激眼睛</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35～45</w:t>
            </w:r>
          </w:p>
        </w:tc>
        <w:tc>
          <w:tcPr>
            <w:tcW w:w="148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w:t>
            </w:r>
          </w:p>
        </w:tc>
        <w:tc>
          <w:tcPr>
            <w:tcW w:w="1851"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强烈刺激粘膜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75～150</w:t>
            </w:r>
          </w:p>
        </w:tc>
        <w:tc>
          <w:tcPr>
            <w:tcW w:w="148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w:t>
            </w:r>
          </w:p>
        </w:tc>
        <w:tc>
          <w:tcPr>
            <w:tcW w:w="1851"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刺激呼吸道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150～300</w:t>
            </w:r>
          </w:p>
        </w:tc>
        <w:tc>
          <w:tcPr>
            <w:tcW w:w="148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15min</w:t>
            </w:r>
          </w:p>
        </w:tc>
        <w:tc>
          <w:tcPr>
            <w:tcW w:w="1851"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嗅觉麻痹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300</w:t>
            </w:r>
          </w:p>
        </w:tc>
        <w:tc>
          <w:tcPr>
            <w:tcW w:w="148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w:t>
            </w:r>
          </w:p>
        </w:tc>
        <w:tc>
          <w:tcPr>
            <w:tcW w:w="1851"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暴露时间长有中毒症状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300～450</w:t>
            </w:r>
          </w:p>
        </w:tc>
        <w:tc>
          <w:tcPr>
            <w:tcW w:w="148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1h</w:t>
            </w:r>
          </w:p>
        </w:tc>
        <w:tc>
          <w:tcPr>
            <w:tcW w:w="1851"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引起亚急性中毒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375～525</w:t>
            </w:r>
          </w:p>
        </w:tc>
        <w:tc>
          <w:tcPr>
            <w:tcW w:w="148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4～8h</w:t>
            </w:r>
          </w:p>
        </w:tc>
        <w:tc>
          <w:tcPr>
            <w:tcW w:w="1851"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有生命危险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525～600</w:t>
            </w:r>
          </w:p>
        </w:tc>
        <w:tc>
          <w:tcPr>
            <w:tcW w:w="148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1～4h</w:t>
            </w:r>
          </w:p>
        </w:tc>
        <w:tc>
          <w:tcPr>
            <w:tcW w:w="1851"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有生命危险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900</w:t>
            </w:r>
          </w:p>
        </w:tc>
        <w:tc>
          <w:tcPr>
            <w:tcW w:w="148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30min</w:t>
            </w:r>
          </w:p>
        </w:tc>
        <w:tc>
          <w:tcPr>
            <w:tcW w:w="1851"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引起致命性中毒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1500</w:t>
            </w:r>
          </w:p>
        </w:tc>
        <w:tc>
          <w:tcPr>
            <w:tcW w:w="148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w:t>
            </w:r>
          </w:p>
        </w:tc>
        <w:tc>
          <w:tcPr>
            <w:tcW w:w="1851"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引起呼吸道麻痹、有生命危险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1500～2250</w:t>
            </w:r>
          </w:p>
        </w:tc>
        <w:tc>
          <w:tcPr>
            <w:tcW w:w="148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数分钟</w:t>
            </w:r>
          </w:p>
        </w:tc>
        <w:tc>
          <w:tcPr>
            <w:tcW w:w="1851"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死亡</w:t>
            </w:r>
          </w:p>
        </w:tc>
      </w:tr>
    </w:tbl>
    <w:p>
      <w:pPr>
        <w:widowControl/>
        <w:spacing w:before="120" w:beforeLines="50"/>
        <w:ind w:firstLine="482"/>
        <w:rPr>
          <w:rFonts w:cs="Times New Roman"/>
          <w:b/>
          <w:color w:val="000000"/>
          <w:szCs w:val="24"/>
        </w:rPr>
      </w:pPr>
      <w:r>
        <w:rPr>
          <w:rFonts w:cs="Times New Roman"/>
          <w:b/>
          <w:color w:val="000000"/>
          <w:szCs w:val="24"/>
        </w:rPr>
        <w:t>（7）柴油危险性分析</w:t>
      </w:r>
    </w:p>
    <w:p>
      <w:pPr>
        <w:ind w:firstLine="480"/>
        <w:rPr>
          <w:rFonts w:cs="Times New Roman"/>
          <w:color w:val="000000"/>
          <w:kern w:val="0"/>
          <w:szCs w:val="20"/>
        </w:rPr>
      </w:pPr>
      <w:r>
        <w:rPr>
          <w:rFonts w:cs="Times New Roman"/>
          <w:color w:val="000000"/>
          <w:kern w:val="0"/>
          <w:szCs w:val="20"/>
        </w:rPr>
        <w:t>钻井及井下作业过程中使用柴油机作为钻井作业现场电力和动力输出，柴油具有可燃性，其物理化学特性见</w:t>
      </w:r>
      <w:r>
        <w:rPr>
          <w:rFonts w:cs="Times New Roman"/>
          <w:color w:val="000000"/>
          <w:kern w:val="0"/>
          <w:szCs w:val="20"/>
        </w:rPr>
        <w:fldChar w:fldCharType="begin"/>
      </w:r>
      <w:r>
        <w:rPr>
          <w:rFonts w:cs="Times New Roman"/>
          <w:color w:val="000000"/>
          <w:kern w:val="0"/>
          <w:szCs w:val="20"/>
        </w:rPr>
        <w:instrText xml:space="preserve"> REF _Ref142859071 \h  \* MERGEFORMAT </w:instrText>
      </w:r>
      <w:r>
        <w:rPr>
          <w:rFonts w:cs="Times New Roman"/>
          <w:color w:val="000000"/>
          <w:kern w:val="0"/>
          <w:szCs w:val="20"/>
        </w:rPr>
        <w:fldChar w:fldCharType="separate"/>
      </w:r>
      <w:r>
        <w:rPr>
          <w:rFonts w:cs="Times New Roman"/>
          <w:color w:val="000000"/>
        </w:rPr>
        <w:t>表6.1</w:t>
      </w:r>
      <w:r>
        <w:rPr>
          <w:rFonts w:cs="Times New Roman"/>
          <w:color w:val="000000"/>
        </w:rPr>
        <w:noBreakHyphen/>
      </w:r>
      <w:r>
        <w:rPr>
          <w:rFonts w:cs="Times New Roman"/>
          <w:color w:val="000000"/>
        </w:rPr>
        <w:t>5</w:t>
      </w:r>
      <w:r>
        <w:rPr>
          <w:rFonts w:cs="Times New Roman"/>
          <w:color w:val="000000"/>
          <w:kern w:val="0"/>
          <w:szCs w:val="20"/>
        </w:rPr>
        <w:fldChar w:fldCharType="end"/>
      </w:r>
      <w:r>
        <w:rPr>
          <w:rFonts w:cs="Times New Roman"/>
          <w:color w:val="000000"/>
          <w:kern w:val="0"/>
          <w:szCs w:val="20"/>
        </w:rPr>
        <w:t>。</w:t>
      </w:r>
    </w:p>
    <w:p>
      <w:pPr>
        <w:pStyle w:val="95"/>
      </w:pPr>
      <w:bookmarkStart w:id="281" w:name="_Ref142859071"/>
      <w:r>
        <w:t>表</w:t>
      </w:r>
      <w:r>
        <w:fldChar w:fldCharType="begin"/>
      </w:r>
      <w:r>
        <w:instrText xml:space="preserve"> STYLEREF 2 \s </w:instrText>
      </w:r>
      <w:r>
        <w:fldChar w:fldCharType="separate"/>
      </w:r>
      <w:r>
        <w:t>6.1</w:t>
      </w:r>
      <w:r>
        <w:fldChar w:fldCharType="end"/>
      </w:r>
      <w:r>
        <w:noBreakHyphen/>
      </w:r>
      <w:r>
        <w:fldChar w:fldCharType="begin"/>
      </w:r>
      <w:r>
        <w:instrText xml:space="preserve"> SEQ 表 \* ARABIC \s 2 </w:instrText>
      </w:r>
      <w:r>
        <w:fldChar w:fldCharType="separate"/>
      </w:r>
      <w:r>
        <w:t>5</w:t>
      </w:r>
      <w:r>
        <w:fldChar w:fldCharType="end"/>
      </w:r>
      <w:bookmarkEnd w:id="281"/>
      <w:r>
        <w:t xml:space="preserve"> 柴油特性表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1"/>
        <w:gridCol w:w="1948"/>
        <w:gridCol w:w="1883"/>
        <w:gridCol w:w="2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tcBorders>
              <w:top w:val="single" w:color="auto" w:sz="8" w:space="0"/>
              <w:left w:val="single" w:color="auto" w:sz="8" w:space="0"/>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第一部分危险性概述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危险性类别</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第3.3类高闪点易燃液体。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侵入途径</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吸入、食入、经皮肤吸收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健康危害</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皮肤接触柴油可引起接触性皮炎、油性痤疮，吸入可引起吸入性肺炎。能经胎盘进入胎儿血中。柴油废气可引起眼、鼻刺激症状，头痛。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tcBorders>
              <w:left w:val="single" w:color="auto" w:sz="8" w:space="0"/>
              <w:righ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第二部分急救措施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皮肤接触</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脱去污染的衣着，用肥皂和大量清水清洗污染皮肤。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眼睛接触</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立即翻开上下眼睑，用流动清水冲洗，至少15min。就医。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吸入</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脱离现场。脱去污染的衣着，至空气新鲜处，就医。防治吸入性肺炎。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误服</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误服者饮牛奶或植物油，洗胃并灌肠，就医。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tcBorders>
              <w:left w:val="single" w:color="auto" w:sz="8" w:space="0"/>
              <w:righ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第三部分消防措施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危险特性</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遇明火、高热或与氧化剂接触，有引起燃烧爆炸的危险。若遇高热，容器内压增大，有开裂和爆炸的危险。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有害燃烧产物</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灭火方法灭火剂</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泡沫、二氧化碳、干粉、砂土。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tcBorders>
              <w:left w:val="single" w:color="auto" w:sz="8" w:space="0"/>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第四部分泄露应急处理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应急处理</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切断火源。应急处理人员戴好防毒面具，穿化学防护服。在确保安全情况下堵漏。用活性炭或其他惰性材料吸收，然后收集运到空旷处焚烧。如大量泄露，利用围堤收容，然后收集、转移、回收或无害处理后废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tcBorders>
              <w:left w:val="single" w:color="auto" w:sz="8" w:space="0"/>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第五部分操作处置与储存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储存注意事项</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储存于阴凉、通风仓间内。远离火种、热源。保持容器密封。应与氧化剂分开存放。桶装堆垛不可过大，应留墙距、顶距、柱距及必要的防火检查走道。罐储时要有防火防爆技术措施。禁止使用易产生火花的机械设备和工具。充装要控制流速，注意防止静电积聚。搬运时轻装轻卸，防止包装及容器损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tcBorders>
              <w:left w:val="single" w:color="auto" w:sz="8" w:space="0"/>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第六部分接触控制/个体防护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工程控制</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密闭操作，注意通风。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眼睛防护</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必要时戴安全防护眼镜。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呼吸系统防护</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一般不需特殊防护，但建议特殊情况下，佩戴供气式呼吸器。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身体防护</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穿工作服。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手防护</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必要时戴防护手套。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其他防护</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工作现场严禁吸烟。避免长期反复接触。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tcBorders>
              <w:left w:val="single" w:color="auto" w:sz="8" w:space="0"/>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第七部分理化特性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外观及性状</w:t>
            </w:r>
          </w:p>
        </w:tc>
        <w:tc>
          <w:tcPr>
            <w:tcW w:w="194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粘性棕色液体。</w:t>
            </w:r>
          </w:p>
        </w:tc>
        <w:tc>
          <w:tcPr>
            <w:tcW w:w="188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闪点（</w:t>
            </w:r>
            <w:r>
              <w:rPr>
                <w:rFonts w:hint="eastAsia" w:ascii="宋体" w:hAnsi="宋体" w:cs="宋体"/>
                <w:color w:val="000000"/>
                <w:sz w:val="21"/>
                <w:szCs w:val="20"/>
              </w:rPr>
              <w:t>℃</w:t>
            </w:r>
            <w:r>
              <w:rPr>
                <w:rFonts w:cs="Times New Roman"/>
                <w:color w:val="000000"/>
                <w:sz w:val="21"/>
                <w:szCs w:val="20"/>
              </w:rPr>
              <w:t>）</w:t>
            </w:r>
          </w:p>
        </w:tc>
        <w:tc>
          <w:tcPr>
            <w:tcW w:w="2570" w:type="dxa"/>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相对密度</w:t>
            </w:r>
          </w:p>
        </w:tc>
        <w:tc>
          <w:tcPr>
            <w:tcW w:w="194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0.87～0.9（水=1）</w:t>
            </w:r>
          </w:p>
        </w:tc>
        <w:tc>
          <w:tcPr>
            <w:tcW w:w="188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爆炸下限（V%）</w:t>
            </w:r>
          </w:p>
        </w:tc>
        <w:tc>
          <w:tcPr>
            <w:tcW w:w="2570" w:type="dxa"/>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相对密度</w:t>
            </w:r>
          </w:p>
        </w:tc>
        <w:tc>
          <w:tcPr>
            <w:tcW w:w="194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3.5（空气=1）</w:t>
            </w:r>
          </w:p>
        </w:tc>
        <w:tc>
          <w:tcPr>
            <w:tcW w:w="188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爆炸上限（V%）</w:t>
            </w:r>
          </w:p>
        </w:tc>
        <w:tc>
          <w:tcPr>
            <w:tcW w:w="2570" w:type="dxa"/>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引燃温度（</w:t>
            </w:r>
            <w:r>
              <w:rPr>
                <w:rFonts w:hint="eastAsia" w:ascii="宋体" w:hAnsi="宋体" w:cs="宋体"/>
                <w:b/>
                <w:bCs/>
                <w:color w:val="000000"/>
                <w:sz w:val="21"/>
                <w:szCs w:val="20"/>
              </w:rPr>
              <w:t>℃</w:t>
            </w:r>
            <w:r>
              <w:rPr>
                <w:rFonts w:cs="Times New Roman"/>
                <w:b/>
                <w:bCs/>
                <w:color w:val="000000"/>
                <w:sz w:val="21"/>
                <w:szCs w:val="20"/>
              </w:rPr>
              <w:t>）</w:t>
            </w:r>
          </w:p>
        </w:tc>
        <w:tc>
          <w:tcPr>
            <w:tcW w:w="194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257</w:t>
            </w:r>
          </w:p>
        </w:tc>
        <w:tc>
          <w:tcPr>
            <w:tcW w:w="188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用途</w:t>
            </w:r>
          </w:p>
        </w:tc>
        <w:tc>
          <w:tcPr>
            <w:tcW w:w="2570" w:type="dxa"/>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用作柴油机的燃料。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溶解性</w:t>
            </w:r>
          </w:p>
        </w:tc>
        <w:tc>
          <w:tcPr>
            <w:tcW w:w="6401" w:type="dxa"/>
            <w:gridSpan w:val="3"/>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不溶于水，易溶于苯、二硫化碳、醇，易溶于脂肪。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tcBorders>
              <w:left w:val="single" w:color="auto" w:sz="8" w:space="0"/>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第八部分稳定性及化学活性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稳定性</w:t>
            </w:r>
          </w:p>
        </w:tc>
        <w:tc>
          <w:tcPr>
            <w:tcW w:w="194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稳定</w:t>
            </w:r>
          </w:p>
        </w:tc>
        <w:tc>
          <w:tcPr>
            <w:tcW w:w="188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避免接触的条件</w:t>
            </w:r>
          </w:p>
        </w:tc>
        <w:tc>
          <w:tcPr>
            <w:tcW w:w="2570" w:type="dxa"/>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明火、高热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禁配物</w:t>
            </w:r>
          </w:p>
        </w:tc>
        <w:tc>
          <w:tcPr>
            <w:tcW w:w="1948"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强氧化剂、卤素</w:t>
            </w:r>
          </w:p>
        </w:tc>
        <w:tc>
          <w:tcPr>
            <w:tcW w:w="188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聚合危害</w:t>
            </w:r>
          </w:p>
        </w:tc>
        <w:tc>
          <w:tcPr>
            <w:tcW w:w="2570" w:type="dxa"/>
            <w:tcBorders>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不能出现。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tcBorders>
              <w:left w:val="single" w:color="auto" w:sz="8" w:space="0"/>
              <w:bottom w:val="single" w:color="auto" w:sz="8" w:space="0"/>
            </w:tcBorders>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分解产物</w:t>
            </w:r>
          </w:p>
        </w:tc>
        <w:tc>
          <w:tcPr>
            <w:tcW w:w="6401" w:type="dxa"/>
            <w:gridSpan w:val="3"/>
            <w:tcBorders>
              <w:bottom w:val="single" w:color="auto" w:sz="8" w:space="0"/>
              <w:right w:val="single" w:color="auto" w:sz="8" w:space="0"/>
            </w:tcBorders>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一氧化碳、二氧化碳。</w:t>
            </w:r>
          </w:p>
        </w:tc>
      </w:tr>
    </w:tbl>
    <w:p>
      <w:pPr>
        <w:widowControl/>
        <w:spacing w:before="120" w:beforeLines="50"/>
        <w:ind w:firstLine="482"/>
        <w:rPr>
          <w:rFonts w:cs="Times New Roman"/>
          <w:b/>
          <w:szCs w:val="24"/>
        </w:rPr>
      </w:pPr>
      <w:bookmarkStart w:id="282" w:name="_Hlk149209077"/>
      <w:r>
        <w:rPr>
          <w:rFonts w:cs="Times New Roman"/>
          <w:b/>
          <w:szCs w:val="24"/>
        </w:rPr>
        <w:t>（8）白油危险性分析</w:t>
      </w:r>
    </w:p>
    <w:p>
      <w:pPr>
        <w:ind w:firstLine="480"/>
        <w:rPr>
          <w:rFonts w:cs="Times New Roman"/>
          <w:kern w:val="0"/>
          <w:szCs w:val="20"/>
        </w:rPr>
      </w:pPr>
      <w:r>
        <w:rPr>
          <w:rFonts w:cs="Times New Roman"/>
          <w:kern w:val="0"/>
          <w:szCs w:val="20"/>
        </w:rPr>
        <w:t>白油为石油分馏的高沸馏分，不在现场储存，仅在紧急情况下临时调用，其物理化学特性见</w:t>
      </w:r>
      <w:r>
        <w:rPr>
          <w:rFonts w:cs="Times New Roman"/>
          <w:kern w:val="0"/>
          <w:szCs w:val="24"/>
        </w:rPr>
        <w:fldChar w:fldCharType="begin"/>
      </w:r>
      <w:r>
        <w:rPr>
          <w:rFonts w:cs="Times New Roman"/>
          <w:kern w:val="0"/>
          <w:szCs w:val="24"/>
        </w:rPr>
        <w:instrText xml:space="preserve"> REF _Ref28020 \h  \* MERGEFORMAT </w:instrText>
      </w:r>
      <w:r>
        <w:rPr>
          <w:rFonts w:cs="Times New Roman"/>
          <w:kern w:val="0"/>
          <w:szCs w:val="24"/>
        </w:rPr>
        <w:fldChar w:fldCharType="separate"/>
      </w:r>
      <w:r>
        <w:rPr>
          <w:rFonts w:cs="Times New Roman"/>
          <w:szCs w:val="24"/>
        </w:rPr>
        <w:t>表 6.1-6</w:t>
      </w:r>
      <w:r>
        <w:rPr>
          <w:rFonts w:cs="Times New Roman"/>
          <w:kern w:val="0"/>
          <w:szCs w:val="24"/>
        </w:rPr>
        <w:fldChar w:fldCharType="end"/>
      </w:r>
      <w:r>
        <w:rPr>
          <w:rFonts w:cs="Times New Roman"/>
          <w:kern w:val="0"/>
          <w:szCs w:val="20"/>
        </w:rPr>
        <w:t>。</w:t>
      </w:r>
    </w:p>
    <w:p>
      <w:pPr>
        <w:pStyle w:val="95"/>
      </w:pPr>
      <w:bookmarkStart w:id="283" w:name="_Ref28020"/>
    </w:p>
    <w:p>
      <w:pPr>
        <w:pStyle w:val="95"/>
      </w:pPr>
      <w:r>
        <w:t>表 6.1-</w:t>
      </w:r>
      <w:bookmarkEnd w:id="283"/>
      <w:r>
        <w:t>6  白油特性表</w:t>
      </w:r>
    </w:p>
    <w:tbl>
      <w:tblPr>
        <w:tblStyle w:val="89"/>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500"/>
        <w:gridCol w:w="913"/>
        <w:gridCol w:w="422"/>
        <w:gridCol w:w="1729"/>
        <w:gridCol w:w="651"/>
        <w:gridCol w:w="842"/>
        <w:gridCol w:w="138"/>
        <w:gridCol w:w="95"/>
        <w:gridCol w:w="2004"/>
        <w:gridCol w:w="423"/>
        <w:gridCol w:w="50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500" w:type="dxa"/>
            <w:vMerge w:val="restart"/>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标识</w:t>
            </w:r>
          </w:p>
        </w:tc>
        <w:tc>
          <w:tcPr>
            <w:tcW w:w="1335" w:type="dxa"/>
            <w:gridSpan w:val="2"/>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中文名</w:t>
            </w:r>
          </w:p>
        </w:tc>
        <w:tc>
          <w:tcPr>
            <w:tcW w:w="3360" w:type="dxa"/>
            <w:gridSpan w:val="4"/>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白油</w:t>
            </w:r>
          </w:p>
        </w:tc>
        <w:tc>
          <w:tcPr>
            <w:tcW w:w="2099" w:type="dxa"/>
            <w:gridSpan w:val="2"/>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危货及UN编号</w:t>
            </w:r>
          </w:p>
        </w:tc>
        <w:tc>
          <w:tcPr>
            <w:tcW w:w="928" w:type="dxa"/>
            <w:gridSpan w:val="2"/>
            <w:vAlign w:val="center"/>
          </w:tcPr>
          <w:p>
            <w:pPr>
              <w:widowControl/>
              <w:spacing w:line="240" w:lineRule="auto"/>
              <w:ind w:firstLine="0" w:firstLineChars="0"/>
              <w:jc w:val="center"/>
              <w:textAlignment w:val="center"/>
              <w:rPr>
                <w:rFonts w:cs="Times New Roman"/>
                <w:iCs/>
                <w:sz w:val="21"/>
                <w:szCs w:val="24"/>
                <w:lang w:eastAsia="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sz w:val="21"/>
                <w:szCs w:val="24"/>
                <w:lang w:eastAsia="en-US"/>
              </w:rPr>
            </w:pPr>
          </w:p>
        </w:tc>
        <w:tc>
          <w:tcPr>
            <w:tcW w:w="1335" w:type="dxa"/>
            <w:gridSpan w:val="2"/>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主要成分</w:t>
            </w:r>
          </w:p>
        </w:tc>
        <w:tc>
          <w:tcPr>
            <w:tcW w:w="3360" w:type="dxa"/>
            <w:gridSpan w:val="4"/>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C16～C31的正异构烷烃的混合物</w:t>
            </w:r>
          </w:p>
        </w:tc>
        <w:tc>
          <w:tcPr>
            <w:tcW w:w="2099" w:type="dxa"/>
            <w:gridSpan w:val="2"/>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分子量</w:t>
            </w:r>
          </w:p>
        </w:tc>
        <w:tc>
          <w:tcPr>
            <w:tcW w:w="928" w:type="dxa"/>
            <w:gridSpan w:val="2"/>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250～450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restart"/>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理化特性</w:t>
            </w:r>
          </w:p>
        </w:tc>
        <w:tc>
          <w:tcPr>
            <w:tcW w:w="1335" w:type="dxa"/>
            <w:gridSpan w:val="2"/>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相对密度（水=1）</w:t>
            </w:r>
          </w:p>
        </w:tc>
        <w:tc>
          <w:tcPr>
            <w:tcW w:w="3360" w:type="dxa"/>
            <w:gridSpan w:val="4"/>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0.831～0.883</w:t>
            </w:r>
          </w:p>
        </w:tc>
        <w:tc>
          <w:tcPr>
            <w:tcW w:w="2099" w:type="dxa"/>
            <w:gridSpan w:val="2"/>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相对密度（空气=1）</w:t>
            </w:r>
          </w:p>
        </w:tc>
        <w:tc>
          <w:tcPr>
            <w:tcW w:w="928" w:type="dxa"/>
            <w:gridSpan w:val="2"/>
            <w:vAlign w:val="center"/>
          </w:tcPr>
          <w:p>
            <w:pPr>
              <w:widowControl/>
              <w:spacing w:line="240" w:lineRule="auto"/>
              <w:ind w:firstLine="0" w:firstLineChars="0"/>
              <w:jc w:val="center"/>
              <w:textAlignment w:val="center"/>
              <w:rPr>
                <w:rFonts w:cs="Times New Roman"/>
                <w:iCs/>
                <w:sz w:val="21"/>
                <w:szCs w:val="24"/>
                <w:lang w:eastAsia="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sz w:val="21"/>
                <w:szCs w:val="24"/>
                <w:lang w:eastAsia="en-US"/>
              </w:rPr>
            </w:pPr>
          </w:p>
        </w:tc>
        <w:tc>
          <w:tcPr>
            <w:tcW w:w="1335" w:type="dxa"/>
            <w:gridSpan w:val="2"/>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外观与性状</w:t>
            </w:r>
          </w:p>
        </w:tc>
        <w:tc>
          <w:tcPr>
            <w:tcW w:w="6387" w:type="dxa"/>
            <w:gridSpan w:val="8"/>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无色透明油状液体，无臭味，具有润滑性。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sz w:val="21"/>
                <w:szCs w:val="24"/>
                <w:lang w:eastAsia="en-US"/>
              </w:rPr>
            </w:pPr>
          </w:p>
        </w:tc>
        <w:tc>
          <w:tcPr>
            <w:tcW w:w="1335" w:type="dxa"/>
            <w:gridSpan w:val="2"/>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溶解性</w:t>
            </w:r>
          </w:p>
        </w:tc>
        <w:tc>
          <w:tcPr>
            <w:tcW w:w="6387" w:type="dxa"/>
            <w:gridSpan w:val="8"/>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不溶于水和乙醇。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sz w:val="21"/>
                <w:szCs w:val="24"/>
                <w:lang w:eastAsia="en-US"/>
              </w:rPr>
            </w:pPr>
          </w:p>
        </w:tc>
        <w:tc>
          <w:tcPr>
            <w:tcW w:w="1335" w:type="dxa"/>
            <w:gridSpan w:val="2"/>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沸点，</w:t>
            </w:r>
            <w:r>
              <w:rPr>
                <w:rFonts w:hint="eastAsia" w:ascii="宋体" w:hAnsi="宋体" w:cs="宋体"/>
                <w:iCs/>
                <w:sz w:val="21"/>
                <w:szCs w:val="24"/>
                <w:lang w:eastAsia="en-US"/>
              </w:rPr>
              <w:t>℃</w:t>
            </w:r>
          </w:p>
        </w:tc>
        <w:tc>
          <w:tcPr>
            <w:tcW w:w="1729" w:type="dxa"/>
            <w:vAlign w:val="center"/>
          </w:tcPr>
          <w:p>
            <w:pPr>
              <w:widowControl/>
              <w:spacing w:line="240" w:lineRule="auto"/>
              <w:ind w:firstLine="0" w:firstLineChars="0"/>
              <w:jc w:val="center"/>
              <w:textAlignment w:val="center"/>
              <w:rPr>
                <w:rFonts w:cs="Times New Roman"/>
                <w:iCs/>
                <w:sz w:val="21"/>
                <w:szCs w:val="24"/>
                <w:lang w:eastAsia="en-US"/>
              </w:rPr>
            </w:pPr>
          </w:p>
        </w:tc>
        <w:tc>
          <w:tcPr>
            <w:tcW w:w="1726" w:type="dxa"/>
            <w:gridSpan w:val="4"/>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熔点，</w:t>
            </w:r>
            <w:r>
              <w:rPr>
                <w:rFonts w:hint="eastAsia" w:ascii="宋体" w:hAnsi="宋体" w:cs="宋体"/>
                <w:iCs/>
                <w:sz w:val="21"/>
                <w:szCs w:val="24"/>
                <w:lang w:eastAsia="en-US"/>
              </w:rPr>
              <w:t>℃</w:t>
            </w:r>
          </w:p>
        </w:tc>
        <w:tc>
          <w:tcPr>
            <w:tcW w:w="2932" w:type="dxa"/>
            <w:gridSpan w:val="3"/>
            <w:vAlign w:val="center"/>
          </w:tcPr>
          <w:p>
            <w:pPr>
              <w:widowControl/>
              <w:spacing w:line="240" w:lineRule="auto"/>
              <w:ind w:firstLine="0" w:firstLineChars="0"/>
              <w:jc w:val="center"/>
              <w:textAlignment w:val="center"/>
              <w:rPr>
                <w:rFonts w:cs="Times New Roman"/>
                <w:iCs/>
                <w:sz w:val="21"/>
                <w:szCs w:val="24"/>
                <w:lang w:eastAsia="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restart"/>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燃爆特性</w:t>
            </w:r>
          </w:p>
        </w:tc>
        <w:tc>
          <w:tcPr>
            <w:tcW w:w="1335" w:type="dxa"/>
            <w:gridSpan w:val="2"/>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闪点，</w:t>
            </w:r>
            <w:r>
              <w:rPr>
                <w:rFonts w:hint="eastAsia" w:ascii="宋体" w:hAnsi="宋体" w:cs="宋体"/>
                <w:iCs/>
                <w:sz w:val="21"/>
                <w:szCs w:val="24"/>
                <w:lang w:eastAsia="en-US"/>
              </w:rPr>
              <w:t>℃</w:t>
            </w:r>
          </w:p>
        </w:tc>
        <w:tc>
          <w:tcPr>
            <w:tcW w:w="1729" w:type="dxa"/>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≥130</w:t>
            </w:r>
            <w:r>
              <w:rPr>
                <w:rFonts w:hint="eastAsia" w:ascii="宋体" w:hAnsi="宋体" w:cs="宋体"/>
                <w:iCs/>
                <w:sz w:val="21"/>
                <w:szCs w:val="24"/>
                <w:lang w:eastAsia="en-US"/>
              </w:rPr>
              <w:t>℃</w:t>
            </w:r>
          </w:p>
        </w:tc>
        <w:tc>
          <w:tcPr>
            <w:tcW w:w="3730" w:type="dxa"/>
            <w:gridSpan w:val="5"/>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爆炸极限，%(V/V)</w:t>
            </w:r>
          </w:p>
        </w:tc>
        <w:tc>
          <w:tcPr>
            <w:tcW w:w="928" w:type="dxa"/>
            <w:gridSpan w:val="2"/>
            <w:vAlign w:val="center"/>
          </w:tcPr>
          <w:p>
            <w:pPr>
              <w:widowControl/>
              <w:spacing w:line="240" w:lineRule="auto"/>
              <w:ind w:firstLine="0" w:firstLineChars="0"/>
              <w:jc w:val="center"/>
              <w:textAlignment w:val="center"/>
              <w:rPr>
                <w:rFonts w:cs="Times New Roman"/>
                <w:iCs/>
                <w:sz w:val="21"/>
                <w:szCs w:val="24"/>
                <w:lang w:eastAsia="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sz w:val="21"/>
                <w:szCs w:val="24"/>
                <w:lang w:eastAsia="en-US"/>
              </w:rPr>
            </w:pPr>
          </w:p>
        </w:tc>
        <w:tc>
          <w:tcPr>
            <w:tcW w:w="1335" w:type="dxa"/>
            <w:gridSpan w:val="2"/>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引燃温度，</w:t>
            </w:r>
            <w:r>
              <w:rPr>
                <w:rFonts w:hint="eastAsia" w:ascii="宋体" w:hAnsi="宋体" w:cs="宋体"/>
                <w:iCs/>
                <w:sz w:val="21"/>
                <w:szCs w:val="24"/>
                <w:lang w:eastAsia="en-US"/>
              </w:rPr>
              <w:t>℃</w:t>
            </w:r>
          </w:p>
        </w:tc>
        <w:tc>
          <w:tcPr>
            <w:tcW w:w="1729" w:type="dxa"/>
            <w:vAlign w:val="center"/>
          </w:tcPr>
          <w:p>
            <w:pPr>
              <w:widowControl/>
              <w:spacing w:line="240" w:lineRule="auto"/>
              <w:ind w:firstLine="0" w:firstLineChars="0"/>
              <w:jc w:val="center"/>
              <w:textAlignment w:val="center"/>
              <w:rPr>
                <w:rFonts w:cs="Times New Roman"/>
                <w:iCs/>
                <w:sz w:val="21"/>
                <w:szCs w:val="24"/>
                <w:lang w:eastAsia="en-US"/>
              </w:rPr>
            </w:pPr>
          </w:p>
        </w:tc>
        <w:tc>
          <w:tcPr>
            <w:tcW w:w="3730" w:type="dxa"/>
            <w:gridSpan w:val="5"/>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临界压力，MPa</w:t>
            </w:r>
          </w:p>
        </w:tc>
        <w:tc>
          <w:tcPr>
            <w:tcW w:w="928" w:type="dxa"/>
            <w:gridSpan w:val="2"/>
            <w:vAlign w:val="center"/>
          </w:tcPr>
          <w:p>
            <w:pPr>
              <w:widowControl/>
              <w:spacing w:line="240" w:lineRule="auto"/>
              <w:ind w:firstLine="0" w:firstLineChars="0"/>
              <w:jc w:val="center"/>
              <w:textAlignment w:val="center"/>
              <w:rPr>
                <w:rFonts w:cs="Times New Roman"/>
                <w:iCs/>
                <w:sz w:val="21"/>
                <w:szCs w:val="24"/>
                <w:lang w:eastAsia="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sz w:val="21"/>
                <w:szCs w:val="24"/>
                <w:lang w:eastAsia="en-US"/>
              </w:rPr>
            </w:pPr>
          </w:p>
        </w:tc>
        <w:tc>
          <w:tcPr>
            <w:tcW w:w="1335" w:type="dxa"/>
            <w:gridSpan w:val="2"/>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火灾危险类别</w:t>
            </w:r>
          </w:p>
        </w:tc>
        <w:tc>
          <w:tcPr>
            <w:tcW w:w="1729" w:type="dxa"/>
            <w:vAlign w:val="center"/>
          </w:tcPr>
          <w:p>
            <w:pPr>
              <w:widowControl/>
              <w:spacing w:line="240" w:lineRule="auto"/>
              <w:ind w:firstLine="0" w:firstLineChars="0"/>
              <w:jc w:val="center"/>
              <w:textAlignment w:val="center"/>
              <w:rPr>
                <w:rFonts w:cs="Times New Roman"/>
                <w:iCs/>
                <w:sz w:val="21"/>
                <w:szCs w:val="24"/>
                <w:lang w:eastAsia="en-US"/>
              </w:rPr>
            </w:pPr>
          </w:p>
        </w:tc>
        <w:tc>
          <w:tcPr>
            <w:tcW w:w="3730" w:type="dxa"/>
            <w:gridSpan w:val="5"/>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爆炸危险组别/类别</w:t>
            </w:r>
          </w:p>
        </w:tc>
        <w:tc>
          <w:tcPr>
            <w:tcW w:w="928" w:type="dxa"/>
            <w:gridSpan w:val="2"/>
            <w:vAlign w:val="center"/>
          </w:tcPr>
          <w:p>
            <w:pPr>
              <w:widowControl/>
              <w:spacing w:line="240" w:lineRule="auto"/>
              <w:ind w:firstLine="0" w:firstLineChars="0"/>
              <w:jc w:val="center"/>
              <w:textAlignment w:val="center"/>
              <w:rPr>
                <w:rFonts w:cs="Times New Roman"/>
                <w:iCs/>
                <w:sz w:val="21"/>
                <w:szCs w:val="24"/>
                <w:lang w:eastAsia="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sz w:val="21"/>
                <w:szCs w:val="24"/>
                <w:lang w:eastAsia="en-US"/>
              </w:rPr>
            </w:pPr>
          </w:p>
        </w:tc>
        <w:tc>
          <w:tcPr>
            <w:tcW w:w="1335" w:type="dxa"/>
            <w:gridSpan w:val="2"/>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危险特性</w:t>
            </w:r>
          </w:p>
        </w:tc>
        <w:tc>
          <w:tcPr>
            <w:tcW w:w="6387" w:type="dxa"/>
            <w:gridSpan w:val="8"/>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温度过高热、明火或与氧化剂接触，均有引燃危险。容器内压增大有 开裂或爆炸危险。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sz w:val="21"/>
                <w:szCs w:val="24"/>
                <w:lang w:eastAsia="en-US"/>
              </w:rPr>
            </w:pPr>
          </w:p>
        </w:tc>
        <w:tc>
          <w:tcPr>
            <w:tcW w:w="1335" w:type="dxa"/>
            <w:gridSpan w:val="2"/>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灭火方法</w:t>
            </w:r>
          </w:p>
        </w:tc>
        <w:tc>
          <w:tcPr>
            <w:tcW w:w="6387" w:type="dxa"/>
            <w:gridSpan w:val="8"/>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灭火剂：二氧化碳﹑干化学粉末、泡沫、砂、泥土或水雾(不可用水 喷射)。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restart"/>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毒性及健康危害</w:t>
            </w:r>
          </w:p>
        </w:tc>
        <w:tc>
          <w:tcPr>
            <w:tcW w:w="913" w:type="dxa"/>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急性毒性</w:t>
            </w:r>
          </w:p>
        </w:tc>
        <w:tc>
          <w:tcPr>
            <w:tcW w:w="2802" w:type="dxa"/>
            <w:gridSpan w:val="3"/>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LD50(mg/kg,大鼠经口)</w:t>
            </w:r>
          </w:p>
        </w:tc>
        <w:tc>
          <w:tcPr>
            <w:tcW w:w="842" w:type="dxa"/>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w:t>
            </w:r>
          </w:p>
        </w:tc>
        <w:tc>
          <w:tcPr>
            <w:tcW w:w="2660" w:type="dxa"/>
            <w:gridSpan w:val="4"/>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LC50（mg/m</w:t>
            </w:r>
            <w:r>
              <w:rPr>
                <w:rFonts w:cs="Times New Roman"/>
                <w:iCs/>
                <w:sz w:val="21"/>
                <w:szCs w:val="24"/>
                <w:vertAlign w:val="superscript"/>
                <w:lang w:eastAsia="en-US"/>
              </w:rPr>
              <w:t>3</w:t>
            </w:r>
            <w:r>
              <w:rPr>
                <w:rFonts w:cs="Times New Roman"/>
                <w:iCs/>
                <w:sz w:val="21"/>
                <w:szCs w:val="24"/>
                <w:lang w:eastAsia="en-US"/>
              </w:rPr>
              <w:t>，大鼠吸入）</w:t>
            </w:r>
          </w:p>
        </w:tc>
        <w:tc>
          <w:tcPr>
            <w:tcW w:w="505" w:type="dxa"/>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sz w:val="21"/>
                <w:szCs w:val="24"/>
                <w:lang w:eastAsia="en-US"/>
              </w:rPr>
            </w:pPr>
          </w:p>
        </w:tc>
        <w:tc>
          <w:tcPr>
            <w:tcW w:w="913" w:type="dxa"/>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健康危害</w:t>
            </w:r>
          </w:p>
        </w:tc>
        <w:tc>
          <w:tcPr>
            <w:tcW w:w="6809" w:type="dxa"/>
            <w:gridSpan w:val="9"/>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吸入：吸入大量挥发气体会感觉眩晕。</w:t>
            </w:r>
            <w:r>
              <w:rPr>
                <w:rFonts w:cs="Times New Roman"/>
                <w:iCs/>
                <w:sz w:val="21"/>
                <w:szCs w:val="24"/>
                <w:lang w:eastAsia="en-US"/>
              </w:rPr>
              <w:tab/>
            </w:r>
            <w:r>
              <w:rPr>
                <w:rFonts w:cs="Times New Roman"/>
                <w:iCs/>
                <w:sz w:val="21"/>
                <w:szCs w:val="24"/>
                <w:lang w:eastAsia="en-US"/>
              </w:rPr>
              <w:t>眼接触：有刺激感，损伤视力。</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sz w:val="21"/>
                <w:szCs w:val="24"/>
                <w:lang w:eastAsia="en-US"/>
              </w:rPr>
            </w:pPr>
          </w:p>
        </w:tc>
        <w:tc>
          <w:tcPr>
            <w:tcW w:w="913" w:type="dxa"/>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操作注意事项</w:t>
            </w:r>
          </w:p>
        </w:tc>
        <w:tc>
          <w:tcPr>
            <w:tcW w:w="6809" w:type="dxa"/>
            <w:gridSpan w:val="9"/>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密闭操作，全面通风。操作人员必须经过专门培训，严格遵守操作规程。远离火种、热源，工作场所严禁吸烟。使用防爆型的通风系统和设备。防止气体泄漏到工作场所空气中。避免与氧化剂接触。在传送过程中，容器必须接地和跨接，防止产生静电。搬运时轻装轻卸，防止容器及附件破损。配备相应品种和数量的消防器材及泄漏应急处理设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sz w:val="21"/>
                <w:szCs w:val="24"/>
                <w:lang w:eastAsia="en-US"/>
              </w:rPr>
            </w:pPr>
          </w:p>
        </w:tc>
        <w:tc>
          <w:tcPr>
            <w:tcW w:w="913" w:type="dxa"/>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急救措施</w:t>
            </w:r>
          </w:p>
        </w:tc>
        <w:tc>
          <w:tcPr>
            <w:tcW w:w="6809" w:type="dxa"/>
            <w:gridSpan w:val="9"/>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皮肤接触：建议使用脂枪加脂，如意外注射使皮肤受伤，应送医治疗。眼接触：张开眼皮，以洁净清水冲洗，如刺激持续，建议看医生。食入：用清水洗胃稀释，毋须诱发呕吐，如大量入肚确感不适，需立即就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泄漏应急处理</w:t>
            </w:r>
          </w:p>
        </w:tc>
        <w:tc>
          <w:tcPr>
            <w:tcW w:w="7722" w:type="dxa"/>
            <w:gridSpan w:val="10"/>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迅速撤离泄漏污染区人员至上风处，并进行隔离，严格限制出入。切断火源，防止火花产生，除处理备油人员外，从速撤离现场，避免吸入油雾；小量泄漏：用砂泥土或木屑，吸收溢出的油，然后移至安全地点。根据有关法例处理，后以大量水冲洗被沾污的地方；大量泄漏：以砂或泥土截溢油蔓延，防止溢油流入下水道。如有可能，将溢油以槽罐截起，随后处理，或按“小量泄漏”方法处理。漏气容器要妥善处理，修复、检验后再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储运</w:t>
            </w:r>
          </w:p>
        </w:tc>
        <w:tc>
          <w:tcPr>
            <w:tcW w:w="7722" w:type="dxa"/>
            <w:gridSpan w:val="10"/>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储存于阴凉、通风的库房。远离火种、热源。库温不宜超过30</w:t>
            </w:r>
            <w:r>
              <w:rPr>
                <w:rFonts w:hint="eastAsia" w:ascii="宋体" w:hAnsi="宋体" w:cs="宋体"/>
                <w:iCs/>
                <w:sz w:val="21"/>
                <w:szCs w:val="24"/>
                <w:lang w:eastAsia="en-US"/>
              </w:rPr>
              <w:t>℃</w:t>
            </w:r>
            <w:r>
              <w:rPr>
                <w:rFonts w:cs="Times New Roman"/>
                <w:iCs/>
                <w:sz w:val="21"/>
                <w:szCs w:val="24"/>
                <w:lang w:eastAsia="en-US"/>
              </w:rPr>
              <w:t>。应与氧化剂等分开</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00" w:type="dxa"/>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注意事项</w:t>
            </w:r>
          </w:p>
        </w:tc>
        <w:tc>
          <w:tcPr>
            <w:tcW w:w="7722" w:type="dxa"/>
            <w:gridSpan w:val="10"/>
            <w:vAlign w:val="center"/>
          </w:tcPr>
          <w:p>
            <w:pPr>
              <w:widowControl/>
              <w:spacing w:line="240" w:lineRule="auto"/>
              <w:ind w:firstLine="0" w:firstLineChars="0"/>
              <w:jc w:val="center"/>
              <w:textAlignment w:val="center"/>
              <w:rPr>
                <w:rFonts w:cs="Times New Roman"/>
                <w:iCs/>
                <w:sz w:val="21"/>
                <w:szCs w:val="24"/>
                <w:lang w:eastAsia="en-US"/>
              </w:rPr>
            </w:pPr>
            <w:r>
              <w:rPr>
                <w:rFonts w:cs="Times New Roman"/>
                <w:iCs/>
                <w:sz w:val="21"/>
                <w:szCs w:val="24"/>
                <w:lang w:eastAsia="en-US"/>
              </w:rPr>
              <w:t>存放，切忌混储。采用防爆型照明、通风设施。禁止使用易产生火花的机械设备和工具。储区应备有泄漏应急处理设备。储存容器必须加盖密封，减少挥发量；避免日光照射，置于低处放置；使用：轻拿轻放，使用者戴手套。特殊注意事项：避免过多接触，工作完毕后沐浴更衣。运输时运输车辆应配备相应品种和数量的消防器材。装运该物品的车辆排气管必须配备阻火装置，禁止使用易产生火花的机械设备和工具装卸。严禁与氧化剂等混装混运。夏季应早晚运输，防止日光曝晒。中途停留时应远离火种、热源。</w:t>
            </w:r>
          </w:p>
        </w:tc>
      </w:tr>
    </w:tbl>
    <w:p>
      <w:pPr>
        <w:spacing w:before="120" w:beforeLines="50"/>
        <w:ind w:firstLine="482"/>
        <w:rPr>
          <w:rFonts w:cs="Times New Roman"/>
          <w:b/>
          <w:bCs/>
          <w:szCs w:val="24"/>
        </w:rPr>
      </w:pPr>
      <w:r>
        <w:rPr>
          <w:rFonts w:cs="Times New Roman"/>
          <w:b/>
          <w:bCs/>
          <w:szCs w:val="24"/>
        </w:rPr>
        <w:t>（9）压裂前置酸（主要成分为7%的稀盐酸）</w:t>
      </w:r>
    </w:p>
    <w:p>
      <w:pPr>
        <w:ind w:firstLine="480"/>
        <w:rPr>
          <w:rFonts w:cs="Times New Roman"/>
          <w:szCs w:val="24"/>
        </w:rPr>
      </w:pPr>
      <w:r>
        <w:rPr>
          <w:rFonts w:cs="Times New Roman"/>
          <w:szCs w:val="24"/>
        </w:rPr>
        <w:t>盐酸，化学式为HCl，是氯化氢水溶液，相对密度1.187。熔点：114.8</w:t>
      </w:r>
      <w:r>
        <w:rPr>
          <w:rFonts w:hint="eastAsia" w:ascii="宋体" w:hAnsi="宋体" w:cs="宋体"/>
          <w:szCs w:val="24"/>
        </w:rPr>
        <w:t>℃</w:t>
      </w:r>
      <w:r>
        <w:rPr>
          <w:rFonts w:cs="Times New Roman"/>
          <w:szCs w:val="24"/>
        </w:rPr>
        <w:t>。沸点：84.9</w:t>
      </w:r>
      <w:r>
        <w:rPr>
          <w:rFonts w:hint="eastAsia" w:ascii="宋体" w:hAnsi="宋体" w:cs="宋体"/>
          <w:szCs w:val="24"/>
        </w:rPr>
        <w:t>℃</w:t>
      </w:r>
      <w:r>
        <w:rPr>
          <w:rFonts w:cs="Times New Roman"/>
          <w:szCs w:val="24"/>
        </w:rPr>
        <w:t>。易溶于水，有强烈的腐蚀性，能腐蚀金属，对动植物纤维和人体肌肤均有腐蚀作用。浓盐酸在空气中发烟，触及氨蒸气会生成白色云雾。氯化氢气体对动植物有害。盐酸是极强的无机酸，高浓度对人体有极度伤害，具有刺激性气味，能和很多金属发生反映。</w:t>
      </w:r>
    </w:p>
    <w:p>
      <w:pPr>
        <w:ind w:firstLine="480"/>
        <w:rPr>
          <w:rFonts w:cs="Times New Roman"/>
          <w:szCs w:val="24"/>
        </w:rPr>
      </w:pPr>
      <w:r>
        <w:rPr>
          <w:rFonts w:cs="Times New Roman"/>
          <w:szCs w:val="24"/>
        </w:rPr>
        <w:t>健康危害：接触其蒸气或烟雾，可引起急性中毒：出现眼结膜炎，鼻及口腔粘膜有烧灼感，鼻出血、齿龈出血，气管炎等。误服可引起消化道灼伤、溃疡形成，有可能引起胃穿孔、腹膜炎等。眼和皮肤接触可致灼伤。</w:t>
      </w:r>
    </w:p>
    <w:p>
      <w:pPr>
        <w:ind w:firstLine="480"/>
        <w:rPr>
          <w:rFonts w:cs="Times New Roman"/>
          <w:szCs w:val="24"/>
        </w:rPr>
      </w:pPr>
      <w:r>
        <w:rPr>
          <w:rFonts w:cs="Times New Roman"/>
          <w:szCs w:val="24"/>
        </w:rPr>
        <w:t>危险特性：易燃，具刺激性。遇明火、高热源或与氧化剂接触，有引起燃烧爆炸的危险。若遇高热，容器内压增大，有开裂和爆炸的危险。</w:t>
      </w:r>
    </w:p>
    <w:p>
      <w:pPr>
        <w:ind w:firstLine="480"/>
        <w:rPr>
          <w:rFonts w:cs="Times New Roman"/>
          <w:szCs w:val="24"/>
        </w:rPr>
      </w:pPr>
      <w:r>
        <w:rPr>
          <w:rFonts w:cs="Times New Roman"/>
          <w:szCs w:val="24"/>
        </w:rPr>
        <w:t>慢性影响：长期接触，引起慢性鼻炎、慢性支气管炎、牙齿酸蚀症及皮肤损害。</w:t>
      </w:r>
    </w:p>
    <w:p>
      <w:pPr>
        <w:ind w:firstLine="480"/>
        <w:rPr>
          <w:rFonts w:cs="Times New Roman"/>
          <w:szCs w:val="24"/>
        </w:rPr>
      </w:pPr>
      <w:r>
        <w:rPr>
          <w:rFonts w:cs="Times New Roman"/>
          <w:szCs w:val="24"/>
        </w:rPr>
        <w:t>环境危害：对环境有危害，对水体和土壤可造成污染。</w:t>
      </w:r>
    </w:p>
    <w:p>
      <w:pPr>
        <w:ind w:firstLine="480"/>
        <w:rPr>
          <w:rFonts w:cs="Times New Roman"/>
          <w:szCs w:val="24"/>
        </w:rPr>
      </w:pPr>
      <w:r>
        <w:rPr>
          <w:rFonts w:cs="Times New Roman"/>
          <w:szCs w:val="24"/>
        </w:rPr>
        <w:t>燃爆危险：该品不燃。具强腐蚀性、强刺激性，可致人体灼伤。</w:t>
      </w:r>
    </w:p>
    <w:p>
      <w:pPr>
        <w:ind w:firstLine="480"/>
        <w:rPr>
          <w:rFonts w:cs="Times New Roman"/>
          <w:szCs w:val="24"/>
        </w:rPr>
      </w:pPr>
      <w:r>
        <w:rPr>
          <w:rFonts w:cs="Times New Roman"/>
          <w:szCs w:val="24"/>
        </w:rPr>
        <w:t>盐酸属于危险化学品和易制毒化学品，根据《危险化学品管理条例》和《易制毒化学品管理条例》，本项目使用盐酸前应落实使用盐酸具体责任单位，并在当地公安机关备案。</w:t>
      </w:r>
    </w:p>
    <w:p>
      <w:pPr>
        <w:ind w:firstLine="482"/>
        <w:rPr>
          <w:rFonts w:cs="Times New Roman"/>
          <w:b/>
          <w:bCs/>
          <w:szCs w:val="24"/>
        </w:rPr>
      </w:pPr>
      <w:r>
        <w:rPr>
          <w:rFonts w:cs="Times New Roman"/>
          <w:b/>
          <w:bCs/>
          <w:szCs w:val="24"/>
        </w:rPr>
        <w:t>（10）油基泥浆及油基岩屑</w:t>
      </w:r>
    </w:p>
    <w:p>
      <w:pPr>
        <w:ind w:firstLine="480"/>
        <w:rPr>
          <w:rFonts w:cs="Times New Roman"/>
          <w:szCs w:val="24"/>
        </w:rPr>
      </w:pPr>
      <w:r>
        <w:rPr>
          <w:rFonts w:cs="Times New Roman"/>
          <w:szCs w:val="24"/>
        </w:rPr>
        <w:t>本项目四开和五开段可能采用油基钻井液钻井，油基钻井液是以油为分散介质组成的泥浆，油基泥浆的成分主要为白油、1%～2%有机土、4%～5%主乳化剂、3%～4%辅乳化剂、2%～4%润湿剂、2%～5%生石灰、氯化钙溶液(25%～30%)、4%～5%降滤失剂、3%～5%封堵剂、1%～2%流型调节剂、1%～3%除硫剂、加重剂（按密度需要）等。危险性主要表现在油性物质的可燃性。油基泥浆现场不储存，油基泥浆和油基岩屑主要危险成分白油为无色透明油状液体，两者的危险性均远低于油类物质，其中油基岩屑相比于油基泥浆其含油率更低。通过加强管理，及时转运处置后其环境风险事故影响很小。</w:t>
      </w:r>
    </w:p>
    <w:p>
      <w:pPr>
        <w:ind w:firstLine="482"/>
        <w:rPr>
          <w:rFonts w:cs="Times New Roman"/>
          <w:b/>
          <w:bCs/>
          <w:szCs w:val="24"/>
        </w:rPr>
      </w:pPr>
      <w:r>
        <w:rPr>
          <w:rFonts w:cs="Times New Roman"/>
          <w:b/>
          <w:bCs/>
          <w:szCs w:val="24"/>
        </w:rPr>
        <w:t>（11）废油</w:t>
      </w:r>
    </w:p>
    <w:p>
      <w:pPr>
        <w:ind w:firstLine="480"/>
        <w:rPr>
          <w:rFonts w:cs="Times New Roman"/>
          <w:bCs/>
          <w:szCs w:val="24"/>
        </w:rPr>
      </w:pPr>
      <w:r>
        <w:rPr>
          <w:rFonts w:cs="Times New Roman"/>
          <w:bCs/>
          <w:szCs w:val="24"/>
        </w:rPr>
        <w:t>项目钻井使用设备过程中，或多或少会产生一些废油，主要是设备润滑、保养产生的废机油。废油主要分布于油桶里面，其特性和润滑油差不多。废油对眼睛、皮肤、粘膜和上呼吸道具有刺激作用。吸入后，可引起喉、支气管的火症、水肿、痉挛、化学性肺炎或肺水肿。接触后可引起燃灼感、咳嗽、喘息、气短、头痛、恶心和呕吐等。皮肤接触可发生接触性皮炎及油疹，可致急性肾脏损害，吸入其雾滴或液体呛入可引起吸入性肺炎。结合工程项目的实际情况，主要危害为废油泄露后地表水、地下水和土壤的影响。</w:t>
      </w:r>
    </w:p>
    <w:p>
      <w:pPr>
        <w:ind w:firstLine="482"/>
        <w:rPr>
          <w:rFonts w:cs="Times New Roman"/>
          <w:b/>
          <w:bCs/>
          <w:szCs w:val="24"/>
        </w:rPr>
      </w:pPr>
      <w:r>
        <w:rPr>
          <w:rFonts w:cs="Times New Roman"/>
          <w:b/>
          <w:bCs/>
          <w:szCs w:val="24"/>
        </w:rPr>
        <w:t>（12）二氧化硫</w:t>
      </w:r>
    </w:p>
    <w:p>
      <w:pPr>
        <w:ind w:firstLine="480"/>
        <w:rPr>
          <w:rFonts w:cs="Times New Roman"/>
          <w:bCs/>
          <w:szCs w:val="24"/>
        </w:rPr>
      </w:pPr>
      <w:r>
        <w:rPr>
          <w:rFonts w:cs="Times New Roman"/>
          <w:bCs/>
          <w:szCs w:val="24"/>
        </w:rPr>
        <w:t>SO</w:t>
      </w:r>
      <w:r>
        <w:rPr>
          <w:rFonts w:cs="Times New Roman"/>
          <w:bCs/>
          <w:szCs w:val="24"/>
          <w:vertAlign w:val="subscript"/>
        </w:rPr>
        <w:t>2</w:t>
      </w:r>
      <w:r>
        <w:rPr>
          <w:rFonts w:cs="Times New Roman"/>
          <w:bCs/>
          <w:szCs w:val="24"/>
        </w:rPr>
        <w:t>为无色气体，具有窒息性特臭。易被湿润的粘膜表面吸收生成亚硫酸、硫酸。对眼及呼吸道粘膜有强烈的刺激作用。大量吸入可引起肺水肿、喉水肿、声带痉挛而致窒息。</w:t>
      </w:r>
    </w:p>
    <w:p>
      <w:pPr>
        <w:pStyle w:val="95"/>
      </w:pPr>
      <w:r>
        <w:t>表6.1-7  二氧化硫对人的生理影响及危害</w:t>
      </w:r>
    </w:p>
    <w:tbl>
      <w:tblPr>
        <w:tblStyle w:val="53"/>
        <w:tblW w:w="822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97"/>
        <w:gridCol w:w="636"/>
        <w:gridCol w:w="899"/>
        <w:gridCol w:w="578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3"/>
            <w:vAlign w:val="center"/>
          </w:tcPr>
          <w:p>
            <w:pPr>
              <w:spacing w:line="240" w:lineRule="auto"/>
              <w:ind w:firstLine="0" w:firstLineChars="0"/>
              <w:jc w:val="center"/>
              <w:rPr>
                <w:rFonts w:cs="Times New Roman"/>
                <w:bCs/>
                <w:sz w:val="21"/>
                <w:szCs w:val="21"/>
              </w:rPr>
            </w:pPr>
            <w:r>
              <w:rPr>
                <w:rFonts w:cs="Times New Roman"/>
                <w:sz w:val="21"/>
                <w:szCs w:val="21"/>
              </w:rPr>
              <w:t>在空气中的浓度</w:t>
            </w:r>
          </w:p>
        </w:tc>
        <w:tc>
          <w:tcPr>
            <w:tcW w:w="0" w:type="auto"/>
            <w:vMerge w:val="restart"/>
            <w:vAlign w:val="center"/>
          </w:tcPr>
          <w:p>
            <w:pPr>
              <w:spacing w:line="240" w:lineRule="auto"/>
              <w:ind w:firstLine="0" w:firstLineChars="0"/>
              <w:jc w:val="center"/>
              <w:rPr>
                <w:rFonts w:cs="Times New Roman"/>
                <w:bCs/>
                <w:sz w:val="21"/>
                <w:szCs w:val="21"/>
              </w:rPr>
            </w:pPr>
            <w:r>
              <w:rPr>
                <w:rFonts w:cs="Times New Roman"/>
                <w:sz w:val="21"/>
                <w:szCs w:val="21"/>
              </w:rPr>
              <w:t>暴露于二氧化硫的典型特性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%（V）</w:t>
            </w:r>
          </w:p>
        </w:tc>
        <w:tc>
          <w:tcPr>
            <w:tcW w:w="0" w:type="auto"/>
            <w:vAlign w:val="center"/>
          </w:tcPr>
          <w:p>
            <w:pPr>
              <w:spacing w:line="240" w:lineRule="auto"/>
              <w:ind w:firstLine="0" w:firstLineChars="0"/>
              <w:jc w:val="center"/>
              <w:rPr>
                <w:rFonts w:cs="Times New Roman"/>
                <w:bCs/>
                <w:sz w:val="21"/>
                <w:szCs w:val="21"/>
              </w:rPr>
            </w:pPr>
            <w:r>
              <w:rPr>
                <w:rFonts w:cs="Times New Roman"/>
                <w:bCs/>
                <w:sz w:val="21"/>
                <w:szCs w:val="21"/>
              </w:rPr>
              <w:t>ppm</w:t>
            </w:r>
          </w:p>
        </w:tc>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mg/m</w:t>
            </w:r>
            <w:r>
              <w:rPr>
                <w:rFonts w:cs="Times New Roman"/>
                <w:sz w:val="21"/>
                <w:szCs w:val="21"/>
                <w:vertAlign w:val="superscript"/>
              </w:rPr>
              <w:t>3</w:t>
            </w:r>
          </w:p>
        </w:tc>
        <w:tc>
          <w:tcPr>
            <w:tcW w:w="0" w:type="auto"/>
            <w:vMerge w:val="continue"/>
            <w:vAlign w:val="center"/>
          </w:tcPr>
          <w:p>
            <w:pPr>
              <w:spacing w:line="240" w:lineRule="auto"/>
              <w:ind w:firstLine="0" w:firstLineChars="0"/>
              <w:jc w:val="center"/>
              <w:rPr>
                <w:rFonts w:cs="Times New Roman"/>
                <w:bCs/>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0.0001</w:t>
            </w:r>
          </w:p>
        </w:tc>
        <w:tc>
          <w:tcPr>
            <w:tcW w:w="0" w:type="auto"/>
            <w:vAlign w:val="center"/>
          </w:tcPr>
          <w:p>
            <w:pPr>
              <w:spacing w:line="240" w:lineRule="auto"/>
              <w:ind w:firstLine="0" w:firstLineChars="0"/>
              <w:jc w:val="center"/>
              <w:rPr>
                <w:rFonts w:cs="Times New Roman"/>
                <w:bCs/>
                <w:sz w:val="21"/>
                <w:szCs w:val="21"/>
              </w:rPr>
            </w:pPr>
            <w:r>
              <w:rPr>
                <w:rFonts w:cs="Times New Roman"/>
                <w:bCs/>
                <w:sz w:val="21"/>
                <w:szCs w:val="21"/>
              </w:rPr>
              <w:t>1</w:t>
            </w:r>
          </w:p>
        </w:tc>
        <w:tc>
          <w:tcPr>
            <w:tcW w:w="0" w:type="auto"/>
            <w:vAlign w:val="center"/>
          </w:tcPr>
          <w:p>
            <w:pPr>
              <w:spacing w:line="240" w:lineRule="auto"/>
              <w:ind w:firstLine="0" w:firstLineChars="0"/>
              <w:jc w:val="center"/>
              <w:rPr>
                <w:rFonts w:cs="Times New Roman"/>
                <w:bCs/>
                <w:sz w:val="21"/>
                <w:szCs w:val="21"/>
              </w:rPr>
            </w:pPr>
            <w:r>
              <w:rPr>
                <w:rFonts w:cs="Times New Roman"/>
                <w:bCs/>
                <w:sz w:val="21"/>
                <w:szCs w:val="21"/>
              </w:rPr>
              <w:t>2.71</w:t>
            </w:r>
          </w:p>
        </w:tc>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具有刺激性气味，可能引起呼吸改变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0.0002</w:t>
            </w:r>
          </w:p>
        </w:tc>
        <w:tc>
          <w:tcPr>
            <w:tcW w:w="0" w:type="auto"/>
            <w:vAlign w:val="center"/>
          </w:tcPr>
          <w:p>
            <w:pPr>
              <w:spacing w:line="240" w:lineRule="auto"/>
              <w:ind w:firstLine="0" w:firstLineChars="0"/>
              <w:jc w:val="center"/>
              <w:rPr>
                <w:rFonts w:cs="Times New Roman"/>
                <w:bCs/>
                <w:sz w:val="21"/>
                <w:szCs w:val="21"/>
              </w:rPr>
            </w:pPr>
            <w:r>
              <w:rPr>
                <w:rFonts w:cs="Times New Roman"/>
                <w:bCs/>
                <w:sz w:val="21"/>
                <w:szCs w:val="21"/>
              </w:rPr>
              <w:t>2</w:t>
            </w:r>
          </w:p>
        </w:tc>
        <w:tc>
          <w:tcPr>
            <w:tcW w:w="0" w:type="auto"/>
            <w:vAlign w:val="center"/>
          </w:tcPr>
          <w:p>
            <w:pPr>
              <w:spacing w:line="240" w:lineRule="auto"/>
              <w:ind w:firstLine="0" w:firstLineChars="0"/>
              <w:jc w:val="center"/>
              <w:rPr>
                <w:rFonts w:cs="Times New Roman"/>
                <w:bCs/>
                <w:sz w:val="21"/>
                <w:szCs w:val="21"/>
              </w:rPr>
            </w:pPr>
            <w:r>
              <w:rPr>
                <w:rFonts w:cs="Times New Roman"/>
                <w:bCs/>
                <w:sz w:val="21"/>
                <w:szCs w:val="21"/>
              </w:rPr>
              <w:t>5.4</w:t>
            </w:r>
          </w:p>
        </w:tc>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ACGIH TLV，NIOSH REL，我国规定的阈限值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0.0005</w:t>
            </w:r>
          </w:p>
        </w:tc>
        <w:tc>
          <w:tcPr>
            <w:tcW w:w="0" w:type="auto"/>
            <w:vAlign w:val="center"/>
          </w:tcPr>
          <w:p>
            <w:pPr>
              <w:spacing w:line="240" w:lineRule="auto"/>
              <w:ind w:firstLine="0" w:firstLineChars="0"/>
              <w:jc w:val="center"/>
              <w:rPr>
                <w:rFonts w:cs="Times New Roman"/>
                <w:bCs/>
                <w:sz w:val="21"/>
                <w:szCs w:val="21"/>
              </w:rPr>
            </w:pPr>
            <w:r>
              <w:rPr>
                <w:rFonts w:cs="Times New Roman"/>
                <w:bCs/>
                <w:sz w:val="21"/>
                <w:szCs w:val="21"/>
              </w:rPr>
              <w:t>5</w:t>
            </w:r>
          </w:p>
        </w:tc>
        <w:tc>
          <w:tcPr>
            <w:tcW w:w="0" w:type="auto"/>
            <w:vAlign w:val="center"/>
          </w:tcPr>
          <w:p>
            <w:pPr>
              <w:spacing w:line="240" w:lineRule="auto"/>
              <w:ind w:firstLine="0" w:firstLineChars="0"/>
              <w:jc w:val="center"/>
              <w:rPr>
                <w:rFonts w:cs="Times New Roman"/>
                <w:bCs/>
                <w:sz w:val="21"/>
                <w:szCs w:val="21"/>
              </w:rPr>
            </w:pPr>
            <w:r>
              <w:rPr>
                <w:rFonts w:cs="Times New Roman"/>
                <w:bCs/>
                <w:sz w:val="21"/>
                <w:szCs w:val="21"/>
              </w:rPr>
              <w:t>13.50</w:t>
            </w:r>
          </w:p>
        </w:tc>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灼伤眼睛，刺激呼吸，对嗓子有较小的刺激</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0.0012</w:t>
            </w:r>
          </w:p>
        </w:tc>
        <w:tc>
          <w:tcPr>
            <w:tcW w:w="0" w:type="auto"/>
            <w:vAlign w:val="center"/>
          </w:tcPr>
          <w:p>
            <w:pPr>
              <w:spacing w:line="240" w:lineRule="auto"/>
              <w:ind w:firstLine="0" w:firstLineChars="0"/>
              <w:jc w:val="center"/>
              <w:rPr>
                <w:rFonts w:cs="Times New Roman"/>
                <w:bCs/>
                <w:sz w:val="21"/>
                <w:szCs w:val="21"/>
              </w:rPr>
            </w:pPr>
            <w:r>
              <w:rPr>
                <w:rFonts w:cs="Times New Roman"/>
                <w:bCs/>
                <w:sz w:val="21"/>
                <w:szCs w:val="21"/>
              </w:rPr>
              <w:t>12</w:t>
            </w:r>
          </w:p>
        </w:tc>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32.49</w:t>
            </w:r>
          </w:p>
        </w:tc>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刺激嗓子咳嗽，胸腔收缩，流眼泪和恶心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0.010</w:t>
            </w:r>
          </w:p>
        </w:tc>
        <w:tc>
          <w:tcPr>
            <w:tcW w:w="0" w:type="auto"/>
            <w:vAlign w:val="center"/>
          </w:tcPr>
          <w:p>
            <w:pPr>
              <w:spacing w:line="240" w:lineRule="auto"/>
              <w:ind w:firstLine="0" w:firstLineChars="0"/>
              <w:jc w:val="center"/>
              <w:rPr>
                <w:rFonts w:cs="Times New Roman"/>
                <w:bCs/>
                <w:sz w:val="21"/>
                <w:szCs w:val="21"/>
              </w:rPr>
            </w:pPr>
            <w:r>
              <w:rPr>
                <w:rFonts w:cs="Times New Roman"/>
                <w:bCs/>
                <w:sz w:val="21"/>
                <w:szCs w:val="21"/>
              </w:rPr>
              <w:t>100</w:t>
            </w:r>
          </w:p>
        </w:tc>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271.00</w:t>
            </w:r>
          </w:p>
        </w:tc>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立即对生命和健康产生危险的浓度（IDLH），见DHHS No.85-114，NOISH 化学危险品手册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0.015</w:t>
            </w:r>
          </w:p>
        </w:tc>
        <w:tc>
          <w:tcPr>
            <w:tcW w:w="0" w:type="auto"/>
            <w:vAlign w:val="center"/>
          </w:tcPr>
          <w:p>
            <w:pPr>
              <w:spacing w:line="240" w:lineRule="auto"/>
              <w:ind w:firstLine="0" w:firstLineChars="0"/>
              <w:jc w:val="center"/>
              <w:rPr>
                <w:rFonts w:cs="Times New Roman"/>
                <w:bCs/>
                <w:sz w:val="21"/>
                <w:szCs w:val="21"/>
              </w:rPr>
            </w:pPr>
            <w:r>
              <w:rPr>
                <w:rFonts w:cs="Times New Roman"/>
                <w:bCs/>
                <w:sz w:val="21"/>
                <w:szCs w:val="21"/>
              </w:rPr>
              <w:t>150</w:t>
            </w:r>
          </w:p>
        </w:tc>
        <w:tc>
          <w:tcPr>
            <w:tcW w:w="0" w:type="auto"/>
            <w:vAlign w:val="center"/>
          </w:tcPr>
          <w:p>
            <w:pPr>
              <w:spacing w:line="240" w:lineRule="auto"/>
              <w:ind w:firstLine="0" w:firstLineChars="0"/>
              <w:jc w:val="center"/>
              <w:rPr>
                <w:rFonts w:cs="Times New Roman"/>
                <w:bCs/>
                <w:sz w:val="21"/>
                <w:szCs w:val="21"/>
              </w:rPr>
            </w:pPr>
            <w:r>
              <w:rPr>
                <w:rFonts w:cs="Times New Roman"/>
                <w:bCs/>
                <w:sz w:val="21"/>
                <w:szCs w:val="21"/>
              </w:rPr>
              <w:t>406.35</w:t>
            </w:r>
          </w:p>
        </w:tc>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产生强烈的刺激，只能忍受几分钟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cs="Times New Roman"/>
                <w:bCs/>
                <w:sz w:val="21"/>
                <w:szCs w:val="21"/>
              </w:rPr>
            </w:pPr>
            <w:r>
              <w:rPr>
                <w:rFonts w:cs="Times New Roman"/>
                <w:bCs/>
                <w:sz w:val="21"/>
                <w:szCs w:val="21"/>
              </w:rPr>
              <w:t>0.05</w:t>
            </w:r>
          </w:p>
        </w:tc>
        <w:tc>
          <w:tcPr>
            <w:tcW w:w="0" w:type="auto"/>
            <w:vAlign w:val="center"/>
          </w:tcPr>
          <w:p>
            <w:pPr>
              <w:spacing w:line="240" w:lineRule="auto"/>
              <w:ind w:firstLine="0" w:firstLineChars="0"/>
              <w:jc w:val="center"/>
              <w:rPr>
                <w:rFonts w:cs="Times New Roman"/>
                <w:bCs/>
                <w:sz w:val="21"/>
                <w:szCs w:val="21"/>
              </w:rPr>
            </w:pPr>
            <w:r>
              <w:rPr>
                <w:rFonts w:cs="Times New Roman"/>
                <w:bCs/>
                <w:sz w:val="21"/>
                <w:szCs w:val="21"/>
              </w:rPr>
              <w:t>500</w:t>
            </w:r>
          </w:p>
        </w:tc>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1354.50</w:t>
            </w:r>
          </w:p>
        </w:tc>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即使吸入一口，就产生窒息感。应立即救治，提供人工呼吸或心肺复苏技术（CPR）</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cs="Times New Roman"/>
                <w:bCs/>
                <w:sz w:val="21"/>
                <w:szCs w:val="21"/>
              </w:rPr>
            </w:pPr>
            <w:r>
              <w:rPr>
                <w:rFonts w:cs="Times New Roman"/>
                <w:bCs/>
                <w:sz w:val="21"/>
                <w:szCs w:val="21"/>
              </w:rPr>
              <w:t>0.10</w:t>
            </w:r>
          </w:p>
        </w:tc>
        <w:tc>
          <w:tcPr>
            <w:tcW w:w="0" w:type="auto"/>
            <w:vAlign w:val="center"/>
          </w:tcPr>
          <w:p>
            <w:pPr>
              <w:spacing w:line="240" w:lineRule="auto"/>
              <w:ind w:firstLine="0" w:firstLineChars="0"/>
              <w:jc w:val="center"/>
              <w:rPr>
                <w:rFonts w:cs="Times New Roman"/>
                <w:bCs/>
                <w:sz w:val="21"/>
                <w:szCs w:val="21"/>
              </w:rPr>
            </w:pPr>
            <w:r>
              <w:rPr>
                <w:rFonts w:cs="Times New Roman"/>
                <w:bCs/>
                <w:sz w:val="21"/>
                <w:szCs w:val="21"/>
              </w:rPr>
              <w:t>1000</w:t>
            </w:r>
          </w:p>
        </w:tc>
        <w:tc>
          <w:tcPr>
            <w:tcW w:w="0" w:type="auto"/>
            <w:vAlign w:val="center"/>
          </w:tcPr>
          <w:p>
            <w:pPr>
              <w:spacing w:line="240" w:lineRule="auto"/>
              <w:ind w:firstLine="0" w:firstLineChars="0"/>
              <w:jc w:val="center"/>
              <w:rPr>
                <w:rFonts w:cs="Times New Roman"/>
                <w:bCs/>
                <w:sz w:val="21"/>
                <w:szCs w:val="21"/>
              </w:rPr>
            </w:pPr>
            <w:r>
              <w:rPr>
                <w:rFonts w:cs="Times New Roman"/>
                <w:bCs/>
                <w:sz w:val="21"/>
                <w:szCs w:val="21"/>
              </w:rPr>
              <w:t>2708.99</w:t>
            </w:r>
          </w:p>
        </w:tc>
        <w:tc>
          <w:tcPr>
            <w:tcW w:w="0" w:type="auto"/>
            <w:vAlign w:val="center"/>
          </w:tcPr>
          <w:p>
            <w:pPr>
              <w:spacing w:line="240" w:lineRule="auto"/>
              <w:ind w:firstLine="0" w:firstLineChars="0"/>
              <w:jc w:val="center"/>
              <w:rPr>
                <w:rFonts w:cs="Times New Roman"/>
                <w:bCs/>
                <w:sz w:val="21"/>
                <w:szCs w:val="21"/>
              </w:rPr>
            </w:pPr>
            <w:r>
              <w:rPr>
                <w:rFonts w:cs="Times New Roman"/>
                <w:sz w:val="21"/>
                <w:szCs w:val="21"/>
              </w:rPr>
              <w:t>如不立即救治会导致死亡，应马上进行人工呼吸或心肺复苏（CPR）</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4"/>
            <w:vAlign w:val="center"/>
          </w:tcPr>
          <w:p>
            <w:pPr>
              <w:spacing w:line="240" w:lineRule="auto"/>
              <w:ind w:firstLine="0" w:firstLineChars="0"/>
              <w:jc w:val="center"/>
              <w:rPr>
                <w:rFonts w:cs="Times New Roman"/>
                <w:bCs/>
                <w:sz w:val="21"/>
                <w:szCs w:val="21"/>
              </w:rPr>
            </w:pPr>
            <w:r>
              <w:rPr>
                <w:rFonts w:cs="Times New Roman"/>
                <w:bCs/>
                <w:sz w:val="21"/>
                <w:szCs w:val="21"/>
              </w:rPr>
              <w:t>注：表中数据来源于《含硫化氢油气井安全钻井推荐作法》（SY/T5087-2005）</w:t>
            </w:r>
          </w:p>
        </w:tc>
      </w:tr>
    </w:tbl>
    <w:p>
      <w:pPr>
        <w:ind w:firstLine="482"/>
        <w:rPr>
          <w:rFonts w:cs="Times New Roman"/>
          <w:b/>
          <w:bCs/>
          <w:szCs w:val="24"/>
        </w:rPr>
      </w:pPr>
      <w:r>
        <w:rPr>
          <w:rFonts w:cs="Times New Roman"/>
          <w:b/>
          <w:bCs/>
          <w:szCs w:val="24"/>
        </w:rPr>
        <w:t>（13）二氧化碳</w:t>
      </w:r>
    </w:p>
    <w:p>
      <w:pPr>
        <w:ind w:firstLine="480"/>
        <w:rPr>
          <w:rFonts w:cs="Times New Roman"/>
          <w:bCs/>
          <w:color w:val="000000"/>
          <w:szCs w:val="24"/>
          <w:lang w:val="zh-CN"/>
        </w:rPr>
      </w:pPr>
      <w:r>
        <w:rPr>
          <w:rFonts w:cs="Times New Roman"/>
          <w:bCs/>
          <w:color w:val="000000"/>
          <w:szCs w:val="24"/>
          <w:lang w:val="zh-CN"/>
        </w:rPr>
        <w:t>二氧化碳可以溶解在水中，生成碳酸，引起电化学腐蚀。钢材中二氧化碳腐蚀的产物都是易溶的，不易形成保护膜，特别是随二氧化碳浓度的增加，腐蚀速度增加很快。</w:t>
      </w:r>
    </w:p>
    <w:p>
      <w:pPr>
        <w:ind w:firstLine="480"/>
        <w:rPr>
          <w:rFonts w:cs="Times New Roman"/>
          <w:bCs/>
          <w:color w:val="000000"/>
          <w:szCs w:val="24"/>
          <w:lang w:val="zh-CN"/>
        </w:rPr>
      </w:pPr>
      <w:r>
        <w:rPr>
          <w:rFonts w:cs="Times New Roman"/>
          <w:bCs/>
          <w:color w:val="000000"/>
          <w:szCs w:val="24"/>
          <w:lang w:val="zh-CN"/>
        </w:rPr>
        <w:t>根据NACE（美国腐蚀工程师协会）有关CO</w:t>
      </w:r>
      <w:r>
        <w:rPr>
          <w:rFonts w:cs="Times New Roman"/>
          <w:bCs/>
          <w:color w:val="000000"/>
          <w:szCs w:val="24"/>
          <w:vertAlign w:val="subscript"/>
          <w:lang w:val="zh-CN"/>
        </w:rPr>
        <w:t>2</w:t>
      </w:r>
      <w:r>
        <w:rPr>
          <w:rFonts w:cs="Times New Roman"/>
          <w:bCs/>
          <w:color w:val="000000"/>
          <w:szCs w:val="24"/>
          <w:lang w:val="zh-CN"/>
        </w:rPr>
        <w:t>分压腐蚀的标准，CO</w:t>
      </w:r>
      <w:r>
        <w:rPr>
          <w:rFonts w:cs="Times New Roman"/>
          <w:bCs/>
          <w:color w:val="000000"/>
          <w:szCs w:val="24"/>
          <w:vertAlign w:val="subscript"/>
          <w:lang w:val="zh-CN"/>
        </w:rPr>
        <w:t>2</w:t>
      </w:r>
      <w:r>
        <w:rPr>
          <w:rFonts w:cs="Times New Roman"/>
          <w:bCs/>
          <w:color w:val="000000"/>
          <w:szCs w:val="24"/>
          <w:lang w:val="zh-CN"/>
        </w:rPr>
        <w:t>分压大于0.2MPa就属于严重腐蚀区，本项目气藏CO2分压大于0.2MPa。CO</w:t>
      </w:r>
      <w:r>
        <w:rPr>
          <w:rFonts w:cs="Times New Roman"/>
          <w:bCs/>
          <w:color w:val="000000"/>
          <w:szCs w:val="24"/>
          <w:vertAlign w:val="subscript"/>
          <w:lang w:val="zh-CN"/>
        </w:rPr>
        <w:t>2</w:t>
      </w:r>
      <w:r>
        <w:rPr>
          <w:rFonts w:cs="Times New Roman"/>
          <w:bCs/>
          <w:color w:val="000000"/>
          <w:szCs w:val="24"/>
          <w:lang w:val="zh-CN"/>
        </w:rPr>
        <w:t>腐蚀的主要形态为点蚀、台地状腐蚀、环状腐蚀和冲刷腐蚀等，且腐蚀穿孔的速度很快。在影响CO</w:t>
      </w:r>
      <w:r>
        <w:rPr>
          <w:rFonts w:cs="Times New Roman"/>
          <w:bCs/>
          <w:color w:val="000000"/>
          <w:szCs w:val="24"/>
          <w:vertAlign w:val="subscript"/>
          <w:lang w:val="zh-CN"/>
        </w:rPr>
        <w:t>2</w:t>
      </w:r>
      <w:r>
        <w:rPr>
          <w:rFonts w:cs="Times New Roman"/>
          <w:bCs/>
          <w:color w:val="000000"/>
          <w:szCs w:val="24"/>
          <w:lang w:val="zh-CN"/>
        </w:rPr>
        <w:t>腐蚀速率的各个因素中，CO</w:t>
      </w:r>
      <w:r>
        <w:rPr>
          <w:rFonts w:cs="Times New Roman"/>
          <w:bCs/>
          <w:color w:val="000000"/>
          <w:szCs w:val="24"/>
          <w:vertAlign w:val="subscript"/>
          <w:lang w:val="zh-CN"/>
        </w:rPr>
        <w:t>2</w:t>
      </w:r>
      <w:r>
        <w:rPr>
          <w:rFonts w:cs="Times New Roman"/>
          <w:bCs/>
          <w:color w:val="000000"/>
          <w:szCs w:val="24"/>
          <w:lang w:val="zh-CN"/>
        </w:rPr>
        <w:t>分压和温度是最重要的两个参数。CO</w:t>
      </w:r>
      <w:r>
        <w:rPr>
          <w:rFonts w:cs="Times New Roman"/>
          <w:bCs/>
          <w:color w:val="000000"/>
          <w:szCs w:val="24"/>
          <w:vertAlign w:val="subscript"/>
          <w:lang w:val="zh-CN"/>
        </w:rPr>
        <w:t>2</w:t>
      </w:r>
      <w:r>
        <w:rPr>
          <w:rFonts w:cs="Times New Roman"/>
          <w:bCs/>
          <w:color w:val="000000"/>
          <w:szCs w:val="24"/>
          <w:lang w:val="zh-CN"/>
        </w:rPr>
        <w:t>分压越高，其腐蚀产物FeCO</w:t>
      </w:r>
      <w:r>
        <w:rPr>
          <w:rFonts w:cs="Times New Roman"/>
          <w:bCs/>
          <w:color w:val="000000"/>
          <w:szCs w:val="24"/>
          <w:vertAlign w:val="subscript"/>
          <w:lang w:val="zh-CN"/>
        </w:rPr>
        <w:t>3</w:t>
      </w:r>
      <w:r>
        <w:rPr>
          <w:rFonts w:cs="Times New Roman"/>
          <w:bCs/>
          <w:color w:val="000000"/>
          <w:szCs w:val="24"/>
          <w:lang w:val="zh-CN"/>
        </w:rPr>
        <w:t>膜的保护性越差，且CO</w:t>
      </w:r>
      <w:r>
        <w:rPr>
          <w:rFonts w:cs="Times New Roman"/>
          <w:bCs/>
          <w:color w:val="000000"/>
          <w:szCs w:val="24"/>
          <w:vertAlign w:val="subscript"/>
          <w:lang w:val="zh-CN"/>
        </w:rPr>
        <w:t>2</w:t>
      </w:r>
      <w:r>
        <w:rPr>
          <w:rFonts w:cs="Times New Roman"/>
          <w:bCs/>
          <w:color w:val="000000"/>
          <w:szCs w:val="24"/>
          <w:lang w:val="zh-CN"/>
        </w:rPr>
        <w:t>的腐蚀速度随温度升高而增加，60</w:t>
      </w:r>
      <w:r>
        <w:rPr>
          <w:rFonts w:hint="eastAsia" w:ascii="宋体" w:hAnsi="宋体" w:cs="宋体"/>
          <w:bCs/>
          <w:color w:val="000000"/>
          <w:szCs w:val="24"/>
          <w:lang w:val="zh-CN"/>
        </w:rPr>
        <w:t>℃</w:t>
      </w:r>
      <w:r>
        <w:rPr>
          <w:rFonts w:cs="Times New Roman"/>
          <w:bCs/>
          <w:color w:val="000000"/>
          <w:szCs w:val="24"/>
          <w:lang w:val="zh-CN"/>
        </w:rPr>
        <w:t>～110</w:t>
      </w:r>
      <w:r>
        <w:rPr>
          <w:rFonts w:hint="eastAsia" w:ascii="宋体" w:hAnsi="宋体" w:cs="宋体"/>
          <w:bCs/>
          <w:color w:val="000000"/>
          <w:szCs w:val="24"/>
          <w:lang w:val="zh-CN"/>
        </w:rPr>
        <w:t>℃</w:t>
      </w:r>
      <w:r>
        <w:rPr>
          <w:rFonts w:cs="Times New Roman"/>
          <w:bCs/>
          <w:color w:val="000000"/>
          <w:szCs w:val="24"/>
          <w:lang w:val="zh-CN"/>
        </w:rPr>
        <w:t>为CO</w:t>
      </w:r>
      <w:r>
        <w:rPr>
          <w:rFonts w:cs="Times New Roman"/>
          <w:bCs/>
          <w:color w:val="000000"/>
          <w:szCs w:val="24"/>
          <w:vertAlign w:val="subscript"/>
          <w:lang w:val="zh-CN"/>
        </w:rPr>
        <w:t>2</w:t>
      </w:r>
      <w:r>
        <w:rPr>
          <w:rFonts w:cs="Times New Roman"/>
          <w:bCs/>
          <w:color w:val="000000"/>
          <w:szCs w:val="24"/>
          <w:lang w:val="zh-CN"/>
        </w:rPr>
        <w:t>腐蚀的敏感区域，本项目深层气藏地层平均温度＞110</w:t>
      </w:r>
      <w:r>
        <w:rPr>
          <w:rFonts w:hint="eastAsia" w:ascii="宋体" w:hAnsi="宋体" w:cs="宋体"/>
          <w:bCs/>
          <w:color w:val="000000"/>
          <w:szCs w:val="24"/>
          <w:lang w:val="zh-CN"/>
        </w:rPr>
        <w:t>℃</w:t>
      </w:r>
      <w:r>
        <w:rPr>
          <w:rFonts w:cs="Times New Roman"/>
          <w:bCs/>
          <w:color w:val="000000"/>
          <w:szCs w:val="24"/>
          <w:lang w:val="zh-CN"/>
        </w:rPr>
        <w:t>，因此井下设备存在CO</w:t>
      </w:r>
      <w:r>
        <w:rPr>
          <w:rFonts w:cs="Times New Roman"/>
          <w:bCs/>
          <w:color w:val="000000"/>
          <w:szCs w:val="24"/>
          <w:vertAlign w:val="subscript"/>
          <w:lang w:val="zh-CN"/>
        </w:rPr>
        <w:t>2</w:t>
      </w:r>
      <w:r>
        <w:rPr>
          <w:rFonts w:cs="Times New Roman"/>
          <w:bCs/>
          <w:color w:val="000000"/>
          <w:szCs w:val="24"/>
          <w:lang w:val="zh-CN"/>
        </w:rPr>
        <w:t>腐蚀的风险。</w:t>
      </w:r>
    </w:p>
    <w:p>
      <w:pPr>
        <w:ind w:firstLine="480"/>
        <w:rPr>
          <w:rFonts w:cs="Times New Roman"/>
          <w:bCs/>
          <w:color w:val="000000"/>
          <w:szCs w:val="24"/>
          <w:lang w:val="zh-CN"/>
        </w:rPr>
      </w:pPr>
      <w:r>
        <w:rPr>
          <w:rFonts w:cs="Times New Roman"/>
          <w:bCs/>
          <w:color w:val="000000"/>
          <w:szCs w:val="24"/>
          <w:lang w:val="zh-CN"/>
        </w:rPr>
        <w:t>二氧化碳是一种窒息性气体，对人的最低毒性浓度体积分数为2％，超过此浓度可引起呼吸器官的损害，达到10%会使人窒息。</w:t>
      </w:r>
    </w:p>
    <w:bookmarkEnd w:id="282"/>
    <w:p>
      <w:pPr>
        <w:pStyle w:val="5"/>
      </w:pPr>
      <w:r>
        <w:rPr>
          <w:rFonts w:hint="eastAsia"/>
        </w:rPr>
        <w:t>5.2.7.3</w:t>
      </w:r>
      <w:r>
        <w:t>地下水评价因子及识别</w:t>
      </w:r>
    </w:p>
    <w:p>
      <w:pPr>
        <w:pStyle w:val="21"/>
        <w:spacing w:before="0"/>
        <w:ind w:left="0" w:firstLine="480"/>
        <w:jc w:val="both"/>
        <w:rPr>
          <w:rFonts w:ascii="Times New Roman" w:hAnsi="Times New Roman" w:eastAsia="黑体"/>
          <w:bCs/>
          <w:color w:val="000000" w:themeColor="text1"/>
          <w:kern w:val="2"/>
          <w:lang w:eastAsia="zh-CN"/>
          <w14:textFill>
            <w14:solidFill>
              <w14:schemeClr w14:val="tx1"/>
            </w14:solidFill>
          </w14:textFill>
        </w:rPr>
      </w:pPr>
      <w:bookmarkStart w:id="284" w:name="_Toc14702795"/>
      <w:bookmarkStart w:id="285" w:name="_Toc9106"/>
      <w:r>
        <w:rPr>
          <w:rFonts w:ascii="Times New Roman" w:hAnsi="Times New Roman" w:eastAsia="黑体"/>
          <w:bCs/>
          <w:color w:val="000000" w:themeColor="text1"/>
          <w:kern w:val="2"/>
          <w:lang w:eastAsia="zh-CN"/>
          <w14:textFill>
            <w14:solidFill>
              <w14:schemeClr w14:val="tx1"/>
            </w14:solidFill>
          </w14:textFill>
        </w:rPr>
        <w:t>1、地下水环境现状评价因子</w:t>
      </w:r>
      <w:bookmarkEnd w:id="284"/>
      <w:bookmarkEnd w:id="285"/>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地下水环境：K</w:t>
      </w:r>
      <w:r>
        <w:rPr>
          <w:rFonts w:ascii="Times New Roman" w:hAnsi="Times New Roman"/>
          <w:bCs/>
          <w:color w:val="000000" w:themeColor="text1"/>
          <w:kern w:val="2"/>
          <w:vertAlign w:val="superscript"/>
          <w:lang w:eastAsia="zh-CN"/>
          <w14:textFill>
            <w14:solidFill>
              <w14:schemeClr w14:val="tx1"/>
            </w14:solidFill>
          </w14:textFill>
        </w:rPr>
        <w:t>+</w:t>
      </w:r>
      <w:r>
        <w:rPr>
          <w:rFonts w:ascii="Times New Roman" w:hAnsi="Times New Roman"/>
          <w:bCs/>
          <w:color w:val="000000" w:themeColor="text1"/>
          <w:kern w:val="2"/>
          <w:lang w:eastAsia="zh-CN"/>
          <w14:textFill>
            <w14:solidFill>
              <w14:schemeClr w14:val="tx1"/>
            </w14:solidFill>
          </w14:textFill>
        </w:rPr>
        <w:t>、Na</w:t>
      </w:r>
      <w:r>
        <w:rPr>
          <w:rFonts w:ascii="Times New Roman" w:hAnsi="Times New Roman"/>
          <w:bCs/>
          <w:color w:val="000000" w:themeColor="text1"/>
          <w:kern w:val="2"/>
          <w:vertAlign w:val="superscript"/>
          <w:lang w:eastAsia="zh-CN"/>
          <w14:textFill>
            <w14:solidFill>
              <w14:schemeClr w14:val="tx1"/>
            </w14:solidFill>
          </w14:textFill>
        </w:rPr>
        <w:t>+</w:t>
      </w:r>
      <w:r>
        <w:rPr>
          <w:rFonts w:ascii="Times New Roman" w:hAnsi="Times New Roman"/>
          <w:bCs/>
          <w:color w:val="000000" w:themeColor="text1"/>
          <w:kern w:val="2"/>
          <w:lang w:eastAsia="zh-CN"/>
          <w14:textFill>
            <w14:solidFill>
              <w14:schemeClr w14:val="tx1"/>
            </w14:solidFill>
          </w14:textFill>
        </w:rPr>
        <w:t>、Ca</w:t>
      </w:r>
      <w:r>
        <w:rPr>
          <w:rFonts w:ascii="Times New Roman" w:hAnsi="Times New Roman"/>
          <w:bCs/>
          <w:color w:val="000000" w:themeColor="text1"/>
          <w:kern w:val="2"/>
          <w:vertAlign w:val="superscript"/>
          <w:lang w:eastAsia="zh-CN"/>
          <w14:textFill>
            <w14:solidFill>
              <w14:schemeClr w14:val="tx1"/>
            </w14:solidFill>
          </w14:textFill>
        </w:rPr>
        <w:t>2+</w:t>
      </w:r>
      <w:r>
        <w:rPr>
          <w:rFonts w:ascii="Times New Roman" w:hAnsi="Times New Roman"/>
          <w:bCs/>
          <w:color w:val="000000" w:themeColor="text1"/>
          <w:kern w:val="2"/>
          <w:lang w:eastAsia="zh-CN"/>
          <w14:textFill>
            <w14:solidFill>
              <w14:schemeClr w14:val="tx1"/>
            </w14:solidFill>
          </w14:textFill>
        </w:rPr>
        <w:t>、Mg</w:t>
      </w:r>
      <w:r>
        <w:rPr>
          <w:rFonts w:ascii="Times New Roman" w:hAnsi="Times New Roman"/>
          <w:bCs/>
          <w:color w:val="000000" w:themeColor="text1"/>
          <w:kern w:val="2"/>
          <w:vertAlign w:val="superscript"/>
          <w:lang w:eastAsia="zh-CN"/>
          <w14:textFill>
            <w14:solidFill>
              <w14:schemeClr w14:val="tx1"/>
            </w14:solidFill>
          </w14:textFill>
        </w:rPr>
        <w:t>2+</w:t>
      </w:r>
      <w:r>
        <w:rPr>
          <w:rFonts w:ascii="Times New Roman" w:hAnsi="Times New Roman"/>
          <w:bCs/>
          <w:color w:val="000000" w:themeColor="text1"/>
          <w:kern w:val="2"/>
          <w:lang w:eastAsia="zh-CN"/>
          <w14:textFill>
            <w14:solidFill>
              <w14:schemeClr w14:val="tx1"/>
            </w14:solidFill>
          </w14:textFill>
        </w:rPr>
        <w:t>、CO</w:t>
      </w:r>
      <w:r>
        <w:rPr>
          <w:rFonts w:ascii="Times New Roman" w:hAnsi="Times New Roman"/>
          <w:bCs/>
          <w:color w:val="000000" w:themeColor="text1"/>
          <w:kern w:val="2"/>
          <w:vertAlign w:val="subscript"/>
          <w:lang w:eastAsia="zh-CN"/>
          <w14:textFill>
            <w14:solidFill>
              <w14:schemeClr w14:val="tx1"/>
            </w14:solidFill>
          </w14:textFill>
        </w:rPr>
        <w:t>3</w:t>
      </w:r>
      <w:r>
        <w:rPr>
          <w:rFonts w:ascii="Times New Roman" w:hAnsi="Times New Roman"/>
          <w:bCs/>
          <w:color w:val="000000" w:themeColor="text1"/>
          <w:kern w:val="2"/>
          <w:vertAlign w:val="superscript"/>
          <w:lang w:eastAsia="zh-CN"/>
          <w14:textFill>
            <w14:solidFill>
              <w14:schemeClr w14:val="tx1"/>
            </w14:solidFill>
          </w14:textFill>
        </w:rPr>
        <w:t>2-</w:t>
      </w:r>
      <w:r>
        <w:rPr>
          <w:rFonts w:ascii="Times New Roman" w:hAnsi="Times New Roman"/>
          <w:bCs/>
          <w:color w:val="000000" w:themeColor="text1"/>
          <w:kern w:val="2"/>
          <w:lang w:eastAsia="zh-CN"/>
          <w14:textFill>
            <w14:solidFill>
              <w14:schemeClr w14:val="tx1"/>
            </w14:solidFill>
          </w14:textFill>
        </w:rPr>
        <w:t>、HCO</w:t>
      </w:r>
      <w:r>
        <w:rPr>
          <w:rFonts w:ascii="Times New Roman" w:hAnsi="Times New Roman"/>
          <w:bCs/>
          <w:color w:val="000000" w:themeColor="text1"/>
          <w:kern w:val="2"/>
          <w:vertAlign w:val="superscript"/>
          <w:lang w:eastAsia="zh-CN"/>
          <w14:textFill>
            <w14:solidFill>
              <w14:schemeClr w14:val="tx1"/>
            </w14:solidFill>
          </w14:textFill>
        </w:rPr>
        <w:t>3-</w:t>
      </w:r>
      <w:r>
        <w:rPr>
          <w:rFonts w:ascii="Times New Roman" w:hAnsi="Times New Roman"/>
          <w:bCs/>
          <w:color w:val="000000" w:themeColor="text1"/>
          <w:kern w:val="2"/>
          <w:lang w:eastAsia="zh-CN"/>
          <w14:textFill>
            <w14:solidFill>
              <w14:schemeClr w14:val="tx1"/>
            </w14:solidFill>
          </w14:textFill>
        </w:rPr>
        <w:t>、Cl</w:t>
      </w:r>
      <w:r>
        <w:rPr>
          <w:rFonts w:ascii="Times New Roman" w:hAnsi="Times New Roman"/>
          <w:bCs/>
          <w:color w:val="000000" w:themeColor="text1"/>
          <w:kern w:val="2"/>
          <w:vertAlign w:val="superscript"/>
          <w:lang w:eastAsia="zh-CN"/>
          <w14:textFill>
            <w14:solidFill>
              <w14:schemeClr w14:val="tx1"/>
            </w14:solidFill>
          </w14:textFill>
        </w:rPr>
        <w:t>-</w:t>
      </w:r>
      <w:r>
        <w:rPr>
          <w:rFonts w:ascii="Times New Roman" w:hAnsi="Times New Roman"/>
          <w:bCs/>
          <w:color w:val="000000" w:themeColor="text1"/>
          <w:kern w:val="2"/>
          <w:lang w:eastAsia="zh-CN"/>
          <w14:textFill>
            <w14:solidFill>
              <w14:schemeClr w14:val="tx1"/>
            </w14:solidFill>
          </w14:textFill>
        </w:rPr>
        <w:t>、SO</w:t>
      </w:r>
      <w:r>
        <w:rPr>
          <w:rFonts w:ascii="Times New Roman" w:hAnsi="Times New Roman"/>
          <w:bCs/>
          <w:color w:val="000000" w:themeColor="text1"/>
          <w:kern w:val="2"/>
          <w:vertAlign w:val="subscript"/>
          <w:lang w:eastAsia="zh-CN"/>
          <w14:textFill>
            <w14:solidFill>
              <w14:schemeClr w14:val="tx1"/>
            </w14:solidFill>
          </w14:textFill>
        </w:rPr>
        <w:t>4</w:t>
      </w:r>
      <w:r>
        <w:rPr>
          <w:rFonts w:ascii="Times New Roman" w:hAnsi="Times New Roman"/>
          <w:bCs/>
          <w:color w:val="000000" w:themeColor="text1"/>
          <w:kern w:val="2"/>
          <w:vertAlign w:val="superscript"/>
          <w:lang w:eastAsia="zh-CN"/>
          <w14:textFill>
            <w14:solidFill>
              <w14:schemeClr w14:val="tx1"/>
            </w14:solidFill>
          </w14:textFill>
        </w:rPr>
        <w:t>2-</w:t>
      </w:r>
      <w:r>
        <w:rPr>
          <w:rFonts w:ascii="Times New Roman" w:hAnsi="Times New Roman"/>
          <w:bCs/>
          <w:color w:val="000000" w:themeColor="text1"/>
          <w:kern w:val="2"/>
          <w:lang w:eastAsia="zh-CN"/>
          <w14:textFill>
            <w14:solidFill>
              <w14:schemeClr w14:val="tx1"/>
            </w14:solidFill>
          </w14:textFill>
        </w:rPr>
        <w:t>、pH、氨氮、硝酸盐、亚硝酸盐、挥发性酚类、氰化物、砷、汞、铬（六价）、总硬度、铅、氟、镉、铁、锰、溶解性总固体、耗氧量（COD</w:t>
      </w:r>
      <w:r>
        <w:rPr>
          <w:rFonts w:ascii="Times New Roman" w:hAnsi="Times New Roman"/>
          <w:bCs/>
          <w:color w:val="000000" w:themeColor="text1"/>
          <w:kern w:val="2"/>
          <w:vertAlign w:val="subscript"/>
          <w:lang w:eastAsia="zh-CN"/>
          <w14:textFill>
            <w14:solidFill>
              <w14:schemeClr w14:val="tx1"/>
            </w14:solidFill>
          </w14:textFill>
        </w:rPr>
        <w:t>Mn</w:t>
      </w:r>
      <w:r>
        <w:rPr>
          <w:rFonts w:ascii="Times New Roman" w:hAnsi="Times New Roman"/>
          <w:bCs/>
          <w:color w:val="000000" w:themeColor="text1"/>
          <w:kern w:val="2"/>
          <w:lang w:eastAsia="zh-CN"/>
          <w14:textFill>
            <w14:solidFill>
              <w14:schemeClr w14:val="tx1"/>
            </w14:solidFill>
          </w14:textFill>
        </w:rPr>
        <w:t>）、硫酸盐、总大肠菌群、细菌总数。</w:t>
      </w:r>
    </w:p>
    <w:p>
      <w:pPr>
        <w:pStyle w:val="21"/>
        <w:spacing w:before="0"/>
        <w:ind w:left="0" w:firstLine="480"/>
        <w:jc w:val="both"/>
        <w:rPr>
          <w:rFonts w:ascii="Times New Roman" w:hAnsi="Times New Roman" w:eastAsia="黑体"/>
          <w:bCs/>
          <w:color w:val="000000" w:themeColor="text1"/>
          <w:kern w:val="2"/>
          <w:lang w:eastAsia="zh-CN"/>
          <w14:textFill>
            <w14:solidFill>
              <w14:schemeClr w14:val="tx1"/>
            </w14:solidFill>
          </w14:textFill>
        </w:rPr>
      </w:pPr>
      <w:bookmarkStart w:id="286" w:name="_Toc14702796"/>
      <w:bookmarkStart w:id="287" w:name="_Toc21960"/>
      <w:r>
        <w:rPr>
          <w:rFonts w:ascii="Times New Roman" w:hAnsi="Times New Roman" w:eastAsia="黑体"/>
          <w:bCs/>
          <w:color w:val="000000" w:themeColor="text1"/>
          <w:kern w:val="2"/>
          <w:lang w:eastAsia="zh-CN"/>
          <w14:textFill>
            <w14:solidFill>
              <w14:schemeClr w14:val="tx1"/>
            </w14:solidFill>
          </w14:textFill>
        </w:rPr>
        <w:t>2、地下水环境影响评价因子</w:t>
      </w:r>
      <w:bookmarkEnd w:id="286"/>
      <w:bookmarkEnd w:id="287"/>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鉴于本项目废水具有氯化物、悬浮物含量高，含石油类、有机物，且变化范围大，水质复杂的特点，类比同类项目，本项目产生废水水质主要含有机物、石油类、氯离子、无机盐等。</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根据《环境影响评价技术导则-地下水环境》（HJ610-2016），预测因子识别应对项目污染物进行分类后（重金属、持久性污染物和其他类别进行分类），对每一类中各项因子采用标准指数法进行排序，分别取标准指数最大的因子作为预测因子；如该项目属于改扩建项目，将选择技改后继续产生的特征因子，改扩建后新增加的特征因子作为预测因子；污染场地已经查明的主要污染物作为预测因子。</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根据监测资料，项目所在地附近潜水含水层地下水水质良好，所有指标均未超过《地下水质量标准》（GB/T14848-2017）中的</w:t>
      </w:r>
      <w:r>
        <w:rPr>
          <w:rFonts w:hint="eastAsia" w:cs="宋体"/>
          <w:bCs/>
          <w:color w:val="000000" w:themeColor="text1"/>
          <w:kern w:val="2"/>
          <w:lang w:eastAsia="zh-CN"/>
          <w14:textFill>
            <w14:solidFill>
              <w14:schemeClr w14:val="tx1"/>
            </w14:solidFill>
          </w14:textFill>
        </w:rPr>
        <w:t>Ⅲ</w:t>
      </w:r>
      <w:r>
        <w:rPr>
          <w:rFonts w:ascii="Times New Roman" w:hAnsi="Times New Roman"/>
          <w:bCs/>
          <w:color w:val="000000" w:themeColor="text1"/>
          <w:kern w:val="2"/>
          <w:lang w:eastAsia="zh-CN"/>
          <w14:textFill>
            <w14:solidFill>
              <w14:schemeClr w14:val="tx1"/>
            </w14:solidFill>
          </w14:textFill>
        </w:rPr>
        <w:t>类标准限值要求。基于本项目废水的水质特征，选择氯离子</w:t>
      </w:r>
      <w:r>
        <w:rPr>
          <w:rFonts w:hint="eastAsia" w:ascii="Times New Roman" w:hAnsi="Times New Roman"/>
          <w:bCs/>
          <w:color w:val="000000" w:themeColor="text1"/>
          <w:kern w:val="2"/>
          <w:lang w:eastAsia="zh-CN"/>
          <w14:textFill>
            <w14:solidFill>
              <w14:schemeClr w14:val="tx1"/>
            </w14:solidFill>
          </w14:textFill>
        </w:rPr>
        <w:t>、</w:t>
      </w:r>
      <w:r>
        <w:rPr>
          <w:rFonts w:ascii="Times New Roman" w:hAnsi="Times New Roman"/>
          <w:bCs/>
          <w:color w:val="000000" w:themeColor="text1"/>
          <w:kern w:val="2"/>
          <w:lang w:eastAsia="zh-CN"/>
          <w14:textFill>
            <w14:solidFill>
              <w14:schemeClr w14:val="tx1"/>
            </w14:solidFill>
          </w14:textFill>
        </w:rPr>
        <w:t>COD</w:t>
      </w:r>
      <w:r>
        <w:rPr>
          <w:rFonts w:hint="eastAsia" w:ascii="Times New Roman" w:hAnsi="Times New Roman"/>
          <w:bCs/>
          <w:color w:val="000000" w:themeColor="text1"/>
          <w:kern w:val="2"/>
          <w:lang w:eastAsia="zh-CN"/>
          <w14:textFill>
            <w14:solidFill>
              <w14:schemeClr w14:val="tx1"/>
            </w14:solidFill>
          </w14:textFill>
        </w:rPr>
        <w:t>、</w:t>
      </w:r>
      <w:r>
        <w:rPr>
          <w:rFonts w:ascii="Times New Roman" w:hAnsi="Times New Roman"/>
          <w:bCs/>
          <w:color w:val="000000" w:themeColor="text1"/>
          <w:kern w:val="2"/>
          <w:lang w:eastAsia="zh-CN"/>
          <w14:textFill>
            <w14:solidFill>
              <w14:schemeClr w14:val="tx1"/>
            </w14:solidFill>
          </w14:textFill>
        </w:rPr>
        <w:t>石油类作为本次评价的预测因子。</w:t>
      </w:r>
    </w:p>
    <w:p>
      <w:pPr>
        <w:pStyle w:val="5"/>
      </w:pPr>
      <w:bookmarkStart w:id="288" w:name="_Toc14702804"/>
      <w:r>
        <w:rPr>
          <w:rFonts w:hint="eastAsia"/>
        </w:rPr>
        <w:t>5.2.7.4</w:t>
      </w:r>
      <w:r>
        <w:t>水文地质参数识别</w:t>
      </w:r>
      <w:bookmarkEnd w:id="288"/>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由于本项目位于普陆页2井台北侧900m，根据水文地质单元图，项目与普陆页2井水文地质条件及地下水特征基本相同。因此本次评价充分参考《中国石油化工股份有限公司中原油田普光分公司普光分公</w:t>
      </w:r>
      <w:r>
        <w:rPr>
          <w:rFonts w:hint="eastAsia" w:cs="Times New Roman"/>
          <w:color w:val="000000" w:themeColor="text1"/>
          <w:szCs w:val="24"/>
          <w14:textFill>
            <w14:solidFill>
              <w14:schemeClr w14:val="tx1"/>
            </w14:solidFill>
          </w14:textFill>
        </w:rPr>
        <w:t>司</w:t>
      </w:r>
      <w:r>
        <w:rPr>
          <w:rFonts w:cs="Times New Roman"/>
          <w:color w:val="000000" w:themeColor="text1"/>
          <w:szCs w:val="24"/>
          <w14:textFill>
            <w14:solidFill>
              <w14:schemeClr w14:val="tx1"/>
            </w14:solidFill>
          </w14:textFill>
        </w:rPr>
        <w:t>普陆页2井台钻井及试采工程地下水环境影响评价专题》的地下水环境影响评价成果来选取水文地质参数。</w:t>
      </w:r>
      <w:r>
        <w:rPr>
          <w:rFonts w:cs="Times New Roman"/>
          <w:szCs w:val="24"/>
        </w:rPr>
        <w:t>根据附图9可知普陆页2井台位于本项目周边较近区域，P302集气站位于项目南侧约1100m处，地下水类型均以裂隙水为主。地下水赋存于侏罗系上统蓬莱镇组（J</w:t>
      </w:r>
      <w:r>
        <w:rPr>
          <w:rFonts w:cs="Times New Roman"/>
          <w:szCs w:val="24"/>
          <w:vertAlign w:val="subscript"/>
        </w:rPr>
        <w:t>3</w:t>
      </w:r>
      <w:r>
        <w:rPr>
          <w:rFonts w:cs="Times New Roman"/>
          <w:szCs w:val="24"/>
        </w:rPr>
        <w:t>p</w:t>
      </w:r>
      <w:r>
        <w:rPr>
          <w:rFonts w:cs="Times New Roman"/>
          <w:szCs w:val="24"/>
          <w:vertAlign w:val="subscript"/>
        </w:rPr>
        <w:t>1</w:t>
      </w:r>
      <w:r>
        <w:rPr>
          <w:rFonts w:cs="Times New Roman"/>
          <w:szCs w:val="24"/>
        </w:rPr>
        <w:t>、J</w:t>
      </w:r>
      <w:r>
        <w:rPr>
          <w:rFonts w:cs="Times New Roman"/>
          <w:szCs w:val="24"/>
          <w:vertAlign w:val="subscript"/>
        </w:rPr>
        <w:t>3</w:t>
      </w:r>
      <w:r>
        <w:rPr>
          <w:rFonts w:cs="Times New Roman"/>
          <w:szCs w:val="24"/>
        </w:rPr>
        <w:t>p</w:t>
      </w:r>
      <w:r>
        <w:rPr>
          <w:rFonts w:cs="Times New Roman"/>
          <w:szCs w:val="24"/>
          <w:vertAlign w:val="subscript"/>
        </w:rPr>
        <w:t>2</w:t>
      </w:r>
      <w:r>
        <w:rPr>
          <w:rFonts w:cs="Times New Roman"/>
          <w:szCs w:val="24"/>
        </w:rPr>
        <w:t>）构造裂隙中，砂岩为主要含水层。</w:t>
      </w:r>
    </w:p>
    <w:p>
      <w:pPr>
        <w:pStyle w:val="5"/>
      </w:pPr>
      <w:r>
        <w:rPr>
          <w:rFonts w:hint="eastAsia"/>
        </w:rPr>
        <w:t>5.2.7.5</w:t>
      </w:r>
      <w:r>
        <w:t>地下水污染源源强分析</w:t>
      </w:r>
    </w:p>
    <w:p>
      <w:pPr>
        <w:pStyle w:val="21"/>
        <w:spacing w:before="0"/>
        <w:ind w:left="0" w:firstLine="480"/>
        <w:jc w:val="both"/>
        <w:rPr>
          <w:rFonts w:ascii="Times New Roman" w:hAnsi="Times New Roman" w:eastAsia="黑体"/>
          <w:bCs/>
          <w:color w:val="000000" w:themeColor="text1"/>
          <w:kern w:val="2"/>
          <w:lang w:eastAsia="zh-CN"/>
          <w14:textFill>
            <w14:solidFill>
              <w14:schemeClr w14:val="tx1"/>
            </w14:solidFill>
          </w14:textFill>
        </w:rPr>
      </w:pPr>
      <w:r>
        <w:rPr>
          <w:rFonts w:ascii="Times New Roman" w:hAnsi="Times New Roman" w:eastAsia="黑体"/>
          <w:bCs/>
          <w:color w:val="000000" w:themeColor="text1"/>
          <w:kern w:val="2"/>
          <w:lang w:eastAsia="zh-CN"/>
          <w14:textFill>
            <w14:solidFill>
              <w14:schemeClr w14:val="tx1"/>
            </w14:solidFill>
          </w14:textFill>
        </w:rPr>
        <w:t>1、产污环节分析</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钻前工程施工时间短，废水产生量小且为一般施工废水，无特殊污染物，回用于洒水降尘不会对地下水环境造成影响；采气试采期产生气田水由分酸液缓冲罐、火炬分液罐收集后外运处理，分酸液缓冲罐、火炬分液罐设置于防渗区，事故情况下也难以入渗地下水系统，钻井工程生活污水</w:t>
      </w:r>
      <w:r>
        <w:rPr>
          <w:rFonts w:cs="Times New Roman"/>
          <w:color w:val="000000" w:themeColor="text1"/>
          <w:szCs w:val="24"/>
          <w14:textFill>
            <w14:solidFill>
              <w14:schemeClr w14:val="tx1"/>
            </w14:solidFill>
          </w14:textFill>
        </w:rPr>
        <w:t>经P301集气站卫生间收集后定期由密闭罐车拉运至周边生活污水处理厂处理</w:t>
      </w:r>
      <w:r>
        <w:rPr>
          <w:rFonts w:cs="Times New Roman"/>
          <w:bCs/>
          <w:color w:val="000000" w:themeColor="text1"/>
          <w:szCs w:val="24"/>
          <w14:textFill>
            <w14:solidFill>
              <w14:schemeClr w14:val="tx1"/>
            </w14:solidFill>
          </w14:textFill>
        </w:rPr>
        <w:t>，都不会对地下水造成污染。本工程建设施工过程中，钻井、固井等井下作业无防渗条件，其污染物下渗可能污染浅层地下水，钻井、固井施工时井场内罐、池泄漏也可能通过井场内未做防渗区域入渗进入地下水，故将钻井、固井作业中污染物可能进入地下水系统作为评价重点，但由于其水循环动力相对较小，其影响范围也相对较小。</w:t>
      </w:r>
    </w:p>
    <w:p>
      <w:pPr>
        <w:pStyle w:val="21"/>
        <w:spacing w:before="0"/>
        <w:ind w:left="0" w:firstLine="480"/>
        <w:jc w:val="both"/>
        <w:rPr>
          <w:rFonts w:ascii="Times New Roman" w:hAnsi="Times New Roman" w:eastAsia="黑体"/>
          <w:bCs/>
          <w:color w:val="000000" w:themeColor="text1"/>
          <w:kern w:val="2"/>
          <w:lang w:eastAsia="zh-CN"/>
          <w14:textFill>
            <w14:solidFill>
              <w14:schemeClr w14:val="tx1"/>
            </w14:solidFill>
          </w14:textFill>
        </w:rPr>
      </w:pPr>
      <w:bookmarkStart w:id="289" w:name="_Toc14702812"/>
      <w:r>
        <w:rPr>
          <w:rFonts w:ascii="Times New Roman" w:hAnsi="Times New Roman" w:eastAsia="黑体"/>
          <w:bCs/>
          <w:color w:val="000000" w:themeColor="text1"/>
          <w:kern w:val="2"/>
          <w:lang w:eastAsia="zh-CN"/>
          <w14:textFill>
            <w14:solidFill>
              <w14:schemeClr w14:val="tx1"/>
            </w14:solidFill>
          </w14:textFill>
        </w:rPr>
        <w:t>2、地下水污染源分析</w:t>
      </w:r>
      <w:bookmarkEnd w:id="289"/>
    </w:p>
    <w:p>
      <w:pPr>
        <w:ind w:firstLine="482"/>
        <w:rPr>
          <w:rFonts w:cs="Times New Roman"/>
          <w:b/>
          <w:bCs/>
          <w:color w:val="000000" w:themeColor="text1"/>
          <w:szCs w:val="24"/>
          <w14:textFill>
            <w14:solidFill>
              <w14:schemeClr w14:val="tx1"/>
            </w14:solidFill>
          </w14:textFill>
        </w:rPr>
      </w:pPr>
      <w:bookmarkStart w:id="290" w:name="_Toc29002"/>
      <w:r>
        <w:rPr>
          <w:rFonts w:cs="Times New Roman"/>
          <w:b/>
          <w:bCs/>
          <w:color w:val="000000" w:themeColor="text1"/>
          <w:szCs w:val="24"/>
          <w14:textFill>
            <w14:solidFill>
              <w14:schemeClr w14:val="tx1"/>
            </w14:solidFill>
          </w14:textFill>
        </w:rPr>
        <w:t>（1）正常状况</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的地下水污染源主要来自钻井废水、废钻井泥浆、作业废液、放喷池污水以及柴油机房、储备罐中的油类物质等的泄漏和外溢，这些物质都放置在相应的储备罐或储存池中，一般情况下，只要对各种地下水污染源及时采取回用、转运、防渗等方式处理，就不会对地下水水质产生大的影响。与此同时，井场选址于地质稳定地带，也不受当地河水洪灾危险，正常状况下废水外溢及下渗造成地下水污染的可能性极小。</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本工程按《环境影响评价技术导则—地下水环境》（HJ 610-2016）和《石油化工工程防渗技术规范》（GB/T50934-2013）设计地下水防渗措施，根据《环境影响评价技术导则—地下水环境》（HJ 610-2016）中9.4.2，本工程不进行正常状况情景下的预测。</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（2）非正常状况</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1）污染源分析</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非正常状况下本项目对地下水可能产生的不利影响途径主要有以下几个方面：</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①</w:t>
      </w:r>
      <w:r>
        <w:rPr>
          <w:rFonts w:cs="Times New Roman"/>
          <w:color w:val="000000" w:themeColor="text1"/>
          <w:szCs w:val="24"/>
          <w14:textFill>
            <w14:solidFill>
              <w14:schemeClr w14:val="tx1"/>
            </w14:solidFill>
          </w14:textFill>
        </w:rPr>
        <w:t>钻井初期钻井液渗入浅层地下水；</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②</w:t>
      </w:r>
      <w:r>
        <w:rPr>
          <w:rFonts w:cs="Times New Roman"/>
          <w:color w:val="000000" w:themeColor="text1"/>
          <w:szCs w:val="24"/>
          <w14:textFill>
            <w14:solidFill>
              <w14:schemeClr w14:val="tx1"/>
            </w14:solidFill>
          </w14:textFill>
        </w:rPr>
        <w:t>罐体循环使用，发生腐蚀使防渗不到位出现废水渗漏，从围堰溢出或者基础防渗不到位入渗地下水，或是在雨季发生泥浆外溢情况，井场设备机油泄漏，生活污水、固废以及钻井所需材料堆放不当，井场污染物收集、存储措施不到位，在雨季产生地面溢流外溢废水进入井场未硬化地面入渗等都有可能造成不同程度的地下水污染；</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③</w:t>
      </w:r>
      <w:r>
        <w:rPr>
          <w:rFonts w:cs="Times New Roman"/>
          <w:color w:val="000000" w:themeColor="text1"/>
          <w:szCs w:val="24"/>
          <w14:textFill>
            <w14:solidFill>
              <w14:schemeClr w14:val="tx1"/>
            </w14:solidFill>
          </w14:textFill>
        </w:rPr>
        <w:t>物料跑冒滴漏，钻井过程中物料管理不严格、化学品堆放不当、柴油泄漏等物料的跑冒滴漏不同程度的污染地下水；</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④</w:t>
      </w:r>
      <w:r>
        <w:rPr>
          <w:rFonts w:cs="Times New Roman"/>
          <w:color w:val="000000" w:themeColor="text1"/>
          <w:szCs w:val="24"/>
          <w14:textFill>
            <w14:solidFill>
              <w14:schemeClr w14:val="tx1"/>
            </w14:solidFill>
          </w14:textFill>
        </w:rPr>
        <w:t>放喷池主要收集压裂作业废水，因防渗不到位出现返排液渗漏，有可能造成不同程度的地下水污染；</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⑤</w:t>
      </w:r>
      <w:r>
        <w:rPr>
          <w:rFonts w:cs="Times New Roman"/>
          <w:color w:val="000000" w:themeColor="text1"/>
          <w:szCs w:val="24"/>
          <w14:textFill>
            <w14:solidFill>
              <w14:schemeClr w14:val="tx1"/>
            </w14:solidFill>
          </w14:textFill>
        </w:rPr>
        <w:t>井口作业区、泥浆循环系统区、泥浆不落地装置区散落的泥浆、废水进入井场未硬化地面入渗；</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⑥</w:t>
      </w:r>
      <w:r>
        <w:rPr>
          <w:rFonts w:cs="Times New Roman"/>
          <w:color w:val="000000" w:themeColor="text1"/>
          <w:szCs w:val="24"/>
          <w14:textFill>
            <w14:solidFill>
              <w14:schemeClr w14:val="tx1"/>
            </w14:solidFill>
          </w14:textFill>
        </w:rPr>
        <w:t>压裂过程井筒破裂，压裂液进入含水层。</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钻井施工过程中若出现上述几种非正常状况，则可能对区域地下水环境产生影响。本项目采取分区分级防渗：场地内场地内方井、泥浆循环系统区域、泥浆不落地系统区域（含油桶堆放区）、泥浆储备罐区、循环罐区、柴油罐区、放喷池、油基岩屑暂存区等采取重点防渗措施；井架基础、发电机房、钻井固废暂存区、清水池、气源房、材料棚、雨、污分流区域以及卫生间等区域采取一般防渗措施；其他区域等采取简单防渗措施。本项目除放喷池与清水池直接采用池体外，其他存放污水和泥浆装置均为罐体且安装于防渗地面上，能及时发现泄漏和收集处理，放喷池使用时间短且重点防渗，同时对跑冒滴漏等散落在井场的污染物及时收集，可有效避免地表污染物入渗。因此非正常情况下，对地下水可能造成的影响的主要是放喷池泄漏和压裂过程井筒破裂。</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2）源强分析</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①</w:t>
      </w:r>
      <w:r>
        <w:rPr>
          <w:rFonts w:cs="Times New Roman"/>
          <w:color w:val="000000" w:themeColor="text1"/>
          <w:szCs w:val="24"/>
          <w14:textFill>
            <w14:solidFill>
              <w14:schemeClr w14:val="tx1"/>
            </w14:solidFill>
          </w14:textFill>
        </w:rPr>
        <w:t>废水泄漏</w:t>
      </w:r>
    </w:p>
    <w:p>
      <w:pPr>
        <w:ind w:firstLine="480"/>
        <w:rPr>
          <w:rFonts w:cs="Times New Roman"/>
          <w:snapToGrid w:val="0"/>
          <w:color w:val="000000" w:themeColor="text1"/>
          <w:szCs w:val="24"/>
          <w14:textFill>
            <w14:solidFill>
              <w14:schemeClr w14:val="tx1"/>
            </w14:solidFill>
          </w14:textFill>
        </w:rPr>
      </w:pPr>
      <w:r>
        <w:rPr>
          <w:rFonts w:cs="Times New Roman"/>
          <w:snapToGrid w:val="0"/>
          <w:szCs w:val="24"/>
        </w:rPr>
        <w:t>本项目在井场界修复修建有放喷池2座，设计容积300m</w:t>
      </w:r>
      <w:r>
        <w:rPr>
          <w:rFonts w:cs="Times New Roman"/>
          <w:snapToGrid w:val="0"/>
          <w:szCs w:val="24"/>
          <w:vertAlign w:val="superscript"/>
        </w:rPr>
        <w:t>3</w:t>
      </w:r>
      <w:r>
        <w:rPr>
          <w:rFonts w:cs="Times New Roman"/>
          <w:snapToGrid w:val="0"/>
          <w:szCs w:val="24"/>
        </w:rPr>
        <w:t>，尺寸为</w:t>
      </w:r>
      <w:r>
        <w:rPr>
          <w:rFonts w:cs="Times New Roman"/>
          <w:szCs w:val="24"/>
        </w:rPr>
        <w:t>20m×10m×1.5m</w:t>
      </w:r>
      <w:r>
        <w:rPr>
          <w:rFonts w:cs="Times New Roman"/>
          <w:snapToGrid w:val="0"/>
          <w:szCs w:val="24"/>
        </w:rPr>
        <w:t>，</w:t>
      </w:r>
      <w:r>
        <w:rPr>
          <w:rFonts w:cs="Times New Roman"/>
          <w:snapToGrid w:val="0"/>
          <w:color w:val="000000" w:themeColor="text1"/>
          <w:szCs w:val="24"/>
          <w14:textFill>
            <w14:solidFill>
              <w14:schemeClr w14:val="tx1"/>
            </w14:solidFill>
          </w14:textFill>
        </w:rPr>
        <w:t>主要在压裂期间用于暂存压裂返排液，储存时间短，在返排液进入放喷池后应及时转运返排液，储存周期不超过10天</w:t>
      </w:r>
      <w:bookmarkStart w:id="291" w:name="_Hlk89072732"/>
      <w:r>
        <w:rPr>
          <w:rFonts w:cs="Times New Roman"/>
          <w:snapToGrid w:val="0"/>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本项目压裂液的返排周期约3~5d</w:t>
      </w:r>
      <w:r>
        <w:rPr>
          <w:rFonts w:cs="Times New Roman"/>
          <w:snapToGrid w:val="0"/>
          <w:color w:val="000000" w:themeColor="text1"/>
          <w:szCs w:val="24"/>
          <w14:textFill>
            <w14:solidFill>
              <w14:schemeClr w14:val="tx1"/>
            </w14:solidFill>
          </w14:textFill>
        </w:rPr>
        <w:t>）</w:t>
      </w:r>
      <w:bookmarkEnd w:id="291"/>
      <w:r>
        <w:rPr>
          <w:rFonts w:cs="Times New Roman"/>
          <w:snapToGrid w:val="0"/>
          <w:color w:val="000000" w:themeColor="text1"/>
          <w:szCs w:val="24"/>
          <w14:textFill>
            <w14:solidFill>
              <w14:schemeClr w14:val="tx1"/>
            </w14:solidFill>
          </w14:textFill>
        </w:rPr>
        <w:t>。假定其中1个放喷池池底产生裂缝，压裂返排液通过裂缝逐渐渗漏到地下含水层中，对地下水水质造成污染，染源类型为短时源强。根据放喷池对地下水的影响途径来设定主要污染源的分布位置，选定优先控制的污染物，预测事故工况下污染物在地下水中迁移过程，进一步分析污染物影响范围、超标范围和迁出场区后浓度变化。</w:t>
      </w:r>
    </w:p>
    <w:p>
      <w:pPr>
        <w:ind w:firstLine="480"/>
        <w:rPr>
          <w:rFonts w:cs="Times New Roman"/>
          <w:color w:val="000000" w:themeColor="text1"/>
          <w:szCs w:val="24"/>
          <w14:textFill>
            <w14:solidFill>
              <w14:schemeClr w14:val="tx1"/>
            </w14:solidFill>
          </w14:textFill>
        </w:rPr>
      </w:pPr>
      <w:r>
        <w:rPr>
          <w:rFonts w:cs="Times New Roman"/>
          <w:snapToGrid w:val="0"/>
          <w:color w:val="000000" w:themeColor="text1"/>
          <w:szCs w:val="24"/>
          <w14:textFill>
            <w14:solidFill>
              <w14:schemeClr w14:val="tx1"/>
            </w14:solidFill>
          </w14:textFill>
        </w:rPr>
        <w:t>根据类比防渗池体泄漏情况，一般泄漏面积因池子面积大小而不同，参考中石化、中石油放喷池检修过程中池子破损的面积统计数据，300m</w:t>
      </w:r>
      <w:r>
        <w:rPr>
          <w:rFonts w:cs="Times New Roman"/>
          <w:snapToGrid w:val="0"/>
          <w:color w:val="000000" w:themeColor="text1"/>
          <w:szCs w:val="24"/>
          <w:vertAlign w:val="superscript"/>
          <w14:textFill>
            <w14:solidFill>
              <w14:schemeClr w14:val="tx1"/>
            </w14:solidFill>
          </w14:textFill>
        </w:rPr>
        <w:t>3</w:t>
      </w:r>
      <w:r>
        <w:rPr>
          <w:rFonts w:cs="Times New Roman"/>
          <w:snapToGrid w:val="0"/>
          <w:color w:val="000000" w:themeColor="text1"/>
          <w:szCs w:val="24"/>
          <w14:textFill>
            <w14:solidFill>
              <w14:schemeClr w14:val="tx1"/>
            </w14:solidFill>
          </w14:textFill>
        </w:rPr>
        <w:t>放喷池破损面积在0~10%之间，大于10%的池体破损还未发现过。假定放喷池渗漏面积为池底总面积的10%（20m</w:t>
      </w:r>
      <w:r>
        <w:rPr>
          <w:rFonts w:cs="Times New Roman"/>
          <w:snapToGrid w:val="0"/>
          <w:color w:val="000000" w:themeColor="text1"/>
          <w:szCs w:val="24"/>
          <w:vertAlign w:val="superscript"/>
          <w14:textFill>
            <w14:solidFill>
              <w14:schemeClr w14:val="tx1"/>
            </w14:solidFill>
          </w14:textFill>
        </w:rPr>
        <w:t>2</w:t>
      </w:r>
      <w:r>
        <w:rPr>
          <w:rFonts w:cs="Times New Roman"/>
          <w:snapToGrid w:val="0"/>
          <w:color w:val="000000" w:themeColor="text1"/>
          <w:szCs w:val="24"/>
          <w14:textFill>
            <w14:solidFill>
              <w14:schemeClr w14:val="tx1"/>
            </w14:solidFill>
          </w14:textFill>
        </w:rPr>
        <w:t>），放喷池中存储有废水，废水进入地下属于有压渗透，按达西公式计算源强，公式如下：</w:t>
      </w:r>
    </w:p>
    <w:p>
      <w:pPr>
        <w:ind w:firstLine="480"/>
        <w:jc w:val="center"/>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drawing>
          <wp:inline distT="0" distB="0" distL="0" distR="0">
            <wp:extent cx="974090" cy="379730"/>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974090" cy="379730"/>
                    </a:xfrm>
                    <a:prstGeom prst="rect">
                      <a:avLst/>
                    </a:prstGeom>
                    <a:noFill/>
                    <a:ln>
                      <a:noFill/>
                    </a:ln>
                  </pic:spPr>
                </pic:pic>
              </a:graphicData>
            </a:graphic>
          </wp:inline>
        </w:drawing>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式中：Q—渗入到地下水的污水量；</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 xml:space="preserve">            K—地面垂向渗透系数，0.0864m/d（1.0×10</w:t>
      </w:r>
      <w:r>
        <w:rPr>
          <w:rFonts w:cs="Times New Roman"/>
          <w:bCs/>
          <w:color w:val="000000" w:themeColor="text1"/>
          <w:szCs w:val="24"/>
          <w:vertAlign w:val="superscript"/>
          <w14:textFill>
            <w14:solidFill>
              <w14:schemeClr w14:val="tx1"/>
            </w14:solidFill>
          </w14:textFill>
        </w:rPr>
        <w:t>-4</w:t>
      </w:r>
      <w:r>
        <w:rPr>
          <w:rFonts w:cs="Times New Roman"/>
          <w:bCs/>
          <w:color w:val="000000" w:themeColor="text1"/>
          <w:szCs w:val="24"/>
          <w14:textFill>
            <w14:solidFill>
              <w14:schemeClr w14:val="tx1"/>
            </w14:solidFill>
          </w14:textFill>
        </w:rPr>
        <w:t>cm/s）；</w:t>
      </w:r>
    </w:p>
    <w:p>
      <w:pPr>
        <w:ind w:firstLine="840" w:firstLineChars="35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 xml:space="preserve">      H—池内水深，按可能最大水深取1.5m；</w:t>
      </w:r>
    </w:p>
    <w:p>
      <w:pPr>
        <w:ind w:firstLine="840" w:firstLineChars="35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 xml:space="preserve">      D—地下水埋深，按最不利场地取5m；</w:t>
      </w:r>
    </w:p>
    <w:p>
      <w:pPr>
        <w:ind w:firstLine="840" w:firstLineChars="35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 xml:space="preserve">      A—池底泄漏面积（m</w:t>
      </w:r>
      <w:r>
        <w:rPr>
          <w:rFonts w:cs="Times New Roman"/>
          <w:bCs/>
          <w:color w:val="000000" w:themeColor="text1"/>
          <w:szCs w:val="24"/>
          <w:vertAlign w:val="superscript"/>
          <w14:textFill>
            <w14:solidFill>
              <w14:schemeClr w14:val="tx1"/>
            </w14:solidFill>
          </w14:textFill>
        </w:rPr>
        <w:t>2</w:t>
      </w:r>
      <w:r>
        <w:rPr>
          <w:rFonts w:cs="Times New Roman"/>
          <w:bCs/>
          <w:color w:val="000000" w:themeColor="text1"/>
          <w:szCs w:val="24"/>
          <w14:textFill>
            <w14:solidFill>
              <w14:schemeClr w14:val="tx1"/>
            </w14:solidFill>
          </w14:textFill>
        </w:rPr>
        <w:t>），取20m</w:t>
      </w:r>
      <w:r>
        <w:rPr>
          <w:rFonts w:cs="Times New Roman"/>
          <w:bCs/>
          <w:color w:val="000000" w:themeColor="text1"/>
          <w:szCs w:val="24"/>
          <w:vertAlign w:val="superscript"/>
          <w14:textFill>
            <w14:solidFill>
              <w14:schemeClr w14:val="tx1"/>
            </w14:solidFill>
          </w14:textFill>
        </w:rPr>
        <w:t>2</w:t>
      </w:r>
      <w:r>
        <w:rPr>
          <w:rFonts w:cs="Times New Roman"/>
          <w:bCs/>
          <w:color w:val="000000" w:themeColor="text1"/>
          <w:szCs w:val="24"/>
          <w14:textFill>
            <w14:solidFill>
              <w14:schemeClr w14:val="tx1"/>
            </w14:solidFill>
          </w14:textFill>
        </w:rPr>
        <w:t>。</w:t>
      </w:r>
    </w:p>
    <w:p>
      <w:pPr>
        <w:ind w:firstLine="480"/>
        <w:rPr>
          <w:rFonts w:cs="Times New Roman"/>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根据计算，本项目泄漏量约为2.2m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/d，</w:t>
      </w:r>
      <w:r>
        <w:rPr>
          <w:rFonts w:cs="Times New Roman"/>
          <w:snapToGrid w:val="0"/>
          <w:color w:val="000000" w:themeColor="text1"/>
          <w:szCs w:val="24"/>
          <w14:textFill>
            <w14:solidFill>
              <w14:schemeClr w14:val="tx1"/>
            </w14:solidFill>
          </w14:textFill>
        </w:rPr>
        <w:t>放喷池</w:t>
      </w:r>
      <w:r>
        <w:rPr>
          <w:rFonts w:cs="Times New Roman"/>
          <w:bCs/>
          <w:color w:val="000000" w:themeColor="text1"/>
          <w:szCs w:val="24"/>
          <w14:textFill>
            <w14:solidFill>
              <w14:schemeClr w14:val="tx1"/>
            </w14:solidFill>
          </w14:textFill>
        </w:rPr>
        <w:t>储存周期最长为10天，即持续渗漏持续时间为10d，渗漏量为22m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②</w:t>
      </w:r>
      <w:r>
        <w:rPr>
          <w:rFonts w:cs="Times New Roman"/>
          <w:color w:val="000000" w:themeColor="text1"/>
          <w:szCs w:val="24"/>
          <w14:textFill>
            <w14:solidFill>
              <w14:schemeClr w14:val="tx1"/>
            </w14:solidFill>
          </w14:textFill>
        </w:rPr>
        <w:t>压裂过程井筒破裂</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事故工况下，压裂过程中导致井筒破裂，排放形式可概化为点源，排放规律可简化为非连续恒定排放，瞬时泄漏量按单段压裂液（平均约1800m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）用量的10%，泄露时间假定为10min，因此瞬时泄漏量为180m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，非正常情况下污染源强统计表见表5.2-7。</w:t>
      </w:r>
    </w:p>
    <w:p>
      <w:pPr>
        <w:pStyle w:val="95"/>
      </w:pPr>
      <w:r>
        <w:t>表5.2-7  非正常情况下污染源源强统计表</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00"/>
        <w:gridCol w:w="1369"/>
        <w:gridCol w:w="1541"/>
        <w:gridCol w:w="1370"/>
        <w:gridCol w:w="1371"/>
        <w:gridCol w:w="137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泄漏位置</w:t>
            </w:r>
          </w:p>
        </w:tc>
        <w:tc>
          <w:tcPr>
            <w:tcW w:w="1369"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特征污染物</w:t>
            </w:r>
          </w:p>
        </w:tc>
        <w:tc>
          <w:tcPr>
            <w:tcW w:w="1541"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浓度（mg/L）</w:t>
            </w:r>
          </w:p>
        </w:tc>
        <w:tc>
          <w:tcPr>
            <w:tcW w:w="1370"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泄漏量（kg）</w:t>
            </w:r>
          </w:p>
        </w:tc>
        <w:tc>
          <w:tcPr>
            <w:tcW w:w="1371"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泄漏时间</w:t>
            </w:r>
          </w:p>
        </w:tc>
        <w:tc>
          <w:tcPr>
            <w:tcW w:w="1371"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含水层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restar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14:textFill>
                  <w14:solidFill>
                    <w14:schemeClr w14:val="tx1"/>
                  </w14:solidFill>
                </w14:textFill>
              </w:rPr>
              <w:t>放喷池</w:t>
            </w:r>
            <w:r>
              <w:rPr>
                <w:rFonts w:cs="Times New Roman"/>
                <w:color w:val="000000" w:themeColor="text1"/>
                <w:kern w:val="0"/>
                <w:sz w:val="21"/>
                <w:szCs w:val="21"/>
                <w:lang w:eastAsia="en-US"/>
                <w14:textFill>
                  <w14:solidFill>
                    <w14:schemeClr w14:val="tx1"/>
                  </w14:solidFill>
                </w14:textFill>
              </w:rPr>
              <w:t>破裂</w:t>
            </w:r>
          </w:p>
        </w:tc>
        <w:tc>
          <w:tcPr>
            <w:tcW w:w="1369"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COD</w:t>
            </w:r>
          </w:p>
        </w:tc>
        <w:tc>
          <w:tcPr>
            <w:tcW w:w="1541"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5000</w:t>
            </w:r>
          </w:p>
        </w:tc>
        <w:tc>
          <w:tcPr>
            <w:tcW w:w="1370"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110</w:t>
            </w:r>
          </w:p>
        </w:tc>
        <w:tc>
          <w:tcPr>
            <w:tcW w:w="1371" w:type="dxa"/>
            <w:vMerge w:val="restar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10d</w:t>
            </w:r>
          </w:p>
        </w:tc>
        <w:tc>
          <w:tcPr>
            <w:tcW w:w="1371"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潜水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continue"/>
            <w:vAlign w:val="center"/>
          </w:tcPr>
          <w:p>
            <w:pPr>
              <w:widowControl/>
              <w:adjustRightInd/>
              <w:snapToGrid/>
              <w:spacing w:line="240" w:lineRule="auto"/>
              <w:ind w:firstLine="420" w:firstLineChars="0"/>
              <w:jc w:val="center"/>
              <w:rPr>
                <w:rFonts w:cs="Times New Roman"/>
                <w:color w:val="000000" w:themeColor="text1"/>
                <w:kern w:val="0"/>
                <w:sz w:val="21"/>
                <w:szCs w:val="21"/>
                <w:lang w:eastAsia="en-US"/>
                <w14:textFill>
                  <w14:solidFill>
                    <w14:schemeClr w14:val="tx1"/>
                  </w14:solidFill>
                </w14:textFill>
              </w:rPr>
            </w:pPr>
          </w:p>
        </w:tc>
        <w:tc>
          <w:tcPr>
            <w:tcW w:w="1369"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石油类</w:t>
            </w:r>
          </w:p>
        </w:tc>
        <w:tc>
          <w:tcPr>
            <w:tcW w:w="1541"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200</w:t>
            </w:r>
          </w:p>
        </w:tc>
        <w:tc>
          <w:tcPr>
            <w:tcW w:w="1370"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4.4</w:t>
            </w:r>
          </w:p>
        </w:tc>
        <w:tc>
          <w:tcPr>
            <w:tcW w:w="1371" w:type="dxa"/>
            <w:vMerge w:val="continue"/>
            <w:vAlign w:val="center"/>
          </w:tcPr>
          <w:p>
            <w:pPr>
              <w:widowControl/>
              <w:adjustRightInd/>
              <w:snapToGrid/>
              <w:spacing w:line="240" w:lineRule="auto"/>
              <w:ind w:firstLine="420" w:firstLineChars="0"/>
              <w:jc w:val="center"/>
              <w:rPr>
                <w:rFonts w:cs="Times New Roman"/>
                <w:color w:val="000000" w:themeColor="text1"/>
                <w:kern w:val="0"/>
                <w:sz w:val="21"/>
                <w:szCs w:val="21"/>
                <w:lang w:eastAsia="en-US"/>
                <w14:textFill>
                  <w14:solidFill>
                    <w14:schemeClr w14:val="tx1"/>
                  </w14:solidFill>
                </w14:textFill>
              </w:rPr>
            </w:pPr>
          </w:p>
        </w:tc>
        <w:tc>
          <w:tcPr>
            <w:tcW w:w="1371"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潜水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continue"/>
            <w:vAlign w:val="center"/>
          </w:tcPr>
          <w:p>
            <w:pPr>
              <w:widowControl/>
              <w:adjustRightInd/>
              <w:snapToGrid/>
              <w:spacing w:line="240" w:lineRule="auto"/>
              <w:ind w:firstLine="420" w:firstLineChars="0"/>
              <w:jc w:val="center"/>
              <w:rPr>
                <w:rFonts w:cs="Times New Roman"/>
                <w:color w:val="000000" w:themeColor="text1"/>
                <w:kern w:val="0"/>
                <w:sz w:val="21"/>
                <w:szCs w:val="21"/>
                <w:lang w:eastAsia="en-US"/>
                <w14:textFill>
                  <w14:solidFill>
                    <w14:schemeClr w14:val="tx1"/>
                  </w14:solidFill>
                </w14:textFill>
              </w:rPr>
            </w:pPr>
          </w:p>
        </w:tc>
        <w:tc>
          <w:tcPr>
            <w:tcW w:w="1369"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氯化物</w:t>
            </w:r>
          </w:p>
        </w:tc>
        <w:tc>
          <w:tcPr>
            <w:tcW w:w="1541"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4000</w:t>
            </w:r>
          </w:p>
        </w:tc>
        <w:tc>
          <w:tcPr>
            <w:tcW w:w="1370"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88</w:t>
            </w:r>
          </w:p>
        </w:tc>
        <w:tc>
          <w:tcPr>
            <w:tcW w:w="1371" w:type="dxa"/>
            <w:vMerge w:val="continue"/>
            <w:vAlign w:val="center"/>
          </w:tcPr>
          <w:p>
            <w:pPr>
              <w:widowControl/>
              <w:adjustRightInd/>
              <w:snapToGrid/>
              <w:spacing w:line="240" w:lineRule="auto"/>
              <w:ind w:firstLine="420" w:firstLineChars="0"/>
              <w:jc w:val="center"/>
              <w:rPr>
                <w:rFonts w:cs="Times New Roman"/>
                <w:color w:val="000000" w:themeColor="text1"/>
                <w:kern w:val="0"/>
                <w:sz w:val="21"/>
                <w:szCs w:val="21"/>
                <w:lang w:eastAsia="en-US"/>
                <w14:textFill>
                  <w14:solidFill>
                    <w14:schemeClr w14:val="tx1"/>
                  </w14:solidFill>
                </w14:textFill>
              </w:rPr>
            </w:pPr>
          </w:p>
        </w:tc>
        <w:tc>
          <w:tcPr>
            <w:tcW w:w="1371"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潜水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restar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压裂过程中井筒破裂</w:t>
            </w:r>
          </w:p>
        </w:tc>
        <w:tc>
          <w:tcPr>
            <w:tcW w:w="1369"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COD</w:t>
            </w:r>
          </w:p>
        </w:tc>
        <w:tc>
          <w:tcPr>
            <w:tcW w:w="1541"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5000</w:t>
            </w:r>
          </w:p>
        </w:tc>
        <w:tc>
          <w:tcPr>
            <w:tcW w:w="1370"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14:textFill>
                  <w14:solidFill>
                    <w14:schemeClr w14:val="tx1"/>
                  </w14:solidFill>
                </w14:textFill>
              </w:rPr>
            </w:pPr>
            <w:r>
              <w:rPr>
                <w:rFonts w:cs="Times New Roman"/>
                <w:snapToGrid w:val="0"/>
                <w:color w:val="000000" w:themeColor="text1"/>
                <w:kern w:val="0"/>
                <w:sz w:val="21"/>
                <w:szCs w:val="21"/>
                <w14:textFill>
                  <w14:solidFill>
                    <w14:schemeClr w14:val="tx1"/>
                  </w14:solidFill>
                </w14:textFill>
              </w:rPr>
              <w:t>900</w:t>
            </w:r>
          </w:p>
        </w:tc>
        <w:tc>
          <w:tcPr>
            <w:tcW w:w="1371" w:type="dxa"/>
            <w:vMerge w:val="restart"/>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10min</w:t>
            </w:r>
          </w:p>
        </w:tc>
        <w:tc>
          <w:tcPr>
            <w:tcW w:w="1371"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潜水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continue"/>
            <w:vAlign w:val="center"/>
          </w:tcPr>
          <w:p>
            <w:pPr>
              <w:widowControl/>
              <w:adjustRightInd/>
              <w:snapToGrid/>
              <w:spacing w:line="240" w:lineRule="auto"/>
              <w:ind w:firstLine="420" w:firstLineChars="0"/>
              <w:jc w:val="center"/>
              <w:rPr>
                <w:rFonts w:cs="Times New Roman"/>
                <w:color w:val="000000" w:themeColor="text1"/>
                <w:kern w:val="0"/>
                <w:sz w:val="21"/>
                <w:szCs w:val="21"/>
                <w:lang w:eastAsia="en-US"/>
                <w14:textFill>
                  <w14:solidFill>
                    <w14:schemeClr w14:val="tx1"/>
                  </w14:solidFill>
                </w14:textFill>
              </w:rPr>
            </w:pPr>
          </w:p>
        </w:tc>
        <w:tc>
          <w:tcPr>
            <w:tcW w:w="1369"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石油类</w:t>
            </w:r>
          </w:p>
        </w:tc>
        <w:tc>
          <w:tcPr>
            <w:tcW w:w="1541"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200</w:t>
            </w:r>
          </w:p>
        </w:tc>
        <w:tc>
          <w:tcPr>
            <w:tcW w:w="1370"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14:textFill>
                  <w14:solidFill>
                    <w14:schemeClr w14:val="tx1"/>
                  </w14:solidFill>
                </w14:textFill>
              </w:rPr>
            </w:pPr>
            <w:r>
              <w:rPr>
                <w:rFonts w:cs="Times New Roman"/>
                <w:snapToGrid w:val="0"/>
                <w:color w:val="000000" w:themeColor="text1"/>
                <w:kern w:val="0"/>
                <w:sz w:val="21"/>
                <w:szCs w:val="21"/>
                <w14:textFill>
                  <w14:solidFill>
                    <w14:schemeClr w14:val="tx1"/>
                  </w14:solidFill>
                </w14:textFill>
              </w:rPr>
              <w:t>36</w:t>
            </w:r>
          </w:p>
        </w:tc>
        <w:tc>
          <w:tcPr>
            <w:tcW w:w="1371" w:type="dxa"/>
            <w:vMerge w:val="continue"/>
            <w:vAlign w:val="center"/>
          </w:tcPr>
          <w:p>
            <w:pPr>
              <w:widowControl/>
              <w:adjustRightInd/>
              <w:snapToGrid/>
              <w:spacing w:line="240" w:lineRule="auto"/>
              <w:ind w:firstLine="420" w:firstLineChars="0"/>
              <w:jc w:val="center"/>
              <w:rPr>
                <w:rFonts w:cs="Times New Roman"/>
                <w:color w:val="000000" w:themeColor="text1"/>
                <w:kern w:val="0"/>
                <w:sz w:val="21"/>
                <w:szCs w:val="21"/>
                <w:lang w:eastAsia="en-US"/>
                <w14:textFill>
                  <w14:solidFill>
                    <w14:schemeClr w14:val="tx1"/>
                  </w14:solidFill>
                </w14:textFill>
              </w:rPr>
            </w:pPr>
          </w:p>
        </w:tc>
        <w:tc>
          <w:tcPr>
            <w:tcW w:w="1371"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潜水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continue"/>
            <w:vAlign w:val="center"/>
          </w:tcPr>
          <w:p>
            <w:pPr>
              <w:widowControl/>
              <w:adjustRightInd/>
              <w:snapToGrid/>
              <w:spacing w:line="240" w:lineRule="auto"/>
              <w:ind w:firstLine="420" w:firstLineChars="0"/>
              <w:jc w:val="center"/>
              <w:rPr>
                <w:rFonts w:cs="Times New Roman"/>
                <w:color w:val="000000" w:themeColor="text1"/>
                <w:kern w:val="0"/>
                <w:sz w:val="21"/>
                <w:szCs w:val="21"/>
                <w:lang w:eastAsia="en-US"/>
                <w14:textFill>
                  <w14:solidFill>
                    <w14:schemeClr w14:val="tx1"/>
                  </w14:solidFill>
                </w14:textFill>
              </w:rPr>
            </w:pPr>
          </w:p>
        </w:tc>
        <w:tc>
          <w:tcPr>
            <w:tcW w:w="1369"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氯化物</w:t>
            </w:r>
          </w:p>
        </w:tc>
        <w:tc>
          <w:tcPr>
            <w:tcW w:w="1541"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lang w:eastAsia="en-US"/>
                <w14:textFill>
                  <w14:solidFill>
                    <w14:schemeClr w14:val="tx1"/>
                  </w14:solidFill>
                </w14:textFill>
              </w:rPr>
            </w:pPr>
            <w:r>
              <w:rPr>
                <w:rFonts w:cs="Times New Roman"/>
                <w:snapToGrid w:val="0"/>
                <w:color w:val="000000" w:themeColor="text1"/>
                <w:kern w:val="0"/>
                <w:sz w:val="21"/>
                <w:szCs w:val="21"/>
                <w:lang w:eastAsia="en-US"/>
                <w14:textFill>
                  <w14:solidFill>
                    <w14:schemeClr w14:val="tx1"/>
                  </w14:solidFill>
                </w14:textFill>
              </w:rPr>
              <w:t>4000</w:t>
            </w:r>
          </w:p>
        </w:tc>
        <w:tc>
          <w:tcPr>
            <w:tcW w:w="1370" w:type="dxa"/>
            <w:vAlign w:val="center"/>
          </w:tcPr>
          <w:p>
            <w:pPr>
              <w:widowControl/>
              <w:adjustRightInd/>
              <w:snapToGrid/>
              <w:spacing w:line="240" w:lineRule="auto"/>
              <w:ind w:firstLine="0" w:firstLineChars="0"/>
              <w:jc w:val="center"/>
              <w:rPr>
                <w:rFonts w:cs="Times New Roman"/>
                <w:snapToGrid w:val="0"/>
                <w:color w:val="000000" w:themeColor="text1"/>
                <w:kern w:val="0"/>
                <w:sz w:val="21"/>
                <w:szCs w:val="21"/>
                <w14:textFill>
                  <w14:solidFill>
                    <w14:schemeClr w14:val="tx1"/>
                  </w14:solidFill>
                </w14:textFill>
              </w:rPr>
            </w:pPr>
            <w:r>
              <w:rPr>
                <w:rFonts w:cs="Times New Roman"/>
                <w:snapToGrid w:val="0"/>
                <w:color w:val="000000" w:themeColor="text1"/>
                <w:kern w:val="0"/>
                <w:sz w:val="21"/>
                <w:szCs w:val="21"/>
                <w14:textFill>
                  <w14:solidFill>
                    <w14:schemeClr w14:val="tx1"/>
                  </w14:solidFill>
                </w14:textFill>
              </w:rPr>
              <w:t>720</w:t>
            </w:r>
          </w:p>
        </w:tc>
        <w:tc>
          <w:tcPr>
            <w:tcW w:w="1371" w:type="dxa"/>
            <w:vMerge w:val="continue"/>
            <w:vAlign w:val="center"/>
          </w:tcPr>
          <w:p>
            <w:pPr>
              <w:widowControl/>
              <w:adjustRightInd/>
              <w:snapToGrid/>
              <w:spacing w:line="240" w:lineRule="auto"/>
              <w:ind w:firstLine="420" w:firstLineChars="0"/>
              <w:jc w:val="center"/>
              <w:rPr>
                <w:rFonts w:cs="Times New Roman"/>
                <w:color w:val="000000" w:themeColor="text1"/>
                <w:kern w:val="0"/>
                <w:sz w:val="21"/>
                <w:szCs w:val="21"/>
                <w:lang w:eastAsia="en-US"/>
                <w14:textFill>
                  <w14:solidFill>
                    <w14:schemeClr w14:val="tx1"/>
                  </w14:solidFill>
                </w14:textFill>
              </w:rPr>
            </w:pPr>
          </w:p>
        </w:tc>
        <w:tc>
          <w:tcPr>
            <w:tcW w:w="1371" w:type="dxa"/>
            <w:vAlign w:val="center"/>
          </w:tcPr>
          <w:p>
            <w:pPr>
              <w:widowControl/>
              <w:adjustRightInd/>
              <w:snapToGrid/>
              <w:spacing w:line="240" w:lineRule="auto"/>
              <w:ind w:firstLine="0" w:firstLineChars="0"/>
              <w:jc w:val="center"/>
              <w:rPr>
                <w:rFonts w:cs="Times New Roman"/>
                <w:color w:val="000000" w:themeColor="text1"/>
                <w:kern w:val="0"/>
                <w:sz w:val="21"/>
                <w:szCs w:val="21"/>
                <w:lang w:eastAsia="en-US"/>
                <w14:textFill>
                  <w14:solidFill>
                    <w14:schemeClr w14:val="tx1"/>
                  </w14:solidFill>
                </w14:textFill>
              </w:rPr>
            </w:pPr>
            <w:r>
              <w:rPr>
                <w:rFonts w:cs="Times New Roman"/>
                <w:color w:val="000000" w:themeColor="text1"/>
                <w:kern w:val="0"/>
                <w:sz w:val="21"/>
                <w:szCs w:val="21"/>
                <w:lang w:eastAsia="en-US"/>
                <w14:textFill>
                  <w14:solidFill>
                    <w14:schemeClr w14:val="tx1"/>
                  </w14:solidFill>
                </w14:textFill>
              </w:rPr>
              <w:t>潜水</w:t>
            </w:r>
          </w:p>
        </w:tc>
      </w:tr>
      <w:bookmarkEnd w:id="290"/>
    </w:tbl>
    <w:p>
      <w:pPr>
        <w:pStyle w:val="5"/>
      </w:pPr>
      <w:r>
        <w:rPr>
          <w:rFonts w:hint="eastAsia"/>
        </w:rPr>
        <w:t>5.2.7.6</w:t>
      </w:r>
      <w:r>
        <w:t>地下水环境影响预测及评价</w:t>
      </w:r>
    </w:p>
    <w:p>
      <w:pPr>
        <w:pStyle w:val="21"/>
        <w:spacing w:before="0"/>
        <w:ind w:left="0" w:firstLine="480"/>
        <w:jc w:val="both"/>
        <w:rPr>
          <w:rFonts w:ascii="Times New Roman" w:hAnsi="Times New Roman" w:eastAsia="黑体"/>
          <w:bCs/>
          <w:color w:val="000000" w:themeColor="text1"/>
          <w:kern w:val="2"/>
          <w:lang w:eastAsia="zh-CN"/>
          <w14:textFill>
            <w14:solidFill>
              <w14:schemeClr w14:val="tx1"/>
            </w14:solidFill>
          </w14:textFill>
        </w:rPr>
      </w:pPr>
      <w:r>
        <w:rPr>
          <w:rFonts w:ascii="Times New Roman" w:hAnsi="Times New Roman" w:eastAsia="黑体"/>
          <w:bCs/>
          <w:color w:val="000000" w:themeColor="text1"/>
          <w:kern w:val="2"/>
          <w:lang w:eastAsia="zh-CN"/>
          <w14:textFill>
            <w14:solidFill>
              <w14:schemeClr w14:val="tx1"/>
            </w14:solidFill>
          </w14:textFill>
        </w:rPr>
        <w:t>1、地下水环境影响预测原则</w:t>
      </w:r>
    </w:p>
    <w:p>
      <w:pPr>
        <w:ind w:firstLine="480"/>
        <w:rPr>
          <w:rFonts w:cs="Times New Roman"/>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预测遵循保护地下水资源与环境的原则、遵循环境安全性原则，预测范围、时段、内容和方法根据评价工作等级、工程特征与环境特征，结合当地环境功能和环保要求确定，以拟建项目对地下水资源量、水质的影响及由此而产生的主要环境水文地质问题为重点，预测为评价项目的环境安全和环境保护措施的合理性提供依据。</w:t>
      </w:r>
    </w:p>
    <w:p>
      <w:pPr>
        <w:pStyle w:val="21"/>
        <w:spacing w:before="0"/>
        <w:ind w:left="0" w:firstLine="480"/>
        <w:jc w:val="both"/>
        <w:rPr>
          <w:rFonts w:ascii="Times New Roman" w:hAnsi="Times New Roman" w:eastAsia="黑体"/>
          <w:bCs/>
          <w:color w:val="000000" w:themeColor="text1"/>
          <w:kern w:val="2"/>
          <w:lang w:eastAsia="zh-CN"/>
          <w14:textFill>
            <w14:solidFill>
              <w14:schemeClr w14:val="tx1"/>
            </w14:solidFill>
          </w14:textFill>
        </w:rPr>
      </w:pPr>
      <w:r>
        <w:rPr>
          <w:rFonts w:ascii="Times New Roman" w:hAnsi="Times New Roman" w:eastAsia="黑体"/>
          <w:bCs/>
          <w:color w:val="000000" w:themeColor="text1"/>
          <w:kern w:val="2"/>
          <w:lang w:eastAsia="zh-CN"/>
          <w14:textFill>
            <w14:solidFill>
              <w14:schemeClr w14:val="tx1"/>
            </w14:solidFill>
          </w14:textFill>
        </w:rPr>
        <w:t>2、模型概化及参数选取</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（1）模型概化</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含有污染物的废水将以入渗的方式进入含水层，从保守角度，本次计算忽略污染物在包气带的运移过程。建设场地地下水流向呈一维流动，地下水位动态稳定，因此污染物在浅层含水层中的迁移，可概化为瞬时注入示踪剂（平面瞬时点源）的一维稳定流动二维水动力弥散问题。本次评价采用《环境影响评价技术导则—地下水》（HJ610-2016）中的地下水一维稳定流二维水动力弥散瞬时注入模式，采用解析法进行估算。</w:t>
      </w:r>
    </w:p>
    <w:p>
      <w:pPr>
        <w:ind w:firstLine="480"/>
        <w:jc w:val="center"/>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drawing>
          <wp:inline distT="0" distB="0" distL="0" distR="0">
            <wp:extent cx="2826385" cy="72453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2826385" cy="724535"/>
                    </a:xfrm>
                    <a:prstGeom prst="rect">
                      <a:avLst/>
                    </a:prstGeom>
                    <a:noFill/>
                    <a:ln>
                      <a:noFill/>
                    </a:ln>
                  </pic:spPr>
                </pic:pic>
              </a:graphicData>
            </a:graphic>
          </wp:inline>
        </w:drawing>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式中：</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x，y—计算点处的位置坐标；</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t—时间，d；</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C（x，y，t）—t时刻点x，y处的示踪剂浓度，g/L；</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M—含水层的厚度，m；</w:t>
      </w:r>
    </w:p>
    <w:p>
      <w:pPr>
        <w:ind w:firstLine="480"/>
        <w:rPr>
          <w:rFonts w:cs="Times New Roman"/>
          <w:color w:val="000000" w:themeColor="text1"/>
          <w:szCs w:val="24"/>
          <w14:textFill>
            <w14:solidFill>
              <w14:schemeClr w14:val="tx1"/>
            </w14:solidFill>
          </w14:textFill>
        </w:rPr>
      </w:pPr>
      <m:oMath>
        <m:sSub>
          <m:sSubPr>
            <m:ctrlPr>
              <w:rPr>
                <w:rFonts w:ascii="Cambria Math" w:hAnsi="Cambria Math" w:cs="Times New Roman"/>
                <w:i/>
                <w:snapToGrid w:val="0"/>
                <w:color w:val="000000" w:themeColor="text1"/>
                <w:szCs w:val="24"/>
                <w14:textFill>
                  <w14:solidFill>
                    <w14:schemeClr w14:val="tx1"/>
                  </w14:solidFill>
                </w14:textFill>
              </w:rPr>
            </m:ctrlPr>
          </m:sSubPr>
          <m:e>
            <m:r>
              <m:rPr/>
              <w:rPr>
                <w:rFonts w:ascii="Cambria Math" w:hAnsi="Cambria Math" w:cs="Times New Roman"/>
                <w:snapToGrid w:val="0"/>
                <w:color w:val="000000" w:themeColor="text1"/>
                <w:szCs w:val="24"/>
                <w14:textFill>
                  <w14:solidFill>
                    <w14:schemeClr w14:val="tx1"/>
                  </w14:solidFill>
                </w14:textFill>
              </w:rPr>
              <m:t>m</m:t>
            </m:r>
            <m:ctrlPr>
              <w:rPr>
                <w:rFonts w:ascii="Cambria Math" w:hAnsi="Cambria Math" w:cs="Times New Roman"/>
                <w:i/>
                <w:snapToGrid w:val="0"/>
                <w:color w:val="000000" w:themeColor="text1"/>
                <w:szCs w:val="24"/>
                <w14:textFill>
                  <w14:solidFill>
                    <w14:schemeClr w14:val="tx1"/>
                  </w14:solidFill>
                </w14:textFill>
              </w:rPr>
            </m:ctrlPr>
          </m:e>
          <m:sub>
            <m:r>
              <m:rPr/>
              <w:rPr>
                <w:rFonts w:ascii="Cambria Math" w:hAnsi="Cambria Math" w:cs="Times New Roman"/>
                <w:snapToGrid w:val="0"/>
                <w:color w:val="000000" w:themeColor="text1"/>
                <w:szCs w:val="24"/>
                <w14:textFill>
                  <w14:solidFill>
                    <w14:schemeClr w14:val="tx1"/>
                  </w14:solidFill>
                </w14:textFill>
              </w:rPr>
              <m:t>M</m:t>
            </m:r>
            <m:ctrlPr>
              <w:rPr>
                <w:rFonts w:ascii="Cambria Math" w:hAnsi="Cambria Math" w:cs="Times New Roman"/>
                <w:i/>
                <w:snapToGrid w:val="0"/>
                <w:color w:val="000000" w:themeColor="text1"/>
                <w:szCs w:val="24"/>
                <w14:textFill>
                  <w14:solidFill>
                    <w14:schemeClr w14:val="tx1"/>
                  </w14:solidFill>
                </w14:textFill>
              </w:rPr>
            </m:ctrlPr>
          </m:sub>
        </m:sSub>
      </m:oMath>
      <w:r>
        <w:rPr>
          <w:rFonts w:cs="Times New Roman"/>
          <w:color w:val="000000" w:themeColor="text1"/>
          <w:szCs w:val="24"/>
          <w14:textFill>
            <w14:solidFill>
              <w14:schemeClr w14:val="tx1"/>
            </w14:solidFill>
          </w14:textFill>
        </w:rPr>
        <w:t>—瞬时注入示踪剂的质量，kg；</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u—水流速度，m/d；</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n—有效孔隙度，无量纲；</w:t>
      </w:r>
    </w:p>
    <w:p>
      <w:pPr>
        <w:ind w:firstLine="480"/>
        <w:rPr>
          <w:rFonts w:cs="Times New Roman"/>
          <w:color w:val="000000" w:themeColor="text1"/>
          <w:szCs w:val="24"/>
          <w14:textFill>
            <w14:solidFill>
              <w14:schemeClr w14:val="tx1"/>
            </w14:solidFill>
          </w14:textFill>
        </w:rPr>
      </w:pPr>
      <m:oMath>
        <m:sSub>
          <m:sSubPr>
            <m:ctrlPr>
              <w:rPr>
                <w:rFonts w:ascii="Cambria Math" w:hAnsi="Cambria Math" w:cs="Times New Roman"/>
                <w:i/>
                <w:snapToGrid w:val="0"/>
                <w:color w:val="000000" w:themeColor="text1"/>
                <w:szCs w:val="24"/>
                <w14:textFill>
                  <w14:solidFill>
                    <w14:schemeClr w14:val="tx1"/>
                  </w14:solidFill>
                </w14:textFill>
              </w:rPr>
            </m:ctrlPr>
          </m:sSubPr>
          <m:e>
            <m:r>
              <m:rPr/>
              <w:rPr>
                <w:rFonts w:ascii="Cambria Math" w:hAnsi="Cambria Math" w:cs="Times New Roman"/>
                <w:snapToGrid w:val="0"/>
                <w:color w:val="000000" w:themeColor="text1"/>
                <w:szCs w:val="24"/>
                <w14:textFill>
                  <w14:solidFill>
                    <w14:schemeClr w14:val="tx1"/>
                  </w14:solidFill>
                </w14:textFill>
              </w:rPr>
              <m:t>D</m:t>
            </m:r>
            <m:ctrlPr>
              <w:rPr>
                <w:rFonts w:ascii="Cambria Math" w:hAnsi="Cambria Math" w:cs="Times New Roman"/>
                <w:i/>
                <w:snapToGrid w:val="0"/>
                <w:color w:val="000000" w:themeColor="text1"/>
                <w:szCs w:val="24"/>
                <w14:textFill>
                  <w14:solidFill>
                    <w14:schemeClr w14:val="tx1"/>
                  </w14:solidFill>
                </w14:textFill>
              </w:rPr>
            </m:ctrlPr>
          </m:e>
          <m:sub>
            <m:r>
              <m:rPr/>
              <w:rPr>
                <w:rFonts w:ascii="Cambria Math" w:hAnsi="Cambria Math" w:cs="Times New Roman"/>
                <w:snapToGrid w:val="0"/>
                <w:color w:val="000000" w:themeColor="text1"/>
                <w:szCs w:val="24"/>
                <w14:textFill>
                  <w14:solidFill>
                    <w14:schemeClr w14:val="tx1"/>
                  </w14:solidFill>
                </w14:textFill>
              </w:rPr>
              <m:t>L</m:t>
            </m:r>
            <m:ctrlPr>
              <w:rPr>
                <w:rFonts w:ascii="Cambria Math" w:hAnsi="Cambria Math" w:cs="Times New Roman"/>
                <w:i/>
                <w:snapToGrid w:val="0"/>
                <w:color w:val="000000" w:themeColor="text1"/>
                <w:szCs w:val="24"/>
                <w14:textFill>
                  <w14:solidFill>
                    <w14:schemeClr w14:val="tx1"/>
                  </w14:solidFill>
                </w14:textFill>
              </w:rPr>
            </m:ctrlPr>
          </m:sub>
        </m:sSub>
      </m:oMath>
      <w:r>
        <w:rPr>
          <w:rFonts w:cs="Times New Roman"/>
          <w:color w:val="000000" w:themeColor="text1"/>
          <w:szCs w:val="24"/>
          <w14:textFill>
            <w14:solidFill>
              <w14:schemeClr w14:val="tx1"/>
            </w14:solidFill>
          </w14:textFill>
        </w:rPr>
        <w:t>—纵向弥散系数，m</w:t>
      </w:r>
      <w:r>
        <w:rPr>
          <w:rFonts w:cs="Times New Roman"/>
          <w:color w:val="000000" w:themeColor="text1"/>
          <w:szCs w:val="24"/>
          <w:vertAlign w:val="superscript"/>
          <w14:textFill>
            <w14:solidFill>
              <w14:schemeClr w14:val="tx1"/>
            </w14:solidFill>
          </w14:textFill>
        </w:rPr>
        <w:t>2</w:t>
      </w:r>
      <w:r>
        <w:rPr>
          <w:rFonts w:cs="Times New Roman"/>
          <w:color w:val="000000" w:themeColor="text1"/>
          <w:szCs w:val="24"/>
          <w14:textFill>
            <w14:solidFill>
              <w14:schemeClr w14:val="tx1"/>
            </w14:solidFill>
          </w14:textFill>
        </w:rPr>
        <w:t>/d；</w:t>
      </w:r>
    </w:p>
    <w:p>
      <w:pPr>
        <w:ind w:firstLine="480"/>
        <w:rPr>
          <w:rFonts w:cs="Times New Roman"/>
          <w:color w:val="000000" w:themeColor="text1"/>
          <w:szCs w:val="24"/>
          <w14:textFill>
            <w14:solidFill>
              <w14:schemeClr w14:val="tx1"/>
            </w14:solidFill>
          </w14:textFill>
        </w:rPr>
      </w:pPr>
      <m:oMath>
        <m:sSub>
          <m:sSubPr>
            <m:ctrlPr>
              <w:rPr>
                <w:rFonts w:ascii="Cambria Math" w:hAnsi="Cambria Math" w:cs="Times New Roman"/>
                <w:i/>
                <w:snapToGrid w:val="0"/>
                <w:color w:val="000000" w:themeColor="text1"/>
                <w:szCs w:val="24"/>
                <w14:textFill>
                  <w14:solidFill>
                    <w14:schemeClr w14:val="tx1"/>
                  </w14:solidFill>
                </w14:textFill>
              </w:rPr>
            </m:ctrlPr>
          </m:sSubPr>
          <m:e>
            <m:r>
              <m:rPr/>
              <w:rPr>
                <w:rFonts w:ascii="Cambria Math" w:hAnsi="Cambria Math" w:cs="Times New Roman"/>
                <w:snapToGrid w:val="0"/>
                <w:color w:val="000000" w:themeColor="text1"/>
                <w:szCs w:val="24"/>
                <w14:textFill>
                  <w14:solidFill>
                    <w14:schemeClr w14:val="tx1"/>
                  </w14:solidFill>
                </w14:textFill>
              </w:rPr>
              <m:t>D</m:t>
            </m:r>
            <m:ctrlPr>
              <w:rPr>
                <w:rFonts w:ascii="Cambria Math" w:hAnsi="Cambria Math" w:cs="Times New Roman"/>
                <w:i/>
                <w:snapToGrid w:val="0"/>
                <w:color w:val="000000" w:themeColor="text1"/>
                <w:szCs w:val="24"/>
                <w14:textFill>
                  <w14:solidFill>
                    <w14:schemeClr w14:val="tx1"/>
                  </w14:solidFill>
                </w14:textFill>
              </w:rPr>
            </m:ctrlPr>
          </m:e>
          <m:sub>
            <m:r>
              <m:rPr/>
              <w:rPr>
                <w:rFonts w:ascii="Cambria Math" w:hAnsi="Cambria Math" w:cs="Times New Roman"/>
                <w:snapToGrid w:val="0"/>
                <w:color w:val="000000" w:themeColor="text1"/>
                <w:szCs w:val="24"/>
                <w14:textFill>
                  <w14:solidFill>
                    <w14:schemeClr w14:val="tx1"/>
                  </w14:solidFill>
                </w14:textFill>
              </w:rPr>
              <m:t>T</m:t>
            </m:r>
            <m:ctrlPr>
              <w:rPr>
                <w:rFonts w:ascii="Cambria Math" w:hAnsi="Cambria Math" w:cs="Times New Roman"/>
                <w:i/>
                <w:snapToGrid w:val="0"/>
                <w:color w:val="000000" w:themeColor="text1"/>
                <w:szCs w:val="24"/>
                <w14:textFill>
                  <w14:solidFill>
                    <w14:schemeClr w14:val="tx1"/>
                  </w14:solidFill>
                </w14:textFill>
              </w:rPr>
            </m:ctrlPr>
          </m:sub>
        </m:sSub>
      </m:oMath>
      <w:r>
        <w:rPr>
          <w:rFonts w:cs="Times New Roman"/>
          <w:color w:val="000000" w:themeColor="text1"/>
          <w:szCs w:val="24"/>
          <w14:textFill>
            <w14:solidFill>
              <w14:schemeClr w14:val="tx1"/>
            </w14:solidFill>
          </w14:textFill>
        </w:rPr>
        <w:t>—横向y方向的弥散系数，m</w:t>
      </w:r>
      <w:r>
        <w:rPr>
          <w:rFonts w:cs="Times New Roman"/>
          <w:color w:val="000000" w:themeColor="text1"/>
          <w:szCs w:val="24"/>
          <w:vertAlign w:val="superscript"/>
          <w14:textFill>
            <w14:solidFill>
              <w14:schemeClr w14:val="tx1"/>
            </w14:solidFill>
          </w14:textFill>
        </w:rPr>
        <w:t>2</w:t>
      </w:r>
      <w:r>
        <w:rPr>
          <w:rFonts w:cs="Times New Roman"/>
          <w:color w:val="000000" w:themeColor="text1"/>
          <w:szCs w:val="24"/>
          <w14:textFill>
            <w14:solidFill>
              <w14:schemeClr w14:val="tx1"/>
            </w14:solidFill>
          </w14:textFill>
        </w:rPr>
        <w:t>/d；</w:t>
      </w:r>
    </w:p>
    <w:p>
      <w:pPr>
        <w:ind w:firstLine="480"/>
        <w:rPr>
          <w:rFonts w:cs="Times New Roman"/>
          <w:color w:val="000000" w:themeColor="text1"/>
          <w:szCs w:val="24"/>
          <w14:textFill>
            <w14:solidFill>
              <w14:schemeClr w14:val="tx1"/>
            </w14:solidFill>
          </w14:textFill>
        </w:rPr>
      </w:pPr>
      <m:oMath>
        <m:r>
          <m:rPr/>
          <w:rPr>
            <w:rFonts w:ascii="Cambria Math" w:hAnsi="Cambria Math" w:cs="Times New Roman"/>
            <w:snapToGrid w:val="0"/>
            <w:color w:val="000000" w:themeColor="text1"/>
            <w:szCs w:val="24"/>
            <w14:textFill>
              <w14:solidFill>
                <w14:schemeClr w14:val="tx1"/>
              </w14:solidFill>
            </w14:textFill>
          </w:rPr>
          <m:t>π</m:t>
        </m:r>
      </m:oMath>
      <w:r>
        <w:rPr>
          <w:rFonts w:cs="Times New Roman"/>
          <w:color w:val="000000" w:themeColor="text1"/>
          <w:szCs w:val="24"/>
          <w14:textFill>
            <w14:solidFill>
              <w14:schemeClr w14:val="tx1"/>
            </w14:solidFill>
          </w14:textFill>
        </w:rPr>
        <w:t>—圆周率。</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将本次预测所用模型转换形式后可得：</w:t>
      </w:r>
    </w:p>
    <w:p>
      <w:pPr>
        <w:ind w:firstLine="480"/>
        <w:rPr>
          <w:rFonts w:cs="Times New Roman"/>
          <w:color w:val="000000" w:themeColor="text1"/>
          <w:szCs w:val="24"/>
          <w14:textFill>
            <w14:solidFill>
              <w14:schemeClr w14:val="tx1"/>
            </w14:solidFill>
          </w14:textFill>
        </w:rPr>
      </w:pPr>
      <m:oMathPara>
        <m:oMath>
          <m:f>
            <m:fPr>
              <m:ctrlPr>
                <w:rPr>
                  <w:rFonts w:ascii="Cambria Math" w:hAnsi="Cambria Math" w:cs="Times New Roman"/>
                  <w:i/>
                  <w:color w:val="000000" w:themeColor="text1"/>
                  <w:szCs w:val="24"/>
                  <w14:textFill>
                    <w14:solidFill>
                      <w14:schemeClr w14:val="tx1"/>
                    </w14:solidFill>
                  </w14:textFill>
                </w:rPr>
              </m:ctrlPr>
            </m:fPr>
            <m:num>
              <m:sSup>
                <m:sSupPr>
                  <m:ctrlPr>
                    <w:rPr>
                      <w:rFonts w:ascii="Cambria Math" w:hAnsi="Cambria Math" w:cs="Times New Roman"/>
                      <w:i/>
                      <w:color w:val="000000" w:themeColor="text1"/>
                      <w:szCs w:val="24"/>
                      <w14:textFill>
                        <w14:solidFill>
                          <w14:schemeClr w14:val="tx1"/>
                        </w14:solidFill>
                      </w14:textFill>
                    </w:rPr>
                  </m:ctrlPr>
                </m:sSupPr>
                <m:e>
                  <m:r>
                    <m:rPr/>
                    <w:rPr>
                      <w:rFonts w:ascii="Cambria Math" w:hAnsi="Cambria Math" w:cs="Times New Roman"/>
                      <w:color w:val="000000" w:themeColor="text1"/>
                      <w:szCs w:val="24"/>
                      <w14:textFill>
                        <w14:solidFill>
                          <w14:schemeClr w14:val="tx1"/>
                        </w14:solidFill>
                      </w14:textFill>
                    </w:rPr>
                    <m:t>(x−ut)</m:t>
                  </m:r>
                  <m:ctrlPr>
                    <w:rPr>
                      <w:rFonts w:ascii="Cambria Math" w:hAnsi="Cambria Math" w:cs="Times New Roman"/>
                      <w:i/>
                      <w:color w:val="000000" w:themeColor="text1"/>
                      <w:szCs w:val="24"/>
                      <w14:textFill>
                        <w14:solidFill>
                          <w14:schemeClr w14:val="tx1"/>
                        </w14:solidFill>
                      </w14:textFill>
                    </w:rPr>
                  </m:ctrlPr>
                </m:e>
                <m:sup>
                  <m:r>
                    <m:rPr/>
                    <w:rPr>
                      <w:rFonts w:ascii="Cambria Math" w:hAnsi="Cambria Math" w:cs="Times New Roman"/>
                      <w:color w:val="000000" w:themeColor="text1"/>
                      <w:szCs w:val="24"/>
                      <w14:textFill>
                        <w14:solidFill>
                          <w14:schemeClr w14:val="tx1"/>
                        </w14:solidFill>
                      </w14:textFill>
                    </w:rPr>
                    <m:t>2</m:t>
                  </m:r>
                  <m:ctrlPr>
                    <w:rPr>
                      <w:rFonts w:ascii="Cambria Math" w:hAnsi="Cambria Math" w:cs="Times New Roman"/>
                      <w:i/>
                      <w:color w:val="000000" w:themeColor="text1"/>
                      <w:szCs w:val="24"/>
                      <w14:textFill>
                        <w14:solidFill>
                          <w14:schemeClr w14:val="tx1"/>
                        </w14:solidFill>
                      </w14:textFill>
                    </w:rPr>
                  </m:ctrlPr>
                </m:sup>
              </m:sSup>
              <m:ctrlPr>
                <w:rPr>
                  <w:rFonts w:ascii="Cambria Math" w:hAnsi="Cambria Math" w:cs="Times New Roman"/>
                  <w:i/>
                  <w:color w:val="000000" w:themeColor="text1"/>
                  <w:szCs w:val="24"/>
                  <w14:textFill>
                    <w14:solidFill>
                      <w14:schemeClr w14:val="tx1"/>
                    </w14:solidFill>
                  </w14:textFill>
                </w:rPr>
              </m:ctrlPr>
            </m:num>
            <m:den>
              <m:r>
                <m:rPr/>
                <w:rPr>
                  <w:rFonts w:ascii="Cambria Math" w:hAnsi="Cambria Math" w:cs="Times New Roman"/>
                  <w:color w:val="000000" w:themeColor="text1"/>
                  <w:szCs w:val="24"/>
                  <w14:textFill>
                    <w14:solidFill>
                      <w14:schemeClr w14:val="tx1"/>
                    </w14:solidFill>
                  </w14:textFill>
                </w:rPr>
                <m:t>4</m:t>
              </m:r>
              <m:sSub>
                <m:sSubPr>
                  <m:ctrlPr>
                    <w:rPr>
                      <w:rFonts w:ascii="Cambria Math" w:hAnsi="Cambria Math" w:cs="Times New Roman"/>
                      <w:i/>
                      <w:color w:val="000000" w:themeColor="text1"/>
                      <w:szCs w:val="24"/>
                      <w14:textFill>
                        <w14:solidFill>
                          <w14:schemeClr w14:val="tx1"/>
                        </w14:solidFill>
                      </w14:textFill>
                    </w:rPr>
                  </m:ctrlPr>
                </m:sSubPr>
                <m:e>
                  <m:r>
                    <m:rPr/>
                    <w:rPr>
                      <w:rFonts w:ascii="Cambria Math" w:hAnsi="Cambria Math" w:cs="Times New Roman"/>
                      <w:color w:val="000000" w:themeColor="text1"/>
                      <w:szCs w:val="24"/>
                      <w14:textFill>
                        <w14:solidFill>
                          <w14:schemeClr w14:val="tx1"/>
                        </w14:solidFill>
                      </w14:textFill>
                    </w:rPr>
                    <m:t>D</m:t>
                  </m:r>
                  <m:ctrlPr>
                    <w:rPr>
                      <w:rFonts w:ascii="Cambria Math" w:hAnsi="Cambria Math" w:cs="Times New Roman"/>
                      <w:i/>
                      <w:color w:val="000000" w:themeColor="text1"/>
                      <w:szCs w:val="24"/>
                      <w14:textFill>
                        <w14:solidFill>
                          <w14:schemeClr w14:val="tx1"/>
                        </w14:solidFill>
                      </w14:textFill>
                    </w:rPr>
                  </m:ctrlPr>
                </m:e>
                <m:sub>
                  <m:r>
                    <m:rPr/>
                    <w:rPr>
                      <w:rFonts w:ascii="Cambria Math" w:hAnsi="Cambria Math" w:cs="Times New Roman"/>
                      <w:color w:val="000000" w:themeColor="text1"/>
                      <w:szCs w:val="24"/>
                      <w14:textFill>
                        <w14:solidFill>
                          <w14:schemeClr w14:val="tx1"/>
                        </w14:solidFill>
                      </w14:textFill>
                    </w:rPr>
                    <m:t>L</m:t>
                  </m:r>
                  <m:ctrlPr>
                    <w:rPr>
                      <w:rFonts w:ascii="Cambria Math" w:hAnsi="Cambria Math" w:cs="Times New Roman"/>
                      <w:i/>
                      <w:color w:val="000000" w:themeColor="text1"/>
                      <w:szCs w:val="24"/>
                      <w14:textFill>
                        <w14:solidFill>
                          <w14:schemeClr w14:val="tx1"/>
                        </w14:solidFill>
                      </w14:textFill>
                    </w:rPr>
                  </m:ctrlPr>
                </m:sub>
              </m:sSub>
              <m:r>
                <m:rPr/>
                <w:rPr>
                  <w:rFonts w:ascii="Cambria Math" w:hAnsi="Cambria Math" w:cs="Times New Roman"/>
                  <w:color w:val="000000" w:themeColor="text1"/>
                  <w:szCs w:val="24"/>
                  <w14:textFill>
                    <w14:solidFill>
                      <w14:schemeClr w14:val="tx1"/>
                    </w14:solidFill>
                  </w14:textFill>
                </w:rPr>
                <m:t>t</m:t>
              </m:r>
              <m:ctrlPr>
                <w:rPr>
                  <w:rFonts w:ascii="Cambria Math" w:hAnsi="Cambria Math" w:cs="Times New Roman"/>
                  <w:i/>
                  <w:color w:val="000000" w:themeColor="text1"/>
                  <w:szCs w:val="24"/>
                  <w14:textFill>
                    <w14:solidFill>
                      <w14:schemeClr w14:val="tx1"/>
                    </w14:solidFill>
                  </w14:textFill>
                </w:rPr>
              </m:ctrlPr>
            </m:den>
          </m:f>
          <m:r>
            <m:rPr/>
            <w:rPr>
              <w:rFonts w:ascii="Cambria Math" w:hAnsi="Cambria Math" w:cs="Times New Roman"/>
              <w:color w:val="000000" w:themeColor="text1"/>
              <w:szCs w:val="24"/>
              <w14:textFill>
                <w14:solidFill>
                  <w14:schemeClr w14:val="tx1"/>
                </w14:solidFill>
              </w14:textFill>
            </w:rPr>
            <m:t>+</m:t>
          </m:r>
          <m:f>
            <m:fPr>
              <m:ctrlPr>
                <w:rPr>
                  <w:rFonts w:ascii="Cambria Math" w:hAnsi="Cambria Math" w:cs="Times New Roman"/>
                  <w:i/>
                  <w:color w:val="000000" w:themeColor="text1"/>
                  <w:szCs w:val="24"/>
                  <w14:textFill>
                    <w14:solidFill>
                      <w14:schemeClr w14:val="tx1"/>
                    </w14:solidFill>
                  </w14:textFill>
                </w:rPr>
              </m:ctrlPr>
            </m:fPr>
            <m:num>
              <m:sSup>
                <m:sSupPr>
                  <m:ctrlPr>
                    <w:rPr>
                      <w:rFonts w:ascii="Cambria Math" w:hAnsi="Cambria Math" w:cs="Times New Roman"/>
                      <w:i/>
                      <w:color w:val="000000" w:themeColor="text1"/>
                      <w:szCs w:val="24"/>
                      <w14:textFill>
                        <w14:solidFill>
                          <w14:schemeClr w14:val="tx1"/>
                        </w14:solidFill>
                      </w14:textFill>
                    </w:rPr>
                  </m:ctrlPr>
                </m:sSupPr>
                <m:e>
                  <m:r>
                    <m:rPr/>
                    <w:rPr>
                      <w:rFonts w:ascii="Cambria Math" w:hAnsi="Cambria Math" w:cs="Times New Roman"/>
                      <w:color w:val="000000" w:themeColor="text1"/>
                      <w:szCs w:val="24"/>
                      <w14:textFill>
                        <w14:solidFill>
                          <w14:schemeClr w14:val="tx1"/>
                        </w14:solidFill>
                      </w14:textFill>
                    </w:rPr>
                    <m:t>y</m:t>
                  </m:r>
                  <m:ctrlPr>
                    <w:rPr>
                      <w:rFonts w:ascii="Cambria Math" w:hAnsi="Cambria Math" w:cs="Times New Roman"/>
                      <w:i/>
                      <w:color w:val="000000" w:themeColor="text1"/>
                      <w:szCs w:val="24"/>
                      <w14:textFill>
                        <w14:solidFill>
                          <w14:schemeClr w14:val="tx1"/>
                        </w14:solidFill>
                      </w14:textFill>
                    </w:rPr>
                  </m:ctrlPr>
                </m:e>
                <m:sup>
                  <m:r>
                    <m:rPr/>
                    <w:rPr>
                      <w:rFonts w:ascii="Cambria Math" w:hAnsi="Cambria Math" w:cs="Times New Roman"/>
                      <w:color w:val="000000" w:themeColor="text1"/>
                      <w:szCs w:val="24"/>
                      <w14:textFill>
                        <w14:solidFill>
                          <w14:schemeClr w14:val="tx1"/>
                        </w14:solidFill>
                      </w14:textFill>
                    </w:rPr>
                    <m:t>2</m:t>
                  </m:r>
                  <m:ctrlPr>
                    <w:rPr>
                      <w:rFonts w:ascii="Cambria Math" w:hAnsi="Cambria Math" w:cs="Times New Roman"/>
                      <w:i/>
                      <w:color w:val="000000" w:themeColor="text1"/>
                      <w:szCs w:val="24"/>
                      <w14:textFill>
                        <w14:solidFill>
                          <w14:schemeClr w14:val="tx1"/>
                        </w14:solidFill>
                      </w14:textFill>
                    </w:rPr>
                  </m:ctrlPr>
                </m:sup>
              </m:sSup>
              <m:ctrlPr>
                <w:rPr>
                  <w:rFonts w:ascii="Cambria Math" w:hAnsi="Cambria Math" w:cs="Times New Roman"/>
                  <w:i/>
                  <w:color w:val="000000" w:themeColor="text1"/>
                  <w:szCs w:val="24"/>
                  <w14:textFill>
                    <w14:solidFill>
                      <w14:schemeClr w14:val="tx1"/>
                    </w14:solidFill>
                  </w14:textFill>
                </w:rPr>
              </m:ctrlPr>
            </m:num>
            <m:den>
              <m:r>
                <m:rPr/>
                <w:rPr>
                  <w:rFonts w:ascii="Cambria Math" w:hAnsi="Cambria Math" w:cs="Times New Roman"/>
                  <w:color w:val="000000" w:themeColor="text1"/>
                  <w:szCs w:val="24"/>
                  <w14:textFill>
                    <w14:solidFill>
                      <w14:schemeClr w14:val="tx1"/>
                    </w14:solidFill>
                  </w14:textFill>
                </w:rPr>
                <m:t>4</m:t>
              </m:r>
              <m:sSub>
                <m:sSubPr>
                  <m:ctrlPr>
                    <w:rPr>
                      <w:rFonts w:ascii="Cambria Math" w:hAnsi="Cambria Math" w:cs="Times New Roman"/>
                      <w:i/>
                      <w:color w:val="000000" w:themeColor="text1"/>
                      <w:szCs w:val="24"/>
                      <w14:textFill>
                        <w14:solidFill>
                          <w14:schemeClr w14:val="tx1"/>
                        </w14:solidFill>
                      </w14:textFill>
                    </w:rPr>
                  </m:ctrlPr>
                </m:sSubPr>
                <m:e>
                  <m:r>
                    <m:rPr/>
                    <w:rPr>
                      <w:rFonts w:ascii="Cambria Math" w:hAnsi="Cambria Math" w:cs="Times New Roman"/>
                      <w:color w:val="000000" w:themeColor="text1"/>
                      <w:szCs w:val="24"/>
                      <w14:textFill>
                        <w14:solidFill>
                          <w14:schemeClr w14:val="tx1"/>
                        </w14:solidFill>
                      </w14:textFill>
                    </w:rPr>
                    <m:t>D</m:t>
                  </m:r>
                  <m:ctrlPr>
                    <w:rPr>
                      <w:rFonts w:ascii="Cambria Math" w:hAnsi="Cambria Math" w:cs="Times New Roman"/>
                      <w:i/>
                      <w:color w:val="000000" w:themeColor="text1"/>
                      <w:szCs w:val="24"/>
                      <w14:textFill>
                        <w14:solidFill>
                          <w14:schemeClr w14:val="tx1"/>
                        </w14:solidFill>
                      </w14:textFill>
                    </w:rPr>
                  </m:ctrlPr>
                </m:e>
                <m:sub>
                  <m:r>
                    <m:rPr/>
                    <w:rPr>
                      <w:rFonts w:ascii="Cambria Math" w:hAnsi="Cambria Math" w:cs="Times New Roman"/>
                      <w:color w:val="000000" w:themeColor="text1"/>
                      <w:szCs w:val="24"/>
                      <w14:textFill>
                        <w14:solidFill>
                          <w14:schemeClr w14:val="tx1"/>
                        </w14:solidFill>
                      </w14:textFill>
                    </w:rPr>
                    <m:t>T</m:t>
                  </m:r>
                  <m:ctrlPr>
                    <w:rPr>
                      <w:rFonts w:ascii="Cambria Math" w:hAnsi="Cambria Math" w:cs="Times New Roman"/>
                      <w:i/>
                      <w:color w:val="000000" w:themeColor="text1"/>
                      <w:szCs w:val="24"/>
                      <w14:textFill>
                        <w14:solidFill>
                          <w14:schemeClr w14:val="tx1"/>
                        </w14:solidFill>
                      </w14:textFill>
                    </w:rPr>
                  </m:ctrlPr>
                </m:sub>
              </m:sSub>
              <m:r>
                <m:rPr/>
                <w:rPr>
                  <w:rFonts w:ascii="Cambria Math" w:hAnsi="Cambria Math" w:cs="Times New Roman"/>
                  <w:color w:val="000000" w:themeColor="text1"/>
                  <w:szCs w:val="24"/>
                  <w14:textFill>
                    <w14:solidFill>
                      <w14:schemeClr w14:val="tx1"/>
                    </w14:solidFill>
                  </w14:textFill>
                </w:rPr>
                <m:t>t</m:t>
              </m:r>
              <m:ctrlPr>
                <w:rPr>
                  <w:rFonts w:ascii="Cambria Math" w:hAnsi="Cambria Math" w:cs="Times New Roman"/>
                  <w:i/>
                  <w:color w:val="000000" w:themeColor="text1"/>
                  <w:szCs w:val="24"/>
                  <w14:textFill>
                    <w14:solidFill>
                      <w14:schemeClr w14:val="tx1"/>
                    </w14:solidFill>
                  </w14:textFill>
                </w:rPr>
              </m:ctrlPr>
            </m:den>
          </m:f>
          <m:r>
            <m:rPr/>
            <w:rPr>
              <w:rFonts w:ascii="Cambria Math" w:hAnsi="Cambria Math" w:cs="Times New Roman"/>
              <w:color w:val="000000" w:themeColor="text1"/>
              <w:szCs w:val="24"/>
              <w14:textFill>
                <w14:solidFill>
                  <w14:schemeClr w14:val="tx1"/>
                </w14:solidFill>
              </w14:textFill>
            </w:rPr>
            <m:t>=</m:t>
          </m:r>
          <m:func>
            <m:funcPr>
              <m:ctrlPr>
                <w:rPr>
                  <w:rFonts w:ascii="Cambria Math" w:hAnsi="Cambria Math" w:cs="Times New Roman"/>
                  <w:i/>
                  <w:color w:val="000000" w:themeColor="text1"/>
                  <w:szCs w:val="24"/>
                  <w14:textFill>
                    <w14:solidFill>
                      <w14:schemeClr w14:val="tx1"/>
                    </w14:solidFill>
                  </w14:textFill>
                </w:rPr>
              </m:ctrlPr>
            </m:funcPr>
            <m:fName>
              <m:r>
                <m:rPr>
                  <m:sty m:val="p"/>
                </m:rPr>
                <w:rPr>
                  <w:rFonts w:ascii="Cambria Math" w:hAnsi="Cambria Math" w:cs="Times New Roman"/>
                  <w:color w:val="000000" w:themeColor="text1"/>
                  <w:szCs w:val="24"/>
                  <w14:textFill>
                    <w14:solidFill>
                      <w14:schemeClr w14:val="tx1"/>
                    </w14:solidFill>
                  </w14:textFill>
                </w:rPr>
                <m:t>ln</m:t>
              </m:r>
              <m:ctrlPr>
                <w:rPr>
                  <w:rFonts w:ascii="Cambria Math" w:hAnsi="Cambria Math" w:cs="Times New Roman"/>
                  <w:i/>
                  <w:color w:val="000000" w:themeColor="text1"/>
                  <w:szCs w:val="24"/>
                  <w14:textFill>
                    <w14:solidFill>
                      <w14:schemeClr w14:val="tx1"/>
                    </w14:solidFill>
                  </w14:textFill>
                </w:rPr>
              </m:ctrlPr>
            </m:fName>
            <m:e>
              <m:d>
                <m:dPr>
                  <m:begChr m:val="["/>
                  <m:endChr m:val="]"/>
                  <m:ctrlPr>
                    <w:rPr>
                      <w:rFonts w:ascii="Cambria Math" w:hAnsi="Cambria Math" w:cs="Times New Roman"/>
                      <w:i/>
                      <w:color w:val="000000" w:themeColor="text1"/>
                      <w:szCs w:val="24"/>
                      <w14:textFill>
                        <w14:solidFill>
                          <w14:schemeClr w14:val="tx1"/>
                        </w14:solidFill>
                      </w14:textFill>
                    </w:rPr>
                  </m:ctrlPr>
                </m:dPr>
                <m:e>
                  <m:f>
                    <m:fPr>
                      <m:ctrlPr>
                        <w:rPr>
                          <w:rFonts w:ascii="Cambria Math" w:hAnsi="Cambria Math" w:cs="Times New Roman"/>
                          <w:i/>
                          <w:color w:val="000000" w:themeColor="text1"/>
                          <w:szCs w:val="24"/>
                          <w14:textFill>
                            <w14:solidFill>
                              <w14:schemeClr w14:val="tx1"/>
                            </w14:solidFill>
                          </w14:textFill>
                        </w:rPr>
                      </m:ctrlPr>
                    </m:fPr>
                    <m:num>
                      <m:sSub>
                        <m:sSubPr>
                          <m:ctrlPr>
                            <w:rPr>
                              <w:rFonts w:ascii="Cambria Math" w:hAnsi="Cambria Math" w:cs="Times New Roman"/>
                              <w:color w:val="000000" w:themeColor="text1"/>
                              <w:szCs w:val="24"/>
                              <w14:textFill>
                                <w14:solidFill>
                                  <w14:schemeClr w14:val="tx1"/>
                                </w14:solidFill>
                              </w14:textFill>
                            </w:rPr>
                          </m:ctrlPr>
                        </m:sSubPr>
                        <m:e>
                          <m:r>
                            <m:rPr>
                              <m:sty m:val="p"/>
                            </m:rPr>
                            <w:rPr>
                              <w:rFonts w:ascii="Cambria Math" w:hAnsi="Cambria Math" w:cs="Times New Roman"/>
                              <w:color w:val="000000" w:themeColor="text1"/>
                              <w:szCs w:val="24"/>
                              <w14:textFill>
                                <w14:solidFill>
                                  <w14:schemeClr w14:val="tx1"/>
                                </w14:solidFill>
                              </w14:textFill>
                            </w:rPr>
                            <m:t>m</m:t>
                          </m:r>
                          <m:ctrlPr>
                            <w:rPr>
                              <w:rFonts w:ascii="Cambria Math" w:hAnsi="Cambria Math" w:cs="Times New Roman"/>
                              <w:color w:val="000000" w:themeColor="text1"/>
                              <w:szCs w:val="24"/>
                              <w14:textFill>
                                <w14:solidFill>
                                  <w14:schemeClr w14:val="tx1"/>
                                </w14:solidFill>
                              </w14:textFill>
                            </w:rPr>
                          </m:ctrlPr>
                        </m:e>
                        <m:sub>
                          <m:r>
                            <m:rPr/>
                            <w:rPr>
                              <w:rFonts w:ascii="Cambria Math" w:hAnsi="Cambria Math" w:cs="Times New Roman"/>
                              <w:color w:val="000000" w:themeColor="text1"/>
                              <w:szCs w:val="24"/>
                              <w14:textFill>
                                <w14:solidFill>
                                  <w14:schemeClr w14:val="tx1"/>
                                </w14:solidFill>
                              </w14:textFill>
                            </w:rPr>
                            <m:t>M</m:t>
                          </m:r>
                          <m:ctrlPr>
                            <w:rPr>
                              <w:rFonts w:ascii="Cambria Math" w:hAnsi="Cambria Math" w:cs="Times New Roman"/>
                              <w:color w:val="000000" w:themeColor="text1"/>
                              <w:szCs w:val="24"/>
                              <w14:textFill>
                                <w14:solidFill>
                                  <w14:schemeClr w14:val="tx1"/>
                                </w14:solidFill>
                              </w14:textFill>
                            </w:rPr>
                          </m:ctrlPr>
                        </m:sub>
                      </m:sSub>
                      <m:ctrlPr>
                        <w:rPr>
                          <w:rFonts w:ascii="Cambria Math" w:hAnsi="Cambria Math" w:cs="Times New Roman"/>
                          <w:i/>
                          <w:color w:val="000000" w:themeColor="text1"/>
                          <w:szCs w:val="24"/>
                          <w14:textFill>
                            <w14:solidFill>
                              <w14:schemeClr w14:val="tx1"/>
                            </w14:solidFill>
                          </w14:textFill>
                        </w:rPr>
                      </m:ctrlPr>
                    </m:num>
                    <m:den>
                      <m:r>
                        <m:rPr/>
                        <w:rPr>
                          <w:rFonts w:ascii="Cambria Math" w:hAnsi="Cambria Math" w:cs="Times New Roman"/>
                          <w:color w:val="000000" w:themeColor="text1"/>
                          <w:szCs w:val="24"/>
                          <w14:textFill>
                            <w14:solidFill>
                              <w14:schemeClr w14:val="tx1"/>
                            </w14:solidFill>
                          </w14:textFill>
                        </w:rPr>
                        <m:t>4πnM</m:t>
                      </m:r>
                      <m:r>
                        <m:rPr>
                          <m:sty m:val="p"/>
                        </m:rPr>
                        <w:rPr>
                          <w:rFonts w:ascii="Cambria Math" w:hAnsi="Cambria Math" w:cs="Times New Roman"/>
                          <w:color w:val="000000" w:themeColor="text1"/>
                          <w:szCs w:val="24"/>
                          <w14:textFill>
                            <w14:solidFill>
                              <w14:schemeClr w14:val="tx1"/>
                            </w14:solidFill>
                          </w14:textFill>
                        </w:rPr>
                        <m:t>C</m:t>
                      </m:r>
                      <m:d>
                        <m:dPr>
                          <m:begChr m:val="（"/>
                          <m:endChr m:val="）"/>
                          <m:ctrlPr>
                            <w:rPr>
                              <w:rFonts w:ascii="Cambria Math" w:hAnsi="Cambria Math" w:cs="Times New Roman"/>
                              <w:color w:val="000000" w:themeColor="text1"/>
                              <w:szCs w:val="24"/>
                              <w14:textFill>
                                <w14:solidFill>
                                  <w14:schemeClr w14:val="tx1"/>
                                </w14:solidFill>
                              </w14:textFill>
                            </w:rPr>
                          </m:ctrlPr>
                        </m:dPr>
                        <m:e>
                          <m:r>
                            <m:rPr/>
                            <w:rPr>
                              <w:rFonts w:ascii="Cambria Math" w:hAnsi="Cambria Math" w:cs="Times New Roman"/>
                              <w:color w:val="000000" w:themeColor="text1"/>
                              <w:szCs w:val="24"/>
                              <w14:textFill>
                                <w14:solidFill>
                                  <w14:schemeClr w14:val="tx1"/>
                                </w14:solidFill>
                              </w14:textFill>
                            </w:rPr>
                            <m:t>x，y，t</m:t>
                          </m:r>
                          <m:ctrlPr>
                            <w:rPr>
                              <w:rFonts w:ascii="Cambria Math" w:hAnsi="Cambria Math" w:cs="Times New Roman"/>
                              <w:color w:val="000000" w:themeColor="text1"/>
                              <w:szCs w:val="24"/>
                              <w14:textFill>
                                <w14:solidFill>
                                  <w14:schemeClr w14:val="tx1"/>
                                </w14:solidFill>
                              </w14:textFill>
                            </w:rPr>
                          </m:ctrlPr>
                        </m:e>
                      </m:d>
                      <m:rad>
                        <m:radPr>
                          <m:degHide m:val="1"/>
                          <m:ctrlPr>
                            <w:rPr>
                              <w:rFonts w:ascii="Cambria Math" w:hAnsi="Cambria Math" w:cs="Times New Roman"/>
                              <w:i/>
                              <w:color w:val="000000" w:themeColor="text1"/>
                              <w:szCs w:val="24"/>
                              <w14:textFill>
                                <w14:solidFill>
                                  <w14:schemeClr w14:val="tx1"/>
                                </w14:solidFill>
                              </w14:textFill>
                            </w:rPr>
                          </m:ctrlPr>
                        </m:radPr>
                        <m:deg>
                          <m:ctrlPr>
                            <w:rPr>
                              <w:rFonts w:ascii="Cambria Math" w:hAnsi="Cambria Math" w:cs="Times New Roman"/>
                              <w:i/>
                              <w:color w:val="000000" w:themeColor="text1"/>
                              <w:szCs w:val="24"/>
                              <w14:textFill>
                                <w14:solidFill>
                                  <w14:schemeClr w14:val="tx1"/>
                                </w14:solidFill>
                              </w14:textFill>
                            </w:rPr>
                          </m:ctrlPr>
                        </m:deg>
                        <m:e>
                          <m:sSub>
                            <m:sSubPr>
                              <m:ctrlPr>
                                <w:rPr>
                                  <w:rFonts w:ascii="Cambria Math" w:hAnsi="Cambria Math" w:cs="Times New Roman"/>
                                  <w:i/>
                                  <w:color w:val="000000" w:themeColor="text1"/>
                                  <w:szCs w:val="24"/>
                                  <w14:textFill>
                                    <w14:solidFill>
                                      <w14:schemeClr w14:val="tx1"/>
                                    </w14:solidFill>
                                  </w14:textFill>
                                </w:rPr>
                              </m:ctrlPr>
                            </m:sSubPr>
                            <m:e>
                              <m:r>
                                <m:rPr/>
                                <w:rPr>
                                  <w:rFonts w:ascii="Cambria Math" w:hAnsi="Cambria Math" w:cs="Times New Roman"/>
                                  <w:color w:val="000000" w:themeColor="text1"/>
                                  <w:szCs w:val="24"/>
                                  <w14:textFill>
                                    <w14:solidFill>
                                      <w14:schemeClr w14:val="tx1"/>
                                    </w14:solidFill>
                                  </w14:textFill>
                                </w:rPr>
                                <m:t>D</m:t>
                              </m:r>
                              <m:ctrlPr>
                                <w:rPr>
                                  <w:rFonts w:ascii="Cambria Math" w:hAnsi="Cambria Math" w:cs="Times New Roman"/>
                                  <w:i/>
                                  <w:color w:val="000000" w:themeColor="text1"/>
                                  <w:szCs w:val="24"/>
                                  <w14:textFill>
                                    <w14:solidFill>
                                      <w14:schemeClr w14:val="tx1"/>
                                    </w14:solidFill>
                                  </w14:textFill>
                                </w:rPr>
                              </m:ctrlPr>
                            </m:e>
                            <m:sub>
                              <m:r>
                                <m:rPr/>
                                <w:rPr>
                                  <w:rFonts w:ascii="Cambria Math" w:hAnsi="Cambria Math" w:cs="Times New Roman"/>
                                  <w:color w:val="000000" w:themeColor="text1"/>
                                  <w:szCs w:val="24"/>
                                  <w14:textFill>
                                    <w14:solidFill>
                                      <w14:schemeClr w14:val="tx1"/>
                                    </w14:solidFill>
                                  </w14:textFill>
                                </w:rPr>
                                <m:t>L</m:t>
                              </m:r>
                              <m:ctrlPr>
                                <w:rPr>
                                  <w:rFonts w:ascii="Cambria Math" w:hAnsi="Cambria Math" w:cs="Times New Roman"/>
                                  <w:i/>
                                  <w:color w:val="000000" w:themeColor="text1"/>
                                  <w:szCs w:val="24"/>
                                  <w14:textFill>
                                    <w14:solidFill>
                                      <w14:schemeClr w14:val="tx1"/>
                                    </w14:solidFill>
                                  </w14:textFill>
                                </w:rPr>
                              </m:ctrlPr>
                            </m:sub>
                          </m:sSub>
                          <m:sSub>
                            <m:sSubPr>
                              <m:ctrlPr>
                                <w:rPr>
                                  <w:rFonts w:ascii="Cambria Math" w:hAnsi="Cambria Math" w:cs="Times New Roman"/>
                                  <w:i/>
                                  <w:color w:val="000000" w:themeColor="text1"/>
                                  <w:szCs w:val="24"/>
                                  <w14:textFill>
                                    <w14:solidFill>
                                      <w14:schemeClr w14:val="tx1"/>
                                    </w14:solidFill>
                                  </w14:textFill>
                                </w:rPr>
                              </m:ctrlPr>
                            </m:sSubPr>
                            <m:e>
                              <m:r>
                                <m:rPr/>
                                <w:rPr>
                                  <w:rFonts w:ascii="Cambria Math" w:hAnsi="Cambria Math" w:cs="Times New Roman"/>
                                  <w:color w:val="000000" w:themeColor="text1"/>
                                  <w:szCs w:val="24"/>
                                  <w14:textFill>
                                    <w14:solidFill>
                                      <w14:schemeClr w14:val="tx1"/>
                                    </w14:solidFill>
                                  </w14:textFill>
                                </w:rPr>
                                <m:t>D</m:t>
                              </m:r>
                              <m:ctrlPr>
                                <w:rPr>
                                  <w:rFonts w:ascii="Cambria Math" w:hAnsi="Cambria Math" w:cs="Times New Roman"/>
                                  <w:i/>
                                  <w:color w:val="000000" w:themeColor="text1"/>
                                  <w:szCs w:val="24"/>
                                  <w14:textFill>
                                    <w14:solidFill>
                                      <w14:schemeClr w14:val="tx1"/>
                                    </w14:solidFill>
                                  </w14:textFill>
                                </w:rPr>
                              </m:ctrlPr>
                            </m:e>
                            <m:sub>
                              <m:r>
                                <m:rPr/>
                                <w:rPr>
                                  <w:rFonts w:ascii="Cambria Math" w:hAnsi="Cambria Math" w:cs="Times New Roman"/>
                                  <w:color w:val="000000" w:themeColor="text1"/>
                                  <w:szCs w:val="24"/>
                                  <w14:textFill>
                                    <w14:solidFill>
                                      <w14:schemeClr w14:val="tx1"/>
                                    </w14:solidFill>
                                  </w14:textFill>
                                </w:rPr>
                                <m:t>T</m:t>
                              </m:r>
                              <m:ctrlPr>
                                <w:rPr>
                                  <w:rFonts w:ascii="Cambria Math" w:hAnsi="Cambria Math" w:cs="Times New Roman"/>
                                  <w:i/>
                                  <w:color w:val="000000" w:themeColor="text1"/>
                                  <w:szCs w:val="24"/>
                                  <w14:textFill>
                                    <w14:solidFill>
                                      <w14:schemeClr w14:val="tx1"/>
                                    </w14:solidFill>
                                  </w14:textFill>
                                </w:rPr>
                              </m:ctrlPr>
                            </m:sub>
                          </m:sSub>
                          <m:ctrlPr>
                            <w:rPr>
                              <w:rFonts w:ascii="Cambria Math" w:hAnsi="Cambria Math" w:cs="Times New Roman"/>
                              <w:i/>
                              <w:color w:val="000000" w:themeColor="text1"/>
                              <w:szCs w:val="24"/>
                              <w14:textFill>
                                <w14:solidFill>
                                  <w14:schemeClr w14:val="tx1"/>
                                </w14:solidFill>
                              </w14:textFill>
                            </w:rPr>
                          </m:ctrlPr>
                        </m:e>
                      </m:rad>
                      <m:r>
                        <m:rPr/>
                        <w:rPr>
                          <w:rFonts w:ascii="Cambria Math" w:hAnsi="Cambria Math" w:cs="Times New Roman"/>
                          <w:color w:val="000000" w:themeColor="text1"/>
                          <w:szCs w:val="24"/>
                          <w14:textFill>
                            <w14:solidFill>
                              <w14:schemeClr w14:val="tx1"/>
                            </w14:solidFill>
                          </w14:textFill>
                        </w:rPr>
                        <m:t>t</m:t>
                      </m:r>
                      <m:ctrlPr>
                        <w:rPr>
                          <w:rFonts w:ascii="Cambria Math" w:hAnsi="Cambria Math" w:cs="Times New Roman"/>
                          <w:i/>
                          <w:color w:val="000000" w:themeColor="text1"/>
                          <w:szCs w:val="24"/>
                          <w14:textFill>
                            <w14:solidFill>
                              <w14:schemeClr w14:val="tx1"/>
                            </w14:solidFill>
                          </w14:textFill>
                        </w:rPr>
                      </m:ctrlPr>
                    </m:den>
                  </m:f>
                  <m:ctrlPr>
                    <w:rPr>
                      <w:rFonts w:ascii="Cambria Math" w:hAnsi="Cambria Math" w:cs="Times New Roman"/>
                      <w:i/>
                      <w:color w:val="000000" w:themeColor="text1"/>
                      <w:szCs w:val="24"/>
                      <w14:textFill>
                        <w14:solidFill>
                          <w14:schemeClr w14:val="tx1"/>
                        </w14:solidFill>
                      </w14:textFill>
                    </w:rPr>
                  </m:ctrlPr>
                </m:e>
              </m:d>
              <m:ctrlPr>
                <w:rPr>
                  <w:rFonts w:ascii="Cambria Math" w:hAnsi="Cambria Math" w:cs="Times New Roman"/>
                  <w:i/>
                  <w:color w:val="000000" w:themeColor="text1"/>
                  <w:szCs w:val="24"/>
                  <w14:textFill>
                    <w14:solidFill>
                      <w14:schemeClr w14:val="tx1"/>
                    </w14:solidFill>
                  </w14:textFill>
                </w:rPr>
              </m:ctrlPr>
            </m:e>
          </m:func>
        </m:oMath>
      </m:oMathPara>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从上式可以看出，当污染物排放量一定，排放时间一定时，同一浓度等值线为一椭圆。同时从该式可知，仅当右式大于0时，该式才有意义。</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本次预测所用模型需要的参数有：含水层厚度M；外泄污染物质量m</w:t>
      </w:r>
      <w:r>
        <w:rPr>
          <w:rFonts w:cs="Times New Roman"/>
          <w:color w:val="000000" w:themeColor="text1"/>
          <w:szCs w:val="24"/>
          <w:vertAlign w:val="subscript"/>
          <w14:textFill>
            <w14:solidFill>
              <w14:schemeClr w14:val="tx1"/>
            </w14:solidFill>
          </w14:textFill>
        </w:rPr>
        <w:t>M</w:t>
      </w:r>
      <w:r>
        <w:rPr>
          <w:rFonts w:cs="Times New Roman"/>
          <w:color w:val="000000" w:themeColor="text1"/>
          <w:szCs w:val="24"/>
          <w14:textFill>
            <w14:solidFill>
              <w14:schemeClr w14:val="tx1"/>
            </w14:solidFill>
          </w14:textFill>
        </w:rPr>
        <w:t>；岩层的有效孔隙度n；水流速度u；污染物纵向弥散系数D</w:t>
      </w:r>
      <w:r>
        <w:rPr>
          <w:rFonts w:cs="Times New Roman"/>
          <w:color w:val="000000" w:themeColor="text1"/>
          <w:szCs w:val="24"/>
          <w:vertAlign w:val="subscript"/>
          <w14:textFill>
            <w14:solidFill>
              <w14:schemeClr w14:val="tx1"/>
            </w14:solidFill>
          </w14:textFill>
        </w:rPr>
        <w:t>L</w:t>
      </w:r>
      <w:r>
        <w:rPr>
          <w:rFonts w:cs="Times New Roman"/>
          <w:color w:val="000000" w:themeColor="text1"/>
          <w:szCs w:val="24"/>
          <w14:textFill>
            <w14:solidFill>
              <w14:schemeClr w14:val="tx1"/>
            </w14:solidFill>
          </w14:textFill>
        </w:rPr>
        <w:t>；污染物横向弥散系数D</w:t>
      </w:r>
      <w:r>
        <w:rPr>
          <w:rFonts w:cs="Times New Roman"/>
          <w:color w:val="000000" w:themeColor="text1"/>
          <w:szCs w:val="24"/>
          <w:vertAlign w:val="subscript"/>
          <w14:textFill>
            <w14:solidFill>
              <w14:schemeClr w14:val="tx1"/>
            </w14:solidFill>
          </w14:textFill>
        </w:rPr>
        <w:t>T</w:t>
      </w:r>
      <w:r>
        <w:rPr>
          <w:rFonts w:cs="Times New Roman"/>
          <w:color w:val="000000" w:themeColor="text1"/>
          <w:szCs w:val="24"/>
          <w14:textFill>
            <w14:solidFill>
              <w14:schemeClr w14:val="tx1"/>
            </w14:solidFill>
          </w14:textFill>
        </w:rPr>
        <w:t>。这些参数主要由本次工作的调查资料以及类比区最新的勘察成果资料来确定。</w:t>
      </w:r>
    </w:p>
    <w:p>
      <w:pPr>
        <w:ind w:firstLine="482"/>
        <w:rPr>
          <w:rFonts w:cs="Times New Roman"/>
          <w:b/>
          <w:bCs/>
          <w:snapToGrid w:val="0"/>
          <w:color w:val="000000" w:themeColor="text1"/>
          <w:szCs w:val="24"/>
          <w14:textFill>
            <w14:solidFill>
              <w14:schemeClr w14:val="tx1"/>
            </w14:solidFill>
          </w14:textFill>
        </w:rPr>
      </w:pPr>
      <w:r>
        <w:rPr>
          <w:rFonts w:cs="Times New Roman"/>
          <w:b/>
          <w:bCs/>
          <w:snapToGrid w:val="0"/>
          <w:color w:val="000000" w:themeColor="text1"/>
          <w:szCs w:val="24"/>
          <w14:textFill>
            <w14:solidFill>
              <w14:schemeClr w14:val="tx1"/>
            </w14:solidFill>
          </w14:textFill>
        </w:rPr>
        <w:t>（2）模型参数选取</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①</w:t>
      </w:r>
      <w:r>
        <w:rPr>
          <w:rFonts w:cs="Times New Roman"/>
          <w:color w:val="000000" w:themeColor="text1"/>
          <w:szCs w:val="24"/>
          <w14:textFill>
            <w14:solidFill>
              <w14:schemeClr w14:val="tx1"/>
            </w14:solidFill>
          </w14:textFill>
        </w:rPr>
        <w:t>含水层厚度M：本区域含水层厚度为20～30m，本次取30m。</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②</w:t>
      </w:r>
      <w:r>
        <w:rPr>
          <w:rFonts w:cs="Times New Roman"/>
          <w:color w:val="000000" w:themeColor="text1"/>
          <w:szCs w:val="24"/>
          <w14:textFill>
            <w14:solidFill>
              <w14:schemeClr w14:val="tx1"/>
            </w14:solidFill>
          </w14:textFill>
        </w:rPr>
        <w:t>瞬时注入的示踪剂质量m</w:t>
      </w:r>
      <w:r>
        <w:rPr>
          <w:rFonts w:cs="Times New Roman"/>
          <w:color w:val="000000" w:themeColor="text1"/>
          <w:szCs w:val="24"/>
          <w:vertAlign w:val="subscript"/>
          <w14:textFill>
            <w14:solidFill>
              <w14:schemeClr w14:val="tx1"/>
            </w14:solidFill>
          </w14:textFill>
        </w:rPr>
        <w:t>M</w:t>
      </w:r>
      <w:r>
        <w:rPr>
          <w:rFonts w:cs="Times New Roman"/>
          <w:color w:val="000000" w:themeColor="text1"/>
          <w:szCs w:val="24"/>
          <w14:textFill>
            <w14:solidFill>
              <w14:schemeClr w14:val="tx1"/>
            </w14:solidFill>
          </w14:textFill>
        </w:rPr>
        <w:t>：项目在压裂过程井筒破裂发生渗透性漏失、放喷池泄漏，最大漏失量进行最不利计算，选取污染物特征因子石油类、COD</w:t>
      </w:r>
      <w:r>
        <w:rPr>
          <w:rFonts w:cs="Times New Roman"/>
          <w:color w:val="000000" w:themeColor="text1"/>
          <w:szCs w:val="24"/>
          <w:vertAlign w:val="subscript"/>
          <w14:textFill>
            <w14:solidFill>
              <w14:schemeClr w14:val="tx1"/>
            </w14:solidFill>
          </w14:textFill>
        </w:rPr>
        <w:t>Mn</w:t>
      </w:r>
      <w:r>
        <w:rPr>
          <w:rFonts w:cs="Times New Roman"/>
          <w:color w:val="000000" w:themeColor="text1"/>
          <w:szCs w:val="24"/>
          <w14:textFill>
            <w14:solidFill>
              <w14:schemeClr w14:val="tx1"/>
            </w14:solidFill>
          </w14:textFill>
        </w:rPr>
        <w:t>、氯化物。</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③</w:t>
      </w:r>
      <w:r>
        <w:rPr>
          <w:rFonts w:cs="Times New Roman"/>
          <w:color w:val="000000" w:themeColor="text1"/>
          <w:szCs w:val="24"/>
          <w14:textFill>
            <w14:solidFill>
              <w14:schemeClr w14:val="tx1"/>
            </w14:solidFill>
          </w14:textFill>
        </w:rPr>
        <w:t>含水层的平均有效孔隙度n：地下水含水层岩性以紫红色泥岩、粉砂质泥岩与厚至块状细粒长石石英砂岩互层为主，参考弗里泽孔隙度与岩石粒度近似关系范围并适当修正，有效孔隙度取0.1。</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④</w:t>
      </w:r>
      <w:r>
        <w:rPr>
          <w:rFonts w:cs="Times New Roman"/>
          <w:color w:val="000000" w:themeColor="text1"/>
          <w:szCs w:val="24"/>
          <w14:textFill>
            <w14:solidFill>
              <w14:schemeClr w14:val="tx1"/>
            </w14:solidFill>
          </w14:textFill>
        </w:rPr>
        <w:t>水流速度u：评价区地下水含水层岩性为砂砾岩，本评价渗透系数取值0.1028m/d，水力坡度约为0.15，因此地下水的渗流速度v=KI=0.015m/d，水流速度取实际流速u=v/n=0.15m/d。</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⑤</w:t>
      </w:r>
      <w:r>
        <w:rPr>
          <w:rFonts w:cs="Times New Roman"/>
          <w:color w:val="000000" w:themeColor="text1"/>
          <w:szCs w:val="24"/>
          <w14:textFill>
            <w14:solidFill>
              <w14:schemeClr w14:val="tx1"/>
            </w14:solidFill>
          </w14:textFill>
        </w:rPr>
        <w:t>纵向x方向的弥散系数D</w:t>
      </w:r>
      <w:r>
        <w:rPr>
          <w:rFonts w:cs="Times New Roman"/>
          <w:color w:val="000000" w:themeColor="text1"/>
          <w:szCs w:val="24"/>
          <w:vertAlign w:val="subscript"/>
          <w14:textFill>
            <w14:solidFill>
              <w14:schemeClr w14:val="tx1"/>
            </w14:solidFill>
          </w14:textFill>
        </w:rPr>
        <w:t>L</w:t>
      </w:r>
      <w:r>
        <w:rPr>
          <w:rFonts w:cs="Times New Roman"/>
          <w:color w:val="000000" w:themeColor="text1"/>
          <w:szCs w:val="24"/>
          <w14:textFill>
            <w14:solidFill>
              <w14:schemeClr w14:val="tx1"/>
            </w14:solidFill>
          </w14:textFill>
        </w:rPr>
        <w:t>：参考Gelhar等人关于纵向弥散度与观测尺度关系的理论，根据本次污染场地的研究尺度，模型计算中纵向弥散度选用10.0m。由此计算评估区含水层中的纵向弥散系数：D</w:t>
      </w:r>
      <w:r>
        <w:rPr>
          <w:rFonts w:cs="Times New Roman"/>
          <w:color w:val="000000" w:themeColor="text1"/>
          <w:szCs w:val="24"/>
          <w:vertAlign w:val="subscript"/>
          <w14:textFill>
            <w14:solidFill>
              <w14:schemeClr w14:val="tx1"/>
            </w14:solidFill>
          </w14:textFill>
        </w:rPr>
        <w:t>L</w:t>
      </w:r>
      <w:r>
        <w:rPr>
          <w:rFonts w:cs="Times New Roman"/>
          <w:color w:val="000000" w:themeColor="text1"/>
          <w:szCs w:val="24"/>
          <w14:textFill>
            <w14:solidFill>
              <w14:schemeClr w14:val="tx1"/>
            </w14:solidFill>
          </w14:textFill>
        </w:rPr>
        <w:t>=α</w:t>
      </w:r>
      <w:r>
        <w:rPr>
          <w:rFonts w:cs="Times New Roman"/>
          <w:color w:val="000000" w:themeColor="text1"/>
          <w:szCs w:val="24"/>
          <w:vertAlign w:val="subscript"/>
          <w14:textFill>
            <w14:solidFill>
              <w14:schemeClr w14:val="tx1"/>
            </w14:solidFill>
          </w14:textFill>
        </w:rPr>
        <w:t>L</w:t>
      </w:r>
      <w:r>
        <w:rPr>
          <w:rFonts w:cs="Times New Roman"/>
          <w:color w:val="000000" w:themeColor="text1"/>
          <w:szCs w:val="24"/>
          <w14:textFill>
            <w14:solidFill>
              <w14:schemeClr w14:val="tx1"/>
            </w14:solidFill>
          </w14:textFill>
        </w:rPr>
        <w:t>×u=1.5m</w:t>
      </w:r>
      <w:r>
        <w:rPr>
          <w:rFonts w:cs="Times New Roman"/>
          <w:color w:val="000000" w:themeColor="text1"/>
          <w:szCs w:val="24"/>
          <w:vertAlign w:val="superscript"/>
          <w14:textFill>
            <w14:solidFill>
              <w14:schemeClr w14:val="tx1"/>
            </w14:solidFill>
          </w14:textFill>
        </w:rPr>
        <w:t>2</w:t>
      </w:r>
      <w:r>
        <w:rPr>
          <w:rFonts w:cs="Times New Roman"/>
          <w:color w:val="000000" w:themeColor="text1"/>
          <w:szCs w:val="24"/>
          <w14:textFill>
            <w14:solidFill>
              <w14:schemeClr w14:val="tx1"/>
            </w14:solidFill>
          </w14:textFill>
        </w:rPr>
        <w:t>/d。</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⑥</w:t>
      </w:r>
      <w:r>
        <w:rPr>
          <w:rFonts w:cs="Times New Roman"/>
          <w:color w:val="000000" w:themeColor="text1"/>
          <w:szCs w:val="24"/>
          <w14:textFill>
            <w14:solidFill>
              <w14:schemeClr w14:val="tx1"/>
            </w14:solidFill>
          </w14:textFill>
        </w:rPr>
        <w:t>横向y方向的弥散系数D</w:t>
      </w:r>
      <w:r>
        <w:rPr>
          <w:rFonts w:cs="Times New Roman"/>
          <w:color w:val="000000" w:themeColor="text1"/>
          <w:szCs w:val="24"/>
          <w:vertAlign w:val="subscript"/>
          <w14:textFill>
            <w14:solidFill>
              <w14:schemeClr w14:val="tx1"/>
            </w14:solidFill>
          </w14:textFill>
        </w:rPr>
        <w:t>T</w:t>
      </w:r>
      <w:r>
        <w:rPr>
          <w:rFonts w:cs="Times New Roman"/>
          <w:color w:val="000000" w:themeColor="text1"/>
          <w:szCs w:val="24"/>
          <w14:textFill>
            <w14:solidFill>
              <w14:schemeClr w14:val="tx1"/>
            </w14:solidFill>
          </w14:textFill>
        </w:rPr>
        <w:t>：根据经验一般D</w:t>
      </w:r>
      <w:r>
        <w:rPr>
          <w:rFonts w:cs="Times New Roman"/>
          <w:color w:val="000000" w:themeColor="text1"/>
          <w:szCs w:val="24"/>
          <w:vertAlign w:val="subscript"/>
          <w14:textFill>
            <w14:solidFill>
              <w14:schemeClr w14:val="tx1"/>
            </w14:solidFill>
          </w14:textFill>
        </w:rPr>
        <w:t>T</w:t>
      </w:r>
      <w:r>
        <w:rPr>
          <w:rFonts w:cs="Times New Roman"/>
          <w:color w:val="000000" w:themeColor="text1"/>
          <w:szCs w:val="24"/>
          <w14:textFill>
            <w14:solidFill>
              <w14:schemeClr w14:val="tx1"/>
            </w14:solidFill>
          </w14:textFill>
        </w:rPr>
        <w:t>:D</w:t>
      </w:r>
      <w:r>
        <w:rPr>
          <w:rFonts w:cs="Times New Roman"/>
          <w:color w:val="000000" w:themeColor="text1"/>
          <w:szCs w:val="24"/>
          <w:vertAlign w:val="subscript"/>
          <w14:textFill>
            <w14:solidFill>
              <w14:schemeClr w14:val="tx1"/>
            </w14:solidFill>
          </w14:textFill>
        </w:rPr>
        <w:t>L</w:t>
      </w:r>
      <w:r>
        <w:rPr>
          <w:rFonts w:cs="Times New Roman"/>
          <w:color w:val="000000" w:themeColor="text1"/>
          <w:szCs w:val="24"/>
          <w14:textFill>
            <w14:solidFill>
              <w14:schemeClr w14:val="tx1"/>
            </w14:solidFill>
          </w14:textFill>
        </w:rPr>
        <w:t>=0.1，因此D</w:t>
      </w:r>
      <w:r>
        <w:rPr>
          <w:rFonts w:cs="Times New Roman"/>
          <w:color w:val="000000" w:themeColor="text1"/>
          <w:szCs w:val="24"/>
          <w:vertAlign w:val="subscript"/>
          <w14:textFill>
            <w14:solidFill>
              <w14:schemeClr w14:val="tx1"/>
            </w14:solidFill>
          </w14:textFill>
        </w:rPr>
        <w:t>T</w:t>
      </w:r>
      <w:r>
        <w:rPr>
          <w:rFonts w:cs="Times New Roman"/>
          <w:color w:val="000000" w:themeColor="text1"/>
          <w:szCs w:val="24"/>
          <w14:textFill>
            <w14:solidFill>
              <w14:schemeClr w14:val="tx1"/>
            </w14:solidFill>
          </w14:textFill>
        </w:rPr>
        <w:t>取值0.15m</w:t>
      </w:r>
      <w:r>
        <w:rPr>
          <w:rFonts w:cs="Times New Roman"/>
          <w:color w:val="000000" w:themeColor="text1"/>
          <w:szCs w:val="24"/>
          <w:vertAlign w:val="superscript"/>
          <w14:textFill>
            <w14:solidFill>
              <w14:schemeClr w14:val="tx1"/>
            </w14:solidFill>
          </w14:textFill>
        </w:rPr>
        <w:t>2</w:t>
      </w:r>
      <w:r>
        <w:rPr>
          <w:rFonts w:cs="Times New Roman"/>
          <w:color w:val="000000" w:themeColor="text1"/>
          <w:szCs w:val="24"/>
          <w14:textFill>
            <w14:solidFill>
              <w14:schemeClr w14:val="tx1"/>
            </w14:solidFill>
          </w14:textFill>
        </w:rPr>
        <w:t>/d。</w:t>
      </w:r>
    </w:p>
    <w:p>
      <w:pPr>
        <w:pStyle w:val="21"/>
        <w:spacing w:before="0"/>
        <w:ind w:left="0" w:firstLine="480"/>
        <w:jc w:val="both"/>
        <w:rPr>
          <w:rFonts w:ascii="Times New Roman" w:hAnsi="Times New Roman" w:eastAsia="黑体"/>
          <w:bCs/>
          <w:color w:val="000000" w:themeColor="text1"/>
          <w:kern w:val="2"/>
          <w:lang w:eastAsia="zh-CN"/>
          <w14:textFill>
            <w14:solidFill>
              <w14:schemeClr w14:val="tx1"/>
            </w14:solidFill>
          </w14:textFill>
        </w:rPr>
      </w:pPr>
      <w:r>
        <w:rPr>
          <w:rFonts w:ascii="Times New Roman" w:hAnsi="Times New Roman" w:eastAsia="黑体"/>
          <w:bCs/>
          <w:color w:val="000000" w:themeColor="text1"/>
          <w:kern w:val="2"/>
          <w:lang w:eastAsia="zh-CN"/>
          <w14:textFill>
            <w14:solidFill>
              <w14:schemeClr w14:val="tx1"/>
            </w14:solidFill>
          </w14:textFill>
        </w:rPr>
        <w:t>3、影响预测</w:t>
      </w:r>
    </w:p>
    <w:p>
      <w:pPr>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（1）预测方法</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本项目地下水水文地质条件相对简单，污染物排放对地下水流场无影响，且基本的水位地质参数在项目建设至服务期满的过程中变化不大，本次评价采用解析法进行预测。</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污染物在地下水系统中的迁移转化过程十分复杂，本次污染物模拟预测过程不考虑污染物在含水层中的吸附、挥发、生物化学反应，模型中各项参数予以保守性考虑。由于污染物预测主要针对非正常状况下污染物运移情况，因此模型预测不考虑包气带对污染物的截留作用，假设污染物可以直接通过包气带进入地下水体，最大限度地考虑污染物对研究区水体的影响。</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地下水环境影响预测范围与调查评价范围一致，预测层位以潜水含水层为主。</w:t>
      </w:r>
    </w:p>
    <w:p>
      <w:pPr>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（2）预测时段</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地下水环境影响预测时段应选取可能产生地下水污染的关键时段，至少包括污染发生后100d、1000d，服务年限或能反应特征因子迁移规律的其他重要时间节点。本项目为油气开发井钻采项目，对地下水的影响主要在项目的施工期，生产运行和服务期满后两个阶段对地下水的影响极小。</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因此，根据《环境影响评价技术导则—地下水环境》（HJ610-2016）和项目施工期时长，将地下水环境影响预测时限定为100天、365天、1000天和3650天。</w:t>
      </w:r>
    </w:p>
    <w:p>
      <w:pPr>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（3）预测因子</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根据《环境影响评价技术导则-地下水环境》(HJ610-2016)，建设项目预测因子选取重点应包括：</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1）改、扩建项目已经排放的及将要产生的主要污染物；</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2）难降解、易生物蓄积、长期接触对人体和生物产生危害作用的污染物，应特别关注持久性有机污染物；</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3）国家或地方要求控制的污染物；</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4）反映地下水循环特征和水质成因类型的常规项目或超标项目。</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预测因子识别应对项目污染物进行分类后（重金属、持久性污染物和其他类别进行分类），对每一类中各项因子采用标准指数法进行排序，分别取标准指数最大的因子作为预测因子；如该项目属于改扩建项目，将选择技改后继续产生的特征因子，改扩建后新增加的特征因子作为预测因子；污染场地已经查明的主要污染物作为预测因子。</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监测资料，本项目附近潜水含水层地下水水质良好，现状监测指标基本能满足《地下水质量标准》（GB14848-2017）中III类水质标准限值要求。基于本项目废水的水质特征，考虑预测的可行性，同时考虑预测因子的代表性，并以各污染物最高浓度为源强进行预测，选择无机离子中等标污染负荷最大的氯离子，持久性污染物中等标污染负荷最大的COD，特征污染因子石油类作为本次评价的预测因子。</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本项目区域地下水大体走向为自南向北径流，地下水评价范围内地下水流向下游有居民井泉分布，因此评价对地下水流向下游最近的居民井泉处预测在事故发生后不同时间段的污染物浓度变化情况。</w:t>
      </w:r>
    </w:p>
    <w:p>
      <w:pPr>
        <w:ind w:firstLine="482"/>
        <w:rPr>
          <w:rFonts w:cs="Times New Roman"/>
          <w:b/>
          <w:color w:val="000000" w:themeColor="text1"/>
          <w:szCs w:val="24"/>
          <w14:textFill>
            <w14:solidFill>
              <w14:schemeClr w14:val="tx1"/>
            </w14:solidFill>
          </w14:textFill>
        </w:rPr>
      </w:pPr>
      <w:bookmarkStart w:id="292" w:name="_Toc14702837"/>
      <w:r>
        <w:rPr>
          <w:rFonts w:cs="Times New Roman"/>
          <w:b/>
          <w:color w:val="000000" w:themeColor="text1"/>
          <w:szCs w:val="24"/>
          <w14:textFill>
            <w14:solidFill>
              <w14:schemeClr w14:val="tx1"/>
            </w14:solidFill>
          </w14:textFill>
        </w:rPr>
        <w:t>（4）预测结果</w:t>
      </w:r>
      <w:bookmarkEnd w:id="292"/>
    </w:p>
    <w:p>
      <w:pPr>
        <w:ind w:firstLine="480"/>
        <w:rPr>
          <w:rFonts w:cs="Times New Roman"/>
          <w:color w:val="000000" w:themeColor="text1"/>
          <w:szCs w:val="24"/>
          <w:highlight w:val="yellow"/>
          <w14:textFill>
            <w14:solidFill>
              <w14:schemeClr w14:val="tx1"/>
            </w14:solidFill>
          </w14:textFill>
        </w:rPr>
      </w:pPr>
      <w:r>
        <w:rPr>
          <w:rFonts w:cs="Times New Roman"/>
          <w:color w:val="000000" w:themeColor="text1"/>
          <w:szCs w:val="24"/>
          <w14:textFill>
            <w14:solidFill>
              <w14:schemeClr w14:val="tx1"/>
            </w14:solidFill>
          </w14:textFill>
        </w:rPr>
        <w:t>本次预测，各特征因子浓度超过标准限值即为超标，影响浓度定义为各指标的检出下限，当预测结果小于影响浓度（检出限或标准值的十分之一+背景值）时则视同对地下水环境几乎没有影响。背景值根据本次监测结果取最大值，其中COD</w:t>
      </w:r>
      <w:r>
        <w:rPr>
          <w:rFonts w:cs="Times New Roman"/>
          <w:color w:val="000000" w:themeColor="text1"/>
          <w:szCs w:val="24"/>
          <w:vertAlign w:val="subscript"/>
          <w14:textFill>
            <w14:solidFill>
              <w14:schemeClr w14:val="tx1"/>
            </w14:solidFill>
          </w14:textFill>
        </w:rPr>
        <w:t>Mn</w:t>
      </w:r>
      <w:r>
        <w:rPr>
          <w:rFonts w:cs="Times New Roman"/>
          <w:color w:val="000000" w:themeColor="text1"/>
          <w:szCs w:val="24"/>
          <w14:textFill>
            <w14:solidFill>
              <w14:schemeClr w14:val="tx1"/>
            </w14:solidFill>
          </w14:textFill>
        </w:rPr>
        <w:t>取值为2.84mg/L，石油类未检出取值未0mg/L，氯离子取值23.4mg/L。根据《地下水质量标准》（GB/T14848-2017）及项目执行的环保标准，该项目所在区域地下水属</w:t>
      </w:r>
      <w:r>
        <w:rPr>
          <w:rFonts w:hint="eastAsia" w:ascii="宋体" w:hAnsi="宋体" w:cs="宋体"/>
          <w:color w:val="000000" w:themeColor="text1"/>
          <w:szCs w:val="24"/>
          <w14:textFill>
            <w14:solidFill>
              <w14:schemeClr w14:val="tx1"/>
            </w14:solidFill>
          </w14:textFill>
        </w:rPr>
        <w:t>Ⅲ</w:t>
      </w:r>
      <w:r>
        <w:rPr>
          <w:rFonts w:cs="Times New Roman"/>
          <w:color w:val="000000" w:themeColor="text1"/>
          <w:szCs w:val="24"/>
          <w14:textFill>
            <w14:solidFill>
              <w14:schemeClr w14:val="tx1"/>
            </w14:solidFill>
          </w14:textFill>
        </w:rPr>
        <w:t>类水质，因此，COD</w:t>
      </w:r>
      <w:r>
        <w:rPr>
          <w:rFonts w:cs="Times New Roman"/>
          <w:color w:val="000000" w:themeColor="text1"/>
          <w:szCs w:val="24"/>
          <w:vertAlign w:val="subscript"/>
          <w14:textFill>
            <w14:solidFill>
              <w14:schemeClr w14:val="tx1"/>
            </w14:solidFill>
          </w14:textFill>
        </w:rPr>
        <w:t>Mn</w:t>
      </w:r>
      <w:r>
        <w:rPr>
          <w:rFonts w:cs="Times New Roman"/>
          <w:color w:val="000000" w:themeColor="text1"/>
          <w:szCs w:val="24"/>
          <w14:textFill>
            <w14:solidFill>
              <w14:schemeClr w14:val="tx1"/>
            </w14:solidFill>
          </w14:textFill>
        </w:rPr>
        <w:t>、Cl</w:t>
      </w:r>
      <w:r>
        <w:rPr>
          <w:rFonts w:cs="Times New Roman"/>
          <w:color w:val="000000" w:themeColor="text1"/>
          <w:szCs w:val="24"/>
          <w:vertAlign w:val="superscript"/>
          <w14:textFill>
            <w14:solidFill>
              <w14:schemeClr w14:val="tx1"/>
            </w14:solidFill>
          </w14:textFill>
        </w:rPr>
        <w:t>-</w:t>
      </w:r>
      <w:r>
        <w:rPr>
          <w:rFonts w:cs="Times New Roman"/>
          <w:color w:val="000000" w:themeColor="text1"/>
          <w:szCs w:val="24"/>
          <w14:textFill>
            <w14:solidFill>
              <w14:schemeClr w14:val="tx1"/>
            </w14:solidFill>
          </w14:textFill>
        </w:rPr>
        <w:t>标准限值参照《地下水质量标准》（GB/T14848-2017）</w:t>
      </w:r>
      <w:r>
        <w:rPr>
          <w:rFonts w:hint="eastAsia" w:ascii="宋体" w:hAnsi="宋体" w:cs="宋体"/>
          <w:color w:val="000000" w:themeColor="text1"/>
          <w:szCs w:val="24"/>
          <w14:textFill>
            <w14:solidFill>
              <w14:schemeClr w14:val="tx1"/>
            </w14:solidFill>
          </w14:textFill>
        </w:rPr>
        <w:t>Ⅲ</w:t>
      </w:r>
      <w:r>
        <w:rPr>
          <w:rFonts w:cs="Times New Roman"/>
          <w:color w:val="000000" w:themeColor="text1"/>
          <w:szCs w:val="24"/>
          <w14:textFill>
            <w14:solidFill>
              <w14:schemeClr w14:val="tx1"/>
            </w14:solidFill>
          </w14:textFill>
        </w:rPr>
        <w:t>类标准，COD</w:t>
      </w:r>
      <w:r>
        <w:rPr>
          <w:rFonts w:cs="Times New Roman"/>
          <w:color w:val="000000" w:themeColor="text1"/>
          <w:szCs w:val="24"/>
          <w:vertAlign w:val="subscript"/>
          <w14:textFill>
            <w14:solidFill>
              <w14:schemeClr w14:val="tx1"/>
            </w14:solidFill>
          </w14:textFill>
        </w:rPr>
        <w:t>Mn</w:t>
      </w:r>
      <w:r>
        <w:rPr>
          <w:rFonts w:cs="Times New Roman"/>
          <w:color w:val="000000" w:themeColor="text1"/>
          <w:szCs w:val="24"/>
          <w14:textFill>
            <w14:solidFill>
              <w14:schemeClr w14:val="tx1"/>
            </w14:solidFill>
          </w14:textFill>
        </w:rPr>
        <w:t>为3mg/L、Cl</w:t>
      </w:r>
      <w:r>
        <w:rPr>
          <w:rFonts w:cs="Times New Roman"/>
          <w:color w:val="000000" w:themeColor="text1"/>
          <w:szCs w:val="24"/>
          <w:vertAlign w:val="superscript"/>
          <w14:textFill>
            <w14:solidFill>
              <w14:schemeClr w14:val="tx1"/>
            </w14:solidFill>
          </w14:textFill>
        </w:rPr>
        <w:t>-</w:t>
      </w:r>
      <w:r>
        <w:rPr>
          <w:rFonts w:cs="Times New Roman"/>
          <w:color w:val="000000" w:themeColor="text1"/>
          <w:szCs w:val="24"/>
          <w14:textFill>
            <w14:solidFill>
              <w14:schemeClr w14:val="tx1"/>
            </w14:solidFill>
          </w14:textFill>
        </w:rPr>
        <w:t>为250mg/L；石油类标准限值参照《地表水环境质量标准GB3838-2002》</w:t>
      </w:r>
      <w:r>
        <w:rPr>
          <w:rFonts w:hint="eastAsia" w:ascii="宋体" w:hAnsi="宋体" w:cs="宋体"/>
          <w:color w:val="000000" w:themeColor="text1"/>
          <w:szCs w:val="24"/>
          <w14:textFill>
            <w14:solidFill>
              <w14:schemeClr w14:val="tx1"/>
            </w14:solidFill>
          </w14:textFill>
        </w:rPr>
        <w:t>Ⅲ</w:t>
      </w:r>
      <w:r>
        <w:rPr>
          <w:rFonts w:cs="Times New Roman"/>
          <w:color w:val="000000" w:themeColor="text1"/>
          <w:szCs w:val="24"/>
          <w14:textFill>
            <w14:solidFill>
              <w14:schemeClr w14:val="tx1"/>
            </w14:solidFill>
          </w14:textFill>
        </w:rPr>
        <w:t>类标准，为0.05mg/L，见表5.2-8。</w:t>
      </w:r>
    </w:p>
    <w:p>
      <w:pPr>
        <w:pStyle w:val="95"/>
      </w:pPr>
      <w:r>
        <w:t>表5.2-8  预测指标标准限值及影响浓度一览表</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056"/>
        <w:gridCol w:w="2056"/>
        <w:gridCol w:w="2055"/>
        <w:gridCol w:w="205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056"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污染物</w:t>
            </w:r>
          </w:p>
        </w:tc>
        <w:tc>
          <w:tcPr>
            <w:tcW w:w="2056" w:type="dxa"/>
            <w:vAlign w:val="center"/>
          </w:tcPr>
          <w:p>
            <w:pPr>
              <w:spacing w:line="240" w:lineRule="auto"/>
              <w:ind w:firstLine="199" w:firstLineChars="95"/>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4"/>
                <w14:textFill>
                  <w14:solidFill>
                    <w14:schemeClr w14:val="tx1"/>
                  </w14:solidFill>
                </w14:textFill>
              </w:rPr>
              <w:t>COD</w:t>
            </w:r>
            <w:r>
              <w:rPr>
                <w:rFonts w:cs="Times New Roman"/>
                <w:color w:val="000000" w:themeColor="text1"/>
                <w:sz w:val="21"/>
                <w:szCs w:val="24"/>
                <w:vertAlign w:val="subscript"/>
                <w14:textFill>
                  <w14:solidFill>
                    <w14:schemeClr w14:val="tx1"/>
                  </w14:solidFill>
                </w14:textFill>
              </w:rPr>
              <w:t>Mn</w:t>
            </w:r>
          </w:p>
        </w:tc>
        <w:tc>
          <w:tcPr>
            <w:tcW w:w="2055"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氯化物</w:t>
            </w:r>
          </w:p>
        </w:tc>
        <w:tc>
          <w:tcPr>
            <w:tcW w:w="2055"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石油类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056"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背景值</w:t>
            </w:r>
          </w:p>
        </w:tc>
        <w:tc>
          <w:tcPr>
            <w:tcW w:w="2056"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2.11</w:t>
            </w:r>
          </w:p>
        </w:tc>
        <w:tc>
          <w:tcPr>
            <w:tcW w:w="2055"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13.6</w:t>
            </w:r>
          </w:p>
        </w:tc>
        <w:tc>
          <w:tcPr>
            <w:tcW w:w="2055"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056"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标准限值（mg/L）</w:t>
            </w:r>
          </w:p>
        </w:tc>
        <w:tc>
          <w:tcPr>
            <w:tcW w:w="2056"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3</w:t>
            </w:r>
          </w:p>
        </w:tc>
        <w:tc>
          <w:tcPr>
            <w:tcW w:w="2055"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250</w:t>
            </w:r>
          </w:p>
        </w:tc>
        <w:tc>
          <w:tcPr>
            <w:tcW w:w="2055"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0.05</w:t>
            </w:r>
          </w:p>
        </w:tc>
      </w:tr>
    </w:tbl>
    <w:p>
      <w:pPr>
        <w:spacing w:before="120" w:beforeLines="5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1）放喷池泄漏</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①</w:t>
      </w:r>
      <w:r>
        <w:rPr>
          <w:rFonts w:cs="Times New Roman"/>
          <w:color w:val="000000" w:themeColor="text1"/>
          <w:szCs w:val="24"/>
          <w14:textFill>
            <w14:solidFill>
              <w14:schemeClr w14:val="tx1"/>
            </w14:solidFill>
          </w14:textFill>
        </w:rPr>
        <w:t>地下水中COD</w:t>
      </w:r>
      <w:r>
        <w:rPr>
          <w:rFonts w:cs="Times New Roman"/>
          <w:color w:val="000000" w:themeColor="text1"/>
          <w:szCs w:val="24"/>
          <w:vertAlign w:val="subscript"/>
          <w14:textFill>
            <w14:solidFill>
              <w14:schemeClr w14:val="tx1"/>
            </w14:solidFill>
          </w14:textFill>
        </w:rPr>
        <w:t>Mn</w:t>
      </w:r>
      <w:r>
        <w:rPr>
          <w:rFonts w:cs="Times New Roman"/>
          <w:color w:val="000000" w:themeColor="text1"/>
          <w:szCs w:val="24"/>
          <w14:textFill>
            <w14:solidFill>
              <w14:schemeClr w14:val="tx1"/>
            </w14:solidFill>
          </w14:textFill>
        </w:rPr>
        <w:t>的超标及影响距离计算结果见表5.2-9及图5.2-1。</w:t>
      </w:r>
    </w:p>
    <w:p>
      <w:pPr>
        <w:pStyle w:val="95"/>
      </w:pPr>
      <w:r>
        <w:t>表5.2-9  放喷池泄漏地下水中COD</w:t>
      </w:r>
      <w:r>
        <w:rPr>
          <w:vertAlign w:val="subscript"/>
        </w:rPr>
        <w:t>Mn</w:t>
      </w:r>
      <w:r>
        <w:t>超标及影响距离</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121"/>
        <w:gridCol w:w="1498"/>
        <w:gridCol w:w="1500"/>
        <w:gridCol w:w="1500"/>
        <w:gridCol w:w="1333"/>
        <w:gridCol w:w="137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污染时间</w:t>
            </w:r>
          </w:p>
        </w:tc>
        <w:tc>
          <w:tcPr>
            <w:tcW w:w="899"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中心点迁移距离（m）</w:t>
            </w:r>
          </w:p>
        </w:tc>
        <w:tc>
          <w:tcPr>
            <w:tcW w:w="900"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中心点处浓度（mg/L）</w:t>
            </w:r>
          </w:p>
        </w:tc>
        <w:tc>
          <w:tcPr>
            <w:tcW w:w="900"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叠加后浓度（mg/L）</w:t>
            </w:r>
          </w:p>
        </w:tc>
        <w:tc>
          <w:tcPr>
            <w:tcW w:w="800"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最远超标距离（m）</w:t>
            </w:r>
          </w:p>
        </w:tc>
        <w:tc>
          <w:tcPr>
            <w:tcW w:w="827"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最远影响距离（m）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100d</w:t>
            </w:r>
          </w:p>
        </w:tc>
        <w:tc>
          <w:tcPr>
            <w:tcW w:w="899"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15</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61.51</w:t>
            </w:r>
          </w:p>
        </w:tc>
        <w:tc>
          <w:tcPr>
            <w:tcW w:w="900" w:type="pct"/>
            <w:vAlign w:val="bottom"/>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64.35</w:t>
            </w:r>
          </w:p>
        </w:tc>
        <w:tc>
          <w:tcPr>
            <w:tcW w:w="8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58</w:t>
            </w:r>
          </w:p>
        </w:tc>
        <w:tc>
          <w:tcPr>
            <w:tcW w:w="827"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365d</w:t>
            </w:r>
          </w:p>
        </w:tc>
        <w:tc>
          <w:tcPr>
            <w:tcW w:w="899"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55</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16.85</w:t>
            </w:r>
          </w:p>
        </w:tc>
        <w:tc>
          <w:tcPr>
            <w:tcW w:w="900" w:type="pct"/>
            <w:vAlign w:val="bottom"/>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hint="eastAsia" w:cs="Times New Roman"/>
                <w:bCs/>
                <w:color w:val="000000" w:themeColor="text1"/>
                <w:sz w:val="21"/>
                <w:szCs w:val="21"/>
                <w14:textFill>
                  <w14:solidFill>
                    <w14:schemeClr w14:val="tx1"/>
                  </w14:solidFill>
                </w14:textFill>
              </w:rPr>
              <w:t>19.69</w:t>
            </w:r>
          </w:p>
        </w:tc>
        <w:tc>
          <w:tcPr>
            <w:tcW w:w="8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116</w:t>
            </w:r>
          </w:p>
        </w:tc>
        <w:tc>
          <w:tcPr>
            <w:tcW w:w="827"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1000d</w:t>
            </w:r>
          </w:p>
        </w:tc>
        <w:tc>
          <w:tcPr>
            <w:tcW w:w="899"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150</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6.15</w:t>
            </w:r>
          </w:p>
        </w:tc>
        <w:tc>
          <w:tcPr>
            <w:tcW w:w="900" w:type="pct"/>
            <w:vAlign w:val="bottom"/>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hint="eastAsia" w:cs="Times New Roman"/>
                <w:bCs/>
                <w:color w:val="000000" w:themeColor="text1"/>
                <w:sz w:val="21"/>
                <w:szCs w:val="21"/>
                <w14:textFill>
                  <w14:solidFill>
                    <w14:schemeClr w14:val="tx1"/>
                  </w14:solidFill>
                </w14:textFill>
              </w:rPr>
              <w:t>8.99</w:t>
            </w:r>
          </w:p>
        </w:tc>
        <w:tc>
          <w:tcPr>
            <w:tcW w:w="8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216</w:t>
            </w:r>
          </w:p>
        </w:tc>
        <w:tc>
          <w:tcPr>
            <w:tcW w:w="827"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230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3650d</w:t>
            </w:r>
          </w:p>
        </w:tc>
        <w:tc>
          <w:tcPr>
            <w:tcW w:w="899"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550</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1.68</w:t>
            </w:r>
          </w:p>
        </w:tc>
        <w:tc>
          <w:tcPr>
            <w:tcW w:w="900" w:type="pct"/>
            <w:vAlign w:val="bottom"/>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4.52</w:t>
            </w:r>
          </w:p>
        </w:tc>
        <w:tc>
          <w:tcPr>
            <w:tcW w:w="8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w:t>
            </w:r>
          </w:p>
        </w:tc>
        <w:tc>
          <w:tcPr>
            <w:tcW w:w="827"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w:t>
            </w:r>
          </w:p>
        </w:tc>
      </w:tr>
    </w:tbl>
    <w:p>
      <w:pPr>
        <w:ind w:firstLine="0" w:firstLineChars="0"/>
        <w:jc w:val="center"/>
        <w:rPr>
          <w:rFonts w:cs="Times New Roman"/>
          <w:bCs/>
          <w:color w:val="000000" w:themeColor="text1"/>
          <w:sz w:val="21"/>
          <w:szCs w:val="21"/>
          <w14:textFill>
            <w14:solidFill>
              <w14:schemeClr w14:val="tx1"/>
            </w14:solidFill>
          </w14:textFill>
        </w:rPr>
      </w:pPr>
      <w:r>
        <w:rPr>
          <w:rFonts w:cs="Times New Roman"/>
          <w:color w:val="000000" w:themeColor="text1"/>
          <w14:textFill>
            <w14:solidFill>
              <w14:schemeClr w14:val="tx1"/>
            </w14:solidFill>
          </w14:textFill>
        </w:rPr>
        <w:drawing>
          <wp:inline distT="0" distB="0" distL="0" distR="0">
            <wp:extent cx="2432685" cy="1581785"/>
            <wp:effectExtent l="0" t="0" r="5715" b="0"/>
            <wp:docPr id="2027771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771166" name="图片 1"/>
                    <pic:cNvPicPr>
                      <a:picLocks noChangeAspect="1"/>
                    </pic:cNvPicPr>
                  </pic:nvPicPr>
                  <pic:blipFill>
                    <a:blip r:embed="rId71"/>
                    <a:srcRect t="5239" r="2836"/>
                    <a:stretch>
                      <a:fillRect/>
                    </a:stretch>
                  </pic:blipFill>
                  <pic:spPr>
                    <a:xfrm>
                      <a:off x="0" y="0"/>
                      <a:ext cx="2435221" cy="1583331"/>
                    </a:xfrm>
                    <a:prstGeom prst="rect">
                      <a:avLst/>
                    </a:prstGeom>
                    <a:ln>
                      <a:noFill/>
                    </a:ln>
                  </pic:spPr>
                </pic:pic>
              </a:graphicData>
            </a:graphic>
          </wp:inline>
        </w:drawing>
      </w:r>
      <w:r>
        <w:rPr>
          <w:rFonts w:cs="Times New Roman"/>
          <w:color w:val="000000" w:themeColor="text1"/>
          <w14:textFill>
            <w14:solidFill>
              <w14:schemeClr w14:val="tx1"/>
            </w14:solidFill>
          </w14:textFill>
        </w:rPr>
        <w:drawing>
          <wp:inline distT="0" distB="0" distL="0" distR="0">
            <wp:extent cx="2520315" cy="1581785"/>
            <wp:effectExtent l="0" t="0" r="0" b="0"/>
            <wp:docPr id="18426832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683271" name="图片 1"/>
                    <pic:cNvPicPr>
                      <a:picLocks noChangeAspect="1"/>
                    </pic:cNvPicPr>
                  </pic:nvPicPr>
                  <pic:blipFill>
                    <a:blip r:embed="rId72"/>
                    <a:srcRect t="7873" r="2135"/>
                    <a:stretch>
                      <a:fillRect/>
                    </a:stretch>
                  </pic:blipFill>
                  <pic:spPr>
                    <a:xfrm>
                      <a:off x="0" y="0"/>
                      <a:ext cx="2521858" cy="1582681"/>
                    </a:xfrm>
                    <a:prstGeom prst="rect">
                      <a:avLst/>
                    </a:prstGeom>
                    <a:ln>
                      <a:noFill/>
                    </a:ln>
                  </pic:spPr>
                </pic:pic>
              </a:graphicData>
            </a:graphic>
          </wp:inline>
        </w:drawing>
      </w:r>
    </w:p>
    <w:p>
      <w:pPr>
        <w:pStyle w:val="27"/>
        <w:ind w:firstLine="42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100d                                                                      365d</w:t>
      </w:r>
    </w:p>
    <w:p>
      <w:pPr>
        <w:ind w:firstLine="0" w:firstLineChars="0"/>
        <w:jc w:val="center"/>
        <w:rPr>
          <w:rFonts w:cs="Times New Roman"/>
          <w:bCs/>
          <w:color w:val="000000" w:themeColor="text1"/>
          <w:sz w:val="21"/>
          <w:szCs w:val="21"/>
          <w14:textFill>
            <w14:solidFill>
              <w14:schemeClr w14:val="tx1"/>
            </w14:solidFill>
          </w14:textFill>
        </w:rPr>
      </w:pPr>
      <w:r>
        <w:rPr>
          <w:rFonts w:cs="Times New Roman"/>
          <w:color w:val="000000" w:themeColor="text1"/>
          <w14:textFill>
            <w14:solidFill>
              <w14:schemeClr w14:val="tx1"/>
            </w14:solidFill>
          </w14:textFill>
        </w:rPr>
        <w:drawing>
          <wp:inline distT="0" distB="0" distL="0" distR="0">
            <wp:extent cx="2432685" cy="1525905"/>
            <wp:effectExtent l="0" t="0" r="5715" b="0"/>
            <wp:docPr id="1819319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19166" name="图片 1"/>
                    <pic:cNvPicPr>
                      <a:picLocks noChangeAspect="1"/>
                    </pic:cNvPicPr>
                  </pic:nvPicPr>
                  <pic:blipFill>
                    <a:blip r:embed="rId73"/>
                    <a:srcRect t="5884"/>
                    <a:stretch>
                      <a:fillRect/>
                    </a:stretch>
                  </pic:blipFill>
                  <pic:spPr>
                    <a:xfrm>
                      <a:off x="0" y="0"/>
                      <a:ext cx="2437152" cy="1529177"/>
                    </a:xfrm>
                    <a:prstGeom prst="rect">
                      <a:avLst/>
                    </a:prstGeom>
                    <a:ln>
                      <a:noFill/>
                    </a:ln>
                  </pic:spPr>
                </pic:pic>
              </a:graphicData>
            </a:graphic>
          </wp:inline>
        </w:drawing>
      </w:r>
      <w:r>
        <w:rPr>
          <w:rFonts w:cs="Times New Roman"/>
          <w:color w:val="000000" w:themeColor="text1"/>
          <w14:textFill>
            <w14:solidFill>
              <w14:schemeClr w14:val="tx1"/>
            </w14:solidFill>
          </w14:textFill>
        </w:rPr>
        <w:drawing>
          <wp:inline distT="0" distB="0" distL="0" distR="0">
            <wp:extent cx="2377440" cy="1525905"/>
            <wp:effectExtent l="0" t="0" r="3810" b="0"/>
            <wp:docPr id="11556726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72622" name="图片 1"/>
                    <pic:cNvPicPr>
                      <a:picLocks noChangeAspect="1"/>
                    </pic:cNvPicPr>
                  </pic:nvPicPr>
                  <pic:blipFill>
                    <a:blip r:embed="rId74"/>
                    <a:srcRect t="5884" r="2271"/>
                    <a:stretch>
                      <a:fillRect/>
                    </a:stretch>
                  </pic:blipFill>
                  <pic:spPr>
                    <a:xfrm>
                      <a:off x="0" y="0"/>
                      <a:ext cx="2383917" cy="1530532"/>
                    </a:xfrm>
                    <a:prstGeom prst="rect">
                      <a:avLst/>
                    </a:prstGeom>
                    <a:ln>
                      <a:noFill/>
                    </a:ln>
                  </pic:spPr>
                </pic:pic>
              </a:graphicData>
            </a:graphic>
          </wp:inline>
        </w:drawing>
      </w:r>
    </w:p>
    <w:p>
      <w:pPr>
        <w:pStyle w:val="27"/>
        <w:ind w:firstLine="42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1000d                                                                      3650d</w:t>
      </w:r>
    </w:p>
    <w:p>
      <w:pPr>
        <w:pStyle w:val="95"/>
      </w:pPr>
      <w:r>
        <w:t>图5.2-1 放喷池泄漏不同预测时间COD</w:t>
      </w:r>
      <w:r>
        <w:rPr>
          <w:vertAlign w:val="subscript"/>
        </w:rPr>
        <w:t>Mn</w:t>
      </w:r>
      <w:r>
        <w:t>贡献值与距离浓度关系图</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②</w:t>
      </w:r>
      <w:r>
        <w:rPr>
          <w:rFonts w:cs="Times New Roman"/>
          <w:color w:val="000000" w:themeColor="text1"/>
          <w:szCs w:val="24"/>
          <w14:textFill>
            <w14:solidFill>
              <w14:schemeClr w14:val="tx1"/>
            </w14:solidFill>
          </w14:textFill>
        </w:rPr>
        <w:t>地下水中石油类的超标及影响距离计算结果见表5.2-10及图5.2-2。</w:t>
      </w:r>
    </w:p>
    <w:p>
      <w:pPr>
        <w:pStyle w:val="95"/>
      </w:pPr>
      <w:r>
        <w:t>表5.3-10  放喷池泄漏地下水中石油类超标及影响距离</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121"/>
        <w:gridCol w:w="1498"/>
        <w:gridCol w:w="1499"/>
        <w:gridCol w:w="1499"/>
        <w:gridCol w:w="1333"/>
        <w:gridCol w:w="13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90" w:hRule="atLeast"/>
          <w:jc w:val="center"/>
        </w:trPr>
        <w:tc>
          <w:tcPr>
            <w:tcW w:w="673"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污染时间</w:t>
            </w:r>
          </w:p>
        </w:tc>
        <w:tc>
          <w:tcPr>
            <w:tcW w:w="899"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中心点迁移距离（m）</w:t>
            </w:r>
          </w:p>
        </w:tc>
        <w:tc>
          <w:tcPr>
            <w:tcW w:w="900"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中心点处浓度（mg/L）</w:t>
            </w:r>
          </w:p>
        </w:tc>
        <w:tc>
          <w:tcPr>
            <w:tcW w:w="900"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叠加后浓度（mg/L）</w:t>
            </w:r>
          </w:p>
        </w:tc>
        <w:tc>
          <w:tcPr>
            <w:tcW w:w="800"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最远超标距离（m）</w:t>
            </w:r>
          </w:p>
        </w:tc>
        <w:tc>
          <w:tcPr>
            <w:tcW w:w="828"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最远影响距离（m）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73"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100d</w:t>
            </w:r>
          </w:p>
        </w:tc>
        <w:tc>
          <w:tcPr>
            <w:tcW w:w="899"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15</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2.46</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2.46</w:t>
            </w:r>
          </w:p>
        </w:tc>
        <w:tc>
          <w:tcPr>
            <w:tcW w:w="8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63</w:t>
            </w:r>
          </w:p>
        </w:tc>
        <w:tc>
          <w:tcPr>
            <w:tcW w:w="828" w:type="pct"/>
            <w:vAlign w:val="center"/>
          </w:tcPr>
          <w:p>
            <w:pPr>
              <w:spacing w:line="240" w:lineRule="auto"/>
              <w:ind w:firstLine="199" w:firstLineChars="95"/>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73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48" w:hRule="atLeast"/>
          <w:jc w:val="center"/>
        </w:trPr>
        <w:tc>
          <w:tcPr>
            <w:tcW w:w="673"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365d</w:t>
            </w:r>
          </w:p>
        </w:tc>
        <w:tc>
          <w:tcPr>
            <w:tcW w:w="899"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55</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0.67</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0.67</w:t>
            </w:r>
          </w:p>
        </w:tc>
        <w:tc>
          <w:tcPr>
            <w:tcW w:w="8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130</w:t>
            </w:r>
          </w:p>
        </w:tc>
        <w:tc>
          <w:tcPr>
            <w:tcW w:w="82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73"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1000d</w:t>
            </w:r>
          </w:p>
        </w:tc>
        <w:tc>
          <w:tcPr>
            <w:tcW w:w="899"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150</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0.25</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0.25</w:t>
            </w:r>
          </w:p>
        </w:tc>
        <w:tc>
          <w:tcPr>
            <w:tcW w:w="8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224</w:t>
            </w:r>
          </w:p>
        </w:tc>
        <w:tc>
          <w:tcPr>
            <w:tcW w:w="82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289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48" w:hRule="atLeast"/>
          <w:jc w:val="center"/>
        </w:trPr>
        <w:tc>
          <w:tcPr>
            <w:tcW w:w="673"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3650d</w:t>
            </w:r>
          </w:p>
        </w:tc>
        <w:tc>
          <w:tcPr>
            <w:tcW w:w="899"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550</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0.07</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0.07</w:t>
            </w:r>
          </w:p>
        </w:tc>
        <w:tc>
          <w:tcPr>
            <w:tcW w:w="8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626</w:t>
            </w:r>
          </w:p>
        </w:tc>
        <w:tc>
          <w:tcPr>
            <w:tcW w:w="82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752</w:t>
            </w:r>
          </w:p>
        </w:tc>
      </w:tr>
    </w:tbl>
    <w:p>
      <w:pPr>
        <w:ind w:firstLine="480"/>
        <w:jc w:val="center"/>
        <w:rPr>
          <w:rFonts w:cs="Times New Roman"/>
          <w:bCs/>
          <w:color w:val="000000" w:themeColor="text1"/>
          <w:sz w:val="21"/>
          <w:szCs w:val="21"/>
          <w14:textFill>
            <w14:solidFill>
              <w14:schemeClr w14:val="tx1"/>
            </w14:solidFill>
          </w14:textFill>
        </w:rPr>
      </w:pPr>
      <w:r>
        <w:rPr>
          <w:rFonts w:cs="Times New Roman"/>
          <w:color w:val="000000" w:themeColor="text1"/>
          <w14:textFill>
            <w14:solidFill>
              <w14:schemeClr w14:val="tx1"/>
            </w14:solidFill>
          </w14:textFill>
        </w:rPr>
        <w:drawing>
          <wp:inline distT="0" distB="0" distL="0" distR="0">
            <wp:extent cx="2350135" cy="1430655"/>
            <wp:effectExtent l="0" t="0" r="0" b="0"/>
            <wp:docPr id="17942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67" name="图片 1"/>
                    <pic:cNvPicPr>
                      <a:picLocks noChangeAspect="1"/>
                    </pic:cNvPicPr>
                  </pic:nvPicPr>
                  <pic:blipFill>
                    <a:blip r:embed="rId75"/>
                    <a:srcRect t="8645" r="-24"/>
                    <a:stretch>
                      <a:fillRect/>
                    </a:stretch>
                  </pic:blipFill>
                  <pic:spPr>
                    <a:xfrm>
                      <a:off x="0" y="0"/>
                      <a:ext cx="2354746" cy="1433770"/>
                    </a:xfrm>
                    <a:prstGeom prst="rect">
                      <a:avLst/>
                    </a:prstGeom>
                    <a:ln>
                      <a:noFill/>
                    </a:ln>
                  </pic:spPr>
                </pic:pic>
              </a:graphicData>
            </a:graphic>
          </wp:inline>
        </w:drawing>
      </w:r>
      <w:r>
        <w:rPr>
          <w:rFonts w:cs="Times New Roman"/>
          <w:bCs/>
          <w:color w:val="000000" w:themeColor="text1"/>
          <w:sz w:val="21"/>
          <w:szCs w:val="21"/>
          <w14:textFill>
            <w14:solidFill>
              <w14:schemeClr w14:val="tx1"/>
            </w14:solidFill>
          </w14:textFill>
        </w:rPr>
        <w:t xml:space="preserve">   </w:t>
      </w:r>
      <w:r>
        <w:rPr>
          <w:rFonts w:cs="Times New Roman"/>
          <w:color w:val="000000" w:themeColor="text1"/>
          <w14:textFill>
            <w14:solidFill>
              <w14:schemeClr w14:val="tx1"/>
            </w14:solidFill>
          </w14:textFill>
        </w:rPr>
        <w:drawing>
          <wp:inline distT="0" distB="0" distL="0" distR="0">
            <wp:extent cx="2281555" cy="1520825"/>
            <wp:effectExtent l="0" t="0" r="4445" b="3175"/>
            <wp:docPr id="15644232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423262" name="图片 1"/>
                    <pic:cNvPicPr>
                      <a:picLocks noChangeAspect="1"/>
                    </pic:cNvPicPr>
                  </pic:nvPicPr>
                  <pic:blipFill>
                    <a:blip r:embed="rId76"/>
                    <a:stretch>
                      <a:fillRect/>
                    </a:stretch>
                  </pic:blipFill>
                  <pic:spPr>
                    <a:xfrm>
                      <a:off x="0" y="0"/>
                      <a:ext cx="2307216" cy="1538143"/>
                    </a:xfrm>
                    <a:prstGeom prst="rect">
                      <a:avLst/>
                    </a:prstGeom>
                  </pic:spPr>
                </pic:pic>
              </a:graphicData>
            </a:graphic>
          </wp:inline>
        </w:drawing>
      </w:r>
    </w:p>
    <w:p>
      <w:pPr>
        <w:pStyle w:val="27"/>
        <w:ind w:firstLine="42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100d                                                                   365d</w:t>
      </w:r>
    </w:p>
    <w:p>
      <w:pPr>
        <w:pStyle w:val="27"/>
        <w:ind w:firstLine="48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2307590" cy="1477010"/>
            <wp:effectExtent l="0" t="0" r="0" b="8890"/>
            <wp:docPr id="856069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06955" name="图片 1"/>
                    <pic:cNvPicPr>
                      <a:picLocks noChangeAspect="1"/>
                    </pic:cNvPicPr>
                  </pic:nvPicPr>
                  <pic:blipFill>
                    <a:blip r:embed="rId77"/>
                    <a:srcRect t="6166" r="2292" b="-1"/>
                    <a:stretch>
                      <a:fillRect/>
                    </a:stretch>
                  </pic:blipFill>
                  <pic:spPr>
                    <a:xfrm>
                      <a:off x="0" y="0"/>
                      <a:ext cx="2312714" cy="1480686"/>
                    </a:xfrm>
                    <a:prstGeom prst="rect">
                      <a:avLst/>
                    </a:prstGeom>
                    <a:ln>
                      <a:noFill/>
                    </a:ln>
                  </pic:spPr>
                </pic:pic>
              </a:graphicData>
            </a:graphic>
          </wp:inline>
        </w:drawing>
      </w:r>
      <w:r>
        <w:rPr>
          <w:rFonts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drawing>
          <wp:inline distT="0" distB="0" distL="0" distR="0">
            <wp:extent cx="2247900" cy="1466215"/>
            <wp:effectExtent l="0" t="0" r="0" b="635"/>
            <wp:docPr id="9911435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43581" name="图片 1"/>
                    <pic:cNvPicPr>
                      <a:picLocks noChangeAspect="1"/>
                    </pic:cNvPicPr>
                  </pic:nvPicPr>
                  <pic:blipFill>
                    <a:blip r:embed="rId78"/>
                    <a:srcRect t="4816" r="2716"/>
                    <a:stretch>
                      <a:fillRect/>
                    </a:stretch>
                  </pic:blipFill>
                  <pic:spPr>
                    <a:xfrm>
                      <a:off x="0" y="0"/>
                      <a:ext cx="2255702" cy="1471334"/>
                    </a:xfrm>
                    <a:prstGeom prst="rect">
                      <a:avLst/>
                    </a:prstGeom>
                    <a:ln>
                      <a:noFill/>
                    </a:ln>
                  </pic:spPr>
                </pic:pic>
              </a:graphicData>
            </a:graphic>
          </wp:inline>
        </w:drawing>
      </w:r>
      <w:r>
        <w:rPr>
          <w:rFonts w:ascii="Times New Roman" w:hAnsi="Times New Roman"/>
          <w:bCs/>
          <w:color w:val="000000" w:themeColor="text1"/>
          <w:sz w:val="21"/>
          <w:szCs w:val="21"/>
          <w14:textFill>
            <w14:solidFill>
              <w14:schemeClr w14:val="tx1"/>
            </w14:solidFill>
          </w14:textFill>
        </w:rPr>
        <w:t xml:space="preserve"> </w:t>
      </w:r>
    </w:p>
    <w:p>
      <w:pPr>
        <w:pStyle w:val="27"/>
        <w:ind w:firstLine="42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1000d                                                               3650d</w:t>
      </w:r>
    </w:p>
    <w:p>
      <w:pPr>
        <w:pStyle w:val="95"/>
      </w:pPr>
      <w:r>
        <w:t>图5.3-2 放喷池泄漏不同预测时间石油类贡献值与距离浓度关系图</w:t>
      </w:r>
    </w:p>
    <w:p>
      <w:pPr>
        <w:ind w:firstLine="480"/>
        <w:rPr>
          <w:rFonts w:cs="Times New Roman"/>
          <w:color w:val="000000" w:themeColor="text1"/>
          <w:szCs w:val="24"/>
          <w14:textFill>
            <w14:solidFill>
              <w14:schemeClr w14:val="tx1"/>
            </w14:solidFill>
          </w14:textFill>
        </w:rPr>
      </w:pPr>
      <w:bookmarkStart w:id="293" w:name="_Toc449394636"/>
      <w:bookmarkStart w:id="294" w:name="_Toc449942877"/>
      <w:r>
        <w:rPr>
          <w:rFonts w:hint="eastAsia" w:ascii="宋体" w:hAnsi="宋体" w:cs="宋体"/>
          <w:color w:val="000000" w:themeColor="text1"/>
          <w:szCs w:val="24"/>
          <w14:textFill>
            <w14:solidFill>
              <w14:schemeClr w14:val="tx1"/>
            </w14:solidFill>
          </w14:textFill>
        </w:rPr>
        <w:t>③</w:t>
      </w:r>
      <w:r>
        <w:rPr>
          <w:rFonts w:cs="Times New Roman"/>
          <w:color w:val="000000" w:themeColor="text1"/>
          <w:szCs w:val="24"/>
          <w14:textFill>
            <w14:solidFill>
              <w14:schemeClr w14:val="tx1"/>
            </w14:solidFill>
          </w14:textFill>
        </w:rPr>
        <w:t>地下水中氯离子的超标及影响距离计算结果见表5.2-11及图5.2-3。</w:t>
      </w:r>
    </w:p>
    <w:p>
      <w:pPr>
        <w:pStyle w:val="41"/>
        <w:ind w:firstLine="400"/>
      </w:pPr>
    </w:p>
    <w:p>
      <w:pPr>
        <w:pStyle w:val="95"/>
      </w:pPr>
      <w:r>
        <w:t>表5.2-11  放喷池泄漏地下水中氯离子超标及影响距离</w:t>
      </w:r>
    </w:p>
    <w:tbl>
      <w:tblPr>
        <w:tblStyle w:val="52"/>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958"/>
        <w:gridCol w:w="1506"/>
        <w:gridCol w:w="1672"/>
        <w:gridCol w:w="1339"/>
        <w:gridCol w:w="1506"/>
        <w:gridCol w:w="138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90" w:hRule="atLeast"/>
        </w:trPr>
        <w:tc>
          <w:tcPr>
            <w:tcW w:w="573"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污染时间</w:t>
            </w:r>
          </w:p>
        </w:tc>
        <w:tc>
          <w:tcPr>
            <w:tcW w:w="900"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中心点迁移距离（m）</w:t>
            </w:r>
          </w:p>
        </w:tc>
        <w:tc>
          <w:tcPr>
            <w:tcW w:w="999"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中心点处浓度（mg/L）</w:t>
            </w:r>
          </w:p>
        </w:tc>
        <w:tc>
          <w:tcPr>
            <w:tcW w:w="800"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叠加后浓度（mg/L）</w:t>
            </w:r>
          </w:p>
        </w:tc>
        <w:tc>
          <w:tcPr>
            <w:tcW w:w="900"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最远超标距离（m）</w:t>
            </w:r>
          </w:p>
        </w:tc>
        <w:tc>
          <w:tcPr>
            <w:tcW w:w="828"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最远影响距离（m）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573"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100d</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15</w:t>
            </w:r>
          </w:p>
        </w:tc>
        <w:tc>
          <w:tcPr>
            <w:tcW w:w="999"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49.21</w:t>
            </w:r>
          </w:p>
        </w:tc>
        <w:tc>
          <w:tcPr>
            <w:tcW w:w="800" w:type="pct"/>
            <w:vAlign w:val="bottom"/>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hint="eastAsia" w:cs="Times New Roman"/>
                <w:bCs/>
                <w:color w:val="000000" w:themeColor="text1"/>
                <w:sz w:val="21"/>
                <w:szCs w:val="21"/>
                <w14:textFill>
                  <w14:solidFill>
                    <w14:schemeClr w14:val="tx1"/>
                  </w14:solidFill>
                </w14:textFill>
              </w:rPr>
              <w:t>72.61</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w:t>
            </w:r>
          </w:p>
        </w:tc>
        <w:tc>
          <w:tcPr>
            <w:tcW w:w="82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48" w:hRule="atLeast"/>
        </w:trPr>
        <w:tc>
          <w:tcPr>
            <w:tcW w:w="573"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365d</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55</w:t>
            </w:r>
          </w:p>
        </w:tc>
        <w:tc>
          <w:tcPr>
            <w:tcW w:w="999"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13.48</w:t>
            </w:r>
          </w:p>
        </w:tc>
        <w:tc>
          <w:tcPr>
            <w:tcW w:w="800" w:type="pct"/>
            <w:vAlign w:val="bottom"/>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hint="eastAsia" w:cs="Times New Roman"/>
                <w:bCs/>
                <w:color w:val="000000" w:themeColor="text1"/>
                <w:sz w:val="21"/>
                <w:szCs w:val="21"/>
                <w14:textFill>
                  <w14:solidFill>
                    <w14:schemeClr w14:val="tx1"/>
                  </w14:solidFill>
                </w14:textFill>
              </w:rPr>
              <w:t>36.88</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w:t>
            </w:r>
          </w:p>
        </w:tc>
        <w:tc>
          <w:tcPr>
            <w:tcW w:w="82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573"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1000d</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150</w:t>
            </w:r>
          </w:p>
        </w:tc>
        <w:tc>
          <w:tcPr>
            <w:tcW w:w="999"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4.92</w:t>
            </w:r>
          </w:p>
        </w:tc>
        <w:tc>
          <w:tcPr>
            <w:tcW w:w="800" w:type="pct"/>
            <w:vAlign w:val="bottom"/>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hint="eastAsia" w:cs="Times New Roman"/>
                <w:bCs/>
                <w:color w:val="000000" w:themeColor="text1"/>
                <w:sz w:val="21"/>
                <w:szCs w:val="21"/>
                <w14:textFill>
                  <w14:solidFill>
                    <w14:schemeClr w14:val="tx1"/>
                  </w14:solidFill>
                </w14:textFill>
              </w:rPr>
              <w:t>28.32</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w:t>
            </w:r>
          </w:p>
        </w:tc>
        <w:tc>
          <w:tcPr>
            <w:tcW w:w="82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48" w:hRule="atLeast"/>
        </w:trPr>
        <w:tc>
          <w:tcPr>
            <w:tcW w:w="573"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3650d</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550</w:t>
            </w:r>
          </w:p>
        </w:tc>
        <w:tc>
          <w:tcPr>
            <w:tcW w:w="999"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1.35</w:t>
            </w:r>
          </w:p>
        </w:tc>
        <w:tc>
          <w:tcPr>
            <w:tcW w:w="800" w:type="pct"/>
            <w:vAlign w:val="bottom"/>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hint="eastAsia" w:cs="Times New Roman"/>
                <w:bCs/>
                <w:color w:val="000000" w:themeColor="text1"/>
                <w:sz w:val="21"/>
                <w:szCs w:val="21"/>
                <w14:textFill>
                  <w14:solidFill>
                    <w14:schemeClr w14:val="tx1"/>
                  </w14:solidFill>
                </w14:textFill>
              </w:rPr>
              <w:t>24.75</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w:t>
            </w:r>
          </w:p>
        </w:tc>
        <w:tc>
          <w:tcPr>
            <w:tcW w:w="82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w:t>
            </w:r>
          </w:p>
        </w:tc>
      </w:tr>
    </w:tbl>
    <w:p>
      <w:pPr>
        <w:ind w:firstLine="480"/>
        <w:jc w:val="center"/>
        <w:rPr>
          <w:rFonts w:cs="Times New Roman"/>
          <w:bCs/>
          <w:color w:val="000000" w:themeColor="text1"/>
          <w:sz w:val="21"/>
          <w:szCs w:val="21"/>
          <w14:textFill>
            <w14:solidFill>
              <w14:schemeClr w14:val="tx1"/>
            </w14:solidFill>
          </w14:textFill>
        </w:rPr>
      </w:pPr>
      <w:r>
        <w:rPr>
          <w:rFonts w:cs="Times New Roman"/>
          <w:color w:val="000000" w:themeColor="text1"/>
          <w14:textFill>
            <w14:solidFill>
              <w14:schemeClr w14:val="tx1"/>
            </w14:solidFill>
          </w14:textFill>
        </w:rPr>
        <w:drawing>
          <wp:inline distT="0" distB="0" distL="0" distR="0">
            <wp:extent cx="2011680" cy="1314450"/>
            <wp:effectExtent l="0" t="0" r="7620" b="0"/>
            <wp:docPr id="8607160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16062" name="图片 1"/>
                    <pic:cNvPicPr>
                      <a:picLocks noChangeAspect="1"/>
                    </pic:cNvPicPr>
                  </pic:nvPicPr>
                  <pic:blipFill>
                    <a:blip r:embed="rId79"/>
                    <a:srcRect t="4833" r="2913"/>
                    <a:stretch>
                      <a:fillRect/>
                    </a:stretch>
                  </pic:blipFill>
                  <pic:spPr>
                    <a:xfrm>
                      <a:off x="0" y="0"/>
                      <a:ext cx="2026876" cy="1324540"/>
                    </a:xfrm>
                    <a:prstGeom prst="rect">
                      <a:avLst/>
                    </a:prstGeom>
                    <a:ln>
                      <a:noFill/>
                    </a:ln>
                  </pic:spPr>
                </pic:pic>
              </a:graphicData>
            </a:graphic>
          </wp:inline>
        </w:drawing>
      </w:r>
      <w:r>
        <w:rPr>
          <w:rFonts w:cs="Times New Roman"/>
          <w:color w:val="000000" w:themeColor="text1"/>
          <w14:textFill>
            <w14:solidFill>
              <w14:schemeClr w14:val="tx1"/>
            </w14:solidFill>
          </w14:textFill>
        </w:rPr>
        <w:t xml:space="preserve">      </w:t>
      </w:r>
      <w:r>
        <w:rPr>
          <w:rFonts w:cs="Times New Roman"/>
          <w:color w:val="000000" w:themeColor="text1"/>
          <w14:textFill>
            <w14:solidFill>
              <w14:schemeClr w14:val="tx1"/>
            </w14:solidFill>
          </w14:textFill>
        </w:rPr>
        <w:drawing>
          <wp:inline distT="0" distB="0" distL="0" distR="0">
            <wp:extent cx="2025015" cy="1284605"/>
            <wp:effectExtent l="0" t="0" r="0" b="0"/>
            <wp:docPr id="11741572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157287" name="图片 1"/>
                    <pic:cNvPicPr>
                      <a:picLocks noChangeAspect="1"/>
                    </pic:cNvPicPr>
                  </pic:nvPicPr>
                  <pic:blipFill>
                    <a:blip r:embed="rId80"/>
                    <a:srcRect t="4822" r="-14"/>
                    <a:stretch>
                      <a:fillRect/>
                    </a:stretch>
                  </pic:blipFill>
                  <pic:spPr>
                    <a:xfrm>
                      <a:off x="0" y="0"/>
                      <a:ext cx="2046035" cy="1298061"/>
                    </a:xfrm>
                    <a:prstGeom prst="rect">
                      <a:avLst/>
                    </a:prstGeom>
                    <a:ln>
                      <a:noFill/>
                    </a:ln>
                  </pic:spPr>
                </pic:pic>
              </a:graphicData>
            </a:graphic>
          </wp:inline>
        </w:drawing>
      </w:r>
    </w:p>
    <w:p>
      <w:pPr>
        <w:pStyle w:val="27"/>
        <w:ind w:firstLine="42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100d                                                                 365d</w:t>
      </w:r>
    </w:p>
    <w:p>
      <w:pPr>
        <w:pStyle w:val="27"/>
        <w:ind w:firstLine="48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1990725" cy="1327150"/>
            <wp:effectExtent l="0" t="0" r="9525" b="6350"/>
            <wp:docPr id="929138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138454" name="图片 1"/>
                    <pic:cNvPicPr>
                      <a:picLocks noChangeAspect="1"/>
                    </pic:cNvPicPr>
                  </pic:nvPicPr>
                  <pic:blipFill>
                    <a:blip r:embed="rId81"/>
                    <a:stretch>
                      <a:fillRect/>
                    </a:stretch>
                  </pic:blipFill>
                  <pic:spPr>
                    <a:xfrm>
                      <a:off x="0" y="0"/>
                      <a:ext cx="1999757" cy="1333171"/>
                    </a:xfrm>
                    <a:prstGeom prst="rect">
                      <a:avLst/>
                    </a:prstGeom>
                  </pic:spPr>
                </pic:pic>
              </a:graphicData>
            </a:graphic>
          </wp:inline>
        </w:drawing>
      </w:r>
      <w:r>
        <w:rPr>
          <w:rFonts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drawing>
          <wp:inline distT="0" distB="0" distL="0" distR="0">
            <wp:extent cx="2006600" cy="1337310"/>
            <wp:effectExtent l="0" t="0" r="0" b="0"/>
            <wp:docPr id="19982844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284461" name="图片 1"/>
                    <pic:cNvPicPr>
                      <a:picLocks noChangeAspect="1"/>
                    </pic:cNvPicPr>
                  </pic:nvPicPr>
                  <pic:blipFill>
                    <a:blip r:embed="rId82"/>
                    <a:stretch>
                      <a:fillRect/>
                    </a:stretch>
                  </pic:blipFill>
                  <pic:spPr>
                    <a:xfrm>
                      <a:off x="0" y="0"/>
                      <a:ext cx="2021537" cy="1347691"/>
                    </a:xfrm>
                    <a:prstGeom prst="rect">
                      <a:avLst/>
                    </a:prstGeom>
                  </pic:spPr>
                </pic:pic>
              </a:graphicData>
            </a:graphic>
          </wp:inline>
        </w:drawing>
      </w:r>
    </w:p>
    <w:p>
      <w:pPr>
        <w:pStyle w:val="27"/>
        <w:ind w:firstLine="42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1000d                                                                       3650d</w:t>
      </w:r>
    </w:p>
    <w:p>
      <w:pPr>
        <w:pStyle w:val="95"/>
      </w:pPr>
      <w:r>
        <w:t>图5.2-3  放喷池泄漏不同预测时间氯离子贡献值与距离浓度关系图</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2）压裂过程中井筒破裂</w:t>
      </w:r>
    </w:p>
    <w:p>
      <w:pPr>
        <w:ind w:firstLine="480"/>
        <w:rPr>
          <w:rFonts w:cs="Times New Roman"/>
          <w:color w:val="000000" w:themeColor="text1"/>
          <w:szCs w:val="24"/>
          <w14:textFill>
            <w14:solidFill>
              <w14:schemeClr w14:val="tx1"/>
            </w14:solidFill>
          </w14:textFill>
        </w:rPr>
      </w:pPr>
      <w:bookmarkStart w:id="295" w:name="_Toc7285"/>
      <w:r>
        <w:rPr>
          <w:rFonts w:hint="eastAsia" w:ascii="宋体" w:hAnsi="宋体" w:cs="宋体"/>
          <w:color w:val="000000" w:themeColor="text1"/>
          <w:szCs w:val="24"/>
          <w14:textFill>
            <w14:solidFill>
              <w14:schemeClr w14:val="tx1"/>
            </w14:solidFill>
          </w14:textFill>
        </w:rPr>
        <w:t>①</w:t>
      </w:r>
      <w:r>
        <w:rPr>
          <w:rFonts w:cs="Times New Roman"/>
          <w:color w:val="000000" w:themeColor="text1"/>
          <w:szCs w:val="24"/>
          <w14:textFill>
            <w14:solidFill>
              <w14:schemeClr w14:val="tx1"/>
            </w14:solidFill>
          </w14:textFill>
        </w:rPr>
        <w:t>地下水中COD</w:t>
      </w:r>
      <w:r>
        <w:rPr>
          <w:rFonts w:cs="Times New Roman"/>
          <w:color w:val="000000" w:themeColor="text1"/>
          <w:szCs w:val="24"/>
          <w:vertAlign w:val="subscript"/>
          <w14:textFill>
            <w14:solidFill>
              <w14:schemeClr w14:val="tx1"/>
            </w14:solidFill>
          </w14:textFill>
        </w:rPr>
        <w:t>Mn</w:t>
      </w:r>
      <w:r>
        <w:rPr>
          <w:rFonts w:cs="Times New Roman"/>
          <w:color w:val="000000" w:themeColor="text1"/>
          <w:szCs w:val="24"/>
          <w14:textFill>
            <w14:solidFill>
              <w14:schemeClr w14:val="tx1"/>
            </w14:solidFill>
          </w14:textFill>
        </w:rPr>
        <w:t>的超标及影响距离计算结果见表5.2-12及图5.2-4。</w:t>
      </w:r>
    </w:p>
    <w:p>
      <w:pPr>
        <w:pStyle w:val="95"/>
      </w:pPr>
      <w:r>
        <w:t>表5.2-12  压裂过程中井筒破裂地下水中COD</w:t>
      </w:r>
      <w:r>
        <w:rPr>
          <w:vertAlign w:val="subscript"/>
        </w:rPr>
        <w:t>Mn</w:t>
      </w:r>
      <w:r>
        <w:t>超标及影响距离</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126"/>
        <w:gridCol w:w="1504"/>
        <w:gridCol w:w="1506"/>
        <w:gridCol w:w="1506"/>
        <w:gridCol w:w="1339"/>
        <w:gridCol w:w="138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90" w:hRule="atLeast"/>
          <w:jc w:val="center"/>
        </w:trPr>
        <w:tc>
          <w:tcPr>
            <w:tcW w:w="673"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污染时间</w:t>
            </w:r>
          </w:p>
        </w:tc>
        <w:tc>
          <w:tcPr>
            <w:tcW w:w="899"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中心点迁移距离（m）</w:t>
            </w:r>
          </w:p>
        </w:tc>
        <w:tc>
          <w:tcPr>
            <w:tcW w:w="900"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中心点处浓度（mg/L）</w:t>
            </w:r>
          </w:p>
        </w:tc>
        <w:tc>
          <w:tcPr>
            <w:tcW w:w="900"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叠加后浓度（mg/L）</w:t>
            </w:r>
          </w:p>
        </w:tc>
        <w:tc>
          <w:tcPr>
            <w:tcW w:w="800"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最远超标距离（m）</w:t>
            </w:r>
          </w:p>
        </w:tc>
        <w:tc>
          <w:tcPr>
            <w:tcW w:w="828"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最远影响距离（m）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673"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100d</w:t>
            </w:r>
          </w:p>
        </w:tc>
        <w:tc>
          <w:tcPr>
            <w:tcW w:w="899"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15</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503.29</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hint="eastAsia" w:cs="Times New Roman"/>
                <w:bCs/>
                <w:color w:val="000000" w:themeColor="text1"/>
                <w:sz w:val="21"/>
                <w:szCs w:val="21"/>
                <w14:textFill>
                  <w14:solidFill>
                    <w14:schemeClr w14:val="tx1"/>
                  </w14:solidFill>
                </w14:textFill>
              </w:rPr>
              <w:t>506.13</w:t>
            </w:r>
          </w:p>
        </w:tc>
        <w:tc>
          <w:tcPr>
            <w:tcW w:w="8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71</w:t>
            </w:r>
          </w:p>
        </w:tc>
        <w:tc>
          <w:tcPr>
            <w:tcW w:w="82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73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673"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365d</w:t>
            </w:r>
          </w:p>
        </w:tc>
        <w:tc>
          <w:tcPr>
            <w:tcW w:w="899"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55</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137.88</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hint="eastAsia" w:cs="Times New Roman"/>
                <w:bCs/>
                <w:color w:val="000000" w:themeColor="text1"/>
                <w:sz w:val="21"/>
                <w:szCs w:val="21"/>
                <w14:textFill>
                  <w14:solidFill>
                    <w14:schemeClr w14:val="tx1"/>
                  </w14:solidFill>
                </w14:textFill>
              </w:rPr>
              <w:t>140.72</w:t>
            </w:r>
          </w:p>
        </w:tc>
        <w:tc>
          <w:tcPr>
            <w:tcW w:w="8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146</w:t>
            </w:r>
          </w:p>
        </w:tc>
        <w:tc>
          <w:tcPr>
            <w:tcW w:w="82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673"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1000d</w:t>
            </w:r>
          </w:p>
        </w:tc>
        <w:tc>
          <w:tcPr>
            <w:tcW w:w="899"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150</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50.33</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hint="eastAsia" w:cs="Times New Roman"/>
                <w:bCs/>
                <w:color w:val="000000" w:themeColor="text1"/>
                <w:sz w:val="21"/>
                <w:szCs w:val="21"/>
                <w14:textFill>
                  <w14:solidFill>
                    <w14:schemeClr w14:val="tx1"/>
                  </w14:solidFill>
                </w14:textFill>
              </w:rPr>
              <w:t>53.17</w:t>
            </w:r>
          </w:p>
        </w:tc>
        <w:tc>
          <w:tcPr>
            <w:tcW w:w="8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280</w:t>
            </w:r>
          </w:p>
        </w:tc>
        <w:tc>
          <w:tcPr>
            <w:tcW w:w="82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290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673"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3650d</w:t>
            </w:r>
          </w:p>
        </w:tc>
        <w:tc>
          <w:tcPr>
            <w:tcW w:w="899"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550</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13.78</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hint="eastAsia" w:cs="Times New Roman"/>
                <w:bCs/>
                <w:color w:val="000000" w:themeColor="text1"/>
                <w:sz w:val="21"/>
                <w:szCs w:val="21"/>
                <w14:textFill>
                  <w14:solidFill>
                    <w14:schemeClr w14:val="tx1"/>
                  </w14:solidFill>
                </w14:textFill>
              </w:rPr>
              <w:t>16.62</w:t>
            </w:r>
          </w:p>
        </w:tc>
        <w:tc>
          <w:tcPr>
            <w:tcW w:w="8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731</w:t>
            </w:r>
          </w:p>
        </w:tc>
        <w:tc>
          <w:tcPr>
            <w:tcW w:w="82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750</w:t>
            </w:r>
          </w:p>
        </w:tc>
      </w:tr>
    </w:tbl>
    <w:p>
      <w:pPr>
        <w:ind w:firstLine="480"/>
        <w:jc w:val="center"/>
        <w:rPr>
          <w:rFonts w:cs="Times New Roman"/>
          <w:bCs/>
          <w:color w:val="000000" w:themeColor="text1"/>
          <w:sz w:val="21"/>
          <w:szCs w:val="21"/>
          <w14:textFill>
            <w14:solidFill>
              <w14:schemeClr w14:val="tx1"/>
            </w14:solidFill>
          </w14:textFill>
        </w:rPr>
      </w:pPr>
      <w:r>
        <w:rPr>
          <w:rFonts w:cs="Times New Roman"/>
          <w:color w:val="000000" w:themeColor="text1"/>
          <w14:textFill>
            <w14:solidFill>
              <w14:schemeClr w14:val="tx1"/>
            </w14:solidFill>
          </w14:textFill>
        </w:rPr>
        <w:drawing>
          <wp:inline distT="0" distB="0" distL="0" distR="0">
            <wp:extent cx="2328545" cy="1552575"/>
            <wp:effectExtent l="0" t="0" r="0" b="0"/>
            <wp:docPr id="721880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880109" name="图片 1"/>
                    <pic:cNvPicPr>
                      <a:picLocks noChangeAspect="1"/>
                    </pic:cNvPicPr>
                  </pic:nvPicPr>
                  <pic:blipFill>
                    <a:blip r:embed="rId83"/>
                    <a:stretch>
                      <a:fillRect/>
                    </a:stretch>
                  </pic:blipFill>
                  <pic:spPr>
                    <a:xfrm>
                      <a:off x="0" y="0"/>
                      <a:ext cx="2345946" cy="1563963"/>
                    </a:xfrm>
                    <a:prstGeom prst="rect">
                      <a:avLst/>
                    </a:prstGeom>
                  </pic:spPr>
                </pic:pic>
              </a:graphicData>
            </a:graphic>
          </wp:inline>
        </w:drawing>
      </w:r>
      <w:r>
        <w:rPr>
          <w:rFonts w:cs="Times New Roman"/>
          <w:color w:val="000000" w:themeColor="text1"/>
          <w14:textFill>
            <w14:solidFill>
              <w14:schemeClr w14:val="tx1"/>
            </w14:solidFill>
          </w14:textFill>
        </w:rPr>
        <w:t xml:space="preserve">   </w:t>
      </w:r>
      <w:r>
        <w:rPr>
          <w:rFonts w:cs="Times New Roman"/>
          <w:color w:val="000000" w:themeColor="text1"/>
          <w14:textFill>
            <w14:solidFill>
              <w14:schemeClr w14:val="tx1"/>
            </w14:solidFill>
          </w14:textFill>
        </w:rPr>
        <w:drawing>
          <wp:inline distT="0" distB="0" distL="0" distR="0">
            <wp:extent cx="2380615" cy="1586865"/>
            <wp:effectExtent l="0" t="0" r="635" b="0"/>
            <wp:docPr id="12332954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295420" name="图片 1"/>
                    <pic:cNvPicPr>
                      <a:picLocks noChangeAspect="1"/>
                    </pic:cNvPicPr>
                  </pic:nvPicPr>
                  <pic:blipFill>
                    <a:blip r:embed="rId84"/>
                    <a:stretch>
                      <a:fillRect/>
                    </a:stretch>
                  </pic:blipFill>
                  <pic:spPr>
                    <a:xfrm>
                      <a:off x="0" y="0"/>
                      <a:ext cx="2396083" cy="1597389"/>
                    </a:xfrm>
                    <a:prstGeom prst="rect">
                      <a:avLst/>
                    </a:prstGeom>
                  </pic:spPr>
                </pic:pic>
              </a:graphicData>
            </a:graphic>
          </wp:inline>
        </w:drawing>
      </w:r>
    </w:p>
    <w:p>
      <w:pPr>
        <w:pStyle w:val="27"/>
        <w:ind w:firstLine="42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100d                                                                 365d</w:t>
      </w:r>
    </w:p>
    <w:p>
      <w:pPr>
        <w:pStyle w:val="27"/>
        <w:ind w:firstLine="48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2379980" cy="1586865"/>
            <wp:effectExtent l="0" t="0" r="1270" b="0"/>
            <wp:docPr id="20333360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336093" name="图片 1"/>
                    <pic:cNvPicPr>
                      <a:picLocks noChangeAspect="1"/>
                    </pic:cNvPicPr>
                  </pic:nvPicPr>
                  <pic:blipFill>
                    <a:blip r:embed="rId85"/>
                    <a:stretch>
                      <a:fillRect/>
                    </a:stretch>
                  </pic:blipFill>
                  <pic:spPr>
                    <a:xfrm>
                      <a:off x="0" y="0"/>
                      <a:ext cx="2394654" cy="1596436"/>
                    </a:xfrm>
                    <a:prstGeom prst="rect">
                      <a:avLst/>
                    </a:prstGeom>
                  </pic:spPr>
                </pic:pic>
              </a:graphicData>
            </a:graphic>
          </wp:inline>
        </w:drawing>
      </w:r>
      <w:r>
        <w:rPr>
          <w:rFonts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drawing>
          <wp:inline distT="0" distB="0" distL="0" distR="0">
            <wp:extent cx="2362200" cy="1574800"/>
            <wp:effectExtent l="0" t="0" r="0" b="6350"/>
            <wp:docPr id="7560708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70836" name="图片 1"/>
                    <pic:cNvPicPr>
                      <a:picLocks noChangeAspect="1"/>
                    </pic:cNvPicPr>
                  </pic:nvPicPr>
                  <pic:blipFill>
                    <a:blip r:embed="rId86"/>
                    <a:stretch>
                      <a:fillRect/>
                    </a:stretch>
                  </pic:blipFill>
                  <pic:spPr>
                    <a:xfrm>
                      <a:off x="0" y="0"/>
                      <a:ext cx="2370395" cy="1580263"/>
                    </a:xfrm>
                    <a:prstGeom prst="rect">
                      <a:avLst/>
                    </a:prstGeom>
                  </pic:spPr>
                </pic:pic>
              </a:graphicData>
            </a:graphic>
          </wp:inline>
        </w:drawing>
      </w:r>
    </w:p>
    <w:p>
      <w:pPr>
        <w:pStyle w:val="27"/>
        <w:ind w:firstLine="42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1000d                                                                       3650d</w:t>
      </w:r>
    </w:p>
    <w:p>
      <w:pPr>
        <w:pStyle w:val="95"/>
      </w:pPr>
      <w:r>
        <w:t>图5.2-4  井筒破裂不同预测时间COD</w:t>
      </w:r>
      <w:r>
        <w:rPr>
          <w:vertAlign w:val="subscript"/>
        </w:rPr>
        <w:t>Mn</w:t>
      </w:r>
      <w:r>
        <w:t>贡献值与距离浓度关系图</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②</w:t>
      </w:r>
      <w:r>
        <w:rPr>
          <w:rFonts w:cs="Times New Roman"/>
          <w:color w:val="000000" w:themeColor="text1"/>
          <w:szCs w:val="24"/>
          <w14:textFill>
            <w14:solidFill>
              <w14:schemeClr w14:val="tx1"/>
            </w14:solidFill>
          </w14:textFill>
        </w:rPr>
        <w:t>地下水中石油类的超标及影响距离计算结果见表5.2-13及图5.2-5。</w:t>
      </w:r>
    </w:p>
    <w:p>
      <w:pPr>
        <w:pStyle w:val="95"/>
      </w:pPr>
      <w:r>
        <w:t>表5.2-13 压裂过程中井筒破裂地下水中石油类超标及影响距离</w:t>
      </w:r>
    </w:p>
    <w:tbl>
      <w:tblPr>
        <w:tblStyle w:val="52"/>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139"/>
        <w:gridCol w:w="1491"/>
        <w:gridCol w:w="1506"/>
        <w:gridCol w:w="1506"/>
        <w:gridCol w:w="1339"/>
        <w:gridCol w:w="138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90" w:hRule="atLeast"/>
        </w:trPr>
        <w:tc>
          <w:tcPr>
            <w:tcW w:w="681"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污染时间</w:t>
            </w:r>
          </w:p>
        </w:tc>
        <w:tc>
          <w:tcPr>
            <w:tcW w:w="891"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中心点迁移距离（m）</w:t>
            </w:r>
          </w:p>
        </w:tc>
        <w:tc>
          <w:tcPr>
            <w:tcW w:w="900"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中心点处浓度（mg/L）</w:t>
            </w:r>
          </w:p>
        </w:tc>
        <w:tc>
          <w:tcPr>
            <w:tcW w:w="900"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叠加后浓度（mg/L）</w:t>
            </w:r>
          </w:p>
        </w:tc>
        <w:tc>
          <w:tcPr>
            <w:tcW w:w="800"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最远超标距离（m）</w:t>
            </w:r>
          </w:p>
        </w:tc>
        <w:tc>
          <w:tcPr>
            <w:tcW w:w="828"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最远影响距离（m）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681"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100d</w:t>
            </w:r>
          </w:p>
        </w:tc>
        <w:tc>
          <w:tcPr>
            <w:tcW w:w="891"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15</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20.13</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20.13</w:t>
            </w:r>
          </w:p>
        </w:tc>
        <w:tc>
          <w:tcPr>
            <w:tcW w:w="8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75</w:t>
            </w:r>
          </w:p>
        </w:tc>
        <w:tc>
          <w:tcPr>
            <w:tcW w:w="82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83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48" w:hRule="atLeast"/>
        </w:trPr>
        <w:tc>
          <w:tcPr>
            <w:tcW w:w="681"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365d</w:t>
            </w:r>
          </w:p>
        </w:tc>
        <w:tc>
          <w:tcPr>
            <w:tcW w:w="891"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55</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5.51</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5.51</w:t>
            </w:r>
          </w:p>
        </w:tc>
        <w:tc>
          <w:tcPr>
            <w:tcW w:w="8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157</w:t>
            </w:r>
          </w:p>
        </w:tc>
        <w:tc>
          <w:tcPr>
            <w:tcW w:w="82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172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681"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1000d</w:t>
            </w:r>
          </w:p>
        </w:tc>
        <w:tc>
          <w:tcPr>
            <w:tcW w:w="891"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150</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2.01</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2.01</w:t>
            </w:r>
          </w:p>
        </w:tc>
        <w:tc>
          <w:tcPr>
            <w:tcW w:w="8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299</w:t>
            </w:r>
          </w:p>
        </w:tc>
        <w:tc>
          <w:tcPr>
            <w:tcW w:w="82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327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48" w:hRule="atLeast"/>
        </w:trPr>
        <w:tc>
          <w:tcPr>
            <w:tcW w:w="681"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3650d</w:t>
            </w:r>
          </w:p>
        </w:tc>
        <w:tc>
          <w:tcPr>
            <w:tcW w:w="891"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550</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0.55</w:t>
            </w:r>
          </w:p>
        </w:tc>
        <w:tc>
          <w:tcPr>
            <w:tcW w:w="9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0.55</w:t>
            </w:r>
          </w:p>
        </w:tc>
        <w:tc>
          <w:tcPr>
            <w:tcW w:w="800"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776</w:t>
            </w:r>
          </w:p>
        </w:tc>
        <w:tc>
          <w:tcPr>
            <w:tcW w:w="82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845</w:t>
            </w:r>
          </w:p>
        </w:tc>
      </w:tr>
    </w:tbl>
    <w:p>
      <w:pPr>
        <w:ind w:firstLine="480"/>
        <w:jc w:val="center"/>
        <w:rPr>
          <w:rFonts w:eastAsia="黑体" w:cs="Times New Roman"/>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drawing>
          <wp:inline distT="0" distB="0" distL="0" distR="0">
            <wp:extent cx="2253615" cy="1502410"/>
            <wp:effectExtent l="0" t="0" r="0" b="2540"/>
            <wp:docPr id="1460351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35191" name="图片 1"/>
                    <pic:cNvPicPr>
                      <a:picLocks noChangeAspect="1"/>
                    </pic:cNvPicPr>
                  </pic:nvPicPr>
                  <pic:blipFill>
                    <a:blip r:embed="rId87"/>
                    <a:stretch>
                      <a:fillRect/>
                    </a:stretch>
                  </pic:blipFill>
                  <pic:spPr>
                    <a:xfrm>
                      <a:off x="0" y="0"/>
                      <a:ext cx="2259106" cy="1506071"/>
                    </a:xfrm>
                    <a:prstGeom prst="rect">
                      <a:avLst/>
                    </a:prstGeom>
                  </pic:spPr>
                </pic:pic>
              </a:graphicData>
            </a:graphic>
          </wp:inline>
        </w:drawing>
      </w:r>
      <w:r>
        <w:rPr>
          <w:rFonts w:eastAsia="黑体" w:cs="Times New Roman"/>
          <w:color w:val="000000" w:themeColor="text1"/>
          <w:szCs w:val="24"/>
          <w14:textFill>
            <w14:solidFill>
              <w14:schemeClr w14:val="tx1"/>
            </w14:solidFill>
          </w14:textFill>
        </w:rPr>
        <w:t xml:space="preserve">   </w:t>
      </w:r>
      <w:r>
        <w:rPr>
          <w:rFonts w:cs="Times New Roman"/>
          <w:color w:val="000000" w:themeColor="text1"/>
          <w14:textFill>
            <w14:solidFill>
              <w14:schemeClr w14:val="tx1"/>
            </w14:solidFill>
          </w14:textFill>
        </w:rPr>
        <w:drawing>
          <wp:inline distT="0" distB="0" distL="0" distR="0">
            <wp:extent cx="2277745" cy="1518285"/>
            <wp:effectExtent l="0" t="0" r="8255" b="5715"/>
            <wp:docPr id="9219642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64244" name="图片 1"/>
                    <pic:cNvPicPr>
                      <a:picLocks noChangeAspect="1"/>
                    </pic:cNvPicPr>
                  </pic:nvPicPr>
                  <pic:blipFill>
                    <a:blip r:embed="rId88"/>
                    <a:stretch>
                      <a:fillRect/>
                    </a:stretch>
                  </pic:blipFill>
                  <pic:spPr>
                    <a:xfrm>
                      <a:off x="0" y="0"/>
                      <a:ext cx="2285545" cy="1523696"/>
                    </a:xfrm>
                    <a:prstGeom prst="rect">
                      <a:avLst/>
                    </a:prstGeom>
                  </pic:spPr>
                </pic:pic>
              </a:graphicData>
            </a:graphic>
          </wp:inline>
        </w:drawing>
      </w:r>
    </w:p>
    <w:p>
      <w:pPr>
        <w:pStyle w:val="27"/>
        <w:ind w:firstLine="42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100d                                                                 365d</w:t>
      </w:r>
    </w:p>
    <w:p>
      <w:pPr>
        <w:pStyle w:val="27"/>
        <w:ind w:firstLine="48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2312670" cy="1541780"/>
            <wp:effectExtent l="0" t="0" r="0" b="1270"/>
            <wp:docPr id="350990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99068" name="图片 1"/>
                    <pic:cNvPicPr>
                      <a:picLocks noChangeAspect="1"/>
                    </pic:cNvPicPr>
                  </pic:nvPicPr>
                  <pic:blipFill>
                    <a:blip r:embed="rId89"/>
                    <a:stretch>
                      <a:fillRect/>
                    </a:stretch>
                  </pic:blipFill>
                  <pic:spPr>
                    <a:xfrm>
                      <a:off x="0" y="0"/>
                      <a:ext cx="2329646" cy="1553097"/>
                    </a:xfrm>
                    <a:prstGeom prst="rect">
                      <a:avLst/>
                    </a:prstGeom>
                  </pic:spPr>
                </pic:pic>
              </a:graphicData>
            </a:graphic>
          </wp:inline>
        </w:drawing>
      </w:r>
      <w:r>
        <w:rPr>
          <w:rFonts w:ascii="Times New Roman" w:hAnsi="Times New Roman"/>
          <w:bCs/>
          <w:color w:val="000000" w:themeColor="text1"/>
          <w:sz w:val="21"/>
          <w:szCs w:val="2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drawing>
          <wp:inline distT="0" distB="0" distL="0" distR="0">
            <wp:extent cx="2337435" cy="1558290"/>
            <wp:effectExtent l="0" t="0" r="5715" b="3810"/>
            <wp:docPr id="18256660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666088" name="图片 1"/>
                    <pic:cNvPicPr>
                      <a:picLocks noChangeAspect="1"/>
                    </pic:cNvPicPr>
                  </pic:nvPicPr>
                  <pic:blipFill>
                    <a:blip r:embed="rId90"/>
                    <a:stretch>
                      <a:fillRect/>
                    </a:stretch>
                  </pic:blipFill>
                  <pic:spPr>
                    <a:xfrm>
                      <a:off x="0" y="0"/>
                      <a:ext cx="2344152" cy="1562768"/>
                    </a:xfrm>
                    <a:prstGeom prst="rect">
                      <a:avLst/>
                    </a:prstGeom>
                  </pic:spPr>
                </pic:pic>
              </a:graphicData>
            </a:graphic>
          </wp:inline>
        </w:drawing>
      </w:r>
    </w:p>
    <w:p>
      <w:pPr>
        <w:pStyle w:val="27"/>
        <w:ind w:firstLine="42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1000d                                                                       3650d</w:t>
      </w:r>
    </w:p>
    <w:p>
      <w:pPr>
        <w:pStyle w:val="95"/>
      </w:pPr>
      <w:r>
        <w:t>图5.2-5  压裂过程中井筒破裂不同预测时间石油类贡献值与距离浓度关系图</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③</w:t>
      </w:r>
      <w:r>
        <w:rPr>
          <w:rFonts w:cs="Times New Roman"/>
          <w:color w:val="000000" w:themeColor="text1"/>
          <w:szCs w:val="24"/>
          <w14:textFill>
            <w14:solidFill>
              <w14:schemeClr w14:val="tx1"/>
            </w14:solidFill>
          </w14:textFill>
        </w:rPr>
        <w:t>地下水中氯离子的超标及影响距离计算结果见表5.2-14及图5.2-6。</w:t>
      </w:r>
    </w:p>
    <w:p>
      <w:pPr>
        <w:pStyle w:val="95"/>
      </w:pPr>
      <w:r>
        <w:t>表5.2-14 压裂过程中井筒破裂地下水中氯离子超标及影响距离</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977"/>
        <w:gridCol w:w="1536"/>
        <w:gridCol w:w="1536"/>
        <w:gridCol w:w="1536"/>
        <w:gridCol w:w="1365"/>
        <w:gridCol w:w="14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90" w:hRule="atLeast"/>
          <w:jc w:val="center"/>
        </w:trPr>
        <w:tc>
          <w:tcPr>
            <w:tcW w:w="584"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污染时间</w:t>
            </w:r>
          </w:p>
        </w:tc>
        <w:tc>
          <w:tcPr>
            <w:tcW w:w="918"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中心点迁移距离（m）</w:t>
            </w:r>
          </w:p>
        </w:tc>
        <w:tc>
          <w:tcPr>
            <w:tcW w:w="918"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中心点处浓度（mg/L）</w:t>
            </w:r>
          </w:p>
        </w:tc>
        <w:tc>
          <w:tcPr>
            <w:tcW w:w="918"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叠加后浓度（mg/L）</w:t>
            </w:r>
          </w:p>
        </w:tc>
        <w:tc>
          <w:tcPr>
            <w:tcW w:w="816"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最远超标距离（m）</w:t>
            </w:r>
          </w:p>
        </w:tc>
        <w:tc>
          <w:tcPr>
            <w:tcW w:w="846" w:type="pc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最远影响距离（m）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584"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100d</w:t>
            </w:r>
          </w:p>
        </w:tc>
        <w:tc>
          <w:tcPr>
            <w:tcW w:w="91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15</w:t>
            </w:r>
          </w:p>
        </w:tc>
        <w:tc>
          <w:tcPr>
            <w:tcW w:w="91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402.63</w:t>
            </w:r>
          </w:p>
        </w:tc>
        <w:tc>
          <w:tcPr>
            <w:tcW w:w="91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hint="eastAsia" w:cs="Times New Roman"/>
                <w:bCs/>
                <w:color w:val="000000" w:themeColor="text1"/>
                <w:sz w:val="21"/>
                <w:szCs w:val="21"/>
                <w14:textFill>
                  <w14:solidFill>
                    <w14:schemeClr w14:val="tx1"/>
                  </w14:solidFill>
                </w14:textFill>
              </w:rPr>
              <w:t>426.03</w:t>
            </w:r>
          </w:p>
        </w:tc>
        <w:tc>
          <w:tcPr>
            <w:tcW w:w="816"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32</w:t>
            </w:r>
          </w:p>
        </w:tc>
        <w:tc>
          <w:tcPr>
            <w:tcW w:w="846"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584"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365d</w:t>
            </w:r>
          </w:p>
        </w:tc>
        <w:tc>
          <w:tcPr>
            <w:tcW w:w="91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55</w:t>
            </w:r>
          </w:p>
        </w:tc>
        <w:tc>
          <w:tcPr>
            <w:tcW w:w="91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110.31</w:t>
            </w:r>
          </w:p>
        </w:tc>
        <w:tc>
          <w:tcPr>
            <w:tcW w:w="91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hint="eastAsia" w:cs="Times New Roman"/>
                <w:bCs/>
                <w:color w:val="000000" w:themeColor="text1"/>
                <w:sz w:val="21"/>
                <w:szCs w:val="21"/>
                <w14:textFill>
                  <w14:solidFill>
                    <w14:schemeClr w14:val="tx1"/>
                  </w14:solidFill>
                </w14:textFill>
              </w:rPr>
              <w:t>133.71</w:t>
            </w:r>
          </w:p>
        </w:tc>
        <w:tc>
          <w:tcPr>
            <w:tcW w:w="816"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w:t>
            </w:r>
          </w:p>
        </w:tc>
        <w:tc>
          <w:tcPr>
            <w:tcW w:w="846"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584"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1000d</w:t>
            </w:r>
          </w:p>
        </w:tc>
        <w:tc>
          <w:tcPr>
            <w:tcW w:w="91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150</w:t>
            </w:r>
          </w:p>
        </w:tc>
        <w:tc>
          <w:tcPr>
            <w:tcW w:w="91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40.26</w:t>
            </w:r>
          </w:p>
        </w:tc>
        <w:tc>
          <w:tcPr>
            <w:tcW w:w="91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hint="eastAsia" w:cs="Times New Roman"/>
                <w:bCs/>
                <w:color w:val="000000" w:themeColor="text1"/>
                <w:sz w:val="21"/>
                <w:szCs w:val="21"/>
                <w14:textFill>
                  <w14:solidFill>
                    <w14:schemeClr w14:val="tx1"/>
                  </w14:solidFill>
                </w14:textFill>
              </w:rPr>
              <w:t>63.66</w:t>
            </w:r>
          </w:p>
        </w:tc>
        <w:tc>
          <w:tcPr>
            <w:tcW w:w="816"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w:t>
            </w:r>
          </w:p>
        </w:tc>
        <w:tc>
          <w:tcPr>
            <w:tcW w:w="846"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166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584"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3650d</w:t>
            </w:r>
          </w:p>
        </w:tc>
        <w:tc>
          <w:tcPr>
            <w:tcW w:w="918" w:type="pct"/>
            <w:vAlign w:val="center"/>
          </w:tcPr>
          <w:p>
            <w:pPr>
              <w:spacing w:line="240" w:lineRule="auto"/>
              <w:ind w:firstLine="199" w:firstLineChars="95"/>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550</w:t>
            </w:r>
          </w:p>
        </w:tc>
        <w:tc>
          <w:tcPr>
            <w:tcW w:w="91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11.03</w:t>
            </w:r>
          </w:p>
        </w:tc>
        <w:tc>
          <w:tcPr>
            <w:tcW w:w="918"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hint="eastAsia" w:cs="Times New Roman"/>
                <w:bCs/>
                <w:color w:val="000000" w:themeColor="text1"/>
                <w:sz w:val="21"/>
                <w:szCs w:val="21"/>
                <w14:textFill>
                  <w14:solidFill>
                    <w14:schemeClr w14:val="tx1"/>
                  </w14:solidFill>
                </w14:textFill>
              </w:rPr>
              <w:t>34.43</w:t>
            </w:r>
          </w:p>
        </w:tc>
        <w:tc>
          <w:tcPr>
            <w:tcW w:w="816"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w:t>
            </w:r>
          </w:p>
        </w:tc>
        <w:tc>
          <w:tcPr>
            <w:tcW w:w="846" w:type="pct"/>
            <w:vAlign w:val="center"/>
          </w:tcPr>
          <w:p>
            <w:pPr>
              <w:spacing w:line="240" w:lineRule="auto"/>
              <w:ind w:firstLine="0" w:firstLineChars="0"/>
              <w:jc w:val="center"/>
              <w:rPr>
                <w:rFonts w:cs="Times New Roman"/>
                <w:bCs/>
                <w:color w:val="000000" w:themeColor="text1"/>
                <w:sz w:val="21"/>
                <w:szCs w:val="21"/>
                <w14:textFill>
                  <w14:solidFill>
                    <w14:schemeClr w14:val="tx1"/>
                  </w14:solidFill>
                </w14:textFill>
              </w:rPr>
            </w:pPr>
            <w:r>
              <w:rPr>
                <w:rFonts w:cs="Times New Roman"/>
                <w:bCs/>
                <w:color w:val="000000" w:themeColor="text1"/>
                <w:sz w:val="21"/>
                <w:szCs w:val="21"/>
                <w14:textFill>
                  <w14:solidFill>
                    <w14:schemeClr w14:val="tx1"/>
                  </w14:solidFill>
                </w14:textFill>
              </w:rPr>
              <w:t>/</w:t>
            </w:r>
          </w:p>
        </w:tc>
      </w:tr>
    </w:tbl>
    <w:p>
      <w:pPr>
        <w:ind w:firstLine="480"/>
        <w:jc w:val="center"/>
        <w:rPr>
          <w:rFonts w:cs="Times New Roman"/>
          <w:bCs/>
          <w:color w:val="000000" w:themeColor="text1"/>
          <w:sz w:val="21"/>
          <w:szCs w:val="21"/>
          <w14:textFill>
            <w14:solidFill>
              <w14:schemeClr w14:val="tx1"/>
            </w14:solidFill>
          </w14:textFill>
        </w:rPr>
      </w:pPr>
      <w:r>
        <w:rPr>
          <w:rFonts w:cs="Times New Roman"/>
          <w:color w:val="000000" w:themeColor="text1"/>
          <w14:textFill>
            <w14:solidFill>
              <w14:schemeClr w14:val="tx1"/>
            </w14:solidFill>
          </w14:textFill>
        </w:rPr>
        <w:drawing>
          <wp:inline distT="0" distB="0" distL="0" distR="0">
            <wp:extent cx="2313305" cy="1542415"/>
            <wp:effectExtent l="0" t="0" r="0" b="635"/>
            <wp:docPr id="19079798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979840" name="图片 1"/>
                    <pic:cNvPicPr>
                      <a:picLocks noChangeAspect="1"/>
                    </pic:cNvPicPr>
                  </pic:nvPicPr>
                  <pic:blipFill>
                    <a:blip r:embed="rId91"/>
                    <a:stretch>
                      <a:fillRect/>
                    </a:stretch>
                  </pic:blipFill>
                  <pic:spPr>
                    <a:xfrm>
                      <a:off x="0" y="0"/>
                      <a:ext cx="2316851" cy="1544567"/>
                    </a:xfrm>
                    <a:prstGeom prst="rect">
                      <a:avLst/>
                    </a:prstGeom>
                  </pic:spPr>
                </pic:pic>
              </a:graphicData>
            </a:graphic>
          </wp:inline>
        </w:drawing>
      </w:r>
      <w:r>
        <w:rPr>
          <w:rFonts w:cs="Times New Roman"/>
          <w:bCs/>
          <w:color w:val="000000" w:themeColor="text1"/>
          <w:sz w:val="21"/>
          <w:szCs w:val="21"/>
          <w14:textFill>
            <w14:solidFill>
              <w14:schemeClr w14:val="tx1"/>
            </w14:solidFill>
          </w14:textFill>
        </w:rPr>
        <w:t xml:space="preserve">  </w:t>
      </w:r>
      <w:r>
        <w:rPr>
          <w:rFonts w:cs="Times New Roman"/>
          <w:color w:val="000000" w:themeColor="text1"/>
          <w14:textFill>
            <w14:solidFill>
              <w14:schemeClr w14:val="tx1"/>
            </w14:solidFill>
          </w14:textFill>
        </w:rPr>
        <w:drawing>
          <wp:inline distT="0" distB="0" distL="0" distR="0">
            <wp:extent cx="2341245" cy="1560830"/>
            <wp:effectExtent l="0" t="0" r="1905" b="1270"/>
            <wp:docPr id="17132870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87075" name="图片 1"/>
                    <pic:cNvPicPr>
                      <a:picLocks noChangeAspect="1"/>
                    </pic:cNvPicPr>
                  </pic:nvPicPr>
                  <pic:blipFill>
                    <a:blip r:embed="rId92"/>
                    <a:stretch>
                      <a:fillRect/>
                    </a:stretch>
                  </pic:blipFill>
                  <pic:spPr>
                    <a:xfrm>
                      <a:off x="0" y="0"/>
                      <a:ext cx="2347046" cy="1564697"/>
                    </a:xfrm>
                    <a:prstGeom prst="rect">
                      <a:avLst/>
                    </a:prstGeom>
                  </pic:spPr>
                </pic:pic>
              </a:graphicData>
            </a:graphic>
          </wp:inline>
        </w:drawing>
      </w:r>
    </w:p>
    <w:p>
      <w:pPr>
        <w:pStyle w:val="27"/>
        <w:ind w:firstLine="42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100d                                                                 365d</w:t>
      </w:r>
    </w:p>
    <w:p>
      <w:pPr>
        <w:ind w:firstLine="480"/>
        <w:rPr>
          <w:rFonts w:cs="Times New Roman"/>
          <w:color w:val="000000" w:themeColor="text1"/>
          <w14:textFill>
            <w14:solidFill>
              <w14:schemeClr w14:val="tx1"/>
            </w14:solidFill>
          </w14:textFill>
        </w:rPr>
      </w:pPr>
    </w:p>
    <w:p>
      <w:pPr>
        <w:pStyle w:val="27"/>
        <w:ind w:firstLine="48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2337435" cy="1558290"/>
            <wp:effectExtent l="0" t="0" r="5715" b="3810"/>
            <wp:docPr id="1667338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38606" name="图片 1"/>
                    <pic:cNvPicPr>
                      <a:picLocks noChangeAspect="1"/>
                    </pic:cNvPicPr>
                  </pic:nvPicPr>
                  <pic:blipFill>
                    <a:blip r:embed="rId93"/>
                    <a:stretch>
                      <a:fillRect/>
                    </a:stretch>
                  </pic:blipFill>
                  <pic:spPr>
                    <a:xfrm>
                      <a:off x="0" y="0"/>
                      <a:ext cx="2345069" cy="1563379"/>
                    </a:xfrm>
                    <a:prstGeom prst="rect">
                      <a:avLst/>
                    </a:prstGeom>
                  </pic:spPr>
                </pic:pic>
              </a:graphicData>
            </a:graphic>
          </wp:inline>
        </w:drawing>
      </w:r>
      <w:r>
        <w:rPr>
          <w:rFonts w:ascii="Times New Roman" w:hAnsi="Times New Roman"/>
          <w:bCs/>
          <w:color w:val="000000" w:themeColor="text1"/>
          <w:sz w:val="21"/>
          <w:szCs w:val="2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drawing>
          <wp:inline distT="0" distB="0" distL="0" distR="0">
            <wp:extent cx="2341880" cy="1561465"/>
            <wp:effectExtent l="0" t="0" r="1270" b="635"/>
            <wp:docPr id="2390018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01853" name="图片 1"/>
                    <pic:cNvPicPr>
                      <a:picLocks noChangeAspect="1"/>
                    </pic:cNvPicPr>
                  </pic:nvPicPr>
                  <pic:blipFill>
                    <a:blip r:embed="rId94"/>
                    <a:stretch>
                      <a:fillRect/>
                    </a:stretch>
                  </pic:blipFill>
                  <pic:spPr>
                    <a:xfrm>
                      <a:off x="0" y="0"/>
                      <a:ext cx="2350374" cy="1566914"/>
                    </a:xfrm>
                    <a:prstGeom prst="rect">
                      <a:avLst/>
                    </a:prstGeom>
                  </pic:spPr>
                </pic:pic>
              </a:graphicData>
            </a:graphic>
          </wp:inline>
        </w:drawing>
      </w:r>
    </w:p>
    <w:p>
      <w:pPr>
        <w:pStyle w:val="27"/>
        <w:ind w:firstLine="420"/>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1000d                                                                       3650d</w:t>
      </w:r>
    </w:p>
    <w:p>
      <w:pPr>
        <w:pStyle w:val="95"/>
      </w:pPr>
      <w:r>
        <w:t>图5.2-6  井筒破裂不同预测时间氯离子贡献值与距离大小关系图</w:t>
      </w:r>
    </w:p>
    <w:p>
      <w:pPr>
        <w:ind w:firstLine="482"/>
        <w:rPr>
          <w:rFonts w:cs="Times New Roman"/>
          <w:b/>
          <w:bCs/>
          <w:color w:val="000000" w:themeColor="text1"/>
          <w:szCs w:val="24"/>
          <w14:textFill>
            <w14:solidFill>
              <w14:schemeClr w14:val="tx1"/>
            </w14:solidFill>
          </w14:textFill>
        </w:rPr>
      </w:pPr>
      <w:bookmarkStart w:id="296" w:name="_Toc78877615"/>
      <w:r>
        <w:rPr>
          <w:rFonts w:cs="Times New Roman"/>
          <w:b/>
          <w:bCs/>
          <w:color w:val="000000" w:themeColor="text1"/>
          <w:szCs w:val="24"/>
          <w14:textFill>
            <w14:solidFill>
              <w14:schemeClr w14:val="tx1"/>
            </w14:solidFill>
          </w14:textFill>
        </w:rPr>
        <w:t>（5）地下水影响评价</w:t>
      </w:r>
      <w:bookmarkEnd w:id="296"/>
    </w:p>
    <w:bookmarkEnd w:id="293"/>
    <w:bookmarkEnd w:id="294"/>
    <w:bookmarkEnd w:id="295"/>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1）放喷池池体破裂</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①</w:t>
      </w:r>
      <w:r>
        <w:rPr>
          <w:rFonts w:cs="Times New Roman"/>
          <w:color w:val="000000" w:themeColor="text1"/>
          <w:szCs w:val="24"/>
          <w14:textFill>
            <w14:solidFill>
              <w14:schemeClr w14:val="tx1"/>
            </w14:solidFill>
          </w14:textFill>
        </w:rPr>
        <w:t>COD</w:t>
      </w:r>
      <w:r>
        <w:rPr>
          <w:rFonts w:cs="Times New Roman"/>
          <w:color w:val="000000" w:themeColor="text1"/>
          <w:szCs w:val="24"/>
          <w:vertAlign w:val="subscript"/>
          <w14:textFill>
            <w14:solidFill>
              <w14:schemeClr w14:val="tx1"/>
            </w14:solidFill>
          </w14:textFill>
        </w:rPr>
        <w:t>Mn</w:t>
      </w:r>
      <w:r>
        <w:rPr>
          <w:rFonts w:cs="Times New Roman"/>
          <w:color w:val="000000" w:themeColor="text1"/>
          <w:szCs w:val="24"/>
          <w14:textFill>
            <w14:solidFill>
              <w14:schemeClr w14:val="tx1"/>
            </w14:solidFill>
          </w14:textFill>
        </w:rPr>
        <w:t>在放喷池池体破裂100d时最远超标距离为下游216m，最高浓度为</w:t>
      </w:r>
      <w:r>
        <w:rPr>
          <w:rFonts w:cs="Times New Roman"/>
          <w:bCs/>
          <w:color w:val="000000" w:themeColor="text1"/>
          <w:szCs w:val="24"/>
          <w14:textFill>
            <w14:solidFill>
              <w14:schemeClr w14:val="tx1"/>
            </w14:solidFill>
          </w14:textFill>
        </w:rPr>
        <w:t>6.15</w:t>
      </w:r>
      <w:r>
        <w:rPr>
          <w:rFonts w:cs="Times New Roman"/>
          <w:color w:val="000000" w:themeColor="text1"/>
          <w:szCs w:val="24"/>
          <w14:textFill>
            <w14:solidFill>
              <w14:schemeClr w14:val="tx1"/>
            </w14:solidFill>
          </w14:textFill>
        </w:rPr>
        <w:t>mg/L（150m处），在3650d时，已无超标范围。</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②</w:t>
      </w:r>
      <w:r>
        <w:rPr>
          <w:rFonts w:cs="Times New Roman"/>
          <w:color w:val="000000" w:themeColor="text1"/>
          <w:szCs w:val="24"/>
          <w14:textFill>
            <w14:solidFill>
              <w14:schemeClr w14:val="tx1"/>
            </w14:solidFill>
          </w14:textFill>
        </w:rPr>
        <w:t>石油类在放喷池池体破裂3650d时最远超标距离为下游626m，最高浓度为</w:t>
      </w:r>
      <w:r>
        <w:rPr>
          <w:rFonts w:cs="Times New Roman"/>
          <w:bCs/>
          <w:color w:val="000000" w:themeColor="text1"/>
          <w:szCs w:val="24"/>
          <w14:textFill>
            <w14:solidFill>
              <w14:schemeClr w14:val="tx1"/>
            </w14:solidFill>
          </w14:textFill>
        </w:rPr>
        <w:t>0.07</w:t>
      </w:r>
      <w:r>
        <w:rPr>
          <w:rFonts w:cs="Times New Roman"/>
          <w:color w:val="000000" w:themeColor="text1"/>
          <w:szCs w:val="24"/>
          <w14:textFill>
            <w14:solidFill>
              <w14:schemeClr w14:val="tx1"/>
            </w14:solidFill>
          </w14:textFill>
        </w:rPr>
        <w:t>mg/L（550m处）。</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③</w:t>
      </w:r>
      <w:r>
        <w:rPr>
          <w:rFonts w:cs="Times New Roman"/>
          <w:color w:val="000000" w:themeColor="text1"/>
          <w:szCs w:val="24"/>
          <w14:textFill>
            <w14:solidFill>
              <w14:schemeClr w14:val="tx1"/>
            </w14:solidFill>
          </w14:textFill>
        </w:rPr>
        <w:t>氯化物在放喷池破裂整个工况下中心点处均未出现超标现象。</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2）压裂过程井筒破裂</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①</w:t>
      </w:r>
      <w:r>
        <w:rPr>
          <w:rFonts w:cs="Times New Roman"/>
          <w:color w:val="000000" w:themeColor="text1"/>
          <w:szCs w:val="24"/>
          <w14:textFill>
            <w14:solidFill>
              <w14:schemeClr w14:val="tx1"/>
            </w14:solidFill>
          </w14:textFill>
        </w:rPr>
        <w:t>COD</w:t>
      </w:r>
      <w:r>
        <w:rPr>
          <w:rFonts w:cs="Times New Roman"/>
          <w:color w:val="000000" w:themeColor="text1"/>
          <w:szCs w:val="24"/>
          <w:vertAlign w:val="subscript"/>
          <w14:textFill>
            <w14:solidFill>
              <w14:schemeClr w14:val="tx1"/>
            </w14:solidFill>
          </w14:textFill>
        </w:rPr>
        <w:t>Mn</w:t>
      </w:r>
      <w:r>
        <w:rPr>
          <w:rFonts w:cs="Times New Roman"/>
          <w:color w:val="000000" w:themeColor="text1"/>
          <w:szCs w:val="24"/>
          <w14:textFill>
            <w14:solidFill>
              <w14:schemeClr w14:val="tx1"/>
            </w14:solidFill>
          </w14:textFill>
        </w:rPr>
        <w:t>在井筒破裂3650d时最远超标距离为下游731m，最高浓度为</w:t>
      </w:r>
      <w:r>
        <w:rPr>
          <w:rFonts w:cs="Times New Roman"/>
          <w:bCs/>
          <w:color w:val="000000" w:themeColor="text1"/>
          <w:szCs w:val="24"/>
          <w14:textFill>
            <w14:solidFill>
              <w14:schemeClr w14:val="tx1"/>
            </w14:solidFill>
          </w14:textFill>
        </w:rPr>
        <w:t>13.78</w:t>
      </w:r>
      <w:r>
        <w:rPr>
          <w:rFonts w:cs="Times New Roman"/>
          <w:color w:val="000000" w:themeColor="text1"/>
          <w:szCs w:val="24"/>
          <w14:textFill>
            <w14:solidFill>
              <w14:schemeClr w14:val="tx1"/>
            </w14:solidFill>
          </w14:textFill>
        </w:rPr>
        <w:t>mg/L（550m处）。</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②</w:t>
      </w:r>
      <w:r>
        <w:rPr>
          <w:rFonts w:cs="Times New Roman"/>
          <w:color w:val="000000" w:themeColor="text1"/>
          <w:szCs w:val="24"/>
          <w14:textFill>
            <w14:solidFill>
              <w14:schemeClr w14:val="tx1"/>
            </w14:solidFill>
          </w14:textFill>
        </w:rPr>
        <w:t>石油类在井筒破裂3650d时最远超标距离为下游776m，最高浓度为</w:t>
      </w:r>
      <w:r>
        <w:rPr>
          <w:rFonts w:cs="Times New Roman"/>
          <w:bCs/>
          <w:color w:val="000000" w:themeColor="text1"/>
          <w:szCs w:val="24"/>
          <w14:textFill>
            <w14:solidFill>
              <w14:schemeClr w14:val="tx1"/>
            </w14:solidFill>
          </w14:textFill>
        </w:rPr>
        <w:t>0.55</w:t>
      </w:r>
      <w:r>
        <w:rPr>
          <w:rFonts w:cs="Times New Roman"/>
          <w:color w:val="000000" w:themeColor="text1"/>
          <w:szCs w:val="24"/>
          <w14:textFill>
            <w14:solidFill>
              <w14:schemeClr w14:val="tx1"/>
            </w14:solidFill>
          </w14:textFill>
        </w:rPr>
        <w:t>mg/L（550m处）。</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③</w:t>
      </w:r>
      <w:r>
        <w:rPr>
          <w:rFonts w:cs="Times New Roman"/>
          <w:color w:val="000000" w:themeColor="text1"/>
          <w:szCs w:val="24"/>
          <w14:textFill>
            <w14:solidFill>
              <w14:schemeClr w14:val="tx1"/>
            </w14:solidFill>
          </w14:textFill>
        </w:rPr>
        <w:t>氯化物在井筒破裂100d时最远超标距离为下游32m，最高浓度为</w:t>
      </w:r>
      <w:r>
        <w:rPr>
          <w:rFonts w:cs="Times New Roman"/>
          <w:bCs/>
          <w:color w:val="000000" w:themeColor="text1"/>
          <w:szCs w:val="24"/>
          <w14:textFill>
            <w14:solidFill>
              <w14:schemeClr w14:val="tx1"/>
            </w14:solidFill>
          </w14:textFill>
        </w:rPr>
        <w:t>402.63</w:t>
      </w:r>
      <w:r>
        <w:rPr>
          <w:rFonts w:cs="Times New Roman"/>
          <w:color w:val="000000" w:themeColor="text1"/>
          <w:szCs w:val="24"/>
          <w14:textFill>
            <w14:solidFill>
              <w14:schemeClr w14:val="tx1"/>
            </w14:solidFill>
          </w14:textFill>
        </w:rPr>
        <w:t>mg/L（15m处），在1000d时，已无超标范围。</w:t>
      </w:r>
    </w:p>
    <w:p>
      <w:pPr>
        <w:ind w:firstLine="480"/>
        <w:rPr>
          <w:rFonts w:cs="Times New Roman"/>
          <w:color w:val="000000" w:themeColor="text1"/>
          <w:szCs w:val="24"/>
          <w14:textFill>
            <w14:solidFill>
              <w14:schemeClr w14:val="tx1"/>
            </w14:solidFill>
          </w14:textFill>
        </w:rPr>
      </w:pPr>
      <w:r>
        <w:rPr>
          <w:rFonts w:cs="Times New Roman"/>
          <w:snapToGrid w:val="0"/>
          <w:color w:val="000000" w:themeColor="text1"/>
          <w:szCs w:val="24"/>
          <w14:textFill>
            <w14:solidFill>
              <w14:schemeClr w14:val="tx1"/>
            </w14:solidFill>
          </w14:textFill>
        </w:rPr>
        <w:t>综上所述，不同预测情景对地下水保护目标的预测结果见表5.2-15。</w:t>
      </w:r>
    </w:p>
    <w:p>
      <w:pPr>
        <w:pStyle w:val="95"/>
      </w:pPr>
      <w:r>
        <w:t>表5.2-15 非正常状况对地下水保护目标的影响预测结果</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0"/>
        <w:gridCol w:w="1701"/>
        <w:gridCol w:w="1679"/>
        <w:gridCol w:w="2148"/>
        <w:gridCol w:w="20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70"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编号</w:t>
            </w:r>
          </w:p>
        </w:tc>
        <w:tc>
          <w:tcPr>
            <w:tcW w:w="1701"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非正常状况</w:t>
            </w:r>
          </w:p>
        </w:tc>
        <w:tc>
          <w:tcPr>
            <w:tcW w:w="1679" w:type="dxa"/>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方位</w:t>
            </w:r>
          </w:p>
        </w:tc>
        <w:tc>
          <w:tcPr>
            <w:tcW w:w="2148"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最大可能超标居民饮用泉水点</w:t>
            </w:r>
          </w:p>
        </w:tc>
        <w:tc>
          <w:tcPr>
            <w:tcW w:w="2024"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670" w:type="dxa"/>
            <w:vMerge w:val="restar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w:t>
            </w:r>
          </w:p>
        </w:tc>
        <w:tc>
          <w:tcPr>
            <w:tcW w:w="1701" w:type="dxa"/>
            <w:vMerge w:val="restar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压裂井筒破裂</w:t>
            </w:r>
          </w:p>
        </w:tc>
        <w:tc>
          <w:tcPr>
            <w:tcW w:w="1679" w:type="dxa"/>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东北侧</w:t>
            </w:r>
          </w:p>
        </w:tc>
        <w:tc>
          <w:tcPr>
            <w:tcW w:w="2148"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1处井泉约5户</w:t>
            </w:r>
          </w:p>
        </w:tc>
        <w:tc>
          <w:tcPr>
            <w:tcW w:w="2024" w:type="dxa"/>
            <w:vMerge w:val="restar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按最不利估算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670" w:type="dxa"/>
            <w:vMerge w:val="continue"/>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1701" w:type="dxa"/>
            <w:vMerge w:val="continue"/>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1679" w:type="dxa"/>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西北侧</w:t>
            </w:r>
          </w:p>
        </w:tc>
        <w:tc>
          <w:tcPr>
            <w:tcW w:w="2148"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2处井泉约24户</w:t>
            </w:r>
          </w:p>
        </w:tc>
        <w:tc>
          <w:tcPr>
            <w:tcW w:w="2024" w:type="dxa"/>
            <w:vMerge w:val="continue"/>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670" w:type="dxa"/>
            <w:vMerge w:val="restart"/>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w:t>
            </w:r>
          </w:p>
        </w:tc>
        <w:tc>
          <w:tcPr>
            <w:tcW w:w="1701" w:type="dxa"/>
            <w:vMerge w:val="restart"/>
            <w:vAlign w:val="center"/>
          </w:tcPr>
          <w:p>
            <w:pPr>
              <w:spacing w:line="240" w:lineRule="auto"/>
              <w:ind w:firstLine="199" w:firstLineChars="95"/>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放喷池泄漏</w:t>
            </w:r>
          </w:p>
        </w:tc>
        <w:tc>
          <w:tcPr>
            <w:tcW w:w="1679" w:type="dxa"/>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东北侧</w:t>
            </w:r>
          </w:p>
        </w:tc>
        <w:tc>
          <w:tcPr>
            <w:tcW w:w="2148"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1处井泉约5户</w:t>
            </w:r>
          </w:p>
        </w:tc>
        <w:tc>
          <w:tcPr>
            <w:tcW w:w="2024" w:type="dxa"/>
            <w:vMerge w:val="continue"/>
            <w:vAlign w:val="center"/>
          </w:tcPr>
          <w:p>
            <w:pPr>
              <w:spacing w:line="240" w:lineRule="auto"/>
              <w:ind w:firstLine="420"/>
              <w:jc w:val="center"/>
              <w:rPr>
                <w:rFonts w:cs="Times New Roman"/>
                <w:color w:val="000000" w:themeColor="text1"/>
                <w:sz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670" w:type="dxa"/>
            <w:vMerge w:val="continue"/>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1701" w:type="dxa"/>
            <w:vMerge w:val="continue"/>
            <w:vAlign w:val="center"/>
          </w:tcPr>
          <w:p>
            <w:pPr>
              <w:spacing w:line="240" w:lineRule="auto"/>
              <w:ind w:firstLine="199" w:firstLineChars="95"/>
              <w:jc w:val="center"/>
              <w:rPr>
                <w:rFonts w:cs="Times New Roman"/>
                <w:color w:val="000000" w:themeColor="text1"/>
                <w:sz w:val="21"/>
                <w:szCs w:val="21"/>
                <w14:textFill>
                  <w14:solidFill>
                    <w14:schemeClr w14:val="tx1"/>
                  </w14:solidFill>
                </w14:textFill>
              </w:rPr>
            </w:pPr>
          </w:p>
        </w:tc>
        <w:tc>
          <w:tcPr>
            <w:tcW w:w="1679" w:type="dxa"/>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西北侧</w:t>
            </w:r>
          </w:p>
        </w:tc>
        <w:tc>
          <w:tcPr>
            <w:tcW w:w="2148" w:type="dxa"/>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2处井泉约24户</w:t>
            </w:r>
          </w:p>
        </w:tc>
        <w:tc>
          <w:tcPr>
            <w:tcW w:w="2024" w:type="dxa"/>
            <w:vMerge w:val="continue"/>
            <w:vAlign w:val="center"/>
          </w:tcPr>
          <w:p>
            <w:pPr>
              <w:spacing w:line="240" w:lineRule="auto"/>
              <w:ind w:firstLine="420"/>
              <w:jc w:val="center"/>
              <w:rPr>
                <w:rFonts w:cs="Times New Roman"/>
                <w:color w:val="000000" w:themeColor="text1"/>
                <w:sz w:val="21"/>
                <w:szCs w:val="21"/>
                <w14:textFill>
                  <w14:solidFill>
                    <w14:schemeClr w14:val="tx1"/>
                  </w14:solidFill>
                </w14:textFill>
              </w:rPr>
            </w:pPr>
          </w:p>
        </w:tc>
      </w:tr>
    </w:tbl>
    <w:p>
      <w:pPr>
        <w:ind w:firstLine="480"/>
        <w:rPr>
          <w:rFonts w:cs="Times New Roman"/>
          <w:color w:val="000000" w:themeColor="text1"/>
          <w:szCs w:val="24"/>
          <w14:textFill>
            <w14:solidFill>
              <w14:schemeClr w14:val="tx1"/>
            </w14:solidFill>
          </w14:textFill>
        </w:rPr>
      </w:pPr>
      <w:bookmarkStart w:id="297" w:name="_Hlk89072087"/>
      <w:bookmarkStart w:id="298" w:name="_Toc10566"/>
      <w:r>
        <w:rPr>
          <w:rFonts w:cs="Times New Roman"/>
          <w:color w:val="000000" w:themeColor="text1"/>
          <w:szCs w:val="24"/>
          <w14:textFill>
            <w14:solidFill>
              <w14:schemeClr w14:val="tx1"/>
            </w14:solidFill>
          </w14:textFill>
        </w:rPr>
        <w:t>本项目</w:t>
      </w:r>
      <w:bookmarkEnd w:id="297"/>
      <w:r>
        <w:rPr>
          <w:rFonts w:cs="Times New Roman"/>
          <w:color w:val="000000" w:themeColor="text1"/>
          <w:szCs w:val="24"/>
          <w14:textFill>
            <w14:solidFill>
              <w14:schemeClr w14:val="tx1"/>
            </w14:solidFill>
          </w14:textFill>
        </w:rPr>
        <w:t>发生事故后会对地下水流向下游的居民饮用泉水点造成污染影响，最大可能超标居民饮用泉水点3处共约29户。</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由于项目所在区域水文地质条件简单，为潜水含水层，地下水径流速度一般，含水层有效孔隙度小，污染物扩散速度较慢，发生事故时可利用下游民井监控，因此可以有足够的时间来处理，控制污染影响范围。在此需要说明的是，根据中石化川东北地区多年来压裂测试情况，由于井筒质量和固井质量较好，井筒破裂的情况还未发生过，压裂过程处于全程监控，实际上发生井筒破裂的情况微乎其微。同时压裂在目的层进行，浅层套管破裂的可能性远远小于深层套管破裂，浅层含水层经过了多次固井，含水层以下有多层封隔层，压返液因深层井筒破裂进入浅层含水层是很难发生的；池体修建均采用高标准要求，防渗达到设计要求，发生垮塌泄漏的可能性非常小，因此由于井筒破裂事故和池体渗漏造成的地下水不利影响是极难发生的。</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项目井场布置和周边居民水井分布情况，本项目在井筒破裂和放喷池风险泄漏初期除小范围地区地下水水质超标外，超标范围较小，超标范围内约29户居民饮用的3处泉水点分布，超标范围内无集中式饮用水源取水点，其余地区地下水水质均满足《地下水质量标准》（GB/T14848-2017）中的</w:t>
      </w:r>
      <w:r>
        <w:rPr>
          <w:rFonts w:hint="eastAsia" w:ascii="宋体" w:hAnsi="宋体" w:cs="宋体"/>
          <w:color w:val="000000" w:themeColor="text1"/>
          <w:szCs w:val="24"/>
          <w14:textFill>
            <w14:solidFill>
              <w14:schemeClr w14:val="tx1"/>
            </w14:solidFill>
          </w14:textFill>
        </w:rPr>
        <w:t>Ⅲ</w:t>
      </w:r>
      <w:r>
        <w:rPr>
          <w:rFonts w:cs="Times New Roman"/>
          <w:color w:val="000000" w:themeColor="text1"/>
          <w:szCs w:val="24"/>
          <w14:textFill>
            <w14:solidFill>
              <w14:schemeClr w14:val="tx1"/>
            </w14:solidFill>
          </w14:textFill>
        </w:rPr>
        <w:t>类标准，随着时间的推移，污染物在整个评价范围内超标现象逐渐消失。</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鉴于模拟的两种情况的污染物超标范围会随着时间的增加逐渐扩大。本环评建议：在钻井作业中加强生产管理，严密监控压裂液及放喷池、放喷池的运行状况，发现井管破裂后应立即停止压裂作业并启动应急预案，按要求在下游设置的监控水井加密监控，采取有效措施控制污染物扩散范围，降低环境影响。且对超标范围内的居民采取水罐车运水等方式，解决居民用水，直到居民水井水质恢复为止。</w:t>
      </w:r>
    </w:p>
    <w:p>
      <w:pPr>
        <w:autoSpaceDE w:val="0"/>
        <w:autoSpaceDN w:val="0"/>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在对下游居民水井加强监控后，项目建设对周围居民水井的影响较小，也不会对地下水环境造成明显不利影响，项目建设对地下水的影响是可接受的。</w:t>
      </w:r>
    </w:p>
    <w:bookmarkEnd w:id="298"/>
    <w:p>
      <w:pPr>
        <w:ind w:firstLine="480"/>
        <w:rPr>
          <w:rFonts w:eastAsia="黑体" w:cs="Times New Roman"/>
          <w:color w:val="000000" w:themeColor="text1"/>
          <w:szCs w:val="24"/>
          <w14:textFill>
            <w14:solidFill>
              <w14:schemeClr w14:val="tx1"/>
            </w14:solidFill>
          </w14:textFill>
        </w:rPr>
      </w:pPr>
      <w:bookmarkStart w:id="299" w:name="_Toc78877616"/>
      <w:r>
        <w:rPr>
          <w:rFonts w:eastAsia="黑体" w:cs="Times New Roman"/>
          <w:color w:val="000000" w:themeColor="text1"/>
          <w:szCs w:val="24"/>
          <w14:textFill>
            <w14:solidFill>
              <w14:schemeClr w14:val="tx1"/>
            </w14:solidFill>
          </w14:textFill>
        </w:rPr>
        <w:t>4、试采期地下水影响预测分析</w:t>
      </w:r>
      <w:bookmarkEnd w:id="299"/>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本项目为油气试采项目，对地下水的影响主要在项目的施工期，试采阶段对地下水的影响极小。</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试采期气田水暂存于酸液缓冲罐和火炬分液罐，最终由密闭罐车拉运至赵家坝污水处理站达标后管输至普光11井回注站回注，不外排；除此之外，无其他废水产生。罐区均采取了围堰并重点防渗，酸液缓冲罐和火炬分液罐暂存地层水及时转运，污水发生泄漏进入地下水环境可能性基本不存在，在加强对监控井在试采期内例行监测后，试采期不会对地下水环境造成不利影响。</w:t>
      </w:r>
    </w:p>
    <w:p>
      <w:pPr>
        <w:ind w:firstLine="480"/>
        <w:rPr>
          <w:rFonts w:eastAsia="黑体" w:cs="Times New Roman"/>
          <w:color w:val="000000" w:themeColor="text1"/>
          <w:szCs w:val="24"/>
          <w14:textFill>
            <w14:solidFill>
              <w14:schemeClr w14:val="tx1"/>
            </w14:solidFill>
          </w14:textFill>
        </w:rPr>
      </w:pPr>
      <w:bookmarkStart w:id="300" w:name="_Toc78877617"/>
      <w:r>
        <w:rPr>
          <w:rFonts w:eastAsia="黑体" w:cs="Times New Roman"/>
          <w:color w:val="000000" w:themeColor="text1"/>
          <w:szCs w:val="24"/>
          <w14:textFill>
            <w14:solidFill>
              <w14:schemeClr w14:val="tx1"/>
            </w14:solidFill>
          </w14:textFill>
        </w:rPr>
        <w:t>5、地下水环境影响预测小结</w:t>
      </w:r>
      <w:bookmarkEnd w:id="300"/>
    </w:p>
    <w:p>
      <w:pPr>
        <w:ind w:firstLine="480"/>
        <w:rPr>
          <w:rFonts w:cs="Times New Roman"/>
          <w:bCs/>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预测结果，本项目发生事故后会对地下水流向下游的居民饮用泉水点造成污染影响，最大可能超标居民饮用泉水点3处共约29户，超标范围内有居民饮用泉水点分布，在事故发生后采取替代用水措施，因此对项目附近地下水水源影响很小。在对下游居民水井加强监控后，项目建设不会对周围居民饮用泉水点或用水产生不利影响，也不会对地下水环境造成明显不利影响，项目建设对地下水的影响是可接受的。</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p>
    <w:p>
      <w:pPr>
        <w:ind w:firstLine="480"/>
        <w:rPr>
          <w:rFonts w:cs="Times New Roman"/>
          <w:bCs/>
          <w:color w:val="000000" w:themeColor="text1"/>
          <w:szCs w:val="24"/>
          <w14:textFill>
            <w14:solidFill>
              <w14:schemeClr w14:val="tx1"/>
            </w14:solidFill>
          </w14:textFill>
        </w:rPr>
      </w:pPr>
    </w:p>
    <w:p>
      <w:pPr>
        <w:pStyle w:val="2"/>
        <w:sectPr>
          <w:pgSz w:w="11910" w:h="16840"/>
          <w:pgMar w:top="1440" w:right="1800" w:bottom="1440" w:left="1800" w:header="964" w:footer="964" w:gutter="0"/>
          <w:cols w:space="720" w:num="1"/>
          <w:docGrid w:linePitch="326" w:charSpace="0"/>
        </w:sectPr>
      </w:pPr>
      <w:bookmarkStart w:id="301" w:name="5.2.4营运期声环境影响分析"/>
      <w:bookmarkEnd w:id="301"/>
      <w:bookmarkStart w:id="302" w:name="5.2.5营运期固体废弃物对环境的影响"/>
      <w:bookmarkEnd w:id="302"/>
      <w:bookmarkStart w:id="303" w:name="_bookmark31"/>
      <w:bookmarkEnd w:id="303"/>
      <w:bookmarkStart w:id="304" w:name="5.3环境风险分析"/>
      <w:bookmarkEnd w:id="304"/>
      <w:bookmarkStart w:id="305" w:name="_bookmark30"/>
      <w:bookmarkEnd w:id="305"/>
      <w:bookmarkStart w:id="306" w:name="第六章__环境保护措施及其可行性论证"/>
      <w:bookmarkEnd w:id="306"/>
    </w:p>
    <w:p>
      <w:pPr>
        <w:pStyle w:val="2"/>
      </w:pPr>
      <w:bookmarkStart w:id="307" w:name="_Toc164667028"/>
      <w:r>
        <w:rPr>
          <w:rFonts w:hint="eastAsia"/>
        </w:rPr>
        <w:t xml:space="preserve">6 </w:t>
      </w:r>
      <w:r>
        <w:t>环境风险分析</w:t>
      </w:r>
      <w:bookmarkEnd w:id="307"/>
    </w:p>
    <w:p>
      <w:pPr>
        <w:widowControl/>
        <w:ind w:firstLine="480"/>
        <w:rPr>
          <w:rFonts w:cs="Times New Roman"/>
          <w:bCs/>
          <w:color w:val="000000"/>
          <w:szCs w:val="24"/>
        </w:rPr>
      </w:pPr>
      <w:r>
        <w:rPr>
          <w:rFonts w:cs="Times New Roman"/>
          <w:bCs/>
          <w:color w:val="000000"/>
          <w:szCs w:val="24"/>
        </w:rPr>
        <w:t>环境风险评价是分析和预测该项目在钻井、压裂测试过程中存在的潜在危险、有害因素，该项目在建设期间可能发生的突发性事件或事故（不包括认为破坏或自然灾害），引起平台内可燃气体、液体泄漏，所造成的人身安全、环境影响的损害程度，提出合理可行的防范、应急与减缓措施，以使建设项目事故率、损失和环境风险影响达到可接受水平。</w:t>
      </w:r>
    </w:p>
    <w:p>
      <w:pPr>
        <w:widowControl/>
        <w:ind w:firstLine="480"/>
        <w:rPr>
          <w:rFonts w:cs="Times New Roman"/>
          <w:bCs/>
          <w:color w:val="000000"/>
          <w:szCs w:val="24"/>
        </w:rPr>
      </w:pPr>
      <w:r>
        <w:rPr>
          <w:rFonts w:cs="Times New Roman"/>
          <w:bCs/>
          <w:color w:val="000000"/>
          <w:szCs w:val="24"/>
        </w:rPr>
        <w:t>根据《建设项目环境风险评价技术导则》（HJ169-2018）导则要求，本次环境风险评价关注点为环境风险事故状态下对厂（场）界外环境的影响，同时关注生产放喷池泄漏等对当地耕地、水体的环境风险影响。</w:t>
      </w:r>
    </w:p>
    <w:p>
      <w:pPr>
        <w:pStyle w:val="3"/>
      </w:pPr>
      <w:bookmarkStart w:id="308" w:name="5.3.1评价依据"/>
      <w:bookmarkEnd w:id="308"/>
      <w:bookmarkStart w:id="309" w:name="_Toc164667029"/>
      <w:r>
        <w:rPr>
          <w:rFonts w:hint="eastAsia"/>
        </w:rPr>
        <w:t>6.1</w:t>
      </w:r>
      <w:r>
        <w:t>评价依据</w:t>
      </w:r>
      <w:bookmarkEnd w:id="309"/>
    </w:p>
    <w:p>
      <w:pPr>
        <w:pStyle w:val="4"/>
        <w:ind w:firstLine="241"/>
      </w:pPr>
      <w:bookmarkStart w:id="310" w:name="_Toc120173172"/>
      <w:r>
        <w:rPr>
          <w:rFonts w:hint="eastAsia"/>
        </w:rPr>
        <w:t>6.1.2</w:t>
      </w:r>
      <w:r>
        <w:t>环境风险潜势初判</w:t>
      </w:r>
      <w:bookmarkEnd w:id="310"/>
    </w:p>
    <w:p>
      <w:pPr>
        <w:ind w:firstLine="480"/>
        <w:rPr>
          <w:rFonts w:cs="Times New Roman"/>
          <w:bCs/>
          <w:color w:val="000000"/>
          <w:szCs w:val="24"/>
          <w:lang w:val="zh-CN"/>
        </w:rPr>
      </w:pPr>
      <w:r>
        <w:rPr>
          <w:rFonts w:cs="Times New Roman"/>
          <w:bCs/>
          <w:color w:val="000000"/>
          <w:szCs w:val="24"/>
          <w:lang w:val="zh-CN"/>
        </w:rPr>
        <w:t>（1）危险物质数量与临界量的比值（Q）</w:t>
      </w:r>
    </w:p>
    <w:p>
      <w:pPr>
        <w:ind w:firstLine="480"/>
        <w:rPr>
          <w:rFonts w:cs="Times New Roman"/>
          <w:bCs/>
          <w:color w:val="000000"/>
          <w:szCs w:val="24"/>
          <w:lang w:val="zh-CN"/>
        </w:rPr>
      </w:pPr>
      <w:r>
        <w:rPr>
          <w:rFonts w:cs="Times New Roman"/>
          <w:bCs/>
          <w:color w:val="000000"/>
          <w:szCs w:val="24"/>
          <w:lang w:val="zh-CN"/>
        </w:rPr>
        <w:t>分析建设项目生产、使用、储存过程中涉及的有毒有害、易燃易爆物质，参见HJ 169-2018中附录B确定危险物质的临界量，并参照附录C进行判定。</w:t>
      </w:r>
    </w:p>
    <w:p>
      <w:pPr>
        <w:ind w:firstLine="480"/>
        <w:rPr>
          <w:rFonts w:cs="Times New Roman"/>
          <w:bCs/>
          <w:color w:val="000000"/>
          <w:szCs w:val="24"/>
          <w:lang w:val="zh-CN"/>
        </w:rPr>
      </w:pPr>
      <w:r>
        <w:rPr>
          <w:rFonts w:hint="eastAsia" w:ascii="宋体" w:hAnsi="宋体" w:cs="宋体"/>
          <w:bCs/>
          <w:color w:val="000000"/>
          <w:szCs w:val="24"/>
          <w:lang w:val="zh-CN"/>
        </w:rPr>
        <w:t>①</w:t>
      </w:r>
      <w:r>
        <w:rPr>
          <w:rFonts w:cs="Times New Roman"/>
          <w:bCs/>
          <w:color w:val="000000"/>
          <w:szCs w:val="24"/>
          <w:lang w:val="zh-CN"/>
        </w:rPr>
        <w:t>当企业只涉及一种风险物质时，该物质的数量与其临界量比值，即为Q。</w:t>
      </w:r>
    </w:p>
    <w:p>
      <w:pPr>
        <w:ind w:firstLine="480"/>
        <w:rPr>
          <w:rFonts w:cs="Times New Roman"/>
          <w:bCs/>
          <w:color w:val="000000"/>
          <w:szCs w:val="24"/>
          <w:lang w:val="zh-CN"/>
        </w:rPr>
      </w:pPr>
      <w:r>
        <w:rPr>
          <w:rFonts w:hint="eastAsia" w:ascii="宋体" w:hAnsi="宋体" w:cs="宋体"/>
          <w:bCs/>
          <w:color w:val="000000"/>
          <w:szCs w:val="24"/>
          <w:lang w:val="zh-CN"/>
        </w:rPr>
        <w:t>②</w:t>
      </w:r>
      <w:r>
        <w:rPr>
          <w:rFonts w:cs="Times New Roman"/>
          <w:bCs/>
          <w:color w:val="000000"/>
          <w:szCs w:val="24"/>
          <w:lang w:val="zh-CN"/>
        </w:rPr>
        <w:t>当企业存在多种风险物质时，则按下式计算：</w:t>
      </w:r>
    </w:p>
    <w:p>
      <w:pPr>
        <w:ind w:firstLine="480"/>
        <w:jc w:val="center"/>
        <w:rPr>
          <w:rFonts w:cs="Times New Roman"/>
          <w:bCs/>
          <w:color w:val="000000"/>
          <w:kern w:val="0"/>
          <w:szCs w:val="24"/>
          <w:vertAlign w:val="subscript"/>
        </w:rPr>
      </w:pPr>
      <w:r>
        <w:rPr>
          <w:rFonts w:cs="Times New Roman"/>
          <w:bCs/>
          <w:color w:val="000000"/>
          <w:kern w:val="0"/>
          <w:szCs w:val="24"/>
        </w:rPr>
        <w:t>Q=q</w:t>
      </w:r>
      <w:r>
        <w:rPr>
          <w:rFonts w:cs="Times New Roman"/>
          <w:bCs/>
          <w:color w:val="000000"/>
          <w:kern w:val="0"/>
          <w:szCs w:val="24"/>
          <w:vertAlign w:val="subscript"/>
        </w:rPr>
        <w:t>1</w:t>
      </w:r>
      <w:r>
        <w:rPr>
          <w:rFonts w:cs="Times New Roman"/>
          <w:bCs/>
          <w:color w:val="000000"/>
          <w:kern w:val="0"/>
          <w:szCs w:val="24"/>
        </w:rPr>
        <w:t>/Q</w:t>
      </w:r>
      <w:r>
        <w:rPr>
          <w:rFonts w:cs="Times New Roman"/>
          <w:bCs/>
          <w:color w:val="000000"/>
          <w:kern w:val="0"/>
          <w:szCs w:val="24"/>
          <w:vertAlign w:val="subscript"/>
        </w:rPr>
        <w:t>1</w:t>
      </w:r>
      <w:r>
        <w:rPr>
          <w:rFonts w:cs="Times New Roman"/>
          <w:bCs/>
          <w:color w:val="000000"/>
          <w:kern w:val="0"/>
          <w:szCs w:val="24"/>
        </w:rPr>
        <w:t>+q</w:t>
      </w:r>
      <w:r>
        <w:rPr>
          <w:rFonts w:cs="Times New Roman"/>
          <w:bCs/>
          <w:color w:val="000000"/>
          <w:kern w:val="0"/>
          <w:szCs w:val="24"/>
          <w:vertAlign w:val="subscript"/>
        </w:rPr>
        <w:t>2</w:t>
      </w:r>
      <w:r>
        <w:rPr>
          <w:rFonts w:cs="Times New Roman"/>
          <w:bCs/>
          <w:color w:val="000000"/>
          <w:kern w:val="0"/>
          <w:szCs w:val="24"/>
        </w:rPr>
        <w:t>/Q</w:t>
      </w:r>
      <w:r>
        <w:rPr>
          <w:rFonts w:cs="Times New Roman"/>
          <w:bCs/>
          <w:color w:val="000000"/>
          <w:kern w:val="0"/>
          <w:szCs w:val="24"/>
          <w:vertAlign w:val="subscript"/>
        </w:rPr>
        <w:t>2</w:t>
      </w:r>
      <w:r>
        <w:rPr>
          <w:rFonts w:cs="Times New Roman"/>
          <w:bCs/>
          <w:color w:val="000000"/>
          <w:kern w:val="0"/>
          <w:szCs w:val="24"/>
        </w:rPr>
        <w:t>+</w:t>
      </w:r>
      <w:r>
        <w:rPr>
          <w:rFonts w:cs="Times New Roman"/>
          <w:bCs/>
          <w:color w:val="000000"/>
          <w:spacing w:val="-4"/>
          <w:kern w:val="0"/>
          <w:szCs w:val="24"/>
        </w:rPr>
        <w:t>...</w:t>
      </w:r>
      <w:r>
        <w:rPr>
          <w:rFonts w:cs="Times New Roman"/>
          <w:bCs/>
          <w:color w:val="000000"/>
          <w:kern w:val="0"/>
          <w:szCs w:val="24"/>
        </w:rPr>
        <w:t>+q</w:t>
      </w:r>
      <w:r>
        <w:rPr>
          <w:rFonts w:cs="Times New Roman"/>
          <w:bCs/>
          <w:color w:val="000000"/>
          <w:kern w:val="0"/>
          <w:szCs w:val="24"/>
          <w:vertAlign w:val="subscript"/>
        </w:rPr>
        <w:t>n</w:t>
      </w:r>
      <w:r>
        <w:rPr>
          <w:rFonts w:cs="Times New Roman"/>
          <w:bCs/>
          <w:color w:val="000000"/>
          <w:kern w:val="0"/>
          <w:szCs w:val="24"/>
        </w:rPr>
        <w:t>/Q</w:t>
      </w:r>
      <w:r>
        <w:rPr>
          <w:rFonts w:cs="Times New Roman"/>
          <w:bCs/>
          <w:color w:val="000000"/>
          <w:kern w:val="0"/>
          <w:szCs w:val="24"/>
          <w:vertAlign w:val="subscript"/>
        </w:rPr>
        <w:t>n</w:t>
      </w:r>
    </w:p>
    <w:p>
      <w:pPr>
        <w:ind w:firstLine="472"/>
        <w:rPr>
          <w:rFonts w:cs="Times New Roman"/>
          <w:bCs/>
          <w:color w:val="000000"/>
          <w:spacing w:val="-4"/>
          <w:kern w:val="0"/>
          <w:szCs w:val="24"/>
        </w:rPr>
      </w:pPr>
      <w:r>
        <w:rPr>
          <w:rFonts w:cs="Times New Roman"/>
          <w:bCs/>
          <w:color w:val="000000"/>
          <w:spacing w:val="-4"/>
          <w:kern w:val="0"/>
          <w:szCs w:val="24"/>
        </w:rPr>
        <w:t>式中：q</w:t>
      </w:r>
      <w:r>
        <w:rPr>
          <w:rFonts w:cs="Times New Roman"/>
          <w:bCs/>
          <w:color w:val="000000"/>
          <w:spacing w:val="-4"/>
          <w:kern w:val="0"/>
          <w:szCs w:val="24"/>
          <w:vertAlign w:val="subscript"/>
        </w:rPr>
        <w:t>1</w:t>
      </w:r>
      <w:r>
        <w:rPr>
          <w:rFonts w:cs="Times New Roman"/>
          <w:bCs/>
          <w:color w:val="000000"/>
          <w:spacing w:val="-4"/>
          <w:kern w:val="0"/>
          <w:szCs w:val="24"/>
        </w:rPr>
        <w:t>，q</w:t>
      </w:r>
      <w:r>
        <w:rPr>
          <w:rFonts w:cs="Times New Roman"/>
          <w:bCs/>
          <w:color w:val="000000"/>
          <w:spacing w:val="-4"/>
          <w:kern w:val="0"/>
          <w:szCs w:val="24"/>
          <w:vertAlign w:val="subscript"/>
        </w:rPr>
        <w:t>2</w:t>
      </w:r>
      <w:r>
        <w:rPr>
          <w:rFonts w:cs="Times New Roman"/>
          <w:bCs/>
          <w:color w:val="000000"/>
          <w:spacing w:val="-4"/>
          <w:kern w:val="0"/>
          <w:szCs w:val="24"/>
        </w:rPr>
        <w:t>，...，q</w:t>
      </w:r>
      <w:r>
        <w:rPr>
          <w:rFonts w:cs="Times New Roman"/>
          <w:bCs/>
          <w:color w:val="000000"/>
          <w:spacing w:val="-4"/>
          <w:kern w:val="0"/>
          <w:szCs w:val="24"/>
          <w:vertAlign w:val="subscript"/>
        </w:rPr>
        <w:t>n</w:t>
      </w:r>
      <w:r>
        <w:rPr>
          <w:rFonts w:cs="Times New Roman"/>
          <w:bCs/>
          <w:color w:val="000000"/>
          <w:spacing w:val="-4"/>
          <w:kern w:val="0"/>
          <w:szCs w:val="24"/>
        </w:rPr>
        <w:t>——每种风险物质的存在量，t；</w:t>
      </w:r>
    </w:p>
    <w:p>
      <w:pPr>
        <w:ind w:firstLine="1080" w:firstLineChars="450"/>
        <w:rPr>
          <w:rFonts w:cs="Times New Roman"/>
          <w:bCs/>
          <w:color w:val="000000"/>
          <w:kern w:val="0"/>
          <w:szCs w:val="24"/>
        </w:rPr>
      </w:pPr>
      <w:r>
        <w:rPr>
          <w:rFonts w:cs="Times New Roman"/>
          <w:bCs/>
          <w:color w:val="000000"/>
          <w:kern w:val="0"/>
          <w:szCs w:val="24"/>
        </w:rPr>
        <w:t>Q</w:t>
      </w:r>
      <w:r>
        <w:rPr>
          <w:rFonts w:cs="Times New Roman"/>
          <w:bCs/>
          <w:color w:val="000000"/>
          <w:kern w:val="0"/>
          <w:szCs w:val="24"/>
          <w:vertAlign w:val="subscript"/>
        </w:rPr>
        <w:t>1</w:t>
      </w:r>
      <w:r>
        <w:rPr>
          <w:rFonts w:cs="Times New Roman"/>
          <w:bCs/>
          <w:color w:val="000000"/>
          <w:kern w:val="0"/>
          <w:szCs w:val="24"/>
        </w:rPr>
        <w:t>，Q</w:t>
      </w:r>
      <w:r>
        <w:rPr>
          <w:rFonts w:cs="Times New Roman"/>
          <w:bCs/>
          <w:color w:val="000000"/>
          <w:kern w:val="0"/>
          <w:szCs w:val="24"/>
          <w:vertAlign w:val="subscript"/>
        </w:rPr>
        <w:t>2</w:t>
      </w:r>
      <w:r>
        <w:rPr>
          <w:rFonts w:cs="Times New Roman"/>
          <w:bCs/>
          <w:color w:val="000000"/>
          <w:kern w:val="0"/>
          <w:szCs w:val="24"/>
        </w:rPr>
        <w:t>，...，Q</w:t>
      </w:r>
      <w:r>
        <w:rPr>
          <w:rFonts w:cs="Times New Roman"/>
          <w:bCs/>
          <w:color w:val="000000"/>
          <w:kern w:val="0"/>
          <w:szCs w:val="24"/>
          <w:vertAlign w:val="subscript"/>
        </w:rPr>
        <w:t>n</w:t>
      </w:r>
      <w:r>
        <w:rPr>
          <w:rFonts w:cs="Times New Roman"/>
          <w:bCs/>
          <w:color w:val="000000"/>
          <w:kern w:val="0"/>
          <w:szCs w:val="24"/>
        </w:rPr>
        <w:t>——每种风险物质的临界量，t。</w:t>
      </w:r>
    </w:p>
    <w:p>
      <w:pPr>
        <w:ind w:firstLine="480"/>
        <w:rPr>
          <w:rFonts w:cs="Times New Roman"/>
          <w:bCs/>
          <w:snapToGrid w:val="0"/>
          <w:color w:val="000000"/>
          <w:kern w:val="0"/>
          <w:szCs w:val="24"/>
        </w:rPr>
      </w:pPr>
      <w:r>
        <w:rPr>
          <w:rFonts w:cs="Times New Roman"/>
          <w:bCs/>
          <w:snapToGrid w:val="0"/>
          <w:color w:val="000000"/>
          <w:kern w:val="0"/>
          <w:szCs w:val="24"/>
        </w:rPr>
        <w:t>当Q＜1时，本项目环境风险潜势为</w:t>
      </w:r>
      <w:r>
        <w:rPr>
          <w:rFonts w:hint="eastAsia" w:ascii="宋体" w:hAnsi="宋体" w:cs="宋体"/>
          <w:bCs/>
          <w:snapToGrid w:val="0"/>
          <w:color w:val="000000"/>
          <w:kern w:val="0"/>
          <w:szCs w:val="24"/>
        </w:rPr>
        <w:t>Ⅰ</w:t>
      </w:r>
      <w:r>
        <w:rPr>
          <w:rFonts w:cs="Times New Roman"/>
          <w:bCs/>
          <w:snapToGrid w:val="0"/>
          <w:color w:val="000000"/>
          <w:kern w:val="0"/>
          <w:szCs w:val="24"/>
        </w:rPr>
        <w:t>级。</w:t>
      </w:r>
    </w:p>
    <w:p>
      <w:pPr>
        <w:ind w:firstLine="480"/>
        <w:rPr>
          <w:rFonts w:cs="Times New Roman"/>
          <w:bCs/>
          <w:color w:val="000000"/>
          <w:szCs w:val="24"/>
          <w:lang w:val="zh-CN"/>
        </w:rPr>
      </w:pPr>
      <w:r>
        <w:rPr>
          <w:rFonts w:cs="Times New Roman"/>
          <w:bCs/>
          <w:color w:val="000000"/>
          <w:szCs w:val="24"/>
          <w:lang w:val="zh-CN"/>
        </w:rPr>
        <w:t>当Q≥1时，将Q值划分为：（1）1≤Q＜10；（2）10≤Q＜100；（3）Q≥100。</w:t>
      </w:r>
    </w:p>
    <w:p>
      <w:pPr>
        <w:ind w:firstLine="480"/>
        <w:rPr>
          <w:rFonts w:cs="Times New Roman"/>
          <w:bCs/>
          <w:color w:val="000000"/>
          <w:szCs w:val="24"/>
        </w:rPr>
      </w:pPr>
      <w:r>
        <w:rPr>
          <w:rFonts w:cs="Times New Roman"/>
          <w:bCs/>
          <w:color w:val="000000"/>
          <w:szCs w:val="24"/>
        </w:rPr>
        <w:t>根据《建设项目环境风险评价技术导则》（HJ/T169-2018），本项目天然气所含的甲烷、硫化氢、盐酸、柴油和废油等油类物质属于附录B.1突发环境事件风险物质，甲烷临界量为10t、硫化氢临界量为2.5t、盐酸临界量为7.5t、柴油、废油、白油、油基泥浆等油类物质临界量为2500t。</w:t>
      </w:r>
    </w:p>
    <w:p>
      <w:pPr>
        <w:ind w:firstLine="480"/>
        <w:rPr>
          <w:rFonts w:cs="Times New Roman"/>
          <w:bCs/>
          <w:color w:val="000000"/>
          <w:szCs w:val="24"/>
        </w:rPr>
      </w:pPr>
      <w:r>
        <w:rPr>
          <w:rFonts w:cs="Times New Roman"/>
          <w:bCs/>
          <w:color w:val="000000"/>
          <w:szCs w:val="24"/>
        </w:rPr>
        <w:t>本项目各阶段环境风险物质</w:t>
      </w:r>
      <w:r>
        <w:rPr>
          <w:rFonts w:cs="Times New Roman"/>
          <w:bCs/>
          <w:color w:val="000000"/>
          <w:szCs w:val="24"/>
          <w:lang w:val="zh-CN"/>
        </w:rPr>
        <w:t>数量与临界量的比值</w:t>
      </w:r>
      <w:r>
        <w:rPr>
          <w:rFonts w:cs="Times New Roman"/>
          <w:bCs/>
          <w:color w:val="000000"/>
          <w:szCs w:val="24"/>
        </w:rPr>
        <w:t>见表6.1-8。</w:t>
      </w:r>
    </w:p>
    <w:p>
      <w:pPr>
        <w:pStyle w:val="95"/>
      </w:pPr>
      <w:bookmarkStart w:id="311" w:name="_Ref142859112"/>
      <w:r>
        <w:t>表</w:t>
      </w:r>
      <w:r>
        <w:fldChar w:fldCharType="begin"/>
      </w:r>
      <w:r>
        <w:instrText xml:space="preserve"> STYLEREF 2 \s </w:instrText>
      </w:r>
      <w:r>
        <w:fldChar w:fldCharType="separate"/>
      </w:r>
      <w:r>
        <w:t>6.1</w:t>
      </w:r>
      <w:r>
        <w:fldChar w:fldCharType="end"/>
      </w:r>
      <w:r>
        <w:noBreakHyphen/>
      </w:r>
      <w:r>
        <w:fldChar w:fldCharType="begin"/>
      </w:r>
      <w:r>
        <w:instrText xml:space="preserve"> SEQ 表 \* ARABIC \s 2 </w:instrText>
      </w:r>
      <w:r>
        <w:fldChar w:fldCharType="separate"/>
      </w:r>
      <w:r>
        <w:t>8</w:t>
      </w:r>
      <w:r>
        <w:fldChar w:fldCharType="end"/>
      </w:r>
      <w:bookmarkEnd w:id="311"/>
      <w:r>
        <w:t xml:space="preserve"> 本项目环境风险物质数量与临界量的比值Q统计表</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37"/>
        <w:gridCol w:w="836"/>
        <w:gridCol w:w="1439"/>
        <w:gridCol w:w="1703"/>
        <w:gridCol w:w="1704"/>
        <w:gridCol w:w="170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restar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施工期</w:t>
            </w:r>
          </w:p>
        </w:tc>
        <w:tc>
          <w:tcPr>
            <w:tcW w:w="836" w:type="dxa"/>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序号</w:t>
            </w:r>
          </w:p>
        </w:tc>
        <w:tc>
          <w:tcPr>
            <w:tcW w:w="1439" w:type="dxa"/>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物质</w:t>
            </w:r>
          </w:p>
        </w:tc>
        <w:tc>
          <w:tcPr>
            <w:tcW w:w="1703" w:type="dxa"/>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q</w:t>
            </w:r>
            <w:r>
              <w:rPr>
                <w:rFonts w:cs="Times New Roman"/>
                <w:b/>
                <w:bCs/>
                <w:color w:val="000000"/>
                <w:sz w:val="21"/>
                <w:szCs w:val="20"/>
                <w:vertAlign w:val="subscript"/>
              </w:rPr>
              <w:t>n</w:t>
            </w:r>
            <w:r>
              <w:rPr>
                <w:rFonts w:cs="Times New Roman"/>
                <w:b/>
                <w:bCs/>
                <w:color w:val="000000"/>
                <w:sz w:val="21"/>
                <w:szCs w:val="20"/>
              </w:rPr>
              <w:t>，储存量，t</w:t>
            </w:r>
          </w:p>
        </w:tc>
        <w:tc>
          <w:tcPr>
            <w:tcW w:w="1704" w:type="dxa"/>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Q</w:t>
            </w:r>
            <w:r>
              <w:rPr>
                <w:rFonts w:cs="Times New Roman"/>
                <w:b/>
                <w:bCs/>
                <w:color w:val="000000"/>
                <w:sz w:val="21"/>
                <w:szCs w:val="20"/>
                <w:vertAlign w:val="subscript"/>
              </w:rPr>
              <w:t>n，</w:t>
            </w:r>
            <w:r>
              <w:rPr>
                <w:rFonts w:cs="Times New Roman"/>
                <w:b/>
                <w:bCs/>
                <w:color w:val="000000"/>
                <w:sz w:val="21"/>
                <w:szCs w:val="20"/>
              </w:rPr>
              <w:t>临界量，t</w:t>
            </w:r>
          </w:p>
        </w:tc>
        <w:tc>
          <w:tcPr>
            <w:tcW w:w="1703" w:type="dxa"/>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Q</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836"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w:t>
            </w:r>
          </w:p>
        </w:tc>
        <w:tc>
          <w:tcPr>
            <w:tcW w:w="1439"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甲烷</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hint="eastAsia" w:cs="Times New Roman"/>
                <w:color w:val="000000"/>
                <w:sz w:val="21"/>
                <w:szCs w:val="20"/>
              </w:rPr>
              <w:t>1.63</w:t>
            </w:r>
          </w:p>
        </w:tc>
        <w:tc>
          <w:tcPr>
            <w:tcW w:w="1704"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10</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1"/>
              </w:rPr>
              <w:t>0.</w:t>
            </w:r>
            <w:r>
              <w:rPr>
                <w:rFonts w:hint="eastAsia" w:cs="Times New Roman"/>
                <w:color w:val="000000"/>
                <w:sz w:val="21"/>
                <w:szCs w:val="21"/>
              </w:rPr>
              <w:t>163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836"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2</w:t>
            </w:r>
          </w:p>
        </w:tc>
        <w:tc>
          <w:tcPr>
            <w:tcW w:w="1439"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硫化氢</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hint="eastAsia" w:cs="Times New Roman"/>
                <w:color w:val="000000"/>
                <w:sz w:val="21"/>
                <w:szCs w:val="20"/>
              </w:rPr>
              <w:t>0.72</w:t>
            </w:r>
          </w:p>
        </w:tc>
        <w:tc>
          <w:tcPr>
            <w:tcW w:w="1704"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2.5</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1"/>
              </w:rPr>
              <w:t>0.</w:t>
            </w:r>
            <w:r>
              <w:rPr>
                <w:rFonts w:hint="eastAsia" w:cs="Times New Roman"/>
                <w:color w:val="000000"/>
                <w:sz w:val="21"/>
                <w:szCs w:val="21"/>
              </w:rPr>
              <w:t>288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836"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3</w:t>
            </w:r>
          </w:p>
        </w:tc>
        <w:tc>
          <w:tcPr>
            <w:tcW w:w="1439"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柴油和废油</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16.7</w:t>
            </w:r>
          </w:p>
        </w:tc>
        <w:tc>
          <w:tcPr>
            <w:tcW w:w="1704"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2500</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1"/>
              </w:rPr>
              <w:t>0.0067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836"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4</w:t>
            </w:r>
          </w:p>
        </w:tc>
        <w:tc>
          <w:tcPr>
            <w:tcW w:w="1439"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白油</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40</w:t>
            </w:r>
          </w:p>
        </w:tc>
        <w:tc>
          <w:tcPr>
            <w:tcW w:w="1704"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2500</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1"/>
              </w:rPr>
              <w:t>0.016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836"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5</w:t>
            </w:r>
          </w:p>
        </w:tc>
        <w:tc>
          <w:tcPr>
            <w:tcW w:w="1439"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油基泥浆</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595.44</w:t>
            </w:r>
          </w:p>
        </w:tc>
        <w:tc>
          <w:tcPr>
            <w:tcW w:w="1704"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2500</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1"/>
              </w:rPr>
              <w:t>0.2382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5682" w:type="dxa"/>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合计</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0.</w:t>
            </w:r>
            <w:r>
              <w:rPr>
                <w:rFonts w:hint="eastAsia" w:cs="Times New Roman"/>
                <w:color w:val="000000"/>
                <w:sz w:val="21"/>
                <w:szCs w:val="20"/>
              </w:rPr>
              <w:t>7119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restar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1"/>
              </w:rPr>
              <w:t>压裂阶段</w:t>
            </w:r>
          </w:p>
        </w:tc>
        <w:tc>
          <w:tcPr>
            <w:tcW w:w="836"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1"/>
              </w:rPr>
              <w:t>1</w:t>
            </w:r>
          </w:p>
        </w:tc>
        <w:tc>
          <w:tcPr>
            <w:tcW w:w="1439"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1"/>
              </w:rPr>
              <w:t>盐酸</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1"/>
              </w:rPr>
              <w:t>4.5</w:t>
            </w:r>
          </w:p>
        </w:tc>
        <w:tc>
          <w:tcPr>
            <w:tcW w:w="1704"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1"/>
              </w:rPr>
              <w:t>7.5</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1"/>
              </w:rPr>
              <w:t>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836"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2</w:t>
            </w:r>
          </w:p>
        </w:tc>
        <w:tc>
          <w:tcPr>
            <w:tcW w:w="1439"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柴油</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16</w:t>
            </w:r>
          </w:p>
        </w:tc>
        <w:tc>
          <w:tcPr>
            <w:tcW w:w="1704"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2500</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1"/>
              </w:rPr>
              <w:t>0.0064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5682" w:type="dxa"/>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合计</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0.6064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restar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试采期</w:t>
            </w:r>
          </w:p>
        </w:tc>
        <w:tc>
          <w:tcPr>
            <w:tcW w:w="836"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序号</w:t>
            </w:r>
          </w:p>
        </w:tc>
        <w:tc>
          <w:tcPr>
            <w:tcW w:w="1439"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物质</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q</w:t>
            </w:r>
            <w:r>
              <w:rPr>
                <w:rFonts w:cs="Times New Roman"/>
                <w:color w:val="000000"/>
                <w:sz w:val="21"/>
                <w:szCs w:val="20"/>
                <w:vertAlign w:val="subscript"/>
              </w:rPr>
              <w:t>n</w:t>
            </w:r>
            <w:r>
              <w:rPr>
                <w:rFonts w:cs="Times New Roman"/>
                <w:color w:val="000000"/>
                <w:sz w:val="21"/>
                <w:szCs w:val="20"/>
              </w:rPr>
              <w:t>，储存量，t</w:t>
            </w:r>
          </w:p>
        </w:tc>
        <w:tc>
          <w:tcPr>
            <w:tcW w:w="1704"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Q</w:t>
            </w:r>
            <w:r>
              <w:rPr>
                <w:rFonts w:cs="Times New Roman"/>
                <w:color w:val="000000"/>
                <w:sz w:val="21"/>
                <w:szCs w:val="20"/>
                <w:vertAlign w:val="subscript"/>
              </w:rPr>
              <w:t>n，</w:t>
            </w:r>
            <w:r>
              <w:rPr>
                <w:rFonts w:cs="Times New Roman"/>
                <w:color w:val="000000"/>
                <w:sz w:val="21"/>
                <w:szCs w:val="20"/>
              </w:rPr>
              <w:t>临界量，t</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1"/>
              </w:rPr>
              <w:t>Q</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836"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w:t>
            </w:r>
          </w:p>
        </w:tc>
        <w:tc>
          <w:tcPr>
            <w:tcW w:w="1439"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甲烷</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0.29</w:t>
            </w:r>
          </w:p>
        </w:tc>
        <w:tc>
          <w:tcPr>
            <w:tcW w:w="1704"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10</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1"/>
              </w:rPr>
              <w:t>0.029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836"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2</w:t>
            </w:r>
          </w:p>
        </w:tc>
        <w:tc>
          <w:tcPr>
            <w:tcW w:w="1439"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硫化氢</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0.13</w:t>
            </w:r>
          </w:p>
        </w:tc>
        <w:tc>
          <w:tcPr>
            <w:tcW w:w="1704"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2.5</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1"/>
              </w:rPr>
              <w:t>0.052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widowControl/>
              <w:spacing w:line="240" w:lineRule="auto"/>
              <w:ind w:firstLine="0" w:firstLineChars="0"/>
              <w:jc w:val="center"/>
              <w:textAlignment w:val="baseline"/>
              <w:rPr>
                <w:rFonts w:cs="Times New Roman"/>
                <w:color w:val="000000"/>
                <w:sz w:val="21"/>
                <w:szCs w:val="20"/>
              </w:rPr>
            </w:pPr>
          </w:p>
        </w:tc>
        <w:tc>
          <w:tcPr>
            <w:tcW w:w="5682" w:type="dxa"/>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合计</w:t>
            </w:r>
          </w:p>
        </w:tc>
        <w:tc>
          <w:tcPr>
            <w:tcW w:w="1703" w:type="dxa"/>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0.081</w:t>
            </w:r>
          </w:p>
        </w:tc>
      </w:tr>
    </w:tbl>
    <w:p>
      <w:pPr>
        <w:adjustRightInd/>
        <w:snapToGrid/>
        <w:ind w:firstLine="480"/>
        <w:rPr>
          <w:rFonts w:cs="Times New Roman"/>
          <w:color w:val="000000"/>
          <w:kern w:val="0"/>
          <w:szCs w:val="20"/>
        </w:rPr>
      </w:pPr>
      <w:r>
        <w:rPr>
          <w:rFonts w:cs="Times New Roman"/>
          <w:bCs/>
          <w:snapToGrid w:val="0"/>
          <w:color w:val="000000"/>
          <w:kern w:val="0"/>
          <w:szCs w:val="20"/>
        </w:rPr>
        <w:t>根据</w:t>
      </w:r>
      <w:r>
        <w:rPr>
          <w:rFonts w:cs="Times New Roman"/>
          <w:bCs/>
          <w:snapToGrid w:val="0"/>
          <w:color w:val="000000"/>
          <w:kern w:val="0"/>
          <w:szCs w:val="20"/>
        </w:rPr>
        <w:fldChar w:fldCharType="begin"/>
      </w:r>
      <w:r>
        <w:rPr>
          <w:rFonts w:cs="Times New Roman"/>
          <w:bCs/>
          <w:snapToGrid w:val="0"/>
          <w:color w:val="000000"/>
          <w:kern w:val="0"/>
          <w:szCs w:val="20"/>
        </w:rPr>
        <w:instrText xml:space="preserve"> REF _Ref142859112 \h  \* MERGEFORMAT </w:instrText>
      </w:r>
      <w:r>
        <w:rPr>
          <w:rFonts w:cs="Times New Roman"/>
          <w:bCs/>
          <w:snapToGrid w:val="0"/>
          <w:color w:val="000000"/>
          <w:kern w:val="0"/>
          <w:szCs w:val="20"/>
        </w:rPr>
        <w:fldChar w:fldCharType="separate"/>
      </w:r>
      <w:r>
        <w:rPr>
          <w:rFonts w:cs="Times New Roman"/>
          <w:bCs/>
          <w:snapToGrid w:val="0"/>
          <w:color w:val="000000"/>
          <w:kern w:val="0"/>
          <w:szCs w:val="20"/>
        </w:rPr>
        <w:t>表6.1</w:t>
      </w:r>
      <w:r>
        <w:rPr>
          <w:rFonts w:cs="Times New Roman"/>
          <w:bCs/>
          <w:snapToGrid w:val="0"/>
          <w:color w:val="000000"/>
          <w:kern w:val="0"/>
          <w:szCs w:val="20"/>
        </w:rPr>
        <w:noBreakHyphen/>
      </w:r>
      <w:r>
        <w:rPr>
          <w:rFonts w:cs="Times New Roman"/>
          <w:bCs/>
          <w:snapToGrid w:val="0"/>
          <w:color w:val="000000"/>
          <w:kern w:val="0"/>
          <w:szCs w:val="20"/>
        </w:rPr>
        <w:t>8</w:t>
      </w:r>
      <w:r>
        <w:rPr>
          <w:rFonts w:cs="Times New Roman"/>
          <w:bCs/>
          <w:snapToGrid w:val="0"/>
          <w:color w:val="000000"/>
          <w:kern w:val="0"/>
          <w:szCs w:val="20"/>
        </w:rPr>
        <w:fldChar w:fldCharType="end"/>
      </w:r>
      <w:r>
        <w:rPr>
          <w:rFonts w:cs="Times New Roman"/>
          <w:bCs/>
          <w:snapToGrid w:val="0"/>
          <w:color w:val="000000"/>
          <w:kern w:val="0"/>
          <w:szCs w:val="20"/>
        </w:rPr>
        <w:t>计算可知，</w:t>
      </w:r>
      <w:bookmarkStart w:id="312" w:name="_Hlk149209482"/>
      <w:r>
        <w:rPr>
          <w:rFonts w:cs="Times New Roman"/>
          <w:bCs/>
          <w:snapToGrid w:val="0"/>
          <w:color w:val="000000"/>
          <w:kern w:val="0"/>
          <w:szCs w:val="20"/>
        </w:rPr>
        <w:t>企业的主要危险物质：施工期天然气所含的甲烷、硫化氢和油类物质的Q值计算结果为0.7119，Q值＜1；压裂阶段的风险物质</w:t>
      </w:r>
      <w:r>
        <w:rPr>
          <w:rFonts w:cs="Times New Roman"/>
          <w:color w:val="000000"/>
          <w:szCs w:val="20"/>
        </w:rPr>
        <w:t>37%浓度盐酸和柴油的</w:t>
      </w:r>
      <w:r>
        <w:rPr>
          <w:rFonts w:cs="Times New Roman"/>
          <w:bCs/>
          <w:snapToGrid w:val="0"/>
          <w:color w:val="000000"/>
          <w:kern w:val="0"/>
          <w:szCs w:val="20"/>
        </w:rPr>
        <w:t>Q值计算结果为0.6064，Q值＜1；试采期天然气所含的甲烷和硫化氢的Q值计算结果为0.081，Q值＜1</w:t>
      </w:r>
      <w:bookmarkEnd w:id="312"/>
      <w:r>
        <w:rPr>
          <w:rFonts w:cs="Times New Roman"/>
          <w:bCs/>
          <w:snapToGrid w:val="0"/>
          <w:color w:val="000000"/>
          <w:kern w:val="0"/>
          <w:szCs w:val="20"/>
        </w:rPr>
        <w:t>。</w:t>
      </w:r>
      <w:r>
        <w:rPr>
          <w:rFonts w:cs="Times New Roman"/>
          <w:color w:val="000000"/>
          <w:kern w:val="0"/>
          <w:szCs w:val="20"/>
        </w:rPr>
        <w:t>该项目各阶段环境风险潜势均为I。</w:t>
      </w:r>
    </w:p>
    <w:p>
      <w:pPr>
        <w:pStyle w:val="4"/>
        <w:ind w:firstLine="241"/>
        <w:rPr>
          <w:color w:val="auto"/>
        </w:rPr>
      </w:pPr>
      <w:bookmarkStart w:id="313" w:name="_Toc120173173"/>
      <w:r>
        <w:rPr>
          <w:rFonts w:hint="eastAsia"/>
        </w:rPr>
        <w:t>6.1.3</w:t>
      </w:r>
      <w:r>
        <w:t>评价工</w:t>
      </w:r>
      <w:r>
        <w:rPr>
          <w:color w:val="auto"/>
        </w:rPr>
        <w:t>作等级</w:t>
      </w:r>
      <w:bookmarkEnd w:id="313"/>
    </w:p>
    <w:p>
      <w:pPr>
        <w:widowControl/>
        <w:ind w:firstLine="480"/>
        <w:rPr>
          <w:rFonts w:cs="Times New Roman"/>
          <w:bCs/>
          <w:szCs w:val="24"/>
        </w:rPr>
      </w:pPr>
      <w:r>
        <w:rPr>
          <w:rFonts w:cs="Times New Roman"/>
          <w:bCs/>
          <w:szCs w:val="24"/>
        </w:rPr>
        <w:t>评价等级根据《建设项目环境风险评价技术导则》（HJ169-2018）评价等级划分原则，建设项目环境风险评价工作等级判定标准表见</w:t>
      </w:r>
      <w:r>
        <w:rPr>
          <w:rFonts w:cs="Times New Roman"/>
          <w:bCs/>
          <w:szCs w:val="24"/>
        </w:rPr>
        <w:fldChar w:fldCharType="begin"/>
      </w:r>
      <w:r>
        <w:rPr>
          <w:rFonts w:cs="Times New Roman"/>
          <w:bCs/>
          <w:szCs w:val="24"/>
        </w:rPr>
        <w:instrText xml:space="preserve"> REF _Ref142859136 \h  \* MERGEFORMAT </w:instrText>
      </w:r>
      <w:r>
        <w:rPr>
          <w:rFonts w:cs="Times New Roman"/>
          <w:bCs/>
          <w:szCs w:val="24"/>
        </w:rPr>
        <w:fldChar w:fldCharType="separate"/>
      </w:r>
      <w:r>
        <w:rPr>
          <w:rFonts w:cs="Times New Roman"/>
          <w:bCs/>
          <w:szCs w:val="24"/>
        </w:rPr>
        <w:t>表6.1</w:t>
      </w:r>
      <w:r>
        <w:rPr>
          <w:rFonts w:cs="Times New Roman"/>
          <w:bCs/>
          <w:szCs w:val="24"/>
        </w:rPr>
        <w:noBreakHyphen/>
      </w:r>
      <w:r>
        <w:rPr>
          <w:rFonts w:cs="Times New Roman"/>
          <w:bCs/>
          <w:szCs w:val="24"/>
        </w:rPr>
        <w:t>12</w:t>
      </w:r>
      <w:r>
        <w:rPr>
          <w:rFonts w:cs="Times New Roman"/>
          <w:bCs/>
          <w:szCs w:val="24"/>
        </w:rPr>
        <w:fldChar w:fldCharType="end"/>
      </w:r>
      <w:r>
        <w:rPr>
          <w:rFonts w:cs="Times New Roman"/>
          <w:bCs/>
          <w:szCs w:val="24"/>
        </w:rPr>
        <w:t>。</w:t>
      </w:r>
    </w:p>
    <w:p>
      <w:pPr>
        <w:pStyle w:val="95"/>
        <w:rPr>
          <w:color w:val="auto"/>
        </w:rPr>
      </w:pPr>
      <w:bookmarkStart w:id="314" w:name="_Ref142859136"/>
      <w:r>
        <w:rPr>
          <w:color w:val="auto"/>
        </w:rPr>
        <w:t>表</w:t>
      </w:r>
      <w:r>
        <w:rPr>
          <w:color w:val="auto"/>
        </w:rPr>
        <w:fldChar w:fldCharType="begin"/>
      </w:r>
      <w:r>
        <w:rPr>
          <w:color w:val="auto"/>
        </w:rPr>
        <w:instrText xml:space="preserve"> STYLEREF 2 \s </w:instrText>
      </w:r>
      <w:r>
        <w:rPr>
          <w:color w:val="auto"/>
        </w:rPr>
        <w:fldChar w:fldCharType="separate"/>
      </w:r>
      <w:r>
        <w:rPr>
          <w:color w:val="auto"/>
        </w:rPr>
        <w:t>6.1</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12</w:t>
      </w:r>
      <w:r>
        <w:rPr>
          <w:color w:val="auto"/>
        </w:rPr>
        <w:fldChar w:fldCharType="end"/>
      </w:r>
      <w:bookmarkEnd w:id="314"/>
      <w:r>
        <w:rPr>
          <w:color w:val="auto"/>
        </w:rPr>
        <w:t xml:space="preserve"> 项目环境风险评价分级判定</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1586"/>
        <w:gridCol w:w="1601"/>
        <w:gridCol w:w="1916"/>
        <w:gridCol w:w="156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Align w:val="center"/>
          </w:tcPr>
          <w:p>
            <w:pPr>
              <w:spacing w:line="240" w:lineRule="auto"/>
              <w:ind w:firstLine="0" w:firstLineChars="0"/>
              <w:jc w:val="center"/>
              <w:textAlignment w:val="baseline"/>
              <w:rPr>
                <w:sz w:val="21"/>
                <w:szCs w:val="20"/>
              </w:rPr>
            </w:pPr>
            <w:r>
              <w:rPr>
                <w:sz w:val="21"/>
                <w:szCs w:val="20"/>
              </w:rPr>
              <w:t>环境风险潜势</w:t>
            </w:r>
          </w:p>
        </w:tc>
        <w:tc>
          <w:tcPr>
            <w:tcW w:w="1586" w:type="dxa"/>
            <w:vAlign w:val="center"/>
          </w:tcPr>
          <w:p>
            <w:pPr>
              <w:spacing w:line="240" w:lineRule="auto"/>
              <w:ind w:firstLine="0" w:firstLineChars="0"/>
              <w:jc w:val="center"/>
              <w:textAlignment w:val="baseline"/>
              <w:rPr>
                <w:sz w:val="21"/>
                <w:szCs w:val="20"/>
              </w:rPr>
            </w:pPr>
            <w:r>
              <w:rPr>
                <w:rFonts w:hint="eastAsia" w:ascii="宋体" w:hAnsi="宋体" w:cs="宋体"/>
                <w:sz w:val="21"/>
                <w:szCs w:val="20"/>
              </w:rPr>
              <w:t>Ⅳ</w:t>
            </w:r>
            <w:r>
              <w:rPr>
                <w:sz w:val="21"/>
                <w:szCs w:val="20"/>
              </w:rPr>
              <w:t>、</w:t>
            </w:r>
            <w:r>
              <w:rPr>
                <w:rFonts w:hint="eastAsia" w:ascii="宋体" w:hAnsi="宋体" w:cs="宋体"/>
                <w:sz w:val="21"/>
                <w:szCs w:val="20"/>
              </w:rPr>
              <w:t>Ⅴ</w:t>
            </w:r>
            <w:r>
              <w:rPr>
                <w:sz w:val="21"/>
                <w:szCs w:val="20"/>
                <w:vertAlign w:val="superscript"/>
              </w:rPr>
              <w:t>+</w:t>
            </w:r>
          </w:p>
        </w:tc>
        <w:tc>
          <w:tcPr>
            <w:tcW w:w="1601" w:type="dxa"/>
            <w:vAlign w:val="center"/>
          </w:tcPr>
          <w:p>
            <w:pPr>
              <w:spacing w:line="240" w:lineRule="auto"/>
              <w:ind w:firstLine="0" w:firstLineChars="0"/>
              <w:jc w:val="center"/>
              <w:textAlignment w:val="baseline"/>
              <w:rPr>
                <w:rFonts w:cs="Times New Roman"/>
                <w:sz w:val="21"/>
                <w:szCs w:val="20"/>
              </w:rPr>
            </w:pPr>
            <w:r>
              <w:rPr>
                <w:rFonts w:hint="eastAsia" w:ascii="宋体" w:hAnsi="宋体" w:cs="宋体"/>
                <w:sz w:val="21"/>
                <w:szCs w:val="20"/>
              </w:rPr>
              <w:t>Ⅲ</w:t>
            </w:r>
          </w:p>
        </w:tc>
        <w:tc>
          <w:tcPr>
            <w:tcW w:w="1916" w:type="dxa"/>
            <w:vAlign w:val="center"/>
          </w:tcPr>
          <w:p>
            <w:pPr>
              <w:spacing w:line="240" w:lineRule="auto"/>
              <w:ind w:firstLine="0" w:firstLineChars="0"/>
              <w:jc w:val="center"/>
              <w:textAlignment w:val="baseline"/>
              <w:rPr>
                <w:rFonts w:cs="Times New Roman"/>
                <w:sz w:val="21"/>
                <w:szCs w:val="20"/>
              </w:rPr>
            </w:pPr>
            <w:r>
              <w:rPr>
                <w:rFonts w:hint="eastAsia" w:ascii="宋体" w:hAnsi="宋体" w:cs="宋体"/>
                <w:sz w:val="21"/>
                <w:szCs w:val="20"/>
              </w:rPr>
              <w:t>Ⅱ</w:t>
            </w:r>
          </w:p>
        </w:tc>
        <w:tc>
          <w:tcPr>
            <w:tcW w:w="1564" w:type="dxa"/>
            <w:vAlign w:val="center"/>
          </w:tcPr>
          <w:p>
            <w:pPr>
              <w:spacing w:line="240" w:lineRule="auto"/>
              <w:ind w:firstLine="0" w:firstLineChars="0"/>
              <w:jc w:val="center"/>
              <w:textAlignment w:val="baseline"/>
              <w:rPr>
                <w:rFonts w:cs="Times New Roman"/>
                <w:sz w:val="21"/>
                <w:szCs w:val="20"/>
                <w:shd w:val="pct10" w:color="auto" w:fill="FFFFFF"/>
              </w:rPr>
            </w:pPr>
            <w:r>
              <w:rPr>
                <w:rFonts w:hint="eastAsia" w:ascii="宋体" w:hAnsi="宋体" w:cs="宋体"/>
                <w:sz w:val="21"/>
                <w:szCs w:val="20"/>
                <w:shd w:val="pct10" w:color="auto" w:fill="FFFFFF"/>
              </w:rPr>
              <w:t>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Align w:val="center"/>
          </w:tcPr>
          <w:p>
            <w:pPr>
              <w:spacing w:line="240" w:lineRule="auto"/>
              <w:ind w:firstLine="0" w:firstLineChars="0"/>
              <w:jc w:val="center"/>
              <w:textAlignment w:val="baseline"/>
              <w:rPr>
                <w:sz w:val="21"/>
                <w:szCs w:val="20"/>
              </w:rPr>
            </w:pPr>
            <w:r>
              <w:rPr>
                <w:sz w:val="21"/>
                <w:szCs w:val="20"/>
              </w:rPr>
              <w:t>评价工作等级</w:t>
            </w:r>
          </w:p>
        </w:tc>
        <w:tc>
          <w:tcPr>
            <w:tcW w:w="1586" w:type="dxa"/>
            <w:vAlign w:val="center"/>
          </w:tcPr>
          <w:p>
            <w:pPr>
              <w:spacing w:line="240" w:lineRule="auto"/>
              <w:ind w:firstLine="0" w:firstLineChars="0"/>
              <w:jc w:val="center"/>
              <w:textAlignment w:val="baseline"/>
              <w:rPr>
                <w:sz w:val="21"/>
                <w:szCs w:val="20"/>
              </w:rPr>
            </w:pPr>
            <w:r>
              <w:rPr>
                <w:sz w:val="21"/>
                <w:szCs w:val="20"/>
              </w:rPr>
              <w:t>一</w:t>
            </w:r>
          </w:p>
        </w:tc>
        <w:tc>
          <w:tcPr>
            <w:tcW w:w="1601" w:type="dxa"/>
            <w:vAlign w:val="center"/>
          </w:tcPr>
          <w:p>
            <w:pPr>
              <w:spacing w:line="240" w:lineRule="auto"/>
              <w:ind w:firstLine="0" w:firstLineChars="0"/>
              <w:jc w:val="center"/>
              <w:textAlignment w:val="baseline"/>
              <w:rPr>
                <w:sz w:val="21"/>
                <w:szCs w:val="20"/>
              </w:rPr>
            </w:pPr>
            <w:r>
              <w:rPr>
                <w:sz w:val="21"/>
                <w:szCs w:val="20"/>
              </w:rPr>
              <w:t>二</w:t>
            </w:r>
          </w:p>
        </w:tc>
        <w:tc>
          <w:tcPr>
            <w:tcW w:w="1916" w:type="dxa"/>
            <w:vAlign w:val="center"/>
          </w:tcPr>
          <w:p>
            <w:pPr>
              <w:spacing w:line="240" w:lineRule="auto"/>
              <w:ind w:firstLine="0" w:firstLineChars="0"/>
              <w:jc w:val="center"/>
              <w:textAlignment w:val="baseline"/>
              <w:rPr>
                <w:sz w:val="21"/>
                <w:szCs w:val="20"/>
              </w:rPr>
            </w:pPr>
            <w:r>
              <w:rPr>
                <w:sz w:val="21"/>
                <w:szCs w:val="20"/>
              </w:rPr>
              <w:t>三</w:t>
            </w:r>
          </w:p>
        </w:tc>
        <w:tc>
          <w:tcPr>
            <w:tcW w:w="1564" w:type="dxa"/>
            <w:vAlign w:val="center"/>
          </w:tcPr>
          <w:p>
            <w:pPr>
              <w:spacing w:line="240" w:lineRule="auto"/>
              <w:ind w:firstLine="0" w:firstLineChars="0"/>
              <w:jc w:val="center"/>
              <w:textAlignment w:val="baseline"/>
              <w:rPr>
                <w:sz w:val="21"/>
                <w:szCs w:val="20"/>
                <w:shd w:val="pct10" w:color="auto" w:fill="FFFFFF"/>
              </w:rPr>
            </w:pPr>
            <w:r>
              <w:rPr>
                <w:sz w:val="21"/>
                <w:szCs w:val="20"/>
                <w:shd w:val="pct10" w:color="auto" w:fill="FFFFFF"/>
              </w:rPr>
              <w:t>简单分析a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222" w:type="dxa"/>
            <w:gridSpan w:val="5"/>
            <w:vAlign w:val="center"/>
          </w:tcPr>
          <w:p>
            <w:pPr>
              <w:spacing w:line="240" w:lineRule="auto"/>
              <w:ind w:firstLine="0" w:firstLineChars="0"/>
              <w:jc w:val="center"/>
              <w:textAlignment w:val="baseline"/>
              <w:rPr>
                <w:sz w:val="21"/>
                <w:szCs w:val="20"/>
              </w:rPr>
            </w:pPr>
            <w:r>
              <w:rPr>
                <w:sz w:val="21"/>
                <w:szCs w:val="20"/>
              </w:rPr>
              <w:t>a 是相对于详细评价工作内容而言，在描述危险物质、环境影响途径、环境危害后果、</w:t>
            </w:r>
          </w:p>
          <w:p>
            <w:pPr>
              <w:spacing w:line="240" w:lineRule="auto"/>
              <w:ind w:firstLine="0" w:firstLineChars="0"/>
              <w:jc w:val="center"/>
              <w:textAlignment w:val="baseline"/>
              <w:rPr>
                <w:sz w:val="21"/>
                <w:szCs w:val="20"/>
                <w:shd w:val="pct10" w:color="auto" w:fill="FFFFFF"/>
              </w:rPr>
            </w:pPr>
            <w:r>
              <w:rPr>
                <w:sz w:val="21"/>
                <w:szCs w:val="20"/>
              </w:rPr>
              <w:t>风险防范措施等方面给出定性</w:t>
            </w:r>
            <w:bookmarkStart w:id="525" w:name="_GoBack"/>
            <w:bookmarkEnd w:id="525"/>
            <w:r>
              <w:rPr>
                <w:sz w:val="21"/>
                <w:szCs w:val="20"/>
              </w:rPr>
              <w:t>的说明。</w:t>
            </w:r>
          </w:p>
        </w:tc>
      </w:tr>
    </w:tbl>
    <w:p>
      <w:pPr>
        <w:widowControl/>
        <w:ind w:firstLine="480"/>
        <w:rPr>
          <w:rFonts w:cs="Times New Roman"/>
          <w:kern w:val="0"/>
          <w:szCs w:val="24"/>
        </w:rPr>
      </w:pPr>
      <w:r>
        <w:rPr>
          <w:rFonts w:cs="Times New Roman"/>
          <w:kern w:val="0"/>
          <w:szCs w:val="24"/>
        </w:rPr>
        <w:t>本项目为天然气钻井及试采工程，其风险潜势判定为</w:t>
      </w:r>
      <w:r>
        <w:rPr>
          <w:rFonts w:hint="eastAsia" w:ascii="宋体" w:hAnsi="宋体" w:cs="宋体"/>
          <w:kern w:val="0"/>
          <w:szCs w:val="24"/>
        </w:rPr>
        <w:t>Ⅰ</w:t>
      </w:r>
      <w:r>
        <w:rPr>
          <w:rFonts w:cs="Times New Roman"/>
          <w:kern w:val="0"/>
          <w:szCs w:val="24"/>
        </w:rPr>
        <w:t>，则其环境风险评价等级为“简单分析”。</w:t>
      </w:r>
    </w:p>
    <w:p>
      <w:pPr>
        <w:widowControl/>
        <w:ind w:firstLine="480"/>
        <w:rPr>
          <w:rFonts w:cs="Times New Roman"/>
          <w:kern w:val="0"/>
          <w:szCs w:val="24"/>
        </w:rPr>
      </w:pPr>
      <w:r>
        <w:rPr>
          <w:rFonts w:cs="Times New Roman"/>
          <w:kern w:val="0"/>
          <w:szCs w:val="24"/>
        </w:rPr>
        <w:t xml:space="preserve"> 但考虑到硫化氢毒性较大，一旦发生井喷事故后对</w:t>
      </w:r>
      <w:r>
        <w:rPr>
          <w:rFonts w:hint="eastAsia" w:cs="Times New Roman"/>
          <w:kern w:val="0"/>
          <w:szCs w:val="24"/>
        </w:rPr>
        <w:t>环境空气</w:t>
      </w:r>
      <w:r>
        <w:rPr>
          <w:rFonts w:cs="Times New Roman"/>
          <w:kern w:val="0"/>
          <w:szCs w:val="24"/>
        </w:rPr>
        <w:t>影响较大</w:t>
      </w:r>
      <w:r>
        <w:rPr>
          <w:rFonts w:hint="eastAsia" w:cs="Times New Roman"/>
          <w:kern w:val="0"/>
          <w:szCs w:val="24"/>
        </w:rPr>
        <w:t>，进而会对周边居民生命财产安全造成影响</w:t>
      </w:r>
      <w:r>
        <w:rPr>
          <w:rFonts w:cs="Times New Roman"/>
          <w:kern w:val="0"/>
          <w:szCs w:val="24"/>
        </w:rPr>
        <w:t>，因此本次评价</w:t>
      </w:r>
      <w:r>
        <w:rPr>
          <w:rFonts w:hint="eastAsia" w:cs="Times New Roman"/>
          <w:kern w:val="0"/>
          <w:szCs w:val="24"/>
        </w:rPr>
        <w:t>环境风险评价中的大气环境按二级进行影响预测分析，地下水环境、地表水环境仍简单分析。</w:t>
      </w:r>
    </w:p>
    <w:p>
      <w:pPr>
        <w:pStyle w:val="3"/>
        <w:rPr>
          <w:color w:val="auto"/>
        </w:rPr>
      </w:pPr>
      <w:bookmarkStart w:id="315" w:name="5.3.2环境敏感目标概况"/>
      <w:bookmarkEnd w:id="315"/>
      <w:bookmarkStart w:id="316" w:name="_Toc164667030"/>
      <w:r>
        <w:rPr>
          <w:rFonts w:hint="eastAsia"/>
          <w:color w:val="auto"/>
        </w:rPr>
        <w:t>6.2</w:t>
      </w:r>
      <w:r>
        <w:rPr>
          <w:color w:val="auto"/>
        </w:rPr>
        <w:t>环境敏感目标概况</w:t>
      </w:r>
      <w:bookmarkEnd w:id="316"/>
    </w:p>
    <w:p>
      <w:pPr>
        <w:widowControl/>
        <w:ind w:firstLine="480"/>
        <w:rPr>
          <w:rFonts w:cs="Times New Roman"/>
          <w:bCs/>
          <w:kern w:val="0"/>
          <w:szCs w:val="24"/>
        </w:rPr>
      </w:pPr>
      <w:r>
        <w:rPr>
          <w:rFonts w:cs="Times New Roman"/>
          <w:kern w:val="0"/>
          <w:szCs w:val="24"/>
        </w:rPr>
        <w:t>本次评价</w:t>
      </w:r>
      <w:r>
        <w:rPr>
          <w:rFonts w:hint="eastAsia" w:cs="Times New Roman"/>
          <w:kern w:val="0"/>
          <w:szCs w:val="24"/>
        </w:rPr>
        <w:t>环境风险评价中的大气环境按二级进行影响预测分析，地下水环境、地表水环境仍简单分析。</w:t>
      </w:r>
      <w:r>
        <w:rPr>
          <w:rFonts w:cs="Times New Roman"/>
          <w:bCs/>
          <w:kern w:val="0"/>
          <w:szCs w:val="24"/>
        </w:rPr>
        <w:t>简单分析，不设置环境风险评价范围，只对涉及的危险物质、环境影响途径、环境危害、风险防范措施等方面给出定性的说明。</w:t>
      </w:r>
    </w:p>
    <w:p>
      <w:pPr>
        <w:widowControl/>
        <w:ind w:firstLine="480"/>
        <w:rPr>
          <w:rFonts w:cs="Times New Roman"/>
          <w:bCs/>
          <w:kern w:val="0"/>
          <w:szCs w:val="24"/>
        </w:rPr>
      </w:pPr>
      <w:r>
        <w:rPr>
          <w:rFonts w:cs="Times New Roman"/>
          <w:bCs/>
          <w:kern w:val="0"/>
          <w:szCs w:val="24"/>
        </w:rPr>
        <w:t>本项目大气环境风险影响评价范围为距井口5km范围</w:t>
      </w:r>
      <w:r>
        <w:rPr>
          <w:rFonts w:hint="eastAsia" w:cs="Times New Roman"/>
          <w:bCs/>
          <w:kern w:val="0"/>
          <w:szCs w:val="24"/>
        </w:rPr>
        <w:t>，大气环境敏感目标主要为评价范围内的</w:t>
      </w:r>
      <w:r>
        <w:rPr>
          <w:rFonts w:cs="Times New Roman"/>
          <w:bCs/>
          <w:kern w:val="0"/>
          <w:szCs w:val="24"/>
        </w:rPr>
        <w:t>居民</w:t>
      </w:r>
      <w:r>
        <w:rPr>
          <w:rFonts w:hint="eastAsia" w:cs="Times New Roman"/>
          <w:bCs/>
          <w:kern w:val="0"/>
          <w:szCs w:val="24"/>
        </w:rPr>
        <w:t>，详见表2.9-4。</w:t>
      </w:r>
    </w:p>
    <w:p>
      <w:pPr>
        <w:pStyle w:val="3"/>
      </w:pPr>
      <w:bookmarkStart w:id="317" w:name="_Toc164667031"/>
      <w:r>
        <w:rPr>
          <w:rFonts w:hint="eastAsia"/>
        </w:rPr>
        <w:t>6.3</w:t>
      </w:r>
      <w:r>
        <w:t>环境风险识别</w:t>
      </w:r>
      <w:bookmarkEnd w:id="317"/>
    </w:p>
    <w:p>
      <w:pPr>
        <w:pStyle w:val="4"/>
        <w:ind w:firstLine="241"/>
      </w:pPr>
      <w:bookmarkStart w:id="318" w:name="_Toc120173176"/>
      <w:r>
        <w:rPr>
          <w:rFonts w:hint="eastAsia"/>
        </w:rPr>
        <w:t>6.3.1</w:t>
      </w:r>
      <w:r>
        <w:t>物质危险性识别</w:t>
      </w:r>
      <w:bookmarkEnd w:id="318"/>
    </w:p>
    <w:p>
      <w:pPr>
        <w:widowControl/>
        <w:ind w:firstLine="480"/>
        <w:rPr>
          <w:rFonts w:cs="Times New Roman"/>
          <w:bCs/>
          <w:color w:val="000000"/>
          <w:szCs w:val="24"/>
        </w:rPr>
      </w:pPr>
      <w:r>
        <w:rPr>
          <w:rFonts w:cs="Times New Roman"/>
          <w:bCs/>
          <w:color w:val="000000"/>
          <w:szCs w:val="24"/>
        </w:rPr>
        <w:t>本项目生产过程中涉及的危险物质有天然气、天然气中的硫化氢、甲烷、天然气燃烧后的二氧化硫、二氧化碳、柴油、钻井废水、压裂液及返排液、废油和采气废水等，具体见“6.1 评价依据”章节内容。本项目涉及的主要危险物质包括CH</w:t>
      </w:r>
      <w:r>
        <w:rPr>
          <w:rFonts w:cs="Times New Roman"/>
          <w:bCs/>
          <w:color w:val="000000"/>
          <w:szCs w:val="24"/>
          <w:vertAlign w:val="subscript"/>
        </w:rPr>
        <w:t>4</w:t>
      </w:r>
      <w:r>
        <w:rPr>
          <w:rFonts w:cs="Times New Roman"/>
          <w:bCs/>
          <w:color w:val="000000"/>
          <w:szCs w:val="24"/>
        </w:rPr>
        <w:t>（易燃易爆）、H</w:t>
      </w:r>
      <w:r>
        <w:rPr>
          <w:rFonts w:cs="Times New Roman"/>
          <w:bCs/>
          <w:color w:val="000000"/>
          <w:szCs w:val="24"/>
          <w:vertAlign w:val="subscript"/>
        </w:rPr>
        <w:t>2</w:t>
      </w:r>
      <w:r>
        <w:rPr>
          <w:rFonts w:cs="Times New Roman"/>
          <w:bCs/>
          <w:color w:val="000000"/>
          <w:szCs w:val="24"/>
        </w:rPr>
        <w:t>S和油类物质等。</w:t>
      </w:r>
    </w:p>
    <w:p>
      <w:pPr>
        <w:pStyle w:val="4"/>
        <w:ind w:firstLine="241"/>
      </w:pPr>
      <w:bookmarkStart w:id="319" w:name="_Toc120173177"/>
      <w:r>
        <w:rPr>
          <w:rFonts w:hint="eastAsia"/>
        </w:rPr>
        <w:t>6.3.2</w:t>
      </w:r>
      <w:r>
        <w:t>生产系统风险识别</w:t>
      </w:r>
      <w:bookmarkEnd w:id="319"/>
    </w:p>
    <w:p>
      <w:pPr>
        <w:widowControl/>
        <w:ind w:firstLine="482"/>
        <w:rPr>
          <w:rFonts w:cs="Times New Roman"/>
          <w:b/>
          <w:color w:val="000000"/>
          <w:szCs w:val="24"/>
        </w:rPr>
      </w:pPr>
      <w:r>
        <w:rPr>
          <w:rFonts w:cs="Times New Roman"/>
          <w:b/>
          <w:color w:val="000000"/>
          <w:szCs w:val="24"/>
        </w:rPr>
        <w:t>（1）井喷失控造成天然气释放</w:t>
      </w:r>
    </w:p>
    <w:p>
      <w:pPr>
        <w:widowControl/>
        <w:ind w:firstLine="480"/>
        <w:rPr>
          <w:rFonts w:cs="Times New Roman"/>
          <w:bCs/>
          <w:color w:val="000000"/>
          <w:szCs w:val="24"/>
        </w:rPr>
      </w:pPr>
      <w:r>
        <w:rPr>
          <w:rFonts w:cs="Times New Roman"/>
          <w:bCs/>
          <w:color w:val="000000"/>
          <w:szCs w:val="24"/>
        </w:rPr>
        <w:t>钻井过程中遇到地下气、水层时，气或水窜进井内的泥浆里，加快了泥浆流动和循环的速度，如果井底压力小于地层压力，地层流体将进入井筒并推动泥浆外溢，即发生溢流。此时如果对地下气压平衡控制不当，不能及时控制溢流，会造成气、水或其混合物沿着环形空间迅速喷到地面，即发生井喷。井喷后会有大量的天然气逸散到空气中，对周围的环境空气造成一定的影响。</w:t>
      </w:r>
    </w:p>
    <w:p>
      <w:pPr>
        <w:widowControl/>
        <w:ind w:firstLine="480"/>
        <w:rPr>
          <w:rFonts w:cs="Times New Roman"/>
          <w:bCs/>
          <w:color w:val="000000"/>
          <w:szCs w:val="24"/>
        </w:rPr>
      </w:pPr>
      <w:r>
        <w:rPr>
          <w:rFonts w:cs="Times New Roman"/>
          <w:bCs/>
          <w:color w:val="000000"/>
          <w:szCs w:val="24"/>
        </w:rPr>
        <w:t>导致井喷失控的主要因素涉及以下几个方面：</w:t>
      </w:r>
    </w:p>
    <w:p>
      <w:pPr>
        <w:widowControl/>
        <w:ind w:firstLine="480"/>
        <w:rPr>
          <w:rFonts w:cs="Times New Roman"/>
          <w:bCs/>
          <w:color w:val="000000"/>
          <w:szCs w:val="24"/>
        </w:rPr>
      </w:pPr>
      <w:r>
        <w:rPr>
          <w:rFonts w:hint="eastAsia" w:ascii="宋体" w:hAnsi="宋体" w:cs="宋体"/>
          <w:bCs/>
          <w:color w:val="000000"/>
          <w:szCs w:val="24"/>
        </w:rPr>
        <w:t>①</w:t>
      </w:r>
      <w:r>
        <w:rPr>
          <w:rFonts w:cs="Times New Roman"/>
          <w:bCs/>
          <w:color w:val="000000"/>
          <w:szCs w:val="24"/>
        </w:rPr>
        <w:t>地层压力：当钻井钻至高压气层期间，由于对地层压力预测不准，出现异常超压情况，如果操作处置失当，将导致井口装置和井控汇管失控发生井喷失控事故。</w:t>
      </w:r>
    </w:p>
    <w:p>
      <w:pPr>
        <w:widowControl/>
        <w:ind w:firstLine="480"/>
        <w:rPr>
          <w:rFonts w:cs="Times New Roman"/>
          <w:bCs/>
          <w:color w:val="000000"/>
          <w:szCs w:val="24"/>
        </w:rPr>
      </w:pPr>
      <w:r>
        <w:rPr>
          <w:rFonts w:hint="eastAsia" w:ascii="宋体" w:hAnsi="宋体" w:cs="宋体"/>
          <w:bCs/>
          <w:color w:val="000000"/>
          <w:szCs w:val="24"/>
        </w:rPr>
        <w:t>②</w:t>
      </w:r>
      <w:r>
        <w:rPr>
          <w:rFonts w:cs="Times New Roman"/>
          <w:bCs/>
          <w:color w:val="000000"/>
          <w:szCs w:val="24"/>
        </w:rPr>
        <w:t>遇山洪、地震、滑坡等自然灾害，导致井口所在地地层位移甚至塌陷损坏井控装置，导致井喷失控事故。这类事故目前还未见报道。</w:t>
      </w:r>
    </w:p>
    <w:p>
      <w:pPr>
        <w:widowControl/>
        <w:ind w:firstLine="480"/>
        <w:rPr>
          <w:rFonts w:cs="Times New Roman"/>
          <w:bCs/>
          <w:color w:val="000000"/>
          <w:szCs w:val="24"/>
        </w:rPr>
      </w:pPr>
      <w:r>
        <w:rPr>
          <w:rFonts w:hint="eastAsia" w:ascii="宋体" w:hAnsi="宋体" w:cs="宋体"/>
          <w:bCs/>
          <w:color w:val="000000"/>
          <w:szCs w:val="24"/>
        </w:rPr>
        <w:t>③</w:t>
      </w:r>
      <w:r>
        <w:rPr>
          <w:rFonts w:cs="Times New Roman"/>
          <w:bCs/>
          <w:color w:val="000000"/>
          <w:szCs w:val="24"/>
        </w:rPr>
        <w:t>压井泥浆密度偏低，不能满足压井要求。</w:t>
      </w:r>
    </w:p>
    <w:p>
      <w:pPr>
        <w:widowControl/>
        <w:ind w:firstLine="480"/>
        <w:rPr>
          <w:rFonts w:cs="Times New Roman"/>
          <w:bCs/>
          <w:color w:val="000000"/>
          <w:szCs w:val="24"/>
        </w:rPr>
      </w:pPr>
      <w:r>
        <w:rPr>
          <w:rFonts w:hint="eastAsia" w:ascii="宋体" w:hAnsi="宋体" w:cs="宋体"/>
          <w:bCs/>
          <w:color w:val="000000"/>
          <w:szCs w:val="24"/>
        </w:rPr>
        <w:t>④</w:t>
      </w:r>
      <w:r>
        <w:rPr>
          <w:rFonts w:cs="Times New Roman"/>
          <w:bCs/>
          <w:color w:val="000000"/>
          <w:szCs w:val="24"/>
        </w:rPr>
        <w:t>操作因素：当出现井喷前兆，如泥浆溢流、泥浆井涌等现象，作业人员未及时发现或采取有效的控制措施，从而可能导致井喷。</w:t>
      </w:r>
    </w:p>
    <w:p>
      <w:pPr>
        <w:widowControl/>
        <w:ind w:firstLine="480"/>
        <w:rPr>
          <w:rFonts w:cs="Times New Roman"/>
          <w:bCs/>
          <w:color w:val="000000"/>
          <w:szCs w:val="24"/>
        </w:rPr>
      </w:pPr>
      <w:r>
        <w:rPr>
          <w:rFonts w:cs="Times New Roman"/>
          <w:bCs/>
          <w:color w:val="000000"/>
          <w:szCs w:val="24"/>
        </w:rPr>
        <w:t>典型事故案例：</w:t>
      </w:r>
    </w:p>
    <w:p>
      <w:pPr>
        <w:widowControl/>
        <w:ind w:firstLine="480"/>
        <w:rPr>
          <w:rFonts w:cs="Times New Roman"/>
          <w:bCs/>
          <w:color w:val="000000"/>
          <w:szCs w:val="24"/>
        </w:rPr>
      </w:pPr>
      <w:r>
        <w:rPr>
          <w:rFonts w:cs="Times New Roman"/>
          <w:bCs/>
          <w:color w:val="000000"/>
          <w:szCs w:val="24"/>
        </w:rPr>
        <w:t>1976年赵1井井喷事故：发生于钻进过程，3人死亡，6人中毒。事故原因：无井控制度、无防喷设备、未储备重型泥浆材料、无H2S防护装备。</w:t>
      </w:r>
    </w:p>
    <w:p>
      <w:pPr>
        <w:widowControl/>
        <w:ind w:firstLine="480"/>
        <w:rPr>
          <w:rFonts w:cs="Times New Roman"/>
          <w:bCs/>
          <w:color w:val="000000"/>
          <w:szCs w:val="24"/>
        </w:rPr>
      </w:pPr>
      <w:r>
        <w:rPr>
          <w:rFonts w:cs="Times New Roman"/>
          <w:bCs/>
          <w:color w:val="000000"/>
          <w:szCs w:val="24"/>
        </w:rPr>
        <w:t>1992年龙会2井井喷事故：发生于钻进过程。事故原因：对地层高压认识不足而钻井液密度偏低、发现溢流不及时、井控装置质量不合格（设计压力35MPa，防喷器半封闸板芯子在套压28MPa时损坏且无备用件）。</w:t>
      </w:r>
    </w:p>
    <w:p>
      <w:pPr>
        <w:widowControl/>
        <w:ind w:firstLine="480"/>
        <w:rPr>
          <w:rFonts w:cs="Times New Roman"/>
          <w:bCs/>
          <w:color w:val="000000"/>
          <w:szCs w:val="24"/>
        </w:rPr>
      </w:pPr>
      <w:r>
        <w:rPr>
          <w:rFonts w:cs="Times New Roman"/>
          <w:bCs/>
          <w:color w:val="000000"/>
          <w:szCs w:val="24"/>
        </w:rPr>
        <w:t>1994年赵48井井喷事故：发生于射孔过程，井喷时间18h20min，6人死亡，24人中度中毒。事故原因：该井为预探井，未预见气藏含H2S，井下工具不抗硫。</w:t>
      </w:r>
    </w:p>
    <w:p>
      <w:pPr>
        <w:widowControl/>
        <w:ind w:firstLine="480"/>
        <w:rPr>
          <w:rFonts w:cs="Times New Roman"/>
          <w:bCs/>
          <w:color w:val="000000"/>
          <w:szCs w:val="24"/>
        </w:rPr>
      </w:pPr>
      <w:r>
        <w:rPr>
          <w:rFonts w:cs="Times New Roman"/>
          <w:bCs/>
          <w:color w:val="000000"/>
          <w:szCs w:val="24"/>
        </w:rPr>
        <w:t>1995年渡1井井喷事故：发生于钻进过程，天然气H2S含量231.93g/m</w:t>
      </w:r>
      <w:r>
        <w:rPr>
          <w:rFonts w:cs="Times New Roman"/>
          <w:bCs/>
          <w:color w:val="000000"/>
          <w:szCs w:val="24"/>
          <w:vertAlign w:val="superscript"/>
        </w:rPr>
        <w:t>3</w:t>
      </w:r>
      <w:r>
        <w:rPr>
          <w:rFonts w:cs="Times New Roman"/>
          <w:bCs/>
          <w:color w:val="000000"/>
          <w:szCs w:val="24"/>
        </w:rPr>
        <w:t>。发生多位员工中毒，但未造成抢险人员及周围村民死亡。事故原因：钻井液密度低于设计值、关井处置措施不当、储备的加重钻井液粘切过高、回压阀堵塞（无内防喷工具）、防喷器与防喷闸门压力等级不匹配（防喷器70MPa，上四通缩内控闸门35MPa）。</w:t>
      </w:r>
    </w:p>
    <w:p>
      <w:pPr>
        <w:widowControl/>
        <w:ind w:firstLine="480"/>
        <w:rPr>
          <w:rFonts w:cs="Times New Roman"/>
          <w:bCs/>
          <w:color w:val="000000"/>
          <w:szCs w:val="24"/>
        </w:rPr>
      </w:pPr>
      <w:r>
        <w:rPr>
          <w:rFonts w:cs="Times New Roman"/>
          <w:bCs/>
          <w:color w:val="000000"/>
          <w:szCs w:val="24"/>
        </w:rPr>
        <w:t>2003年罗家16H井井喷事故：发生于起、下钻过程，H2S含量约9.46%，（134.4g/m3），人员伤亡严重。事故原因：坐岗制度不落实未及时发现气侵和溢流、起钻时未按井控要求及时灌注钻井液、未按要求安装回压阀无法实现内防喷、无剪切闸板防喷器而全封防喷器不能剪断钻杆控制井口，高含硫天然气喷出且未点火，持续了约18h。造成严重的人员伤亡。</w:t>
      </w:r>
    </w:p>
    <w:p>
      <w:pPr>
        <w:widowControl/>
        <w:ind w:firstLine="480"/>
        <w:rPr>
          <w:rFonts w:cs="Times New Roman"/>
          <w:bCs/>
          <w:color w:val="000000"/>
          <w:szCs w:val="24"/>
        </w:rPr>
      </w:pPr>
      <w:r>
        <w:rPr>
          <w:rFonts w:cs="Times New Roman"/>
          <w:bCs/>
          <w:color w:val="000000"/>
          <w:szCs w:val="24"/>
        </w:rPr>
        <w:t>2006年罗家2井复杂井漏事故：发生于修井作业过程，通过放喷点火卸压，及时疏散人群，未造成人员伤亡。事故主要原因：固井质量缺陷。</w:t>
      </w:r>
    </w:p>
    <w:p>
      <w:pPr>
        <w:widowControl/>
        <w:ind w:firstLine="482"/>
        <w:rPr>
          <w:rFonts w:cs="Times New Roman"/>
          <w:b/>
          <w:color w:val="000000"/>
          <w:szCs w:val="24"/>
        </w:rPr>
      </w:pPr>
      <w:r>
        <w:rPr>
          <w:rFonts w:cs="Times New Roman"/>
          <w:b/>
          <w:color w:val="000000"/>
          <w:szCs w:val="24"/>
        </w:rPr>
        <w:t>（2）井漏导致泥浆泄漏</w:t>
      </w:r>
    </w:p>
    <w:p>
      <w:pPr>
        <w:widowControl/>
        <w:ind w:firstLine="480"/>
        <w:rPr>
          <w:rFonts w:cs="Times New Roman"/>
          <w:bCs/>
          <w:color w:val="000000"/>
          <w:szCs w:val="24"/>
        </w:rPr>
      </w:pPr>
      <w:r>
        <w:rPr>
          <w:rFonts w:cs="Times New Roman"/>
          <w:bCs/>
          <w:color w:val="000000"/>
          <w:szCs w:val="24"/>
        </w:rPr>
        <w:t>当井下泥浆压力大于地层压力会发生井漏事故；水平井钻井液密度选择范围变小，容易出现井漏和井塌或者钻遇到大面积裂缝发育带容易发生严重井漏、井喷；固井施工中可能会因水泥浆对漏失层强烈的挤压作用发生漏失等。井漏如果发生在含水层，则泄漏的泥浆可能会污染含水层。</w:t>
      </w:r>
    </w:p>
    <w:p>
      <w:pPr>
        <w:widowControl/>
        <w:ind w:firstLine="482"/>
        <w:rPr>
          <w:rFonts w:cs="Times New Roman"/>
          <w:b/>
          <w:color w:val="000000"/>
          <w:szCs w:val="24"/>
        </w:rPr>
      </w:pPr>
      <w:r>
        <w:rPr>
          <w:rFonts w:cs="Times New Roman"/>
          <w:b/>
          <w:color w:val="000000"/>
          <w:szCs w:val="24"/>
        </w:rPr>
        <w:t>（3）油类物质泄漏</w:t>
      </w:r>
    </w:p>
    <w:p>
      <w:pPr>
        <w:widowControl/>
        <w:ind w:firstLine="480"/>
        <w:rPr>
          <w:rFonts w:cs="Times New Roman"/>
          <w:bCs/>
          <w:color w:val="000000"/>
          <w:szCs w:val="24"/>
        </w:rPr>
      </w:pPr>
      <w:r>
        <w:rPr>
          <w:rFonts w:cs="Times New Roman"/>
          <w:bCs/>
          <w:color w:val="000000"/>
          <w:szCs w:val="24"/>
        </w:rPr>
        <w:t>柴油和废油等油类物质在使用、储运过程中的风险主要来自于油罐、油桶自身缺陷、人员误操作、老化等造成的泄漏以及外部破坏产生的事故，包括人为破坏及洪水、地震等不可抗拒因素。油类物质泄漏可能污染土壤、地表水和地下水，对生态环境和社会影响很大，也可能引起火灾爆炸，造成人员伤亡及财产损失。</w:t>
      </w:r>
    </w:p>
    <w:p>
      <w:pPr>
        <w:widowControl/>
        <w:ind w:firstLine="482"/>
        <w:rPr>
          <w:rFonts w:cs="Times New Roman"/>
          <w:b/>
          <w:color w:val="000000"/>
          <w:szCs w:val="24"/>
        </w:rPr>
      </w:pPr>
      <w:r>
        <w:rPr>
          <w:rFonts w:cs="Times New Roman"/>
          <w:b/>
          <w:color w:val="000000"/>
          <w:szCs w:val="24"/>
        </w:rPr>
        <w:t>（4）钻井液、压裂液泄漏</w:t>
      </w:r>
    </w:p>
    <w:p>
      <w:pPr>
        <w:widowControl/>
        <w:ind w:firstLine="480"/>
        <w:rPr>
          <w:rFonts w:cs="Times New Roman"/>
          <w:color w:val="000000"/>
          <w:kern w:val="0"/>
          <w:szCs w:val="24"/>
        </w:rPr>
      </w:pPr>
      <w:r>
        <w:rPr>
          <w:rFonts w:cs="Times New Roman"/>
          <w:color w:val="000000"/>
          <w:kern w:val="0"/>
          <w:szCs w:val="24"/>
        </w:rPr>
        <w:t>钻井泥浆、压裂液在施工过程中的泄漏风险主要来自设备老化、管道破损或人员误操作等造成的泄漏以及外部破坏产生的事故，包括人为破坏及洪水、地震等不可抗拒因素。钻井泥浆、压裂液泄漏可能污染地表水、地下水及土壤，影响农作物生长发育和产量。</w:t>
      </w:r>
    </w:p>
    <w:p>
      <w:pPr>
        <w:widowControl/>
        <w:ind w:firstLine="482"/>
        <w:rPr>
          <w:rFonts w:cs="Times New Roman"/>
          <w:b/>
          <w:bCs/>
          <w:color w:val="000000"/>
          <w:szCs w:val="24"/>
        </w:rPr>
      </w:pPr>
      <w:r>
        <w:rPr>
          <w:rFonts w:cs="Times New Roman"/>
          <w:b/>
          <w:bCs/>
          <w:color w:val="000000"/>
          <w:kern w:val="0"/>
          <w:szCs w:val="24"/>
        </w:rPr>
        <w:t>（</w:t>
      </w:r>
      <w:r>
        <w:rPr>
          <w:rFonts w:cs="Times New Roman"/>
          <w:b/>
          <w:bCs/>
          <w:color w:val="000000"/>
          <w:szCs w:val="24"/>
        </w:rPr>
        <w:t>5）井场、站场废水泄漏</w:t>
      </w:r>
    </w:p>
    <w:p>
      <w:pPr>
        <w:widowControl/>
        <w:ind w:firstLine="480"/>
        <w:rPr>
          <w:rFonts w:cs="Times New Roman"/>
          <w:bCs/>
          <w:color w:val="000000"/>
          <w:szCs w:val="24"/>
        </w:rPr>
      </w:pPr>
      <w:r>
        <w:rPr>
          <w:rFonts w:cs="Times New Roman"/>
          <w:bCs/>
          <w:color w:val="000000"/>
          <w:szCs w:val="24"/>
        </w:rPr>
        <w:t>项目废水泄漏包括钻井期废水收集设施泄漏，试采期站场污水罐泄漏。废水泄漏原因可能为罐体老化、管道破损或人为破坏及洪水、地震等不可抗拒因素。泄漏废水可能污染地表水、地下水及土壤，影响农作物生长发育和产量。</w:t>
      </w:r>
    </w:p>
    <w:p>
      <w:pPr>
        <w:ind w:firstLine="470" w:firstLineChars="195"/>
        <w:rPr>
          <w:rFonts w:cs="Times New Roman"/>
          <w:b/>
          <w:color w:val="000000"/>
        </w:rPr>
      </w:pPr>
      <w:r>
        <w:rPr>
          <w:rFonts w:cs="Times New Roman"/>
          <w:b/>
          <w:color w:val="000000"/>
        </w:rPr>
        <w:t>（6）盐酸泄漏的环境风险</w:t>
      </w:r>
    </w:p>
    <w:p>
      <w:pPr>
        <w:ind w:firstLine="468" w:firstLineChars="195"/>
        <w:rPr>
          <w:rFonts w:cs="Times New Roman"/>
          <w:bCs/>
          <w:color w:val="000000"/>
        </w:rPr>
      </w:pPr>
      <w:r>
        <w:rPr>
          <w:rFonts w:cs="Times New Roman"/>
          <w:color w:val="000000"/>
        </w:rPr>
        <w:t>本项目酸化压裂使用酸液为7%的稀盐酸，成品由玻璃钢罐车专业运输车辆拉运至现场使用，每批次约1车、20m</w:t>
      </w:r>
      <w:r>
        <w:rPr>
          <w:rFonts w:cs="Times New Roman"/>
          <w:color w:val="000000"/>
          <w:vertAlign w:val="superscript"/>
        </w:rPr>
        <w:t>3</w:t>
      </w:r>
      <w:r>
        <w:rPr>
          <w:rFonts w:cs="Times New Roman"/>
          <w:color w:val="000000"/>
        </w:rPr>
        <w:t>/车。井场内不再设置储罐暂存，根据预估使用量，分批次运输至井场。每批次约1车、20m</w:t>
      </w:r>
      <w:r>
        <w:rPr>
          <w:rFonts w:cs="Times New Roman"/>
          <w:color w:val="000000"/>
          <w:vertAlign w:val="superscript"/>
        </w:rPr>
        <w:t>3</w:t>
      </w:r>
      <w:r>
        <w:rPr>
          <w:rFonts w:cs="Times New Roman"/>
          <w:color w:val="000000"/>
        </w:rPr>
        <w:t>/车，现场最大贮存量不超20m</w:t>
      </w:r>
      <w:r>
        <w:rPr>
          <w:rFonts w:cs="Times New Roman"/>
          <w:color w:val="000000"/>
          <w:vertAlign w:val="superscript"/>
        </w:rPr>
        <w:t>3</w:t>
      </w:r>
      <w:r>
        <w:rPr>
          <w:rFonts w:cs="Times New Roman"/>
          <w:color w:val="000000"/>
        </w:rPr>
        <w:t>。盐酸在拉运过程和现场存储一旦发生泄漏后，一方面，挥发的酸雾会造成一定范围内的环境空气污染；另一方面，泄漏的盐酸将引起土壤酸化，破坏土壤的结构，危害植物生长，若控制不当流入井场周围的水体将会污染水体。</w:t>
      </w:r>
    </w:p>
    <w:p>
      <w:pPr>
        <w:widowControl/>
        <w:ind w:firstLine="482"/>
        <w:rPr>
          <w:rFonts w:cs="Times New Roman"/>
          <w:b/>
          <w:bCs/>
          <w:color w:val="000000"/>
          <w:szCs w:val="24"/>
        </w:rPr>
      </w:pPr>
      <w:r>
        <w:rPr>
          <w:rFonts w:cs="Times New Roman"/>
          <w:b/>
          <w:bCs/>
          <w:color w:val="000000"/>
          <w:kern w:val="0"/>
          <w:szCs w:val="24"/>
        </w:rPr>
        <w:t>（</w:t>
      </w:r>
      <w:r>
        <w:rPr>
          <w:rFonts w:cs="Times New Roman"/>
          <w:b/>
          <w:bCs/>
          <w:color w:val="000000"/>
          <w:szCs w:val="24"/>
        </w:rPr>
        <w:t>7）废水转运过程泄漏</w:t>
      </w:r>
    </w:p>
    <w:p>
      <w:pPr>
        <w:widowControl/>
        <w:ind w:firstLine="480"/>
        <w:rPr>
          <w:rFonts w:cs="Times New Roman"/>
          <w:bCs/>
          <w:color w:val="000000"/>
          <w:szCs w:val="24"/>
        </w:rPr>
      </w:pPr>
      <w:r>
        <w:rPr>
          <w:rFonts w:cs="Times New Roman"/>
          <w:bCs/>
          <w:color w:val="000000"/>
          <w:szCs w:val="24"/>
        </w:rPr>
        <w:t>本项目钻井废水、废压裂返排液及气田水通过罐车转运回用或送至有处理能力和处理资质的单位进行处理。废水转运过程中可能存在罐体泄漏、运输车侧翻导致污水外溢的风险。如途径集中式饮用水水源地、水产种质保护区等特别敏感区域时发生泄漏，将产生一定的影响。</w:t>
      </w:r>
    </w:p>
    <w:p>
      <w:pPr>
        <w:widowControl/>
        <w:ind w:firstLine="482"/>
        <w:rPr>
          <w:rFonts w:cs="Times New Roman"/>
          <w:b/>
          <w:bCs/>
          <w:color w:val="000000"/>
          <w:szCs w:val="24"/>
        </w:rPr>
      </w:pPr>
      <w:r>
        <w:rPr>
          <w:rFonts w:cs="Times New Roman"/>
          <w:b/>
          <w:bCs/>
          <w:color w:val="000000"/>
          <w:kern w:val="0"/>
          <w:szCs w:val="24"/>
        </w:rPr>
        <w:t>（</w:t>
      </w:r>
      <w:r>
        <w:rPr>
          <w:rFonts w:cs="Times New Roman"/>
          <w:b/>
          <w:bCs/>
          <w:color w:val="000000"/>
          <w:szCs w:val="24"/>
        </w:rPr>
        <w:t>8）试采站场及集输管线</w:t>
      </w:r>
    </w:p>
    <w:p>
      <w:pPr>
        <w:widowControl/>
        <w:ind w:firstLine="480"/>
        <w:rPr>
          <w:rFonts w:cs="Times New Roman"/>
          <w:bCs/>
          <w:color w:val="000000"/>
          <w:szCs w:val="24"/>
        </w:rPr>
      </w:pPr>
      <w:r>
        <w:rPr>
          <w:rFonts w:cs="Times New Roman"/>
          <w:bCs/>
          <w:color w:val="000000"/>
          <w:szCs w:val="24"/>
        </w:rPr>
        <w:t>本项目天然气泄漏情形为试采站场内部的管线或设备泄漏。试采站场内部管线为井口~水套加热炉~外输</w:t>
      </w:r>
      <w:r>
        <w:rPr>
          <w:rFonts w:hint="eastAsia" w:cs="Times New Roman"/>
          <w:bCs/>
          <w:color w:val="000000"/>
          <w:szCs w:val="24"/>
          <w:lang w:eastAsia="zh-CN"/>
        </w:rPr>
        <w:t>截至</w:t>
      </w:r>
      <w:r>
        <w:rPr>
          <w:rFonts w:cs="Times New Roman"/>
          <w:bCs/>
          <w:color w:val="000000"/>
          <w:szCs w:val="24"/>
        </w:rPr>
        <w:t>阀，井场可能存在天然气泄漏的设备为撬装卧式分离器。本项目站内集输管线为天然气管线和设备破裂原因为内、外腐蚀作用，母体材料缺陷或焊口缺陷隐患，意外重大的机械损伤或地震、地陷、洪水等自然灾害破坏作用。管线或设备破裂会造成天然气泄漏，本项目井口300m范围内无居民分布，区域大气扩散条件较好，天然气中硫化氢浓度较低，发生泄漏后及时关闭阀门，泄露的天然气量较少，因此天然气泄漏对空气影响较小。</w:t>
      </w:r>
    </w:p>
    <w:p>
      <w:pPr>
        <w:widowControl/>
        <w:ind w:firstLine="482"/>
        <w:rPr>
          <w:rFonts w:cs="Times New Roman"/>
          <w:b/>
          <w:bCs/>
          <w:color w:val="000000"/>
          <w:szCs w:val="24"/>
        </w:rPr>
      </w:pPr>
      <w:r>
        <w:rPr>
          <w:rFonts w:cs="Times New Roman"/>
          <w:b/>
          <w:bCs/>
          <w:color w:val="000000"/>
          <w:kern w:val="0"/>
          <w:szCs w:val="24"/>
        </w:rPr>
        <w:t>（</w:t>
      </w:r>
      <w:r>
        <w:rPr>
          <w:rFonts w:cs="Times New Roman"/>
          <w:b/>
          <w:bCs/>
          <w:color w:val="000000"/>
          <w:szCs w:val="24"/>
        </w:rPr>
        <w:t>8）火灾爆炸引发次生污染</w:t>
      </w:r>
    </w:p>
    <w:p>
      <w:pPr>
        <w:widowControl/>
        <w:ind w:firstLine="480"/>
        <w:rPr>
          <w:rFonts w:cs="Times New Roman"/>
          <w:bCs/>
          <w:color w:val="000000"/>
          <w:szCs w:val="24"/>
        </w:rPr>
      </w:pPr>
      <w:r>
        <w:rPr>
          <w:rFonts w:cs="Times New Roman"/>
          <w:bCs/>
          <w:color w:val="000000"/>
          <w:szCs w:val="24"/>
        </w:rPr>
        <w:t>本项目发生火灾爆炸情形有如下几种：</w:t>
      </w:r>
      <w:r>
        <w:rPr>
          <w:rFonts w:hint="eastAsia" w:ascii="宋体" w:hAnsi="宋体" w:cs="宋体"/>
          <w:bCs/>
          <w:color w:val="000000"/>
          <w:szCs w:val="24"/>
        </w:rPr>
        <w:t>①</w:t>
      </w:r>
      <w:r>
        <w:rPr>
          <w:rFonts w:cs="Times New Roman"/>
          <w:bCs/>
          <w:color w:val="000000"/>
          <w:szCs w:val="24"/>
        </w:rPr>
        <w:t>钻井过程发生井喷失控，天然气逸散到空气中遇明火发生火灾爆炸或主动点火发生火灾爆炸，产生污染物CO、SO</w:t>
      </w:r>
      <w:r>
        <w:rPr>
          <w:rFonts w:cs="Times New Roman"/>
          <w:bCs/>
          <w:color w:val="000000"/>
          <w:szCs w:val="24"/>
          <w:vertAlign w:val="subscript"/>
        </w:rPr>
        <w:t>2</w:t>
      </w:r>
      <w:r>
        <w:rPr>
          <w:rFonts w:cs="Times New Roman"/>
          <w:bCs/>
          <w:color w:val="000000"/>
          <w:szCs w:val="24"/>
        </w:rPr>
        <w:t>进入大气；</w:t>
      </w:r>
      <w:r>
        <w:rPr>
          <w:rFonts w:hint="eastAsia" w:ascii="宋体" w:hAnsi="宋体" w:cs="宋体"/>
          <w:bCs/>
          <w:color w:val="000000"/>
          <w:szCs w:val="24"/>
        </w:rPr>
        <w:t>②</w:t>
      </w:r>
      <w:r>
        <w:rPr>
          <w:rFonts w:cs="Times New Roman"/>
          <w:bCs/>
          <w:color w:val="000000"/>
          <w:szCs w:val="24"/>
        </w:rPr>
        <w:t>施工期柴油泄漏后，遇明火燃烧产生污染物CO进入大气；</w:t>
      </w:r>
      <w:r>
        <w:rPr>
          <w:rFonts w:hint="eastAsia" w:ascii="宋体" w:hAnsi="宋体" w:cs="宋体"/>
          <w:bCs/>
          <w:color w:val="000000"/>
          <w:szCs w:val="24"/>
        </w:rPr>
        <w:t>③</w:t>
      </w:r>
      <w:r>
        <w:rPr>
          <w:rFonts w:cs="Times New Roman"/>
          <w:bCs/>
          <w:color w:val="000000"/>
          <w:szCs w:val="24"/>
        </w:rPr>
        <w:t>试采过程站场或集输管线发生天然气泄漏后，遇明火燃烧产生污染物CO、SO</w:t>
      </w:r>
      <w:r>
        <w:rPr>
          <w:rFonts w:cs="Times New Roman"/>
          <w:bCs/>
          <w:color w:val="000000"/>
          <w:szCs w:val="24"/>
          <w:vertAlign w:val="subscript"/>
        </w:rPr>
        <w:t>2</w:t>
      </w:r>
      <w:r>
        <w:rPr>
          <w:rFonts w:cs="Times New Roman"/>
          <w:bCs/>
          <w:color w:val="000000"/>
          <w:szCs w:val="24"/>
        </w:rPr>
        <w:t>进入大气。</w:t>
      </w:r>
    </w:p>
    <w:p>
      <w:pPr>
        <w:pStyle w:val="4"/>
        <w:ind w:firstLine="241"/>
      </w:pPr>
      <w:bookmarkStart w:id="320" w:name="_Toc120173178"/>
      <w:r>
        <w:rPr>
          <w:rFonts w:hint="eastAsia"/>
        </w:rPr>
        <w:t>6.3.2</w:t>
      </w:r>
      <w:r>
        <w:t>危险物质可能影响环境的途径</w:t>
      </w:r>
      <w:bookmarkEnd w:id="320"/>
    </w:p>
    <w:p>
      <w:pPr>
        <w:widowControl/>
        <w:ind w:firstLine="480"/>
        <w:rPr>
          <w:rFonts w:cs="Times New Roman"/>
          <w:bCs/>
          <w:color w:val="000000"/>
          <w:szCs w:val="24"/>
        </w:rPr>
      </w:pPr>
      <w:r>
        <w:rPr>
          <w:rFonts w:cs="Times New Roman"/>
          <w:bCs/>
          <w:color w:val="000000"/>
          <w:szCs w:val="24"/>
        </w:rPr>
        <w:t>通过以上物质识别、生产系统危险性识别过程可以看出，本项目涉及危险物质的向环境转移的途径主要有：</w:t>
      </w:r>
    </w:p>
    <w:p>
      <w:pPr>
        <w:widowControl/>
        <w:ind w:firstLine="480"/>
        <w:rPr>
          <w:rFonts w:cs="Times New Roman"/>
          <w:bCs/>
          <w:color w:val="000000"/>
          <w:szCs w:val="24"/>
        </w:rPr>
      </w:pPr>
      <w:r>
        <w:rPr>
          <w:rFonts w:cs="Times New Roman"/>
          <w:bCs/>
          <w:color w:val="000000"/>
          <w:szCs w:val="24"/>
        </w:rPr>
        <w:t>（1）井场发生井喷后，天然气进入大气对环境空气的影响；</w:t>
      </w:r>
    </w:p>
    <w:p>
      <w:pPr>
        <w:widowControl/>
        <w:ind w:firstLine="480"/>
        <w:rPr>
          <w:rFonts w:cs="Times New Roman"/>
          <w:bCs/>
          <w:color w:val="000000"/>
          <w:szCs w:val="24"/>
        </w:rPr>
      </w:pPr>
      <w:r>
        <w:rPr>
          <w:rFonts w:cs="Times New Roman"/>
          <w:bCs/>
          <w:color w:val="000000"/>
          <w:szCs w:val="24"/>
        </w:rPr>
        <w:t>（2）井漏如果发生在含水层，则泄漏的泥浆可能会污染含水层；</w:t>
      </w:r>
    </w:p>
    <w:p>
      <w:pPr>
        <w:widowControl/>
        <w:ind w:firstLine="480"/>
        <w:rPr>
          <w:rFonts w:cs="Times New Roman"/>
          <w:bCs/>
          <w:color w:val="000000"/>
          <w:szCs w:val="24"/>
        </w:rPr>
      </w:pPr>
      <w:r>
        <w:rPr>
          <w:rFonts w:cs="Times New Roman"/>
          <w:bCs/>
          <w:color w:val="000000"/>
          <w:szCs w:val="24"/>
        </w:rPr>
        <w:t>（3）柴油泄漏可能污染土壤、地表水和地下水；</w:t>
      </w:r>
    </w:p>
    <w:p>
      <w:pPr>
        <w:widowControl/>
        <w:ind w:firstLine="480"/>
        <w:rPr>
          <w:rFonts w:cs="Times New Roman"/>
          <w:bCs/>
          <w:color w:val="000000"/>
          <w:szCs w:val="24"/>
        </w:rPr>
      </w:pPr>
      <w:r>
        <w:rPr>
          <w:rFonts w:cs="Times New Roman"/>
          <w:bCs/>
          <w:color w:val="000000"/>
          <w:szCs w:val="24"/>
        </w:rPr>
        <w:t>（4）钻井泥浆、压裂液泄漏可能污染地表水、地下水及土壤；</w:t>
      </w:r>
    </w:p>
    <w:p>
      <w:pPr>
        <w:widowControl/>
        <w:ind w:firstLine="480"/>
        <w:rPr>
          <w:rFonts w:cs="Times New Roman"/>
          <w:bCs/>
          <w:color w:val="000000"/>
          <w:szCs w:val="24"/>
        </w:rPr>
      </w:pPr>
      <w:r>
        <w:rPr>
          <w:rFonts w:cs="Times New Roman"/>
          <w:bCs/>
          <w:color w:val="000000"/>
          <w:szCs w:val="24"/>
        </w:rPr>
        <w:t>（5）井场、放喷池、站场废水泄漏可能污染地表水、地下水及土壤；</w:t>
      </w:r>
    </w:p>
    <w:p>
      <w:pPr>
        <w:widowControl/>
        <w:ind w:firstLine="480"/>
        <w:rPr>
          <w:rFonts w:cs="Times New Roman"/>
          <w:bCs/>
          <w:color w:val="000000"/>
          <w:szCs w:val="24"/>
        </w:rPr>
      </w:pPr>
      <w:r>
        <w:rPr>
          <w:rFonts w:cs="Times New Roman"/>
          <w:bCs/>
          <w:color w:val="000000"/>
          <w:szCs w:val="24"/>
        </w:rPr>
        <w:t>（6）盐酸转运和现场储存过程中发生泄漏可能污染地表水、地下水及土壤；</w:t>
      </w:r>
    </w:p>
    <w:p>
      <w:pPr>
        <w:widowControl/>
        <w:ind w:firstLine="480"/>
        <w:rPr>
          <w:rFonts w:cs="Times New Roman"/>
          <w:bCs/>
          <w:color w:val="000000"/>
          <w:szCs w:val="24"/>
        </w:rPr>
      </w:pPr>
      <w:r>
        <w:rPr>
          <w:rFonts w:cs="Times New Roman"/>
          <w:bCs/>
          <w:color w:val="000000"/>
          <w:szCs w:val="24"/>
        </w:rPr>
        <w:t>（7）废水转运过程发生泄漏可能污染地表水、地下水及土壤；</w:t>
      </w:r>
    </w:p>
    <w:p>
      <w:pPr>
        <w:widowControl/>
        <w:ind w:firstLine="480"/>
        <w:rPr>
          <w:rFonts w:cs="Times New Roman"/>
          <w:bCs/>
          <w:color w:val="000000"/>
          <w:szCs w:val="24"/>
        </w:rPr>
      </w:pPr>
      <w:r>
        <w:rPr>
          <w:rFonts w:cs="Times New Roman"/>
          <w:bCs/>
          <w:color w:val="000000"/>
          <w:szCs w:val="24"/>
        </w:rPr>
        <w:t>（8）试采站场及集输管线发生天然气泄漏对环境空气的影响；</w:t>
      </w:r>
    </w:p>
    <w:p>
      <w:pPr>
        <w:widowControl/>
        <w:ind w:firstLine="480"/>
        <w:rPr>
          <w:rFonts w:cs="Times New Roman"/>
          <w:bCs/>
          <w:szCs w:val="24"/>
        </w:rPr>
      </w:pPr>
      <w:r>
        <w:rPr>
          <w:rFonts w:cs="Times New Roman"/>
          <w:bCs/>
          <w:color w:val="000000"/>
          <w:szCs w:val="24"/>
        </w:rPr>
        <w:t>（9）天然气、柴油泄漏后，遇明火燃烧次生污染物CO进入大气对环境空气的</w:t>
      </w:r>
      <w:r>
        <w:rPr>
          <w:rFonts w:cs="Times New Roman"/>
          <w:bCs/>
          <w:szCs w:val="24"/>
        </w:rPr>
        <w:t>影响。</w:t>
      </w:r>
    </w:p>
    <w:p>
      <w:pPr>
        <w:pStyle w:val="3"/>
        <w:rPr>
          <w:color w:val="auto"/>
        </w:rPr>
      </w:pPr>
      <w:bookmarkStart w:id="321" w:name="_Toc474725972"/>
      <w:bookmarkStart w:id="322" w:name="_Toc164667032"/>
      <w:r>
        <w:rPr>
          <w:rFonts w:hint="eastAsia"/>
          <w:color w:val="auto"/>
        </w:rPr>
        <w:t>6.4</w:t>
      </w:r>
      <w:r>
        <w:rPr>
          <w:color w:val="auto"/>
        </w:rPr>
        <w:t>环境风险分析</w:t>
      </w:r>
      <w:bookmarkEnd w:id="321"/>
      <w:bookmarkEnd w:id="322"/>
    </w:p>
    <w:p>
      <w:pPr>
        <w:pStyle w:val="4"/>
        <w:ind w:firstLine="241"/>
        <w:rPr>
          <w:color w:val="auto"/>
        </w:rPr>
      </w:pPr>
      <w:bookmarkStart w:id="323" w:name="_Toc120173180"/>
      <w:bookmarkStart w:id="324" w:name="_Toc120173181"/>
      <w:r>
        <w:rPr>
          <w:rFonts w:hint="eastAsia"/>
          <w:color w:val="auto"/>
        </w:rPr>
        <w:t>6.4.1</w:t>
      </w:r>
      <w:r>
        <w:rPr>
          <w:color w:val="auto"/>
        </w:rPr>
        <w:t>大气环境风险影响分析</w:t>
      </w:r>
      <w:bookmarkEnd w:id="323"/>
    </w:p>
    <w:p>
      <w:pPr>
        <w:widowControl/>
        <w:ind w:firstLine="482"/>
        <w:rPr>
          <w:rFonts w:cs="Times New Roman"/>
          <w:b/>
          <w:szCs w:val="24"/>
        </w:rPr>
      </w:pPr>
      <w:r>
        <w:rPr>
          <w:rFonts w:cs="Times New Roman"/>
          <w:b/>
          <w:szCs w:val="24"/>
        </w:rPr>
        <w:t>（1）井喷环境风险影响分析</w:t>
      </w:r>
    </w:p>
    <w:p>
      <w:pPr>
        <w:widowControl/>
        <w:ind w:firstLine="480"/>
      </w:pPr>
      <w:r>
        <w:rPr>
          <w:rFonts w:hint="eastAsia"/>
        </w:rPr>
        <w:t>1）最大可信事故及概率</w:t>
      </w:r>
    </w:p>
    <w:p>
      <w:pPr>
        <w:pStyle w:val="21"/>
        <w:spacing w:before="0"/>
        <w:ind w:left="0" w:firstLine="480"/>
        <w:jc w:val="both"/>
        <w:rPr>
          <w:rFonts w:ascii="Times New Roman" w:hAnsi="Times New Roman"/>
          <w:bCs/>
          <w:kern w:val="2"/>
          <w:lang w:eastAsia="zh-CN"/>
        </w:rPr>
      </w:pPr>
      <w:r>
        <w:rPr>
          <w:rFonts w:ascii="Times New Roman" w:hAnsi="Times New Roman"/>
          <w:bCs/>
          <w:kern w:val="2"/>
          <w:lang w:eastAsia="zh-CN"/>
        </w:rPr>
        <w:t>最大可信事故是指在所有预测的概率不为零的事故中，对环境（或健康）危害最严重的重大事故。本项目钻井过程中影响最大的风险事故是井喷事故。</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kern w:val="2"/>
          <w:lang w:eastAsia="zh-CN"/>
        </w:rPr>
        <w:t>在钻井或修井过程中，若出现井喷失控，气藏内的天然气在地层压力作用下，将以极高的动能速度从井口喷出，若释放的含硫天然气立即被点火燃烧排放，对环境空气的影响主要是SO</w:t>
      </w:r>
      <w:r>
        <w:rPr>
          <w:rFonts w:ascii="Times New Roman" w:hAnsi="Times New Roman"/>
          <w:bCs/>
          <w:kern w:val="2"/>
          <w:vertAlign w:val="subscript"/>
          <w:lang w:eastAsia="zh-CN"/>
        </w:rPr>
        <w:t>2</w:t>
      </w:r>
      <w:r>
        <w:rPr>
          <w:rFonts w:ascii="Times New Roman" w:hAnsi="Times New Roman"/>
          <w:bCs/>
          <w:kern w:val="2"/>
          <w:lang w:eastAsia="zh-CN"/>
        </w:rPr>
        <w:t>；若释放的含</w:t>
      </w:r>
      <w:r>
        <w:rPr>
          <w:rFonts w:ascii="Times New Roman" w:hAnsi="Times New Roman"/>
          <w:bCs/>
          <w:color w:val="000000" w:themeColor="text1"/>
          <w:kern w:val="2"/>
          <w:lang w:eastAsia="zh-CN"/>
          <w14:textFill>
            <w14:solidFill>
              <w14:schemeClr w14:val="tx1"/>
            </w14:solidFill>
          </w14:textFill>
        </w:rPr>
        <w:t>硫天然气自始自终未遇火源，将在其自身动量与气象条件控制下，喷涌后与空气混合、扩散形成H</w:t>
      </w:r>
      <w:r>
        <w:rPr>
          <w:rFonts w:ascii="Times New Roman" w:hAnsi="Times New Roman"/>
          <w:bCs/>
          <w:color w:val="000000" w:themeColor="text1"/>
          <w:kern w:val="2"/>
          <w:vertAlign w:val="subscript"/>
          <w:lang w:eastAsia="zh-CN"/>
          <w14:textFill>
            <w14:solidFill>
              <w14:schemeClr w14:val="tx1"/>
            </w14:solidFill>
          </w14:textFill>
        </w:rPr>
        <w:t>2</w:t>
      </w:r>
      <w:r>
        <w:rPr>
          <w:rFonts w:ascii="Times New Roman" w:hAnsi="Times New Roman"/>
          <w:bCs/>
          <w:color w:val="000000" w:themeColor="text1"/>
          <w:kern w:val="2"/>
          <w:lang w:eastAsia="zh-CN"/>
          <w14:textFill>
            <w14:solidFill>
              <w14:schemeClr w14:val="tx1"/>
            </w14:solidFill>
          </w14:textFill>
        </w:rPr>
        <w:t>S毒性云团，将造成严重的人员中毒伤亡，并对周围环境造成严重的污染。井喷事故事件树见</w:t>
      </w:r>
      <w:r>
        <w:rPr>
          <w:rFonts w:ascii="Times New Roman" w:hAnsi="Times New Roman"/>
          <w:bCs/>
          <w:color w:val="000000" w:themeColor="text1"/>
          <w:kern w:val="2"/>
          <w:lang w:eastAsia="zh-CN"/>
          <w14:textFill>
            <w14:solidFill>
              <w14:schemeClr w14:val="tx1"/>
            </w14:solidFill>
          </w14:textFill>
        </w:rPr>
        <w:fldChar w:fldCharType="begin"/>
      </w:r>
      <w:r>
        <w:rPr>
          <w:rFonts w:ascii="Times New Roman" w:hAnsi="Times New Roman"/>
          <w:bCs/>
          <w:color w:val="000000" w:themeColor="text1"/>
          <w:kern w:val="2"/>
          <w:lang w:eastAsia="zh-CN"/>
          <w14:textFill>
            <w14:solidFill>
              <w14:schemeClr w14:val="tx1"/>
            </w14:solidFill>
          </w14:textFill>
        </w:rPr>
        <w:instrText xml:space="preserve"> REF _Ref142860210 \h  \* MERGEFORMAT </w:instrText>
      </w:r>
      <w:r>
        <w:rPr>
          <w:rFonts w:ascii="Times New Roman" w:hAnsi="Times New Roman"/>
          <w:bCs/>
          <w:color w:val="000000" w:themeColor="text1"/>
          <w:kern w:val="2"/>
          <w:lang w:eastAsia="zh-CN"/>
          <w14:textFill>
            <w14:solidFill>
              <w14:schemeClr w14:val="tx1"/>
            </w14:solidFill>
          </w14:textFill>
        </w:rPr>
        <w:fldChar w:fldCharType="separate"/>
      </w:r>
      <w:r>
        <w:rPr>
          <w:rFonts w:hint="eastAsia" w:ascii="Times New Roman" w:hAnsi="Times New Roman"/>
          <w:bCs/>
          <w:color w:val="000000" w:themeColor="text1"/>
          <w:kern w:val="2"/>
          <w:lang w:eastAsia="zh-CN"/>
          <w14:textFill>
            <w14:solidFill>
              <w14:schemeClr w14:val="tx1"/>
            </w14:solidFill>
          </w14:textFill>
        </w:rPr>
        <w:t>图</w:t>
      </w:r>
      <w:r>
        <w:rPr>
          <w:rFonts w:ascii="Times New Roman" w:hAnsi="Times New Roman"/>
          <w:bCs/>
          <w:color w:val="000000" w:themeColor="text1"/>
          <w:kern w:val="2"/>
          <w:lang w:eastAsia="zh-CN"/>
          <w14:textFill>
            <w14:solidFill>
              <w14:schemeClr w14:val="tx1"/>
            </w14:solidFill>
          </w14:textFill>
        </w:rPr>
        <w:t>6.4</w:t>
      </w:r>
      <w:r>
        <w:rPr>
          <w:rFonts w:ascii="Times New Roman" w:hAnsi="Times New Roman"/>
          <w:bCs/>
          <w:color w:val="000000" w:themeColor="text1"/>
          <w:kern w:val="2"/>
          <w:lang w:eastAsia="zh-CN"/>
          <w14:textFill>
            <w14:solidFill>
              <w14:schemeClr w14:val="tx1"/>
            </w14:solidFill>
          </w14:textFill>
        </w:rPr>
        <w:noBreakHyphen/>
      </w:r>
      <w:r>
        <w:rPr>
          <w:rFonts w:ascii="Times New Roman" w:hAnsi="Times New Roman"/>
          <w:bCs/>
          <w:color w:val="000000" w:themeColor="text1"/>
          <w:kern w:val="2"/>
          <w:lang w:eastAsia="zh-CN"/>
          <w14:textFill>
            <w14:solidFill>
              <w14:schemeClr w14:val="tx1"/>
            </w14:solidFill>
          </w14:textFill>
        </w:rPr>
        <w:t>1</w:t>
      </w:r>
      <w:r>
        <w:rPr>
          <w:rFonts w:ascii="Times New Roman" w:hAnsi="Times New Roman"/>
          <w:bCs/>
          <w:color w:val="000000" w:themeColor="text1"/>
          <w:kern w:val="2"/>
          <w:lang w:eastAsia="zh-CN"/>
          <w14:textFill>
            <w14:solidFill>
              <w14:schemeClr w14:val="tx1"/>
            </w14:solidFill>
          </w14:textFill>
        </w:rPr>
        <w:fldChar w:fldCharType="end"/>
      </w:r>
      <w:r>
        <w:rPr>
          <w:rFonts w:ascii="Times New Roman" w:hAnsi="Times New Roman"/>
          <w:bCs/>
          <w:color w:val="000000" w:themeColor="text1"/>
          <w:kern w:val="2"/>
          <w:lang w:eastAsia="zh-CN"/>
          <w14:textFill>
            <w14:solidFill>
              <w14:schemeClr w14:val="tx1"/>
            </w14:solidFill>
          </w14:textFill>
        </w:rPr>
        <w:t>。</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综合考虑本项目涉及有毒有害物质中可能发生的事故及产生的影响，本次评价确定的最大可信事故主要为：井喷失控造成含硫化氢天然气释放。</w:t>
      </w:r>
    </w:p>
    <w:p>
      <w:pPr>
        <w:pStyle w:val="92"/>
        <w:rPr>
          <w:color w:val="000000" w:themeColor="text1"/>
          <w14:textFill>
            <w14:solidFill>
              <w14:schemeClr w14:val="tx1"/>
            </w14:solidFill>
          </w14:textFill>
        </w:rPr>
      </w:pPr>
      <w:r>
        <w:rPr>
          <w:rFonts w:eastAsia="宋体"/>
          <w:color w:val="000000" w:themeColor="text1"/>
          <w:lang w:eastAsia="zh-CN"/>
          <w14:textFill>
            <w14:solidFill>
              <w14:schemeClr w14:val="tx1"/>
            </w14:solidFill>
          </w14:textFill>
        </w:rPr>
        <w:drawing>
          <wp:inline distT="0" distB="0" distL="0" distR="0">
            <wp:extent cx="5031740" cy="5320030"/>
            <wp:effectExtent l="0" t="0" r="16510" b="1397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035598" cy="5324038"/>
                    </a:xfrm>
                    <a:prstGeom prst="rect">
                      <a:avLst/>
                    </a:prstGeom>
                    <a:noFill/>
                    <a:ln>
                      <a:noFill/>
                    </a:ln>
                  </pic:spPr>
                </pic:pic>
              </a:graphicData>
            </a:graphic>
          </wp:inline>
        </w:drawing>
      </w:r>
    </w:p>
    <w:p>
      <w:pPr>
        <w:pStyle w:val="161"/>
        <w:rPr>
          <w:color w:val="000000" w:themeColor="text1"/>
          <w14:textFill>
            <w14:solidFill>
              <w14:schemeClr w14:val="tx1"/>
            </w14:solidFill>
          </w14:textFill>
        </w:rPr>
      </w:pPr>
      <w:bookmarkStart w:id="325" w:name="_Ref142860210"/>
      <w:r>
        <w:rPr>
          <w:rFonts w:hint="eastAsia"/>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STYLEREF 2 \s</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SEQ 图 \* ARABIC \s 2</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bookmarkEnd w:id="325"/>
      <w:r>
        <w:rPr>
          <w:color w:val="000000" w:themeColor="text1"/>
          <w14:textFill>
            <w14:solidFill>
              <w14:schemeClr w14:val="tx1"/>
            </w14:solidFill>
          </w14:textFill>
        </w:rPr>
        <w:t xml:space="preserve">  井喷事故事件树</w:t>
      </w:r>
    </w:p>
    <w:p>
      <w:pPr>
        <w:pStyle w:val="21"/>
        <w:ind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2）最大可信事故概率</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据不完全统计，在油气勘探开发的40年间（1950年～1990年），累计发生井喷失控事故230次，占完井总数的2.41‰，其中，井喷失控着火78次，占井喷失控总数的34%，因此，井喷失控的事故率约为0.603×10</w:t>
      </w:r>
      <w:r>
        <w:rPr>
          <w:rFonts w:ascii="Times New Roman" w:hAnsi="Times New Roman"/>
          <w:bCs/>
          <w:color w:val="000000" w:themeColor="text1"/>
          <w:kern w:val="2"/>
          <w:vertAlign w:val="superscript"/>
          <w:lang w:eastAsia="zh-CN"/>
          <w14:textFill>
            <w14:solidFill>
              <w14:schemeClr w14:val="tx1"/>
            </w14:solidFill>
          </w14:textFill>
        </w:rPr>
        <w:t>-4</w:t>
      </w:r>
      <w:r>
        <w:rPr>
          <w:rFonts w:ascii="Times New Roman" w:hAnsi="Times New Roman"/>
          <w:bCs/>
          <w:color w:val="000000" w:themeColor="text1"/>
          <w:kern w:val="2"/>
          <w:lang w:eastAsia="zh-CN"/>
          <w14:textFill>
            <w14:solidFill>
              <w14:schemeClr w14:val="tx1"/>
            </w14:solidFill>
          </w14:textFill>
        </w:rPr>
        <w:t>次/年，其中井喷失控着火的事故率约为0.203×10</w:t>
      </w:r>
      <w:r>
        <w:rPr>
          <w:rFonts w:ascii="Times New Roman" w:hAnsi="Times New Roman"/>
          <w:bCs/>
          <w:color w:val="000000" w:themeColor="text1"/>
          <w:kern w:val="2"/>
          <w:vertAlign w:val="superscript"/>
          <w:lang w:eastAsia="zh-CN"/>
          <w14:textFill>
            <w14:solidFill>
              <w14:schemeClr w14:val="tx1"/>
            </w14:solidFill>
          </w14:textFill>
        </w:rPr>
        <w:t>-4</w:t>
      </w:r>
      <w:r>
        <w:rPr>
          <w:rFonts w:ascii="Times New Roman" w:hAnsi="Times New Roman"/>
          <w:bCs/>
          <w:color w:val="000000" w:themeColor="text1"/>
          <w:kern w:val="2"/>
          <w:lang w:eastAsia="zh-CN"/>
          <w14:textFill>
            <w14:solidFill>
              <w14:schemeClr w14:val="tx1"/>
            </w14:solidFill>
          </w14:textFill>
        </w:rPr>
        <w:t>次/年，未着火的事故率约为0.4×10</w:t>
      </w:r>
      <w:r>
        <w:rPr>
          <w:rFonts w:ascii="Times New Roman" w:hAnsi="Times New Roman"/>
          <w:bCs/>
          <w:color w:val="000000" w:themeColor="text1"/>
          <w:kern w:val="2"/>
          <w:vertAlign w:val="superscript"/>
          <w:lang w:eastAsia="zh-CN"/>
          <w14:textFill>
            <w14:solidFill>
              <w14:schemeClr w14:val="tx1"/>
            </w14:solidFill>
          </w14:textFill>
        </w:rPr>
        <w:t>-4</w:t>
      </w:r>
      <w:r>
        <w:rPr>
          <w:rFonts w:ascii="Times New Roman" w:hAnsi="Times New Roman"/>
          <w:bCs/>
          <w:color w:val="000000" w:themeColor="text1"/>
          <w:kern w:val="2"/>
          <w:lang w:eastAsia="zh-CN"/>
          <w14:textFill>
            <w14:solidFill>
              <w14:schemeClr w14:val="tx1"/>
            </w14:solidFill>
          </w14:textFill>
        </w:rPr>
        <w:t>次/年，其中井喷事故未着火的多数为非含硫气田开发。</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（2）最大可信事故源项</w:t>
      </w:r>
    </w:p>
    <w:p>
      <w:pPr>
        <w:pStyle w:val="21"/>
        <w:ind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发生井喷的过程主要是泥浆溢流→井涌→井喷。根据开发方案和设计单位的解释，在钻井过程中，井下监控发现井内泥浆溢流量达1m</w:t>
      </w:r>
      <w:r>
        <w:rPr>
          <w:rFonts w:ascii="Times New Roman" w:hAnsi="Times New Roman"/>
          <w:bCs/>
          <w:color w:val="000000" w:themeColor="text1"/>
          <w:kern w:val="2"/>
          <w:vertAlign w:val="superscript"/>
          <w:lang w:eastAsia="zh-CN"/>
          <w14:textFill>
            <w14:solidFill>
              <w14:schemeClr w14:val="tx1"/>
            </w14:solidFill>
          </w14:textFill>
        </w:rPr>
        <w:t>3</w:t>
      </w:r>
      <w:r>
        <w:rPr>
          <w:rFonts w:ascii="Times New Roman" w:hAnsi="Times New Roman"/>
          <w:bCs/>
          <w:color w:val="000000" w:themeColor="text1"/>
          <w:kern w:val="2"/>
          <w:lang w:eastAsia="zh-CN"/>
          <w14:textFill>
            <w14:solidFill>
              <w14:schemeClr w14:val="tx1"/>
            </w14:solidFill>
          </w14:textFill>
        </w:rPr>
        <w:t>时报警，达到2m</w:t>
      </w:r>
      <w:r>
        <w:rPr>
          <w:rFonts w:ascii="Times New Roman" w:hAnsi="Times New Roman"/>
          <w:bCs/>
          <w:color w:val="000000" w:themeColor="text1"/>
          <w:kern w:val="2"/>
          <w:vertAlign w:val="superscript"/>
          <w:lang w:eastAsia="zh-CN"/>
          <w14:textFill>
            <w14:solidFill>
              <w14:schemeClr w14:val="tx1"/>
            </w14:solidFill>
          </w14:textFill>
        </w:rPr>
        <w:t>3</w:t>
      </w:r>
      <w:r>
        <w:rPr>
          <w:rFonts w:ascii="Times New Roman" w:hAnsi="Times New Roman"/>
          <w:bCs/>
          <w:color w:val="000000" w:themeColor="text1"/>
          <w:kern w:val="2"/>
          <w:lang w:eastAsia="zh-CN"/>
          <w14:textFill>
            <w14:solidFill>
              <w14:schemeClr w14:val="tx1"/>
            </w14:solidFill>
          </w14:textFill>
        </w:rPr>
        <w:t>时马上采取关井措施。当所有关断措施全部失效，井口失控后，即发生井喷事故。由此看出，井喷不是突如其来的，由发生溢流开始一直到天然气从井口喷出，这段时间大约在20min～60min。在发生井涌开始，井下阀门自动关断时间大约在一分半至三分钟左右，因此可以说，在工程上，天然气从井口喷出后即可通过井场的自动点火装置立即点火，若井场自动点火装置失灵，也可以用点火枪远距离实施点火，从井涌至井喷至少要20min，足够井场工作人员安全撤离并且做好远距离点火准备。在工程技术看，天然气从井口喷出15min内，完全可以实现点火成功。</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天然气喷射速率，将随着井内泥浆液柱的减小而增大，当井内的泥浆喷完后，达到最大喷射释放速率，其值取决于井的最大无阻流量。根据建设单位提供的本项目酸性天然气组分预测见</w:t>
      </w:r>
      <w:r>
        <w:rPr>
          <w:rFonts w:ascii="Times New Roman" w:hAnsi="Times New Roman"/>
          <w:bCs/>
          <w:color w:val="000000" w:themeColor="text1"/>
          <w:kern w:val="2"/>
          <w:lang w:eastAsia="zh-CN"/>
          <w14:textFill>
            <w14:solidFill>
              <w14:schemeClr w14:val="tx1"/>
            </w14:solidFill>
          </w14:textFill>
        </w:rPr>
        <w:fldChar w:fldCharType="begin"/>
      </w:r>
      <w:r>
        <w:rPr>
          <w:rFonts w:ascii="Times New Roman" w:hAnsi="Times New Roman"/>
          <w:bCs/>
          <w:color w:val="000000" w:themeColor="text1"/>
          <w:kern w:val="2"/>
          <w:lang w:eastAsia="zh-CN"/>
          <w14:textFill>
            <w14:solidFill>
              <w14:schemeClr w14:val="tx1"/>
            </w14:solidFill>
          </w14:textFill>
        </w:rPr>
        <w:instrText xml:space="preserve"> REF _Ref142859204 \h  \* MERGEFORMAT </w:instrText>
      </w:r>
      <w:r>
        <w:rPr>
          <w:rFonts w:ascii="Times New Roman" w:hAnsi="Times New Roman"/>
          <w:bCs/>
          <w:color w:val="000000" w:themeColor="text1"/>
          <w:kern w:val="2"/>
          <w:lang w:eastAsia="zh-CN"/>
          <w14:textFill>
            <w14:solidFill>
              <w14:schemeClr w14:val="tx1"/>
            </w14:solidFill>
          </w14:textFill>
        </w:rPr>
        <w:fldChar w:fldCharType="separate"/>
      </w:r>
      <w:r>
        <w:rPr>
          <w:rFonts w:hint="eastAsia" w:ascii="Times New Roman" w:hAnsi="Times New Roman"/>
          <w:bCs/>
          <w:color w:val="000000" w:themeColor="text1"/>
          <w:kern w:val="2"/>
          <w:lang w:eastAsia="zh-CN"/>
          <w14:textFill>
            <w14:solidFill>
              <w14:schemeClr w14:val="tx1"/>
            </w14:solidFill>
          </w14:textFill>
        </w:rPr>
        <w:t>表</w:t>
      </w:r>
      <w:r>
        <w:rPr>
          <w:rFonts w:ascii="Times New Roman" w:hAnsi="Times New Roman"/>
          <w:bCs/>
          <w:color w:val="000000" w:themeColor="text1"/>
          <w:kern w:val="2"/>
          <w:lang w:eastAsia="zh-CN"/>
          <w14:textFill>
            <w14:solidFill>
              <w14:schemeClr w14:val="tx1"/>
            </w14:solidFill>
          </w14:textFill>
        </w:rPr>
        <w:t>6.4</w:t>
      </w:r>
      <w:r>
        <w:rPr>
          <w:rFonts w:ascii="Times New Roman" w:hAnsi="Times New Roman"/>
          <w:bCs/>
          <w:color w:val="000000" w:themeColor="text1"/>
          <w:kern w:val="2"/>
          <w:lang w:eastAsia="zh-CN"/>
          <w14:textFill>
            <w14:solidFill>
              <w14:schemeClr w14:val="tx1"/>
            </w14:solidFill>
          </w14:textFill>
        </w:rPr>
        <w:noBreakHyphen/>
      </w:r>
      <w:r>
        <w:rPr>
          <w:rFonts w:ascii="Times New Roman" w:hAnsi="Times New Roman"/>
          <w:bCs/>
          <w:color w:val="000000" w:themeColor="text1"/>
          <w:kern w:val="2"/>
          <w:lang w:eastAsia="zh-CN"/>
          <w14:textFill>
            <w14:solidFill>
              <w14:schemeClr w14:val="tx1"/>
            </w14:solidFill>
          </w14:textFill>
        </w:rPr>
        <w:t>1</w:t>
      </w:r>
      <w:r>
        <w:rPr>
          <w:rFonts w:ascii="Times New Roman" w:hAnsi="Times New Roman"/>
          <w:bCs/>
          <w:color w:val="000000" w:themeColor="text1"/>
          <w:kern w:val="2"/>
          <w:lang w:eastAsia="zh-CN"/>
          <w14:textFill>
            <w14:solidFill>
              <w14:schemeClr w14:val="tx1"/>
            </w14:solidFill>
          </w14:textFill>
        </w:rPr>
        <w:fldChar w:fldCharType="end"/>
      </w:r>
      <w:r>
        <w:rPr>
          <w:rFonts w:ascii="Times New Roman" w:hAnsi="Times New Roman"/>
          <w:bCs/>
          <w:color w:val="000000" w:themeColor="text1"/>
          <w:kern w:val="2"/>
          <w:lang w:eastAsia="zh-CN"/>
          <w14:textFill>
            <w14:solidFill>
              <w14:schemeClr w14:val="tx1"/>
            </w14:solidFill>
          </w14:textFill>
        </w:rPr>
        <w:t>。</w:t>
      </w:r>
    </w:p>
    <w:p>
      <w:pPr>
        <w:pStyle w:val="200"/>
        <w:spacing w:before="120"/>
        <w:rPr>
          <w:color w:val="000000" w:themeColor="text1"/>
          <w14:textFill>
            <w14:solidFill>
              <w14:schemeClr w14:val="tx1"/>
            </w14:solidFill>
          </w14:textFill>
        </w:rPr>
      </w:pPr>
      <w:bookmarkStart w:id="326" w:name="_Ref142859204"/>
      <w:r>
        <w:rPr>
          <w:rFonts w:hint="eastAsia"/>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STYLEREF 2 \s</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SEQ 表 \* ARABIC \s 2</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bookmarkEnd w:id="326"/>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本项目天然气组分统计表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31"/>
        <w:gridCol w:w="1095"/>
        <w:gridCol w:w="1310"/>
        <w:gridCol w:w="1310"/>
        <w:gridCol w:w="1310"/>
        <w:gridCol w:w="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4" w:type="pct"/>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组分</w:t>
            </w:r>
          </w:p>
        </w:tc>
        <w:tc>
          <w:tcPr>
            <w:tcW w:w="642" w:type="pct"/>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CO</w:t>
            </w:r>
            <w:r>
              <w:rPr>
                <w:b/>
                <w:bCs/>
                <w:color w:val="000000" w:themeColor="text1"/>
                <w:vertAlign w:val="subscript"/>
                <w14:textFill>
                  <w14:solidFill>
                    <w14:schemeClr w14:val="tx1"/>
                  </w14:solidFill>
                </w14:textFill>
              </w:rPr>
              <w:t>2</w:t>
            </w:r>
          </w:p>
        </w:tc>
        <w:tc>
          <w:tcPr>
            <w:tcW w:w="768" w:type="pct"/>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H</w:t>
            </w:r>
            <w:r>
              <w:rPr>
                <w:b/>
                <w:bCs/>
                <w:color w:val="000000" w:themeColor="text1"/>
                <w:vertAlign w:val="subscript"/>
                <w14:textFill>
                  <w14:solidFill>
                    <w14:schemeClr w14:val="tx1"/>
                  </w14:solidFill>
                </w14:textFill>
              </w:rPr>
              <w:t>2</w:t>
            </w:r>
            <w:r>
              <w:rPr>
                <w:b/>
                <w:bCs/>
                <w:color w:val="000000" w:themeColor="text1"/>
                <w14:textFill>
                  <w14:solidFill>
                    <w14:schemeClr w14:val="tx1"/>
                  </w14:solidFill>
                </w14:textFill>
              </w:rPr>
              <w:t>S</w:t>
            </w:r>
          </w:p>
        </w:tc>
        <w:tc>
          <w:tcPr>
            <w:tcW w:w="768" w:type="pct"/>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CH</w:t>
            </w:r>
            <w:r>
              <w:rPr>
                <w:b/>
                <w:bCs/>
                <w:color w:val="000000" w:themeColor="text1"/>
                <w:vertAlign w:val="subscript"/>
                <w14:textFill>
                  <w14:solidFill>
                    <w14:schemeClr w14:val="tx1"/>
                  </w14:solidFill>
                </w14:textFill>
              </w:rPr>
              <w:t>4</w:t>
            </w:r>
          </w:p>
        </w:tc>
        <w:tc>
          <w:tcPr>
            <w:tcW w:w="768" w:type="pct"/>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C</w:t>
            </w:r>
            <w:r>
              <w:rPr>
                <w:b/>
                <w:bCs/>
                <w:color w:val="000000" w:themeColor="text1"/>
                <w:vertAlign w:val="subscript"/>
                <w14:textFill>
                  <w14:solidFill>
                    <w14:schemeClr w14:val="tx1"/>
                  </w14:solidFill>
                </w14:textFill>
              </w:rPr>
              <w:t>2</w:t>
            </w:r>
            <w:r>
              <w:rPr>
                <w:b/>
                <w:bCs/>
                <w:color w:val="000000" w:themeColor="text1"/>
                <w14:textFill>
                  <w14:solidFill>
                    <w14:schemeClr w14:val="tx1"/>
                  </w14:solidFill>
                </w14:textFill>
              </w:rPr>
              <w:t>H</w:t>
            </w:r>
            <w:r>
              <w:rPr>
                <w:b/>
                <w:bCs/>
                <w:color w:val="000000" w:themeColor="text1"/>
                <w:vertAlign w:val="subscript"/>
                <w14:textFill>
                  <w14:solidFill>
                    <w14:schemeClr w14:val="tx1"/>
                  </w14:solidFill>
                </w14:textFill>
              </w:rPr>
              <w:t>6</w:t>
            </w:r>
          </w:p>
        </w:tc>
        <w:tc>
          <w:tcPr>
            <w:tcW w:w="569" w:type="pct"/>
            <w:vAlign w:val="center"/>
          </w:tcPr>
          <w:p>
            <w:pPr>
              <w:pStyle w:val="29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N</w:t>
            </w:r>
            <w:r>
              <w:rPr>
                <w:b/>
                <w:bCs/>
                <w:color w:val="000000" w:themeColor="text1"/>
                <w:vertAlign w:val="subscript"/>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4" w:type="pct"/>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含量（mol%）</w:t>
            </w:r>
          </w:p>
        </w:tc>
        <w:tc>
          <w:tcPr>
            <w:tcW w:w="642" w:type="pct"/>
            <w:vAlign w:val="center"/>
          </w:tcPr>
          <w:p>
            <w:pPr>
              <w:pStyle w:val="294"/>
              <w:rPr>
                <w:color w:val="000000" w:themeColor="text1"/>
                <w14:textFill>
                  <w14:solidFill>
                    <w14:schemeClr w14:val="tx1"/>
                  </w14:solidFill>
                </w14:textFill>
              </w:rPr>
            </w:pPr>
            <w:r>
              <w:rPr>
                <w:rFonts w:hint="eastAsia"/>
                <w:color w:val="000000" w:themeColor="text1"/>
                <w14:textFill>
                  <w14:solidFill>
                    <w14:schemeClr w14:val="tx1"/>
                  </w14:solidFill>
                </w14:textFill>
              </w:rPr>
              <w:t>8.64</w:t>
            </w:r>
          </w:p>
        </w:tc>
        <w:tc>
          <w:tcPr>
            <w:tcW w:w="768" w:type="pct"/>
            <w:vAlign w:val="center"/>
          </w:tcPr>
          <w:p>
            <w:pPr>
              <w:pStyle w:val="294"/>
              <w:rPr>
                <w:color w:val="000000" w:themeColor="text1"/>
                <w14:textFill>
                  <w14:solidFill>
                    <w14:schemeClr w14:val="tx1"/>
                  </w14:solidFill>
                </w14:textFill>
              </w:rPr>
            </w:pPr>
            <w:r>
              <w:rPr>
                <w:rFonts w:hint="eastAsia"/>
                <w:color w:val="000000" w:themeColor="text1"/>
                <w14:textFill>
                  <w14:solidFill>
                    <w14:schemeClr w14:val="tx1"/>
                  </w14:solidFill>
                </w14:textFill>
              </w:rPr>
              <w:t>15.16</w:t>
            </w:r>
          </w:p>
        </w:tc>
        <w:tc>
          <w:tcPr>
            <w:tcW w:w="768" w:type="pct"/>
            <w:vAlign w:val="center"/>
          </w:tcPr>
          <w:p>
            <w:pPr>
              <w:pStyle w:val="294"/>
              <w:rPr>
                <w:color w:val="000000" w:themeColor="text1"/>
                <w14:textFill>
                  <w14:solidFill>
                    <w14:schemeClr w14:val="tx1"/>
                  </w14:solidFill>
                </w14:textFill>
              </w:rPr>
            </w:pPr>
            <w:r>
              <w:rPr>
                <w:rFonts w:hint="eastAsia"/>
                <w:color w:val="000000" w:themeColor="text1"/>
                <w14:textFill>
                  <w14:solidFill>
                    <w14:schemeClr w14:val="tx1"/>
                  </w14:solidFill>
                </w14:textFill>
              </w:rPr>
              <w:t>73.02</w:t>
            </w:r>
          </w:p>
        </w:tc>
        <w:tc>
          <w:tcPr>
            <w:tcW w:w="768" w:type="pct"/>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0.03</w:t>
            </w:r>
          </w:p>
        </w:tc>
        <w:tc>
          <w:tcPr>
            <w:tcW w:w="569" w:type="pct"/>
            <w:vAlign w:val="center"/>
          </w:tcPr>
          <w:p>
            <w:pPr>
              <w:pStyle w:val="294"/>
              <w:rPr>
                <w:color w:val="000000" w:themeColor="text1"/>
                <w14:textFill>
                  <w14:solidFill>
                    <w14:schemeClr w14:val="tx1"/>
                  </w14:solidFill>
                </w14:textFill>
              </w:rPr>
            </w:pPr>
            <w:r>
              <w:rPr>
                <w:rFonts w:hint="eastAsia"/>
                <w:color w:val="000000" w:themeColor="text1"/>
                <w14:textFill>
                  <w14:solidFill>
                    <w14:schemeClr w14:val="tx1"/>
                  </w14:solidFill>
                </w14:textFill>
              </w:rPr>
              <w:t>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4" w:type="pct"/>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组分</w:t>
            </w:r>
          </w:p>
        </w:tc>
        <w:tc>
          <w:tcPr>
            <w:tcW w:w="642" w:type="pct"/>
            <w:vAlign w:val="center"/>
          </w:tcPr>
          <w:p>
            <w:pPr>
              <w:pStyle w:val="29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H</w:t>
            </w:r>
            <w:r>
              <w:rPr>
                <w:rFonts w:hint="eastAsia"/>
                <w:b/>
                <w:bCs/>
                <w:color w:val="000000" w:themeColor="text1"/>
                <w:vertAlign w:val="subscript"/>
                <w14:textFill>
                  <w14:solidFill>
                    <w14:schemeClr w14:val="tx1"/>
                  </w14:solidFill>
                </w14:textFill>
              </w:rPr>
              <w:t>2</w:t>
            </w:r>
          </w:p>
        </w:tc>
        <w:tc>
          <w:tcPr>
            <w:tcW w:w="768" w:type="pct"/>
            <w:vAlign w:val="center"/>
          </w:tcPr>
          <w:p>
            <w:pPr>
              <w:pStyle w:val="29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He</w:t>
            </w:r>
          </w:p>
        </w:tc>
        <w:tc>
          <w:tcPr>
            <w:tcW w:w="768" w:type="pct"/>
            <w:vAlign w:val="center"/>
          </w:tcPr>
          <w:p>
            <w:pPr>
              <w:pStyle w:val="294"/>
              <w:rPr>
                <w:b/>
                <w:bCs/>
                <w:color w:val="000000" w:themeColor="text1"/>
                <w14:textFill>
                  <w14:solidFill>
                    <w14:schemeClr w14:val="tx1"/>
                  </w14:solidFill>
                </w14:textFill>
              </w:rPr>
            </w:pPr>
          </w:p>
        </w:tc>
        <w:tc>
          <w:tcPr>
            <w:tcW w:w="768" w:type="pct"/>
            <w:vAlign w:val="center"/>
          </w:tcPr>
          <w:p>
            <w:pPr>
              <w:pStyle w:val="294"/>
              <w:rPr>
                <w:color w:val="000000" w:themeColor="text1"/>
                <w14:textFill>
                  <w14:solidFill>
                    <w14:schemeClr w14:val="tx1"/>
                  </w14:solidFill>
                </w14:textFill>
              </w:rPr>
            </w:pPr>
          </w:p>
        </w:tc>
        <w:tc>
          <w:tcPr>
            <w:tcW w:w="569" w:type="pct"/>
            <w:vAlign w:val="center"/>
          </w:tcPr>
          <w:p>
            <w:pPr>
              <w:pStyle w:val="294"/>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4" w:type="pct"/>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含量（mol%）</w:t>
            </w:r>
          </w:p>
        </w:tc>
        <w:tc>
          <w:tcPr>
            <w:tcW w:w="642" w:type="pct"/>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0.1</w:t>
            </w:r>
          </w:p>
        </w:tc>
        <w:tc>
          <w:tcPr>
            <w:tcW w:w="768" w:type="pct"/>
            <w:vAlign w:val="center"/>
          </w:tcPr>
          <w:p>
            <w:pPr>
              <w:pStyle w:val="294"/>
              <w:rPr>
                <w:color w:val="000000" w:themeColor="text1"/>
                <w14:textFill>
                  <w14:solidFill>
                    <w14:schemeClr w14:val="tx1"/>
                  </w14:solidFill>
                </w14:textFill>
              </w:rPr>
            </w:pPr>
            <w:r>
              <w:rPr>
                <w:rFonts w:hint="eastAsia"/>
                <w:color w:val="000000" w:themeColor="text1"/>
                <w14:textFill>
                  <w14:solidFill>
                    <w14:schemeClr w14:val="tx1"/>
                  </w14:solidFill>
                </w14:textFill>
              </w:rPr>
              <w:t>0.02</w:t>
            </w:r>
          </w:p>
        </w:tc>
        <w:tc>
          <w:tcPr>
            <w:tcW w:w="768" w:type="pct"/>
            <w:vAlign w:val="center"/>
          </w:tcPr>
          <w:p>
            <w:pPr>
              <w:pStyle w:val="294"/>
              <w:rPr>
                <w:color w:val="000000" w:themeColor="text1"/>
                <w14:textFill>
                  <w14:solidFill>
                    <w14:schemeClr w14:val="tx1"/>
                  </w14:solidFill>
                </w14:textFill>
              </w:rPr>
            </w:pPr>
          </w:p>
        </w:tc>
        <w:tc>
          <w:tcPr>
            <w:tcW w:w="768" w:type="pct"/>
            <w:vAlign w:val="center"/>
          </w:tcPr>
          <w:p>
            <w:pPr>
              <w:pStyle w:val="294"/>
              <w:rPr>
                <w:color w:val="000000" w:themeColor="text1"/>
                <w14:textFill>
                  <w14:solidFill>
                    <w14:schemeClr w14:val="tx1"/>
                  </w14:solidFill>
                </w14:textFill>
              </w:rPr>
            </w:pPr>
          </w:p>
        </w:tc>
        <w:tc>
          <w:tcPr>
            <w:tcW w:w="569" w:type="pct"/>
            <w:vAlign w:val="center"/>
          </w:tcPr>
          <w:p>
            <w:pPr>
              <w:pStyle w:val="294"/>
              <w:rPr>
                <w:color w:val="000000" w:themeColor="text1"/>
                <w14:textFill>
                  <w14:solidFill>
                    <w14:schemeClr w14:val="tx1"/>
                  </w14:solidFill>
                </w14:textFill>
              </w:rPr>
            </w:pPr>
          </w:p>
        </w:tc>
      </w:tr>
    </w:tbl>
    <w:p>
      <w:pPr>
        <w:pStyle w:val="21"/>
        <w:spacing w:before="120"/>
        <w:ind w:left="136"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根据企业提供的资料，预计本项目可能放喷的最大天然气流量为</w:t>
      </w:r>
      <w:r>
        <w:rPr>
          <w:rFonts w:hint="eastAsia" w:ascii="Times New Roman" w:hAnsi="Times New Roman"/>
          <w:bCs/>
          <w:color w:val="000000" w:themeColor="text1"/>
          <w:kern w:val="2"/>
          <w:lang w:eastAsia="zh-CN"/>
          <w14:textFill>
            <w14:solidFill>
              <w14:schemeClr w14:val="tx1"/>
            </w14:solidFill>
          </w14:textFill>
        </w:rPr>
        <w:t>30</w:t>
      </w:r>
      <w:r>
        <w:rPr>
          <w:rFonts w:ascii="Times New Roman" w:hAnsi="Times New Roman"/>
          <w:bCs/>
          <w:color w:val="000000" w:themeColor="text1"/>
          <w:kern w:val="2"/>
          <w:lang w:eastAsia="zh-CN"/>
          <w14:textFill>
            <w14:solidFill>
              <w14:schemeClr w14:val="tx1"/>
            </w14:solidFill>
          </w14:textFill>
        </w:rPr>
        <w:t>×10</w:t>
      </w:r>
      <w:r>
        <w:rPr>
          <w:rFonts w:ascii="Times New Roman" w:hAnsi="Times New Roman"/>
          <w:bCs/>
          <w:color w:val="000000" w:themeColor="text1"/>
          <w:kern w:val="2"/>
          <w:vertAlign w:val="superscript"/>
          <w:lang w:eastAsia="zh-CN"/>
          <w14:textFill>
            <w14:solidFill>
              <w14:schemeClr w14:val="tx1"/>
            </w14:solidFill>
          </w14:textFill>
        </w:rPr>
        <w:t>4</w:t>
      </w:r>
      <w:r>
        <w:rPr>
          <w:rFonts w:ascii="Times New Roman" w:hAnsi="Times New Roman"/>
          <w:bCs/>
          <w:color w:val="000000" w:themeColor="text1"/>
          <w:kern w:val="2"/>
          <w:lang w:eastAsia="zh-CN"/>
          <w14:textFill>
            <w14:solidFill>
              <w14:schemeClr w14:val="tx1"/>
            </w14:solidFill>
          </w14:textFill>
        </w:rPr>
        <w:t>m</w:t>
      </w:r>
      <w:r>
        <w:rPr>
          <w:rFonts w:ascii="Times New Roman" w:hAnsi="Times New Roman"/>
          <w:bCs/>
          <w:color w:val="000000" w:themeColor="text1"/>
          <w:kern w:val="2"/>
          <w:vertAlign w:val="superscript"/>
          <w:lang w:eastAsia="zh-CN"/>
          <w14:textFill>
            <w14:solidFill>
              <w14:schemeClr w14:val="tx1"/>
            </w14:solidFill>
          </w14:textFill>
        </w:rPr>
        <w:t>3</w:t>
      </w:r>
      <w:r>
        <w:rPr>
          <w:rFonts w:ascii="Times New Roman" w:hAnsi="Times New Roman"/>
          <w:bCs/>
          <w:color w:val="000000" w:themeColor="text1"/>
          <w:kern w:val="2"/>
          <w:lang w:eastAsia="zh-CN"/>
          <w14:textFill>
            <w14:solidFill>
              <w14:schemeClr w14:val="tx1"/>
            </w14:solidFill>
          </w14:textFill>
        </w:rPr>
        <w:t>/d（酸化压裂前最大无阻流量），根据《含硫化氢天然气井失控井口点火时间规定》（AQ2016-2008），含H</w:t>
      </w:r>
      <w:r>
        <w:rPr>
          <w:rFonts w:ascii="Times New Roman" w:hAnsi="Times New Roman"/>
          <w:bCs/>
          <w:color w:val="000000" w:themeColor="text1"/>
          <w:kern w:val="2"/>
          <w:vertAlign w:val="subscript"/>
          <w:lang w:eastAsia="zh-CN"/>
          <w14:textFill>
            <w14:solidFill>
              <w14:schemeClr w14:val="tx1"/>
            </w14:solidFill>
          </w14:textFill>
        </w:rPr>
        <w:t>2</w:t>
      </w:r>
      <w:r>
        <w:rPr>
          <w:rFonts w:ascii="Times New Roman" w:hAnsi="Times New Roman"/>
          <w:bCs/>
          <w:color w:val="000000" w:themeColor="text1"/>
          <w:kern w:val="2"/>
          <w:lang w:eastAsia="zh-CN"/>
          <w14:textFill>
            <w14:solidFill>
              <w14:schemeClr w14:val="tx1"/>
            </w14:solidFill>
          </w14:textFill>
        </w:rPr>
        <w:t>S天然气井发生井喷，至少应在15min内实施井口点火（中国石化普光气田开发及川气东送管道工程普光气田开发工程环境风险评价专题报告中提出了落实发生井喷失控（或放喷）时5分钟内实施点火、30分钟内紧急疏散伤害浓度范围内居民的措施，本项目保守考虑仍以15min内实施井口点火为源强进行评价分析）。类比普光气田现有管理规定，按照井喷后15min点火，点火前主要污染物是H</w:t>
      </w:r>
      <w:r>
        <w:rPr>
          <w:rFonts w:ascii="Times New Roman" w:hAnsi="Times New Roman"/>
          <w:bCs/>
          <w:color w:val="000000" w:themeColor="text1"/>
          <w:kern w:val="2"/>
          <w:vertAlign w:val="subscript"/>
          <w:lang w:eastAsia="zh-CN"/>
          <w14:textFill>
            <w14:solidFill>
              <w14:schemeClr w14:val="tx1"/>
            </w14:solidFill>
          </w14:textFill>
        </w:rPr>
        <w:t>2</w:t>
      </w:r>
      <w:r>
        <w:rPr>
          <w:rFonts w:ascii="Times New Roman" w:hAnsi="Times New Roman"/>
          <w:bCs/>
          <w:color w:val="000000" w:themeColor="text1"/>
          <w:kern w:val="2"/>
          <w:lang w:eastAsia="zh-CN"/>
          <w14:textFill>
            <w14:solidFill>
              <w14:schemeClr w14:val="tx1"/>
            </w14:solidFill>
          </w14:textFill>
        </w:rPr>
        <w:t>S，点火后主要污染物是SO</w:t>
      </w:r>
      <w:r>
        <w:rPr>
          <w:rFonts w:ascii="Times New Roman" w:hAnsi="Times New Roman"/>
          <w:bCs/>
          <w:color w:val="000000" w:themeColor="text1"/>
          <w:kern w:val="2"/>
          <w:vertAlign w:val="subscript"/>
          <w:lang w:eastAsia="zh-CN"/>
          <w14:textFill>
            <w14:solidFill>
              <w14:schemeClr w14:val="tx1"/>
            </w14:solidFill>
          </w14:textFill>
        </w:rPr>
        <w:t>2</w:t>
      </w:r>
      <w:r>
        <w:rPr>
          <w:rFonts w:ascii="Times New Roman" w:hAnsi="Times New Roman"/>
          <w:bCs/>
          <w:color w:val="000000" w:themeColor="text1"/>
          <w:kern w:val="2"/>
          <w:lang w:eastAsia="zh-CN"/>
          <w14:textFill>
            <w14:solidFill>
              <w14:schemeClr w14:val="tx1"/>
            </w14:solidFill>
          </w14:textFill>
        </w:rPr>
        <w:t>。</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本项目井喷点火前释放的H</w:t>
      </w:r>
      <w:r>
        <w:rPr>
          <w:rFonts w:ascii="Times New Roman" w:hAnsi="Times New Roman"/>
          <w:bCs/>
          <w:color w:val="000000" w:themeColor="text1"/>
          <w:kern w:val="2"/>
          <w:vertAlign w:val="subscript"/>
          <w:lang w:eastAsia="zh-CN"/>
          <w14:textFill>
            <w14:solidFill>
              <w14:schemeClr w14:val="tx1"/>
            </w14:solidFill>
          </w14:textFill>
        </w:rPr>
        <w:t>2</w:t>
      </w:r>
      <w:r>
        <w:rPr>
          <w:rFonts w:ascii="Times New Roman" w:hAnsi="Times New Roman"/>
          <w:bCs/>
          <w:color w:val="000000" w:themeColor="text1"/>
          <w:kern w:val="2"/>
          <w:lang w:eastAsia="zh-CN"/>
          <w14:textFill>
            <w14:solidFill>
              <w14:schemeClr w14:val="tx1"/>
            </w14:solidFill>
          </w14:textFill>
        </w:rPr>
        <w:t>S及甲烷源强见</w:t>
      </w:r>
      <w:r>
        <w:rPr>
          <w:rFonts w:ascii="Times New Roman" w:hAnsi="Times New Roman"/>
          <w:bCs/>
          <w:color w:val="000000" w:themeColor="text1"/>
          <w:kern w:val="2"/>
          <w:lang w:eastAsia="zh-CN"/>
          <w14:textFill>
            <w14:solidFill>
              <w14:schemeClr w14:val="tx1"/>
            </w14:solidFill>
          </w14:textFill>
        </w:rPr>
        <w:fldChar w:fldCharType="begin"/>
      </w:r>
      <w:r>
        <w:rPr>
          <w:rFonts w:ascii="Times New Roman" w:hAnsi="Times New Roman"/>
          <w:bCs/>
          <w:color w:val="000000" w:themeColor="text1"/>
          <w:kern w:val="2"/>
          <w:lang w:eastAsia="zh-CN"/>
          <w14:textFill>
            <w14:solidFill>
              <w14:schemeClr w14:val="tx1"/>
            </w14:solidFill>
          </w14:textFill>
        </w:rPr>
        <w:instrText xml:space="preserve"> REF _Ref142859210 \h  \* MERGEFORMAT </w:instrText>
      </w:r>
      <w:r>
        <w:rPr>
          <w:rFonts w:ascii="Times New Roman" w:hAnsi="Times New Roman"/>
          <w:bCs/>
          <w:color w:val="000000" w:themeColor="text1"/>
          <w:kern w:val="2"/>
          <w:lang w:eastAsia="zh-CN"/>
          <w14:textFill>
            <w14:solidFill>
              <w14:schemeClr w14:val="tx1"/>
            </w14:solidFill>
          </w14:textFill>
        </w:rPr>
        <w:fldChar w:fldCharType="separate"/>
      </w:r>
      <w:r>
        <w:rPr>
          <w:rFonts w:hint="eastAsia" w:ascii="Times New Roman" w:hAnsi="Times New Roman"/>
          <w:bCs/>
          <w:color w:val="000000" w:themeColor="text1"/>
          <w:kern w:val="2"/>
          <w:lang w:eastAsia="zh-CN"/>
          <w14:textFill>
            <w14:solidFill>
              <w14:schemeClr w14:val="tx1"/>
            </w14:solidFill>
          </w14:textFill>
        </w:rPr>
        <w:t>表</w:t>
      </w:r>
      <w:r>
        <w:rPr>
          <w:rFonts w:ascii="Times New Roman" w:hAnsi="Times New Roman"/>
          <w:bCs/>
          <w:color w:val="000000" w:themeColor="text1"/>
          <w:kern w:val="2"/>
          <w:lang w:eastAsia="zh-CN"/>
          <w14:textFill>
            <w14:solidFill>
              <w14:schemeClr w14:val="tx1"/>
            </w14:solidFill>
          </w14:textFill>
        </w:rPr>
        <w:t>6.4</w:t>
      </w:r>
      <w:r>
        <w:rPr>
          <w:rFonts w:ascii="Times New Roman" w:hAnsi="Times New Roman"/>
          <w:bCs/>
          <w:color w:val="000000" w:themeColor="text1"/>
          <w:kern w:val="2"/>
          <w:lang w:eastAsia="zh-CN"/>
          <w14:textFill>
            <w14:solidFill>
              <w14:schemeClr w14:val="tx1"/>
            </w14:solidFill>
          </w14:textFill>
        </w:rPr>
        <w:noBreakHyphen/>
      </w:r>
      <w:r>
        <w:rPr>
          <w:rFonts w:ascii="Times New Roman" w:hAnsi="Times New Roman"/>
          <w:bCs/>
          <w:color w:val="000000" w:themeColor="text1"/>
          <w:kern w:val="2"/>
          <w:lang w:eastAsia="zh-CN"/>
          <w14:textFill>
            <w14:solidFill>
              <w14:schemeClr w14:val="tx1"/>
            </w14:solidFill>
          </w14:textFill>
        </w:rPr>
        <w:t>2</w:t>
      </w:r>
      <w:r>
        <w:rPr>
          <w:rFonts w:ascii="Times New Roman" w:hAnsi="Times New Roman"/>
          <w:bCs/>
          <w:color w:val="000000" w:themeColor="text1"/>
          <w:kern w:val="2"/>
          <w:lang w:eastAsia="zh-CN"/>
          <w14:textFill>
            <w14:solidFill>
              <w14:schemeClr w14:val="tx1"/>
            </w14:solidFill>
          </w14:textFill>
        </w:rPr>
        <w:fldChar w:fldCharType="end"/>
      </w:r>
      <w:r>
        <w:rPr>
          <w:rFonts w:ascii="Times New Roman" w:hAnsi="Times New Roman"/>
          <w:bCs/>
          <w:color w:val="000000" w:themeColor="text1"/>
          <w:kern w:val="2"/>
          <w:lang w:eastAsia="zh-CN"/>
          <w14:textFill>
            <w14:solidFill>
              <w14:schemeClr w14:val="tx1"/>
            </w14:solidFill>
          </w14:textFill>
        </w:rPr>
        <w:t>。</w:t>
      </w:r>
    </w:p>
    <w:p>
      <w:pPr>
        <w:pStyle w:val="200"/>
        <w:spacing w:before="120"/>
        <w:rPr>
          <w:color w:val="000000" w:themeColor="text1"/>
          <w14:textFill>
            <w14:solidFill>
              <w14:schemeClr w14:val="tx1"/>
            </w14:solidFill>
          </w14:textFill>
        </w:rPr>
      </w:pPr>
      <w:bookmarkStart w:id="327" w:name="_Ref142859210"/>
      <w:r>
        <w:rPr>
          <w:rFonts w:hint="eastAsia"/>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STYLEREF 2 \s</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SEQ 表 \* ARABIC \s 2</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w:t>
      </w:r>
      <w:r>
        <w:rPr>
          <w:color w:val="000000" w:themeColor="text1"/>
          <w14:textFill>
            <w14:solidFill>
              <w14:schemeClr w14:val="tx1"/>
            </w14:solidFill>
          </w14:textFill>
        </w:rPr>
        <w:fldChar w:fldCharType="end"/>
      </w:r>
      <w:bookmarkEnd w:id="327"/>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井喷污染物源强</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1029"/>
        <w:gridCol w:w="1255"/>
        <w:gridCol w:w="1112"/>
        <w:gridCol w:w="1112"/>
        <w:gridCol w:w="1015"/>
        <w:gridCol w:w="1015"/>
        <w:gridCol w:w="1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493" w:type="pct"/>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时段</w:t>
            </w:r>
          </w:p>
        </w:tc>
        <w:tc>
          <w:tcPr>
            <w:tcW w:w="604" w:type="pct"/>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污染物名称</w:t>
            </w:r>
          </w:p>
        </w:tc>
        <w:tc>
          <w:tcPr>
            <w:tcW w:w="736" w:type="pct"/>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含量（mg/m</w:t>
            </w:r>
            <w:r>
              <w:rPr>
                <w:b/>
                <w:bCs/>
                <w:color w:val="000000" w:themeColor="text1"/>
                <w:vertAlign w:val="superscript"/>
                <w14:textFill>
                  <w14:solidFill>
                    <w14:schemeClr w14:val="tx1"/>
                  </w14:solidFill>
                </w14:textFill>
              </w:rPr>
              <w:t>3</w:t>
            </w:r>
            <w:r>
              <w:rPr>
                <w:b/>
                <w:bCs/>
                <w:color w:val="000000" w:themeColor="text1"/>
                <w14:textFill>
                  <w14:solidFill>
                    <w14:schemeClr w14:val="tx1"/>
                  </w14:solidFill>
                </w14:textFill>
              </w:rPr>
              <w:t>）</w:t>
            </w:r>
          </w:p>
        </w:tc>
        <w:tc>
          <w:tcPr>
            <w:tcW w:w="652" w:type="pct"/>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天然气排放量（m</w:t>
            </w:r>
            <w:r>
              <w:rPr>
                <w:b/>
                <w:bCs/>
                <w:color w:val="000000" w:themeColor="text1"/>
                <w:vertAlign w:val="superscript"/>
                <w14:textFill>
                  <w14:solidFill>
                    <w14:schemeClr w14:val="tx1"/>
                  </w14:solidFill>
                </w14:textFill>
              </w:rPr>
              <w:t>3</w:t>
            </w:r>
            <w:r>
              <w:rPr>
                <w:b/>
                <w:bCs/>
                <w:color w:val="000000" w:themeColor="text1"/>
                <w14:textFill>
                  <w14:solidFill>
                    <w14:schemeClr w14:val="tx1"/>
                  </w14:solidFill>
                </w14:textFill>
              </w:rPr>
              <w:t>/s）</w:t>
            </w:r>
          </w:p>
        </w:tc>
        <w:tc>
          <w:tcPr>
            <w:tcW w:w="652" w:type="pct"/>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排放速率（kg/s）</w:t>
            </w:r>
          </w:p>
        </w:tc>
        <w:tc>
          <w:tcPr>
            <w:tcW w:w="595" w:type="pct"/>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持续时间（min）</w:t>
            </w:r>
          </w:p>
        </w:tc>
        <w:tc>
          <w:tcPr>
            <w:tcW w:w="595" w:type="pct"/>
            <w:vAlign w:val="center"/>
          </w:tcPr>
          <w:p>
            <w:pPr>
              <w:pStyle w:val="294"/>
              <w:rPr>
                <w:b/>
                <w:bCs/>
              </w:rPr>
            </w:pPr>
            <w:r>
              <w:rPr>
                <w:b/>
                <w:bCs/>
              </w:rPr>
              <w:t>排气筒内径（mm）</w:t>
            </w:r>
          </w:p>
        </w:tc>
        <w:tc>
          <w:tcPr>
            <w:tcW w:w="673" w:type="pct"/>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总泄漏量（kg）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493" w:type="pct"/>
            <w:vMerge w:val="restart"/>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点火前</w:t>
            </w:r>
          </w:p>
        </w:tc>
        <w:tc>
          <w:tcPr>
            <w:tcW w:w="604" w:type="pct"/>
            <w:vAlign w:val="center"/>
          </w:tcPr>
          <w:p>
            <w:pPr>
              <w:pStyle w:val="294"/>
              <w:rPr>
                <w:bCs/>
                <w:color w:val="000000" w:themeColor="text1"/>
                <w14:textFill>
                  <w14:solidFill>
                    <w14:schemeClr w14:val="tx1"/>
                  </w14:solidFill>
                </w14:textFill>
              </w:rPr>
            </w:pPr>
            <w:r>
              <w:rPr>
                <w:rFonts w:eastAsia="等线"/>
                <w:color w:val="000000" w:themeColor="text1"/>
                <w:szCs w:val="21"/>
                <w14:textFill>
                  <w14:solidFill>
                    <w14:schemeClr w14:val="tx1"/>
                  </w14:solidFill>
                </w14:textFill>
              </w:rPr>
              <w:t>H</w:t>
            </w:r>
            <w:r>
              <w:rPr>
                <w:rFonts w:eastAsia="等线"/>
                <w:color w:val="000000" w:themeColor="text1"/>
                <w:szCs w:val="21"/>
                <w:vertAlign w:val="subscript"/>
                <w14:textFill>
                  <w14:solidFill>
                    <w14:schemeClr w14:val="tx1"/>
                  </w14:solidFill>
                </w14:textFill>
              </w:rPr>
              <w:t>2</w:t>
            </w:r>
            <w:r>
              <w:rPr>
                <w:rFonts w:eastAsia="等线"/>
                <w:color w:val="000000" w:themeColor="text1"/>
                <w:szCs w:val="21"/>
                <w14:textFill>
                  <w14:solidFill>
                    <w14:schemeClr w14:val="tx1"/>
                  </w14:solidFill>
                </w14:textFill>
              </w:rPr>
              <w:t>S</w:t>
            </w:r>
          </w:p>
        </w:tc>
        <w:tc>
          <w:tcPr>
            <w:tcW w:w="736" w:type="pct"/>
            <w:vAlign w:val="center"/>
          </w:tcPr>
          <w:p>
            <w:pPr>
              <w:pStyle w:val="294"/>
              <w:rPr>
                <w:color w:val="000000" w:themeColor="text1"/>
                <w14:textFill>
                  <w14:solidFill>
                    <w14:schemeClr w14:val="tx1"/>
                  </w14:solidFill>
                </w14:textFill>
              </w:rPr>
            </w:pPr>
            <w:r>
              <w:rPr>
                <w:bCs/>
                <w:color w:val="000000"/>
                <w:szCs w:val="24"/>
              </w:rPr>
              <w:t>230092.42</w:t>
            </w:r>
          </w:p>
        </w:tc>
        <w:tc>
          <w:tcPr>
            <w:tcW w:w="652" w:type="pct"/>
            <w:vAlign w:val="center"/>
          </w:tcPr>
          <w:p>
            <w:pPr>
              <w:pStyle w:val="294"/>
              <w:rPr>
                <w:color w:val="000000" w:themeColor="text1"/>
                <w14:textFill>
                  <w14:solidFill>
                    <w14:schemeClr w14:val="tx1"/>
                  </w14:solidFill>
                </w14:textFill>
              </w:rPr>
            </w:pPr>
            <w:r>
              <w:rPr>
                <w:rFonts w:hint="eastAsia" w:eastAsia="等线"/>
                <w:color w:val="000000" w:themeColor="text1"/>
                <w:szCs w:val="21"/>
                <w14:textFill>
                  <w14:solidFill>
                    <w14:schemeClr w14:val="tx1"/>
                  </w14:solidFill>
                </w14:textFill>
              </w:rPr>
              <w:t>3.47</w:t>
            </w:r>
          </w:p>
        </w:tc>
        <w:tc>
          <w:tcPr>
            <w:tcW w:w="652" w:type="pct"/>
            <w:vAlign w:val="center"/>
          </w:tcPr>
          <w:p>
            <w:pPr>
              <w:pStyle w:val="294"/>
              <w:rPr>
                <w:color w:val="000000" w:themeColor="text1"/>
                <w14:textFill>
                  <w14:solidFill>
                    <w14:schemeClr w14:val="tx1"/>
                  </w14:solidFill>
                </w14:textFill>
              </w:rPr>
            </w:pPr>
            <w:r>
              <w:rPr>
                <w:rFonts w:hint="eastAsia" w:eastAsia="等线"/>
                <w:color w:val="000000" w:themeColor="text1"/>
                <w:szCs w:val="21"/>
                <w14:textFill>
                  <w14:solidFill>
                    <w14:schemeClr w14:val="tx1"/>
                  </w14:solidFill>
                </w14:textFill>
              </w:rPr>
              <w:t>0.8</w:t>
            </w:r>
          </w:p>
        </w:tc>
        <w:tc>
          <w:tcPr>
            <w:tcW w:w="595" w:type="pct"/>
            <w:vAlign w:val="center"/>
          </w:tcPr>
          <w:p>
            <w:pPr>
              <w:pStyle w:val="294"/>
              <w:rPr>
                <w:color w:val="000000" w:themeColor="text1"/>
                <w14:textFill>
                  <w14:solidFill>
                    <w14:schemeClr w14:val="tx1"/>
                  </w14:solidFill>
                </w14:textFill>
              </w:rPr>
            </w:pPr>
            <w:r>
              <w:rPr>
                <w:rFonts w:eastAsia="等线"/>
                <w:color w:val="000000" w:themeColor="text1"/>
                <w:szCs w:val="21"/>
                <w14:textFill>
                  <w14:solidFill>
                    <w14:schemeClr w14:val="tx1"/>
                  </w14:solidFill>
                </w14:textFill>
              </w:rPr>
              <w:t>15</w:t>
            </w:r>
          </w:p>
        </w:tc>
        <w:tc>
          <w:tcPr>
            <w:tcW w:w="595" w:type="pct"/>
            <w:vAlign w:val="center"/>
          </w:tcPr>
          <w:p>
            <w:pPr>
              <w:pStyle w:val="294"/>
            </w:pPr>
            <w:r>
              <w:rPr>
                <w:rFonts w:hint="eastAsia" w:eastAsia="等线"/>
                <w:szCs w:val="21"/>
              </w:rPr>
              <w:t>508</w:t>
            </w:r>
          </w:p>
        </w:tc>
        <w:tc>
          <w:tcPr>
            <w:tcW w:w="673" w:type="pct"/>
            <w:vAlign w:val="center"/>
          </w:tcPr>
          <w:p>
            <w:pPr>
              <w:pStyle w:val="294"/>
              <w:rPr>
                <w:color w:val="000000" w:themeColor="text1"/>
                <w14:textFill>
                  <w14:solidFill>
                    <w14:schemeClr w14:val="tx1"/>
                  </w14:solidFill>
                </w14:textFill>
              </w:rPr>
            </w:pPr>
            <w:r>
              <w:rPr>
                <w:rFonts w:hint="eastAsia" w:eastAsia="等线"/>
                <w:color w:val="000000" w:themeColor="text1"/>
                <w:szCs w:val="21"/>
                <w14:textFill>
                  <w14:solidFill>
                    <w14:schemeClr w14:val="tx1"/>
                  </w14:solidFill>
                </w14:textFill>
              </w:rPr>
              <w:t>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493" w:type="pct"/>
            <w:vMerge w:val="continue"/>
            <w:vAlign w:val="center"/>
          </w:tcPr>
          <w:p>
            <w:pPr>
              <w:pStyle w:val="294"/>
              <w:rPr>
                <w:color w:val="000000" w:themeColor="text1"/>
                <w14:textFill>
                  <w14:solidFill>
                    <w14:schemeClr w14:val="tx1"/>
                  </w14:solidFill>
                </w14:textFill>
              </w:rPr>
            </w:pPr>
          </w:p>
        </w:tc>
        <w:tc>
          <w:tcPr>
            <w:tcW w:w="604" w:type="pct"/>
            <w:vAlign w:val="center"/>
          </w:tcPr>
          <w:p>
            <w:pPr>
              <w:pStyle w:val="294"/>
              <w:rPr>
                <w:bCs/>
                <w:color w:val="000000" w:themeColor="text1"/>
                <w14:textFill>
                  <w14:solidFill>
                    <w14:schemeClr w14:val="tx1"/>
                  </w14:solidFill>
                </w14:textFill>
              </w:rPr>
            </w:pPr>
            <w:r>
              <w:rPr>
                <w:rFonts w:eastAsia="等线"/>
                <w:color w:val="000000" w:themeColor="text1"/>
                <w:szCs w:val="21"/>
                <w14:textFill>
                  <w14:solidFill>
                    <w14:schemeClr w14:val="tx1"/>
                  </w14:solidFill>
                </w14:textFill>
              </w:rPr>
              <w:t>CH</w:t>
            </w:r>
            <w:r>
              <w:rPr>
                <w:rFonts w:eastAsia="等线"/>
                <w:color w:val="000000" w:themeColor="text1"/>
                <w:szCs w:val="21"/>
                <w:vertAlign w:val="subscript"/>
                <w14:textFill>
                  <w14:solidFill>
                    <w14:schemeClr w14:val="tx1"/>
                  </w14:solidFill>
                </w14:textFill>
              </w:rPr>
              <w:t>4</w:t>
            </w:r>
          </w:p>
        </w:tc>
        <w:tc>
          <w:tcPr>
            <w:tcW w:w="736" w:type="pct"/>
            <w:vAlign w:val="center"/>
          </w:tcPr>
          <w:p>
            <w:pPr>
              <w:pStyle w:val="294"/>
              <w:rPr>
                <w:color w:val="000000" w:themeColor="text1"/>
                <w14:textFill>
                  <w14:solidFill>
                    <w14:schemeClr w14:val="tx1"/>
                  </w14:solidFill>
                </w14:textFill>
              </w:rPr>
            </w:pPr>
            <w:r>
              <w:rPr>
                <w:bCs/>
                <w:color w:val="000000"/>
                <w:szCs w:val="24"/>
              </w:rPr>
              <w:t>521538.05</w:t>
            </w:r>
          </w:p>
        </w:tc>
        <w:tc>
          <w:tcPr>
            <w:tcW w:w="652" w:type="pct"/>
            <w:vAlign w:val="center"/>
          </w:tcPr>
          <w:p>
            <w:pPr>
              <w:pStyle w:val="294"/>
              <w:rPr>
                <w:color w:val="000000" w:themeColor="text1"/>
                <w14:textFill>
                  <w14:solidFill>
                    <w14:schemeClr w14:val="tx1"/>
                  </w14:solidFill>
                </w14:textFill>
              </w:rPr>
            </w:pPr>
            <w:r>
              <w:rPr>
                <w:rFonts w:hint="eastAsia" w:eastAsia="等线"/>
                <w:color w:val="000000" w:themeColor="text1"/>
                <w:szCs w:val="21"/>
                <w14:textFill>
                  <w14:solidFill>
                    <w14:schemeClr w14:val="tx1"/>
                  </w14:solidFill>
                </w14:textFill>
              </w:rPr>
              <w:t>3.47</w:t>
            </w:r>
          </w:p>
        </w:tc>
        <w:tc>
          <w:tcPr>
            <w:tcW w:w="652" w:type="pct"/>
            <w:vAlign w:val="center"/>
          </w:tcPr>
          <w:p>
            <w:pPr>
              <w:pStyle w:val="294"/>
              <w:rPr>
                <w:color w:val="000000" w:themeColor="text1"/>
                <w14:textFill>
                  <w14:solidFill>
                    <w14:schemeClr w14:val="tx1"/>
                  </w14:solidFill>
                </w14:textFill>
              </w:rPr>
            </w:pPr>
            <w:r>
              <w:rPr>
                <w:rFonts w:hint="eastAsia" w:eastAsia="等线"/>
                <w:color w:val="000000" w:themeColor="text1"/>
                <w:szCs w:val="21"/>
                <w14:textFill>
                  <w14:solidFill>
                    <w14:schemeClr w14:val="tx1"/>
                  </w14:solidFill>
                </w14:textFill>
              </w:rPr>
              <w:t>1.81</w:t>
            </w:r>
          </w:p>
        </w:tc>
        <w:tc>
          <w:tcPr>
            <w:tcW w:w="595" w:type="pct"/>
            <w:vAlign w:val="center"/>
          </w:tcPr>
          <w:p>
            <w:pPr>
              <w:pStyle w:val="294"/>
              <w:rPr>
                <w:color w:val="000000" w:themeColor="text1"/>
                <w14:textFill>
                  <w14:solidFill>
                    <w14:schemeClr w14:val="tx1"/>
                  </w14:solidFill>
                </w14:textFill>
              </w:rPr>
            </w:pPr>
            <w:r>
              <w:rPr>
                <w:rFonts w:eastAsia="等线"/>
                <w:color w:val="000000" w:themeColor="text1"/>
                <w:szCs w:val="21"/>
                <w14:textFill>
                  <w14:solidFill>
                    <w14:schemeClr w14:val="tx1"/>
                  </w14:solidFill>
                </w14:textFill>
              </w:rPr>
              <w:t>15</w:t>
            </w:r>
          </w:p>
        </w:tc>
        <w:tc>
          <w:tcPr>
            <w:tcW w:w="595" w:type="pct"/>
            <w:vAlign w:val="center"/>
          </w:tcPr>
          <w:p>
            <w:pPr>
              <w:pStyle w:val="294"/>
            </w:pPr>
            <w:r>
              <w:rPr>
                <w:rFonts w:hint="eastAsia" w:eastAsia="等线"/>
                <w:szCs w:val="21"/>
              </w:rPr>
              <w:t>508</w:t>
            </w:r>
          </w:p>
        </w:tc>
        <w:tc>
          <w:tcPr>
            <w:tcW w:w="673" w:type="pct"/>
            <w:vAlign w:val="center"/>
          </w:tcPr>
          <w:p>
            <w:pPr>
              <w:pStyle w:val="294"/>
              <w:rPr>
                <w:color w:val="000000" w:themeColor="text1"/>
                <w14:textFill>
                  <w14:solidFill>
                    <w14:schemeClr w14:val="tx1"/>
                  </w14:solidFill>
                </w14:textFill>
              </w:rPr>
            </w:pPr>
            <w:r>
              <w:rPr>
                <w:rFonts w:hint="eastAsia" w:eastAsia="等线"/>
                <w:color w:val="000000" w:themeColor="text1"/>
                <w:szCs w:val="21"/>
                <w14:textFill>
                  <w14:solidFill>
                    <w14:schemeClr w14:val="tx1"/>
                  </w14:solidFill>
                </w14:textFill>
              </w:rPr>
              <w:t>1629</w:t>
            </w:r>
          </w:p>
        </w:tc>
      </w:tr>
    </w:tbl>
    <w:p>
      <w:pPr>
        <w:pStyle w:val="21"/>
        <w:spacing w:before="120" w:beforeLines="50"/>
        <w:ind w:left="0" w:firstLine="482"/>
        <w:jc w:val="both"/>
        <w:rPr>
          <w:rFonts w:ascii="Times New Roman" w:hAnsi="Times New Roman"/>
          <w:b/>
          <w:color w:val="000000" w:themeColor="text1"/>
          <w:kern w:val="2"/>
          <w:lang w:eastAsia="zh-CN"/>
          <w14:textFill>
            <w14:solidFill>
              <w14:schemeClr w14:val="tx1"/>
            </w14:solidFill>
          </w14:textFill>
        </w:rPr>
      </w:pPr>
      <w:r>
        <w:rPr>
          <w:rFonts w:ascii="Times New Roman" w:hAnsi="Times New Roman"/>
          <w:b/>
          <w:color w:val="000000" w:themeColor="text1"/>
          <w:kern w:val="2"/>
          <w:lang w:eastAsia="zh-CN"/>
          <w14:textFill>
            <w14:solidFill>
              <w14:schemeClr w14:val="tx1"/>
            </w14:solidFill>
          </w14:textFill>
        </w:rPr>
        <w:t>（2）事故后果预测及危害分析</w:t>
      </w:r>
    </w:p>
    <w:p>
      <w:pPr>
        <w:pStyle w:val="21"/>
        <w:ind w:left="0" w:firstLine="480"/>
        <w:jc w:val="both"/>
        <w:rPr>
          <w:rFonts w:ascii="Times New Roman" w:hAnsi="Times New Roman"/>
          <w:b/>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1）</w:t>
      </w:r>
      <w:r>
        <w:rPr>
          <w:rFonts w:ascii="Times New Roman" w:hAnsi="Times New Roman"/>
          <w:b/>
          <w:bCs/>
          <w:color w:val="000000" w:themeColor="text1"/>
          <w:kern w:val="2"/>
          <w:lang w:eastAsia="zh-CN"/>
          <w14:textFill>
            <w14:solidFill>
              <w14:schemeClr w14:val="tx1"/>
            </w14:solidFill>
          </w14:textFill>
        </w:rPr>
        <w:t>预测模型筛选</w:t>
      </w:r>
    </w:p>
    <w:p>
      <w:pPr>
        <w:pStyle w:val="21"/>
        <w:spacing w:before="0"/>
        <w:ind w:left="0" w:firstLine="480"/>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大气环境风险后果预测主要采用导则推荐的模型。重质气体排放的扩散模型选用SLAB模型，中性气体和轻质气体排放以及液池蒸发气体的扩散模拟选用AFTOX模型。重质气体和轻质气体采用理查德森数进行判定。</w:t>
      </w:r>
    </w:p>
    <w:p>
      <w:pPr>
        <w:pStyle w:val="21"/>
        <w:spacing w:before="0"/>
        <w:ind w:left="0" w:firstLine="480"/>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本次评价根据《建设项目环境风险评价技术导则》（HJ 169-2018），判定连续排放还是瞬时排放，可以通过对比排放时间</w:t>
      </w:r>
      <w:r>
        <w:rPr>
          <w:rFonts w:ascii="Times New Roman" w:hAnsi="Times New Roman"/>
          <w:bCs/>
          <w:i/>
          <w:iCs/>
          <w:color w:val="000000" w:themeColor="text1"/>
          <w:kern w:val="2"/>
          <w:lang w:eastAsia="zh-CN"/>
          <w14:textFill>
            <w14:solidFill>
              <w14:schemeClr w14:val="tx1"/>
            </w14:solidFill>
          </w14:textFill>
        </w:rPr>
        <w:t>T</w:t>
      </w:r>
      <w:r>
        <w:rPr>
          <w:rFonts w:ascii="Times New Roman" w:hAnsi="Times New Roman"/>
          <w:bCs/>
          <w:i/>
          <w:iCs/>
          <w:color w:val="000000" w:themeColor="text1"/>
          <w:kern w:val="2"/>
          <w:vertAlign w:val="subscript"/>
          <w:lang w:eastAsia="zh-CN"/>
          <w14:textFill>
            <w14:solidFill>
              <w14:schemeClr w14:val="tx1"/>
            </w14:solidFill>
          </w14:textFill>
        </w:rPr>
        <w:t>d</w:t>
      </w:r>
      <w:r>
        <w:rPr>
          <w:rFonts w:ascii="Times New Roman" w:hAnsi="Times New Roman"/>
          <w:bCs/>
          <w:color w:val="000000" w:themeColor="text1"/>
          <w:kern w:val="2"/>
          <w:lang w:eastAsia="zh-CN"/>
          <w14:textFill>
            <w14:solidFill>
              <w14:schemeClr w14:val="tx1"/>
            </w14:solidFill>
          </w14:textFill>
        </w:rPr>
        <w:t>和污染物到达最近的受体点（网格点或敏感点）的时间T确定。</w:t>
      </w:r>
    </w:p>
    <w:p>
      <w:pPr>
        <w:pStyle w:val="21"/>
        <w:spacing w:before="0"/>
        <w:ind w:firstLine="480"/>
        <w:jc w:val="center"/>
        <w:rPr>
          <w:rFonts w:ascii="Times New Roman" w:hAnsi="Times New Roman"/>
          <w:bCs/>
          <w:color w:val="000000" w:themeColor="text1"/>
          <w:kern w:val="2"/>
          <w:lang w:eastAsia="zh-CN"/>
          <w14:textFill>
            <w14:solidFill>
              <w14:schemeClr w14:val="tx1"/>
            </w14:solidFill>
          </w14:textFill>
        </w:rPr>
      </w:pPr>
      <w:r>
        <w:rPr>
          <w:rFonts w:ascii="Times New Roman" w:hAnsi="Times New Roman"/>
          <w:bCs/>
          <w:i/>
          <w:iCs/>
          <w:color w:val="000000" w:themeColor="text1"/>
          <w:kern w:val="2"/>
          <w:lang w:eastAsia="zh-CN"/>
          <w14:textFill>
            <w14:solidFill>
              <w14:schemeClr w14:val="tx1"/>
            </w14:solidFill>
          </w14:textFill>
        </w:rPr>
        <w:t>T</w:t>
      </w:r>
      <w:r>
        <w:rPr>
          <w:rFonts w:ascii="Times New Roman" w:hAnsi="Times New Roman"/>
          <w:bCs/>
          <w:color w:val="000000" w:themeColor="text1"/>
          <w:kern w:val="2"/>
          <w:lang w:eastAsia="zh-CN"/>
          <w14:textFill>
            <w14:solidFill>
              <w14:schemeClr w14:val="tx1"/>
            </w14:solidFill>
          </w14:textFill>
        </w:rPr>
        <w:t>=</w:t>
      </w:r>
      <w:r>
        <w:rPr>
          <w:rFonts w:ascii="Times New Roman" w:hAnsi="Times New Roman"/>
          <w:bCs/>
          <w:i/>
          <w:iCs/>
          <w:color w:val="000000" w:themeColor="text1"/>
          <w:kern w:val="2"/>
          <w:lang w:eastAsia="zh-CN"/>
          <w14:textFill>
            <w14:solidFill>
              <w14:schemeClr w14:val="tx1"/>
            </w14:solidFill>
          </w14:textFill>
        </w:rPr>
        <w:t>2X/U</w:t>
      </w:r>
      <w:r>
        <w:rPr>
          <w:rFonts w:ascii="Times New Roman" w:hAnsi="Times New Roman"/>
          <w:bCs/>
          <w:i/>
          <w:iCs/>
          <w:color w:val="000000" w:themeColor="text1"/>
          <w:kern w:val="2"/>
          <w:vertAlign w:val="subscript"/>
          <w:lang w:eastAsia="zh-CN"/>
          <w14:textFill>
            <w14:solidFill>
              <w14:schemeClr w14:val="tx1"/>
            </w14:solidFill>
          </w14:textFill>
        </w:rPr>
        <w:t>r</w:t>
      </w:r>
    </w:p>
    <w:p>
      <w:pPr>
        <w:pStyle w:val="21"/>
        <w:spacing w:before="0"/>
        <w:ind w:left="0" w:firstLine="480"/>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式中</w:t>
      </w:r>
      <w:r>
        <w:rPr>
          <w:rFonts w:hint="eastAsia" w:ascii="Times New Roman" w:hAnsi="Times New Roman"/>
          <w:bCs/>
          <w:color w:val="000000" w:themeColor="text1"/>
          <w:kern w:val="2"/>
          <w:lang w:eastAsia="zh-CN"/>
          <w14:textFill>
            <w14:solidFill>
              <w14:schemeClr w14:val="tx1"/>
            </w14:solidFill>
          </w14:textFill>
        </w:rPr>
        <w:t>：</w:t>
      </w:r>
    </w:p>
    <w:p>
      <w:pPr>
        <w:pStyle w:val="21"/>
        <w:spacing w:before="0"/>
        <w:ind w:left="0" w:firstLine="480"/>
        <w:rPr>
          <w:rFonts w:ascii="Times New Roman" w:hAnsi="Times New Roman"/>
          <w:bCs/>
          <w:color w:val="000000" w:themeColor="text1"/>
          <w:kern w:val="2"/>
          <w:lang w:eastAsia="zh-CN"/>
          <w14:textFill>
            <w14:solidFill>
              <w14:schemeClr w14:val="tx1"/>
            </w14:solidFill>
          </w14:textFill>
        </w:rPr>
      </w:pPr>
      <w:r>
        <w:rPr>
          <w:rFonts w:ascii="Times New Roman" w:hAnsi="Times New Roman"/>
          <w:bCs/>
          <w:i/>
          <w:iCs/>
          <w:color w:val="000000" w:themeColor="text1"/>
          <w:kern w:val="2"/>
          <w:lang w:eastAsia="zh-CN"/>
          <w14:textFill>
            <w14:solidFill>
              <w14:schemeClr w14:val="tx1"/>
            </w14:solidFill>
          </w14:textFill>
        </w:rPr>
        <w:t>X</w:t>
      </w:r>
      <w:r>
        <w:rPr>
          <w:rFonts w:ascii="Times New Roman" w:hAnsi="Times New Roman"/>
          <w:bCs/>
          <w:color w:val="000000" w:themeColor="text1"/>
          <w:kern w:val="2"/>
          <w:lang w:eastAsia="zh-CN"/>
          <w14:textFill>
            <w14:solidFill>
              <w14:schemeClr w14:val="tx1"/>
            </w14:solidFill>
          </w14:textFill>
        </w:rPr>
        <w:t>——事故发生地与计算点的距离，m。本项目保守考虑，选取距离井口最近的较为集中居民点作为该距离</w:t>
      </w:r>
      <w:r>
        <w:rPr>
          <w:rFonts w:hint="eastAsia" w:ascii="Times New Roman" w:hAnsi="Times New Roman"/>
          <w:bCs/>
          <w:color w:val="000000" w:themeColor="text1"/>
          <w:kern w:val="2"/>
          <w:lang w:eastAsia="zh-CN"/>
          <w14:textFill>
            <w14:solidFill>
              <w14:schemeClr w14:val="tx1"/>
            </w14:solidFill>
          </w14:textFill>
        </w:rPr>
        <w:t>（308m）</w:t>
      </w:r>
      <w:r>
        <w:rPr>
          <w:rFonts w:ascii="Times New Roman" w:hAnsi="Times New Roman"/>
          <w:bCs/>
          <w:color w:val="000000" w:themeColor="text1"/>
          <w:kern w:val="2"/>
          <w:lang w:eastAsia="zh-CN"/>
          <w14:textFill>
            <w14:solidFill>
              <w14:schemeClr w14:val="tx1"/>
            </w14:solidFill>
          </w14:textFill>
        </w:rPr>
        <w:t>。</w:t>
      </w:r>
    </w:p>
    <w:p>
      <w:pPr>
        <w:pStyle w:val="21"/>
        <w:spacing w:before="0"/>
        <w:ind w:left="0" w:firstLine="480"/>
        <w:rPr>
          <w:rFonts w:ascii="Times New Roman" w:hAnsi="Times New Roman"/>
          <w:bCs/>
          <w:color w:val="000000" w:themeColor="text1"/>
          <w:kern w:val="2"/>
          <w:lang w:eastAsia="zh-CN"/>
          <w14:textFill>
            <w14:solidFill>
              <w14:schemeClr w14:val="tx1"/>
            </w14:solidFill>
          </w14:textFill>
        </w:rPr>
      </w:pPr>
      <w:r>
        <w:rPr>
          <w:rFonts w:ascii="Times New Roman" w:hAnsi="Times New Roman"/>
          <w:bCs/>
          <w:i/>
          <w:iCs/>
          <w:color w:val="000000" w:themeColor="text1"/>
          <w:kern w:val="2"/>
          <w:lang w:eastAsia="zh-CN"/>
          <w14:textFill>
            <w14:solidFill>
              <w14:schemeClr w14:val="tx1"/>
            </w14:solidFill>
          </w14:textFill>
        </w:rPr>
        <w:t>U</w:t>
      </w:r>
      <w:r>
        <w:rPr>
          <w:rFonts w:ascii="Times New Roman" w:hAnsi="Times New Roman"/>
          <w:bCs/>
          <w:i/>
          <w:iCs/>
          <w:color w:val="000000" w:themeColor="text1"/>
          <w:kern w:val="2"/>
          <w:vertAlign w:val="subscript"/>
          <w:lang w:eastAsia="zh-CN"/>
          <w14:textFill>
            <w14:solidFill>
              <w14:schemeClr w14:val="tx1"/>
            </w14:solidFill>
          </w14:textFill>
        </w:rPr>
        <w:t>r</w:t>
      </w:r>
      <w:r>
        <w:rPr>
          <w:rFonts w:ascii="Times New Roman" w:hAnsi="Times New Roman"/>
          <w:bCs/>
          <w:color w:val="000000" w:themeColor="text1"/>
          <w:kern w:val="2"/>
          <w:lang w:eastAsia="zh-CN"/>
          <w14:textFill>
            <w14:solidFill>
              <w14:schemeClr w14:val="tx1"/>
            </w14:solidFill>
          </w14:textFill>
        </w:rPr>
        <w:t>——10m高处风速，m/s。假设风速风向在</w:t>
      </w:r>
      <w:r>
        <w:rPr>
          <w:rFonts w:ascii="Times New Roman" w:hAnsi="Times New Roman"/>
          <w:bCs/>
          <w:i/>
          <w:iCs/>
          <w:color w:val="000000" w:themeColor="text1"/>
          <w:kern w:val="2"/>
          <w:lang w:eastAsia="zh-CN"/>
          <w14:textFill>
            <w14:solidFill>
              <w14:schemeClr w14:val="tx1"/>
            </w14:solidFill>
          </w14:textFill>
        </w:rPr>
        <w:t>T</w:t>
      </w:r>
      <w:r>
        <w:rPr>
          <w:rFonts w:ascii="Times New Roman" w:hAnsi="Times New Roman"/>
          <w:bCs/>
          <w:color w:val="000000" w:themeColor="text1"/>
          <w:kern w:val="2"/>
          <w:lang w:eastAsia="zh-CN"/>
          <w14:textFill>
            <w14:solidFill>
              <w14:schemeClr w14:val="tx1"/>
            </w14:solidFill>
          </w14:textFill>
        </w:rPr>
        <w:t>时间段内保持不变。本项目最不利气象条件取1.5m/s。</w:t>
      </w:r>
    </w:p>
    <w:p>
      <w:pPr>
        <w:pStyle w:val="21"/>
        <w:spacing w:before="0"/>
        <w:ind w:left="0" w:firstLine="480"/>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当</w:t>
      </w:r>
      <w:r>
        <w:rPr>
          <w:rFonts w:ascii="Times New Roman" w:hAnsi="Times New Roman"/>
          <w:bCs/>
          <w:i/>
          <w:iCs/>
          <w:color w:val="000000" w:themeColor="text1"/>
          <w:kern w:val="2"/>
          <w:lang w:eastAsia="zh-CN"/>
          <w14:textFill>
            <w14:solidFill>
              <w14:schemeClr w14:val="tx1"/>
            </w14:solidFill>
          </w14:textFill>
        </w:rPr>
        <w:t>T</w:t>
      </w:r>
      <w:r>
        <w:rPr>
          <w:rFonts w:ascii="Times New Roman" w:hAnsi="Times New Roman"/>
          <w:bCs/>
          <w:i/>
          <w:iCs/>
          <w:color w:val="000000" w:themeColor="text1"/>
          <w:kern w:val="2"/>
          <w:vertAlign w:val="subscript"/>
          <w:lang w:eastAsia="zh-CN"/>
          <w14:textFill>
            <w14:solidFill>
              <w14:schemeClr w14:val="tx1"/>
            </w14:solidFill>
          </w14:textFill>
        </w:rPr>
        <w:t>d</w:t>
      </w:r>
      <w:r>
        <w:rPr>
          <w:rFonts w:ascii="Times New Roman" w:hAnsi="Times New Roman"/>
          <w:bCs/>
          <w:color w:val="000000" w:themeColor="text1"/>
          <w:kern w:val="2"/>
          <w:lang w:eastAsia="zh-CN"/>
          <w14:textFill>
            <w14:solidFill>
              <w14:schemeClr w14:val="tx1"/>
            </w14:solidFill>
          </w14:textFill>
        </w:rPr>
        <w:t>＞</w:t>
      </w:r>
      <w:r>
        <w:rPr>
          <w:rFonts w:ascii="Times New Roman" w:hAnsi="Times New Roman"/>
          <w:bCs/>
          <w:i/>
          <w:iCs/>
          <w:color w:val="000000" w:themeColor="text1"/>
          <w:kern w:val="2"/>
          <w:lang w:eastAsia="zh-CN"/>
          <w14:textFill>
            <w14:solidFill>
              <w14:schemeClr w14:val="tx1"/>
            </w14:solidFill>
          </w14:textFill>
        </w:rPr>
        <w:t>T</w:t>
      </w:r>
      <w:r>
        <w:rPr>
          <w:rFonts w:ascii="Times New Roman" w:hAnsi="Times New Roman"/>
          <w:bCs/>
          <w:color w:val="000000" w:themeColor="text1"/>
          <w:kern w:val="2"/>
          <w:lang w:eastAsia="zh-CN"/>
          <w14:textFill>
            <w14:solidFill>
              <w14:schemeClr w14:val="tx1"/>
            </w14:solidFill>
          </w14:textFill>
        </w:rPr>
        <w:t>时，可被认为是连续排放的；当</w:t>
      </w:r>
      <w:r>
        <w:rPr>
          <w:rFonts w:ascii="Times New Roman" w:hAnsi="Times New Roman"/>
          <w:bCs/>
          <w:i/>
          <w:iCs/>
          <w:color w:val="000000" w:themeColor="text1"/>
          <w:kern w:val="2"/>
          <w:lang w:eastAsia="zh-CN"/>
          <w14:textFill>
            <w14:solidFill>
              <w14:schemeClr w14:val="tx1"/>
            </w14:solidFill>
          </w14:textFill>
        </w:rPr>
        <w:t>T</w:t>
      </w:r>
      <w:r>
        <w:rPr>
          <w:rFonts w:ascii="Times New Roman" w:hAnsi="Times New Roman"/>
          <w:bCs/>
          <w:i/>
          <w:iCs/>
          <w:color w:val="000000" w:themeColor="text1"/>
          <w:kern w:val="2"/>
          <w:vertAlign w:val="subscript"/>
          <w:lang w:eastAsia="zh-CN"/>
          <w14:textFill>
            <w14:solidFill>
              <w14:schemeClr w14:val="tx1"/>
            </w14:solidFill>
          </w14:textFill>
        </w:rPr>
        <w:t>d</w:t>
      </w:r>
      <w:r>
        <w:rPr>
          <w:rFonts w:ascii="Times New Roman" w:hAnsi="Times New Roman"/>
          <w:bCs/>
          <w:color w:val="000000" w:themeColor="text1"/>
          <w:kern w:val="2"/>
          <w:lang w:eastAsia="zh-CN"/>
          <w14:textFill>
            <w14:solidFill>
              <w14:schemeClr w14:val="tx1"/>
            </w14:solidFill>
          </w14:textFill>
        </w:rPr>
        <w:t>≤</w:t>
      </w:r>
      <w:r>
        <w:rPr>
          <w:rFonts w:ascii="Times New Roman" w:hAnsi="Times New Roman"/>
          <w:bCs/>
          <w:i/>
          <w:iCs/>
          <w:color w:val="000000" w:themeColor="text1"/>
          <w:kern w:val="2"/>
          <w:lang w:eastAsia="zh-CN"/>
          <w14:textFill>
            <w14:solidFill>
              <w14:schemeClr w14:val="tx1"/>
            </w14:solidFill>
          </w14:textFill>
        </w:rPr>
        <w:t>T</w:t>
      </w:r>
      <w:r>
        <w:rPr>
          <w:rFonts w:ascii="Times New Roman" w:hAnsi="Times New Roman"/>
          <w:bCs/>
          <w:color w:val="000000" w:themeColor="text1"/>
          <w:kern w:val="2"/>
          <w:lang w:eastAsia="zh-CN"/>
          <w14:textFill>
            <w14:solidFill>
              <w14:schemeClr w14:val="tx1"/>
            </w14:solidFill>
          </w14:textFill>
        </w:rPr>
        <w:t>时，可被认为是瞬时排放的。</w:t>
      </w:r>
    </w:p>
    <w:p>
      <w:pPr>
        <w:pStyle w:val="21"/>
        <w:spacing w:before="0"/>
        <w:ind w:left="0" w:firstLine="480"/>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经计算可得</w:t>
      </w:r>
      <w:r>
        <w:rPr>
          <w:rFonts w:ascii="Times New Roman" w:hAnsi="Times New Roman"/>
          <w:bCs/>
          <w:i/>
          <w:iCs/>
          <w:color w:val="000000" w:themeColor="text1"/>
          <w:kern w:val="2"/>
          <w:lang w:eastAsia="zh-CN"/>
          <w14:textFill>
            <w14:solidFill>
              <w14:schemeClr w14:val="tx1"/>
            </w14:solidFill>
          </w14:textFill>
        </w:rPr>
        <w:t>T</w:t>
      </w:r>
      <w:r>
        <w:rPr>
          <w:rFonts w:ascii="Times New Roman" w:hAnsi="Times New Roman"/>
          <w:bCs/>
          <w:color w:val="000000" w:themeColor="text1"/>
          <w:kern w:val="2"/>
          <w:lang w:eastAsia="zh-CN"/>
          <w14:textFill>
            <w14:solidFill>
              <w14:schemeClr w14:val="tx1"/>
            </w14:solidFill>
          </w14:textFill>
        </w:rPr>
        <w:t>=</w:t>
      </w:r>
      <w:r>
        <w:rPr>
          <w:rFonts w:hint="eastAsia" w:ascii="Times New Roman" w:hAnsi="Times New Roman"/>
          <w:bCs/>
          <w:color w:val="000000" w:themeColor="text1"/>
          <w:kern w:val="2"/>
          <w:lang w:eastAsia="zh-CN"/>
          <w14:textFill>
            <w14:solidFill>
              <w14:schemeClr w14:val="tx1"/>
            </w14:solidFill>
          </w14:textFill>
        </w:rPr>
        <w:t>411</w:t>
      </w:r>
      <w:r>
        <w:rPr>
          <w:rFonts w:ascii="Times New Roman" w:hAnsi="Times New Roman"/>
          <w:bCs/>
          <w:color w:val="000000" w:themeColor="text1"/>
          <w:kern w:val="2"/>
          <w:lang w:eastAsia="zh-CN"/>
          <w14:textFill>
            <w14:solidFill>
              <w14:schemeClr w14:val="tx1"/>
            </w14:solidFill>
          </w14:textFill>
        </w:rPr>
        <w:t>s（最不利气象条件）；</w:t>
      </w:r>
    </w:p>
    <w:p>
      <w:pPr>
        <w:pStyle w:val="21"/>
        <w:spacing w:before="0"/>
        <w:ind w:left="0" w:firstLine="480"/>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井喷事故产生的H</w:t>
      </w:r>
      <w:r>
        <w:rPr>
          <w:rFonts w:ascii="Times New Roman" w:hAnsi="Times New Roman"/>
          <w:bCs/>
          <w:color w:val="000000" w:themeColor="text1"/>
          <w:kern w:val="2"/>
          <w:vertAlign w:val="subscript"/>
          <w:lang w:eastAsia="zh-CN"/>
          <w14:textFill>
            <w14:solidFill>
              <w14:schemeClr w14:val="tx1"/>
            </w14:solidFill>
          </w14:textFill>
        </w:rPr>
        <w:t>2</w:t>
      </w:r>
      <w:r>
        <w:rPr>
          <w:rFonts w:ascii="Times New Roman" w:hAnsi="Times New Roman"/>
          <w:bCs/>
          <w:color w:val="000000" w:themeColor="text1"/>
          <w:kern w:val="2"/>
          <w:lang w:eastAsia="zh-CN"/>
          <w14:textFill>
            <w14:solidFill>
              <w14:schemeClr w14:val="tx1"/>
            </w14:solidFill>
          </w14:textFill>
        </w:rPr>
        <w:t>S时间为900s，为连续排放；</w:t>
      </w:r>
    </w:p>
    <w:p>
      <w:pPr>
        <w:pStyle w:val="21"/>
        <w:spacing w:before="0"/>
        <w:ind w:left="0" w:firstLine="480"/>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井喷事故产生的CH</w:t>
      </w:r>
      <w:r>
        <w:rPr>
          <w:rFonts w:ascii="Times New Roman" w:hAnsi="Times New Roman"/>
          <w:bCs/>
          <w:color w:val="000000" w:themeColor="text1"/>
          <w:kern w:val="2"/>
          <w:vertAlign w:val="subscript"/>
          <w:lang w:eastAsia="zh-CN"/>
          <w14:textFill>
            <w14:solidFill>
              <w14:schemeClr w14:val="tx1"/>
            </w14:solidFill>
          </w14:textFill>
        </w:rPr>
        <w:t>4</w:t>
      </w:r>
      <w:r>
        <w:rPr>
          <w:rFonts w:ascii="Times New Roman" w:hAnsi="Times New Roman"/>
          <w:bCs/>
          <w:color w:val="000000" w:themeColor="text1"/>
          <w:kern w:val="2"/>
          <w:lang w:eastAsia="zh-CN"/>
          <w14:textFill>
            <w14:solidFill>
              <w14:schemeClr w14:val="tx1"/>
            </w14:solidFill>
          </w14:textFill>
        </w:rPr>
        <w:t>时间为900s，为连续排放；</w:t>
      </w:r>
    </w:p>
    <w:p>
      <w:pPr>
        <w:pStyle w:val="21"/>
        <w:spacing w:before="0"/>
        <w:ind w:left="0" w:firstLine="480"/>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井喷事故硫化氢和甲烷烟团初始密度未大于空气密度，不计算理查德森数。扩散计算建议采用AFTOX模式。</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2）预测范围与预测点</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本次评价预测范围为井喷井口为中心，外围5000m。预测点包括一般计算点和关心点，一般计算点为本项目下风向，其下风向距离风险源间距为50m；关心点主要统计了项目5000m范围内的敏感点，</w:t>
      </w:r>
      <w:r>
        <w:rPr>
          <w:rFonts w:hint="eastAsia" w:ascii="Times New Roman" w:hAnsi="Times New Roman"/>
          <w:bCs/>
          <w:color w:val="000000" w:themeColor="text1"/>
          <w:kern w:val="2"/>
          <w:lang w:eastAsia="zh-CN"/>
          <w14:textFill>
            <w14:solidFill>
              <w14:schemeClr w14:val="tx1"/>
            </w14:solidFill>
          </w14:textFill>
        </w:rPr>
        <w:t>详见表2.9-4</w:t>
      </w:r>
      <w:r>
        <w:rPr>
          <w:rFonts w:ascii="Times New Roman" w:hAnsi="Times New Roman"/>
          <w:bCs/>
          <w:color w:val="000000" w:themeColor="text1"/>
          <w:kern w:val="2"/>
          <w:lang w:eastAsia="zh-CN"/>
          <w14:textFill>
            <w14:solidFill>
              <w14:schemeClr w14:val="tx1"/>
            </w14:solidFill>
          </w14:textFill>
        </w:rPr>
        <w:t>。</w:t>
      </w:r>
    </w:p>
    <w:p>
      <w:pPr>
        <w:pStyle w:val="92"/>
        <w:rPr>
          <w:color w:val="000000" w:themeColor="text1"/>
          <w:sz w:val="10"/>
          <w:szCs w:val="10"/>
          <w:lang w:eastAsia="zh-CN"/>
          <w14:textFill>
            <w14:solidFill>
              <w14:schemeClr w14:val="tx1"/>
            </w14:solidFill>
          </w14:textFill>
        </w:rPr>
      </w:pP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29920" behindDoc="0" locked="0" layoutInCell="1" allowOverlap="1">
                <wp:simplePos x="0" y="0"/>
                <wp:positionH relativeFrom="column">
                  <wp:posOffset>1684020</wp:posOffset>
                </wp:positionH>
                <wp:positionV relativeFrom="paragraph">
                  <wp:posOffset>2908935</wp:posOffset>
                </wp:positionV>
                <wp:extent cx="281940" cy="198120"/>
                <wp:effectExtent l="0" t="0" r="0" b="0"/>
                <wp:wrapNone/>
                <wp:docPr id="85" name="文本框 85"/>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16#</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32.6pt;margin-top:229.05pt;height:15.6pt;width:22.2pt;z-index:251729920;mso-width-relative:page;mso-height-relative:page;" filled="f" stroked="f" coordsize="21600,21600" o:gfxdata="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60EWBNoAAAALAQAA&#10;DwAAAAAAAAABACAAAAAiAAAAZHJzL2Rvd25yZXYueG1sUEsBAhQAFAAAAAgAh07iQGh2KWxQAgAA&#10;iAQAAA4AAAAAAAAAAQAgAAAAKQ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16#</w:t>
                      </w:r>
                    </w:p>
                  </w:txbxContent>
                </v:textbox>
              </v:shape>
            </w:pict>
          </mc:Fallback>
        </mc:AlternateContent>
      </w: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28896" behindDoc="0" locked="0" layoutInCell="1" allowOverlap="1">
                <wp:simplePos x="0" y="0"/>
                <wp:positionH relativeFrom="column">
                  <wp:posOffset>1684020</wp:posOffset>
                </wp:positionH>
                <wp:positionV relativeFrom="paragraph">
                  <wp:posOffset>2676525</wp:posOffset>
                </wp:positionV>
                <wp:extent cx="281940" cy="198120"/>
                <wp:effectExtent l="0" t="0" r="0" b="0"/>
                <wp:wrapNone/>
                <wp:docPr id="84" name="文本框 84"/>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15#</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32.6pt;margin-top:210.75pt;height:15.6pt;width:22.2pt;z-index:251728896;mso-width-relative:page;mso-height-relative:page;" filled="f" stroked="f" coordsize="21600,21600" o:gfxdata="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9zypEdoAAAALAQAA&#10;DwAAAAAAAAABACAAAAAiAAAAZHJzL2Rvd25yZXYueG1sUEsBAhQAFAAAAAgAh07iQBr1z55QAgAA&#10;iAQAAA4AAAAAAAAAAQAgAAAAKQ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15#</w:t>
                      </w:r>
                    </w:p>
                  </w:txbxContent>
                </v:textbox>
              </v:shape>
            </w:pict>
          </mc:Fallback>
        </mc:AlternateContent>
      </w: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23776" behindDoc="0" locked="0" layoutInCell="1" allowOverlap="1">
                <wp:simplePos x="0" y="0"/>
                <wp:positionH relativeFrom="column">
                  <wp:posOffset>2245360</wp:posOffset>
                </wp:positionH>
                <wp:positionV relativeFrom="paragraph">
                  <wp:posOffset>2743835</wp:posOffset>
                </wp:positionV>
                <wp:extent cx="281940" cy="198120"/>
                <wp:effectExtent l="0" t="0" r="0" b="0"/>
                <wp:wrapNone/>
                <wp:docPr id="1850" name="文本框 1850"/>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9#</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76.8pt;margin-top:216.05pt;height:15.6pt;width:22.2pt;z-index:251723776;mso-width-relative:page;mso-height-relative:page;" filled="f" stroked="f" coordsize="21600,21600" o:gfxdata="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MewnajaAAAACwEA&#10;AA8AAAAAAAAAAQAgAAAAIgAAAGRycy9kb3ducmV2LnhtbFBLAQIUABQAAAAIAIdO4kCkdYJt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9#</w:t>
                      </w:r>
                    </w:p>
                  </w:txbxContent>
                </v:textbox>
              </v:shape>
            </w:pict>
          </mc:Fallback>
        </mc:AlternateContent>
      </w: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25824" behindDoc="0" locked="0" layoutInCell="1" allowOverlap="1">
                <wp:simplePos x="0" y="0"/>
                <wp:positionH relativeFrom="column">
                  <wp:posOffset>1508125</wp:posOffset>
                </wp:positionH>
                <wp:positionV relativeFrom="paragraph">
                  <wp:posOffset>913765</wp:posOffset>
                </wp:positionV>
                <wp:extent cx="281940" cy="198120"/>
                <wp:effectExtent l="0" t="0" r="0" b="0"/>
                <wp:wrapNone/>
                <wp:docPr id="1852" name="文本框 1852"/>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14#</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18.75pt;margin-top:71.95pt;height:15.6pt;width:22.2pt;z-index:251725824;mso-width-relative:page;mso-height-relative:page;" filled="f" stroked="f" coordsize="21600,21600" o:gfxdata="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YqCZ/aAAAACwEA&#10;AA8AAAAAAAAAAQAgAAAAIgAAAGRycy9kb3ducmV2LnhtbFBLAQIUABQAAAAIAIdO4kCjzvBJ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14#</w:t>
                      </w:r>
                    </w:p>
                  </w:txbxContent>
                </v:textbox>
              </v:shape>
            </w:pict>
          </mc:Fallback>
        </mc:AlternateContent>
      </w: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26848" behindDoc="0" locked="0" layoutInCell="1" allowOverlap="1">
                <wp:simplePos x="0" y="0"/>
                <wp:positionH relativeFrom="column">
                  <wp:posOffset>1078230</wp:posOffset>
                </wp:positionH>
                <wp:positionV relativeFrom="paragraph">
                  <wp:posOffset>1628775</wp:posOffset>
                </wp:positionV>
                <wp:extent cx="281940" cy="198120"/>
                <wp:effectExtent l="0" t="0" r="0" b="0"/>
                <wp:wrapNone/>
                <wp:docPr id="1853" name="文本框 1853"/>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13#</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84.9pt;margin-top:128.25pt;height:15.6pt;width:22.2pt;z-index:251726848;mso-width-relative:page;mso-height-relative:page;" filled="f" stroked="f" coordsize="21600,21600" o:gfxdata="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NT9EkHaAAAACwEA&#10;AA8AAAAAAAAAAQAgAAAAIgAAAGRycy9kb3ducmV2LnhtbFBLAQIUABQAAAAIAIdO4kAAEHG2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13#</w:t>
                      </w:r>
                    </w:p>
                  </w:txbxContent>
                </v:textbox>
              </v:shape>
            </w:pict>
          </mc:Fallback>
        </mc:AlternateContent>
      </w: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21728" behindDoc="0" locked="0" layoutInCell="1" allowOverlap="1">
                <wp:simplePos x="0" y="0"/>
                <wp:positionH relativeFrom="column">
                  <wp:posOffset>2360930</wp:posOffset>
                </wp:positionH>
                <wp:positionV relativeFrom="paragraph">
                  <wp:posOffset>3326130</wp:posOffset>
                </wp:positionV>
                <wp:extent cx="281940" cy="198120"/>
                <wp:effectExtent l="0" t="0" r="0" b="0"/>
                <wp:wrapNone/>
                <wp:docPr id="1848" name="文本框 1848"/>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8#</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85.9pt;margin-top:261.9pt;height:15.6pt;width:22.2pt;z-index:251721728;mso-width-relative:page;mso-height-relative:page;" filled="f" stroked="f" coordsize="21600,21600" o:gfxdata="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gbghxdoAAAALAQAA&#10;DwAAAAAAAAABACAAAAAiAAAAZHJzL2Rvd25yZXYueG1sUEsBAhQAFAAAAAgAh07iQDTqaLNQAgAA&#10;jAQAAA4AAAAAAAAAAQAgAAAAKQ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8#</w:t>
                      </w:r>
                    </w:p>
                  </w:txbxContent>
                </v:textbox>
              </v:shape>
            </w:pict>
          </mc:Fallback>
        </mc:AlternateContent>
      </w: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20704" behindDoc="0" locked="0" layoutInCell="1" allowOverlap="1">
                <wp:simplePos x="0" y="0"/>
                <wp:positionH relativeFrom="column">
                  <wp:posOffset>3100705</wp:posOffset>
                </wp:positionH>
                <wp:positionV relativeFrom="paragraph">
                  <wp:posOffset>3390265</wp:posOffset>
                </wp:positionV>
                <wp:extent cx="281940" cy="198120"/>
                <wp:effectExtent l="0" t="0" r="0" b="0"/>
                <wp:wrapNone/>
                <wp:docPr id="1847" name="文本框 1847"/>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7#</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44.15pt;margin-top:266.95pt;height:15.6pt;width:22.2pt;z-index:251720704;mso-width-relative:page;mso-height-relative:page;" filled="f" stroked="f" coordsize="21600,21600" o:gfxdata="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b5KhB2wAAAAsB&#10;AAAPAAAAAAAAAAEAIAAAACIAAABkcnMvZG93bnJldi54bWxQSwECFAAUAAAACACHTuJAghW0sVEC&#10;AACMBAAADgAAAAAAAAABACAAAAAqAQAAZHJzL2Uyb0RvYy54bWxQSwUGAAAAAAYABgBZAQAA7QUA&#10;A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7#</w:t>
                      </w:r>
                    </w:p>
                  </w:txbxContent>
                </v:textbox>
              </v:shape>
            </w:pict>
          </mc:Fallback>
        </mc:AlternateContent>
      </w: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18656" behindDoc="0" locked="0" layoutInCell="1" allowOverlap="1">
                <wp:simplePos x="0" y="0"/>
                <wp:positionH relativeFrom="column">
                  <wp:posOffset>3662045</wp:posOffset>
                </wp:positionH>
                <wp:positionV relativeFrom="paragraph">
                  <wp:posOffset>2940050</wp:posOffset>
                </wp:positionV>
                <wp:extent cx="281940" cy="198120"/>
                <wp:effectExtent l="0" t="0" r="0" b="0"/>
                <wp:wrapNone/>
                <wp:docPr id="1845" name="文本框 1845"/>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6#</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88.35pt;margin-top:231.5pt;height:15.6pt;width:22.2pt;z-index:251718656;mso-width-relative:page;mso-height-relative:page;" filled="f" stroked="f" coordsize="21600,21600" o:gfxdata="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PfNP3PaAAAACwEA&#10;AA8AAAAAAAAAAQAgAAAAIgAAAGRycy9kb3ducmV2LnhtbFBLAQIUABQAAAAIAIdO4kCFrsaV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6#</w:t>
                      </w:r>
                    </w:p>
                  </w:txbxContent>
                </v:textbox>
              </v:shape>
            </w:pict>
          </mc:Fallback>
        </mc:AlternateContent>
      </w: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2359025</wp:posOffset>
                </wp:positionH>
                <wp:positionV relativeFrom="paragraph">
                  <wp:posOffset>1788795</wp:posOffset>
                </wp:positionV>
                <wp:extent cx="281940" cy="198120"/>
                <wp:effectExtent l="0" t="0" r="0" b="0"/>
                <wp:wrapNone/>
                <wp:docPr id="1837" name="文本框 1837"/>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85.75pt;margin-top:140.85pt;height:15.6pt;width:22.2pt;z-index:251715584;mso-width-relative:page;mso-height-relative:page;" filled="f" stroked="f" coordsize="21600,21600" o:gfxdata="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nwZ3XaAAAACwEA&#10;AA8AAAAAAAAAAQAgAAAAIgAAAGRycy9kb3ducmV2LnhtbFBLAQIUABQAAAAIAIdO4kBnSSSH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w:t>
                      </w:r>
                    </w:p>
                  </w:txbxContent>
                </v:textbox>
              </v:shape>
            </w:pict>
          </mc:Fallback>
        </mc:AlternateContent>
      </w: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27872" behindDoc="0" locked="0" layoutInCell="1" allowOverlap="1">
                <wp:simplePos x="0" y="0"/>
                <wp:positionH relativeFrom="column">
                  <wp:posOffset>1132205</wp:posOffset>
                </wp:positionH>
                <wp:positionV relativeFrom="paragraph">
                  <wp:posOffset>2508250</wp:posOffset>
                </wp:positionV>
                <wp:extent cx="281940" cy="198120"/>
                <wp:effectExtent l="0" t="0" r="0" b="0"/>
                <wp:wrapNone/>
                <wp:docPr id="1854" name="文本框 1854"/>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12#</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89.15pt;margin-top:197.5pt;height:15.6pt;width:22.2pt;z-index:251727872;mso-width-relative:page;mso-height-relative:page;" filled="f" stroked="f" coordsize="21600,21600" o:gfxdata="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PSJxPaAAAACwEA&#10;AA8AAAAAAAAAAQAgAAAAIgAAAGRycy9kb3ducmV2LnhtbFBLAQIUABQAAAAIAIdO4kCqA2cl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12#</w:t>
                      </w:r>
                    </w:p>
                  </w:txbxContent>
                </v:textbox>
              </v:shape>
            </w:pict>
          </mc:Fallback>
        </mc:AlternateContent>
      </w: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24800" behindDoc="0" locked="0" layoutInCell="1" allowOverlap="1">
                <wp:simplePos x="0" y="0"/>
                <wp:positionH relativeFrom="column">
                  <wp:posOffset>1724025</wp:posOffset>
                </wp:positionH>
                <wp:positionV relativeFrom="paragraph">
                  <wp:posOffset>2157730</wp:posOffset>
                </wp:positionV>
                <wp:extent cx="281940" cy="198120"/>
                <wp:effectExtent l="0" t="0" r="0" b="0"/>
                <wp:wrapNone/>
                <wp:docPr id="1851" name="文本框 1851"/>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11#</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35.75pt;margin-top:169.9pt;height:15.6pt;width:22.2pt;z-index:251724800;mso-width-relative:page;mso-height-relative:page;" filled="f" stroked="f" coordsize="21600,21600" o:gfxdata="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jHeub9oAAAALAQAA&#10;DwAAAAAAAAABACAAAAAiAAAAZHJzL2Rvd25yZXYueG1sUEsBAhQAFAAAAAgAh07iQAerA5JQAgAA&#10;jAQAAA4AAAAAAAAAAQAgAAAAKQ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11#</w:t>
                      </w:r>
                    </w:p>
                  </w:txbxContent>
                </v:textbox>
              </v:shape>
            </w:pict>
          </mc:Fallback>
        </mc:AlternateContent>
      </w: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22752" behindDoc="0" locked="0" layoutInCell="1" allowOverlap="1">
                <wp:simplePos x="0" y="0"/>
                <wp:positionH relativeFrom="column">
                  <wp:posOffset>1684020</wp:posOffset>
                </wp:positionH>
                <wp:positionV relativeFrom="paragraph">
                  <wp:posOffset>3127375</wp:posOffset>
                </wp:positionV>
                <wp:extent cx="281940" cy="198120"/>
                <wp:effectExtent l="0" t="0" r="0" b="0"/>
                <wp:wrapNone/>
                <wp:docPr id="1849" name="文本框 1849"/>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10#</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32.6pt;margin-top:246.25pt;height:15.6pt;width:22.2pt;z-index:251722752;mso-width-relative:page;mso-height-relative:page;" filled="f" stroked="f" coordsize="21600,21600" o:gfxdata="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rqmN2wAAAAsB&#10;AAAPAAAAAAAAAAEAIAAAACIAAABkcnMvZG93bnJldi54bWxQSwECFAAUAAAACACHTuJAlzTpTFEC&#10;AACMBAAADgAAAAAAAAABACAAAAAqAQAAZHJzL2Uyb0RvYy54bWxQSwUGAAAAAAYABgBZAQAA7QUA&#10;A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10#</w:t>
                      </w:r>
                    </w:p>
                  </w:txbxContent>
                </v:textbox>
              </v:shape>
            </w:pict>
          </mc:Fallback>
        </mc:AlternateContent>
      </w: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19680" behindDoc="0" locked="0" layoutInCell="1" allowOverlap="1">
                <wp:simplePos x="0" y="0"/>
                <wp:positionH relativeFrom="column">
                  <wp:posOffset>3148965</wp:posOffset>
                </wp:positionH>
                <wp:positionV relativeFrom="paragraph">
                  <wp:posOffset>2661920</wp:posOffset>
                </wp:positionV>
                <wp:extent cx="281940" cy="198120"/>
                <wp:effectExtent l="0" t="0" r="0" b="0"/>
                <wp:wrapNone/>
                <wp:docPr id="1846" name="文本框 1846"/>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5#</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47.95pt;margin-top:209.6pt;height:15.6pt;width:22.2pt;z-index:251719680;mso-width-relative:page;mso-height-relative:page;" filled="f" stroked="f" coordsize="21600,21600" o:gfxdata="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u9y+7tkAAAALAQAA&#10;DwAAAAAAAAABACAAAAAiAAAAZHJzL2Rvd25yZXYueG1sUEsBAhQAFAAAAAgAh07iQCHLNU5RAgAA&#10;jAQAAA4AAAAAAAAAAQAgAAAAKA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5#</w:t>
                      </w:r>
                    </w:p>
                  </w:txbxContent>
                </v:textbox>
              </v:shape>
            </w:pict>
          </mc:Fallback>
        </mc:AlternateContent>
      </w: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17632" behindDoc="0" locked="0" layoutInCell="1" allowOverlap="1">
                <wp:simplePos x="0" y="0"/>
                <wp:positionH relativeFrom="column">
                  <wp:posOffset>3886835</wp:posOffset>
                </wp:positionH>
                <wp:positionV relativeFrom="paragraph">
                  <wp:posOffset>1915160</wp:posOffset>
                </wp:positionV>
                <wp:extent cx="281940" cy="198120"/>
                <wp:effectExtent l="0" t="0" r="0" b="0"/>
                <wp:wrapNone/>
                <wp:docPr id="1844" name="文本框 1844"/>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4#</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06.05pt;margin-top:150.8pt;height:15.6pt;width:22.2pt;z-index:251717632;mso-width-relative:page;mso-height-relative:page;" filled="f" stroked="f" coordsize="21600,21600" o:gfxdata="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sPwf/aAAAACwEA&#10;AA8AAAAAAAAAAQAgAAAAIgAAAGRycy9kb3ducmV2LnhtbFBLAQIUABQAAAAIAIdO4kAmcEdq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4#</w:t>
                      </w:r>
                    </w:p>
                  </w:txbxContent>
                </v:textbox>
              </v:shape>
            </w:pict>
          </mc:Fallback>
        </mc:AlternateContent>
      </w: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16608" behindDoc="0" locked="0" layoutInCell="1" allowOverlap="1">
                <wp:simplePos x="0" y="0"/>
                <wp:positionH relativeFrom="column">
                  <wp:posOffset>4087495</wp:posOffset>
                </wp:positionH>
                <wp:positionV relativeFrom="paragraph">
                  <wp:posOffset>1054735</wp:posOffset>
                </wp:positionV>
                <wp:extent cx="281940" cy="198120"/>
                <wp:effectExtent l="0" t="0" r="0" b="0"/>
                <wp:wrapNone/>
                <wp:docPr id="1843" name="文本框 1843"/>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3#</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21.85pt;margin-top:83.05pt;height:15.6pt;width:22.2pt;z-index:251716608;mso-width-relative:page;mso-height-relative:page;" filled="f" stroked="f" coordsize="21600,21600" o:gfxdata="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vJc7/9kAAAALAQAA&#10;DwAAAAAAAAABACAAAAAiAAAAZHJzL2Rvd25yZXYueG1sUEsBAhQAFAAAAAgAh07iQIxjUflRAgAA&#10;jAQAAA4AAAAAAAAAAQAgAAAAKA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3#</w:t>
                      </w:r>
                    </w:p>
                  </w:txbxContent>
                </v:textbox>
              </v:shape>
            </w:pict>
          </mc:Fallback>
        </mc:AlternateContent>
      </w: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2946400</wp:posOffset>
                </wp:positionH>
                <wp:positionV relativeFrom="paragraph">
                  <wp:posOffset>1146810</wp:posOffset>
                </wp:positionV>
                <wp:extent cx="281940" cy="198120"/>
                <wp:effectExtent l="0" t="0" r="0" b="0"/>
                <wp:wrapNone/>
                <wp:docPr id="1836" name="文本框 1836"/>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2#</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32pt;margin-top:90.3pt;height:15.6pt;width:22.2pt;z-index:251714560;mso-width-relative:page;mso-height-relative:page;" filled="f" stroked="f" coordsize="21600,21600" o:gfxdata="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WGmW9NkAAAALAQAA&#10;DwAAAAAAAAABACAAAAAiAAAAZHJzL2Rvd25yZXYueG1sUEsBAhQAFAAAAAgAh07iQMSXpXhRAgAA&#10;jAQAAA4AAAAAAAAAAQAgAAAAKA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2#</w:t>
                      </w:r>
                    </w:p>
                  </w:txbxContent>
                </v:textbox>
              </v:shape>
            </w:pict>
          </mc:Fallback>
        </mc:AlternateContent>
      </w:r>
      <w:r>
        <w:rPr>
          <w:color w:val="000000" w:themeColor="text1"/>
          <w:sz w:val="10"/>
          <w:szCs w:val="10"/>
          <w:lang w:eastAsia="zh-CN"/>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2330450</wp:posOffset>
                </wp:positionH>
                <wp:positionV relativeFrom="paragraph">
                  <wp:posOffset>281940</wp:posOffset>
                </wp:positionV>
                <wp:extent cx="281940" cy="198120"/>
                <wp:effectExtent l="0" t="0" r="0" b="0"/>
                <wp:wrapNone/>
                <wp:docPr id="72" name="文本框 72"/>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83.5pt;margin-top:22.2pt;height:15.6pt;width:22.2pt;z-index:251713536;mso-width-relative:page;mso-height-relative:page;" filled="f" stroked="f" coordsize="21600,21600" o:gfxdata="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fExKzNkAAAAJAQAA&#10;DwAAAAAAAAABACAAAAAiAAAAZHJzL2Rvd25yZXYueG1sUEsBAhQAFAAAAAgAh07iQNGenKRRAgAA&#10;iAQAAA4AAAAAAAAAAQAgAAAAKA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w:t>
                      </w:r>
                    </w:p>
                  </w:txbxContent>
                </v:textbox>
              </v:shape>
            </w:pict>
          </mc:Fallback>
        </mc:AlternateContent>
      </w:r>
      <w:r>
        <w:rPr>
          <w:color w:val="000000" w:themeColor="text1"/>
          <w:sz w:val="10"/>
          <w:szCs w:val="10"/>
          <w:lang w:eastAsia="zh-CN"/>
          <w14:textFill>
            <w14:solidFill>
              <w14:schemeClr w14:val="tx1"/>
            </w14:solidFill>
          </w14:textFill>
        </w:rPr>
        <w:t xml:space="preserve"> </w:t>
      </w:r>
    </w:p>
    <w:p>
      <w:pPr>
        <w:pStyle w:val="92"/>
        <w:rPr>
          <w:rFonts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269230" cy="4093845"/>
            <wp:effectExtent l="0" t="0" r="7620" b="1905"/>
            <wp:docPr id="73" name="图片 73" descr="91763d1992564f3c54a18e248b960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91763d1992564f3c54a18e248b9604c"/>
                    <pic:cNvPicPr>
                      <a:picLocks noChangeAspect="1"/>
                    </pic:cNvPicPr>
                  </pic:nvPicPr>
                  <pic:blipFill>
                    <a:blip r:embed="rId96"/>
                    <a:stretch>
                      <a:fillRect/>
                    </a:stretch>
                  </pic:blipFill>
                  <pic:spPr>
                    <a:xfrm>
                      <a:off x="0" y="0"/>
                      <a:ext cx="5269230" cy="4093845"/>
                    </a:xfrm>
                    <a:prstGeom prst="rect">
                      <a:avLst/>
                    </a:prstGeom>
                  </pic:spPr>
                </pic:pic>
              </a:graphicData>
            </a:graphic>
          </wp:inline>
        </w:drawing>
      </w:r>
    </w:p>
    <w:p>
      <w:pPr>
        <w:pStyle w:val="161"/>
        <w:rPr>
          <w:color w:val="000000" w:themeColor="text1"/>
          <w14:textFill>
            <w14:solidFill>
              <w14:schemeClr w14:val="tx1"/>
            </w14:solidFill>
          </w14:textFill>
        </w:rPr>
      </w:pPr>
      <w:bookmarkStart w:id="328" w:name="_Ref143335575"/>
      <w:r>
        <w:rPr>
          <w:rFonts w:hint="eastAsia"/>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STYLEREF 2 \s</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SEQ 图 \* ARABIC \s 2</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w:t>
      </w:r>
      <w:r>
        <w:rPr>
          <w:color w:val="000000" w:themeColor="text1"/>
          <w14:textFill>
            <w14:solidFill>
              <w14:schemeClr w14:val="tx1"/>
            </w14:solidFill>
          </w14:textFill>
        </w:rPr>
        <w:fldChar w:fldCharType="end"/>
      </w:r>
      <w:bookmarkEnd w:id="328"/>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大气环境风险调查范围及敏感点分布图</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3）气象参数</w:t>
      </w:r>
    </w:p>
    <w:p>
      <w:pPr>
        <w:pStyle w:val="200"/>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STYLEREF 2 \s</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大气风险预测模型主要参数表</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377"/>
        <w:gridCol w:w="1755"/>
        <w:gridCol w:w="52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参数类型</w:t>
            </w:r>
          </w:p>
        </w:tc>
        <w:tc>
          <w:tcPr>
            <w:tcW w:w="1049" w:type="pc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选项</w:t>
            </w:r>
          </w:p>
        </w:tc>
        <w:tc>
          <w:tcPr>
            <w:tcW w:w="3128" w:type="pc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restar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基本情况</w:t>
            </w:r>
          </w:p>
        </w:tc>
        <w:tc>
          <w:tcPr>
            <w:tcW w:w="1049"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事故源经度/（°）</w:t>
            </w:r>
          </w:p>
        </w:tc>
        <w:tc>
          <w:tcPr>
            <w:tcW w:w="3128" w:type="pct"/>
            <w:shd w:val="clear" w:color="auto" w:fill="auto"/>
            <w:vAlign w:val="center"/>
          </w:tcPr>
          <w:p>
            <w:pPr>
              <w:pStyle w:val="294"/>
              <w:rPr>
                <w:color w:val="000000" w:themeColor="text1"/>
                <w14:textFill>
                  <w14:solidFill>
                    <w14:schemeClr w14:val="tx1"/>
                  </w14:solidFill>
                </w14:textFill>
              </w:rPr>
            </w:pPr>
            <w:r>
              <w:rPr>
                <w:color w:val="000000"/>
              </w:rPr>
              <w:t>107.761469°东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4"/>
              <w:rPr>
                <w:color w:val="000000" w:themeColor="text1"/>
                <w14:textFill>
                  <w14:solidFill>
                    <w14:schemeClr w14:val="tx1"/>
                  </w14:solidFill>
                </w14:textFill>
              </w:rPr>
            </w:pPr>
          </w:p>
        </w:tc>
        <w:tc>
          <w:tcPr>
            <w:tcW w:w="1049"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事故源纬度/（°）</w:t>
            </w:r>
          </w:p>
        </w:tc>
        <w:tc>
          <w:tcPr>
            <w:tcW w:w="3128" w:type="pct"/>
            <w:shd w:val="clear" w:color="auto" w:fill="auto"/>
            <w:vAlign w:val="center"/>
          </w:tcPr>
          <w:p>
            <w:pPr>
              <w:pStyle w:val="294"/>
              <w:rPr>
                <w:color w:val="000000" w:themeColor="text1"/>
                <w14:textFill>
                  <w14:solidFill>
                    <w14:schemeClr w14:val="tx1"/>
                  </w14:solidFill>
                </w14:textFill>
              </w:rPr>
            </w:pPr>
            <w:r>
              <w:rPr>
                <w:color w:val="000000"/>
              </w:rPr>
              <w:t>31.528000°北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4"/>
              <w:rPr>
                <w:color w:val="000000" w:themeColor="text1"/>
                <w14:textFill>
                  <w14:solidFill>
                    <w14:schemeClr w14:val="tx1"/>
                  </w14:solidFill>
                </w14:textFill>
              </w:rPr>
            </w:pPr>
          </w:p>
        </w:tc>
        <w:tc>
          <w:tcPr>
            <w:tcW w:w="1049"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事故源类型</w:t>
            </w:r>
          </w:p>
        </w:tc>
        <w:tc>
          <w:tcPr>
            <w:tcW w:w="3128"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含硫天然气井发生井喷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restar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气象参数</w:t>
            </w:r>
          </w:p>
        </w:tc>
        <w:tc>
          <w:tcPr>
            <w:tcW w:w="1049"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气象条件类型</w:t>
            </w:r>
          </w:p>
        </w:tc>
        <w:tc>
          <w:tcPr>
            <w:tcW w:w="3128"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最不利气象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4"/>
              <w:rPr>
                <w:color w:val="000000" w:themeColor="text1"/>
                <w14:textFill>
                  <w14:solidFill>
                    <w14:schemeClr w14:val="tx1"/>
                  </w14:solidFill>
                </w14:textFill>
              </w:rPr>
            </w:pPr>
          </w:p>
        </w:tc>
        <w:tc>
          <w:tcPr>
            <w:tcW w:w="1049"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风速/（m/s）</w:t>
            </w:r>
          </w:p>
        </w:tc>
        <w:tc>
          <w:tcPr>
            <w:tcW w:w="3128"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4"/>
              <w:rPr>
                <w:color w:val="000000" w:themeColor="text1"/>
                <w14:textFill>
                  <w14:solidFill>
                    <w14:schemeClr w14:val="tx1"/>
                  </w14:solidFill>
                </w14:textFill>
              </w:rPr>
            </w:pPr>
          </w:p>
        </w:tc>
        <w:tc>
          <w:tcPr>
            <w:tcW w:w="1049"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环境温度/℃</w:t>
            </w:r>
          </w:p>
        </w:tc>
        <w:tc>
          <w:tcPr>
            <w:tcW w:w="3128"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4"/>
              <w:rPr>
                <w:color w:val="000000" w:themeColor="text1"/>
                <w14:textFill>
                  <w14:solidFill>
                    <w14:schemeClr w14:val="tx1"/>
                  </w14:solidFill>
                </w14:textFill>
              </w:rPr>
            </w:pPr>
          </w:p>
        </w:tc>
        <w:tc>
          <w:tcPr>
            <w:tcW w:w="1049"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相对湿度/%</w:t>
            </w:r>
          </w:p>
        </w:tc>
        <w:tc>
          <w:tcPr>
            <w:tcW w:w="3128"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4"/>
              <w:rPr>
                <w:color w:val="000000" w:themeColor="text1"/>
                <w14:textFill>
                  <w14:solidFill>
                    <w14:schemeClr w14:val="tx1"/>
                  </w14:solidFill>
                </w14:textFill>
              </w:rPr>
            </w:pPr>
          </w:p>
        </w:tc>
        <w:tc>
          <w:tcPr>
            <w:tcW w:w="1049"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稳定度</w:t>
            </w:r>
          </w:p>
        </w:tc>
        <w:tc>
          <w:tcPr>
            <w:tcW w:w="3128"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restar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其他参数</w:t>
            </w:r>
          </w:p>
        </w:tc>
        <w:tc>
          <w:tcPr>
            <w:tcW w:w="1049"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地表粗糙度/m</w:t>
            </w:r>
          </w:p>
        </w:tc>
        <w:tc>
          <w:tcPr>
            <w:tcW w:w="3128"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0.13m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4"/>
              <w:rPr>
                <w:color w:val="000000" w:themeColor="text1"/>
                <w14:textFill>
                  <w14:solidFill>
                    <w14:schemeClr w14:val="tx1"/>
                  </w14:solidFill>
                </w14:textFill>
              </w:rPr>
            </w:pPr>
          </w:p>
        </w:tc>
        <w:tc>
          <w:tcPr>
            <w:tcW w:w="1049"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是否考虑地形</w:t>
            </w:r>
          </w:p>
        </w:tc>
        <w:tc>
          <w:tcPr>
            <w:tcW w:w="3128"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4"/>
              <w:rPr>
                <w:color w:val="000000" w:themeColor="text1"/>
                <w14:textFill>
                  <w14:solidFill>
                    <w14:schemeClr w14:val="tx1"/>
                  </w14:solidFill>
                </w14:textFill>
              </w:rPr>
            </w:pPr>
          </w:p>
        </w:tc>
        <w:tc>
          <w:tcPr>
            <w:tcW w:w="1049"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地形数据精度/m</w:t>
            </w:r>
          </w:p>
        </w:tc>
        <w:tc>
          <w:tcPr>
            <w:tcW w:w="3128"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90m</w:t>
            </w:r>
          </w:p>
        </w:tc>
      </w:tr>
    </w:tbl>
    <w:p>
      <w:pPr>
        <w:pStyle w:val="92"/>
        <w:rPr>
          <w:bCs/>
          <w:color w:val="000000" w:themeColor="text1"/>
          <w:kern w:val="2"/>
          <w:lang w:eastAsia="zh-CN"/>
          <w14:textFill>
            <w14:solidFill>
              <w14:schemeClr w14:val="tx1"/>
            </w14:solidFill>
          </w14:textFill>
        </w:rPr>
      </w:pPr>
      <w:r>
        <w:rPr>
          <w:lang w:eastAsia="zh-CN"/>
        </w:rPr>
        <w:drawing>
          <wp:inline distT="0" distB="0" distL="114300" distR="114300">
            <wp:extent cx="5271135" cy="4170680"/>
            <wp:effectExtent l="0" t="0" r="5715" b="1270"/>
            <wp:docPr id="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
                    <pic:cNvPicPr>
                      <a:picLocks noChangeAspect="1"/>
                    </pic:cNvPicPr>
                  </pic:nvPicPr>
                  <pic:blipFill>
                    <a:blip r:embed="rId97"/>
                    <a:stretch>
                      <a:fillRect/>
                    </a:stretch>
                  </pic:blipFill>
                  <pic:spPr>
                    <a:xfrm>
                      <a:off x="0" y="0"/>
                      <a:ext cx="5271135" cy="4170680"/>
                    </a:xfrm>
                    <a:prstGeom prst="rect">
                      <a:avLst/>
                    </a:prstGeom>
                    <a:noFill/>
                    <a:ln>
                      <a:noFill/>
                    </a:ln>
                  </pic:spPr>
                </pic:pic>
              </a:graphicData>
            </a:graphic>
          </wp:inline>
        </w:drawing>
      </w:r>
    </w:p>
    <w:p>
      <w:pPr>
        <w:pStyle w:val="161"/>
        <w:rPr>
          <w:color w:val="000000" w:themeColor="text1"/>
          <w14:textFill>
            <w14:solidFill>
              <w14:schemeClr w14:val="tx1"/>
            </w14:solidFill>
          </w14:textFill>
        </w:rPr>
      </w:pPr>
      <w:r>
        <w:rPr>
          <w:color w:val="000000" w:themeColor="text1"/>
          <w14:textFill>
            <w14:solidFill>
              <w14:schemeClr w14:val="tx1"/>
            </w14:solidFill>
          </w14:textFill>
        </w:rPr>
        <w:t>硫化氢事故状态参数输入</w:t>
      </w:r>
    </w:p>
    <w:p>
      <w:pPr>
        <w:pStyle w:val="92"/>
        <w:rPr>
          <w:bCs/>
          <w:color w:val="000000" w:themeColor="text1"/>
          <w:kern w:val="2"/>
          <w:lang w:eastAsia="zh-CN"/>
          <w14:textFill>
            <w14:solidFill>
              <w14:schemeClr w14:val="tx1"/>
            </w14:solidFill>
          </w14:textFill>
        </w:rPr>
      </w:pPr>
      <w:r>
        <w:rPr>
          <w:lang w:eastAsia="zh-CN"/>
        </w:rPr>
        <w:drawing>
          <wp:inline distT="0" distB="0" distL="114300" distR="114300">
            <wp:extent cx="5275580" cy="4161155"/>
            <wp:effectExtent l="0" t="0" r="1270" b="10795"/>
            <wp:docPr id="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
                    <pic:cNvPicPr>
                      <a:picLocks noChangeAspect="1"/>
                    </pic:cNvPicPr>
                  </pic:nvPicPr>
                  <pic:blipFill>
                    <a:blip r:embed="rId98"/>
                    <a:stretch>
                      <a:fillRect/>
                    </a:stretch>
                  </pic:blipFill>
                  <pic:spPr>
                    <a:xfrm>
                      <a:off x="0" y="0"/>
                      <a:ext cx="5275580" cy="4161155"/>
                    </a:xfrm>
                    <a:prstGeom prst="rect">
                      <a:avLst/>
                    </a:prstGeom>
                    <a:noFill/>
                    <a:ln>
                      <a:noFill/>
                    </a:ln>
                  </pic:spPr>
                </pic:pic>
              </a:graphicData>
            </a:graphic>
          </wp:inline>
        </w:drawing>
      </w:r>
    </w:p>
    <w:p>
      <w:pPr>
        <w:pStyle w:val="161"/>
        <w:rPr>
          <w:color w:val="000000" w:themeColor="text1"/>
          <w14:textFill>
            <w14:solidFill>
              <w14:schemeClr w14:val="tx1"/>
            </w14:solidFill>
          </w14:textFill>
        </w:rPr>
      </w:pPr>
      <w:r>
        <w:rPr>
          <w:color w:val="000000" w:themeColor="text1"/>
          <w14:textFill>
            <w14:solidFill>
              <w14:schemeClr w14:val="tx1"/>
            </w14:solidFill>
          </w14:textFill>
        </w:rPr>
        <w:t>甲烷事故状态参数输入</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4）大气毒性终点浓度选取</w:t>
      </w:r>
      <w:r>
        <w:rPr>
          <w:rFonts w:hint="eastAsia" w:ascii="Times New Roman" w:hAnsi="Times New Roman"/>
          <w:bCs/>
          <w:color w:val="000000" w:themeColor="text1"/>
          <w:kern w:val="2"/>
          <w:lang w:eastAsia="zh-CN"/>
          <w14:textFill>
            <w14:solidFill>
              <w14:schemeClr w14:val="tx1"/>
            </w14:solidFill>
          </w14:textFill>
        </w:rPr>
        <w:t>见4。</w:t>
      </w:r>
    </w:p>
    <w:p>
      <w:pPr>
        <w:pStyle w:val="200"/>
        <w:spacing w:before="120"/>
        <w:rPr>
          <w:color w:val="000000" w:themeColor="text1"/>
          <w14:textFill>
            <w14:solidFill>
              <w14:schemeClr w14:val="tx1"/>
            </w14:solidFill>
          </w14:textFill>
        </w:rPr>
      </w:pPr>
      <w:bookmarkStart w:id="329" w:name="_Ref142859261"/>
      <w:r>
        <w:rPr>
          <w:rFonts w:hint="eastAsia"/>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STYLEREF 2 \s</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bookmarkEnd w:id="329"/>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大气毒性终点浓度选取表</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020"/>
        <w:gridCol w:w="3448"/>
        <w:gridCol w:w="28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207" w:type="pc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名称</w:t>
            </w:r>
          </w:p>
        </w:tc>
        <w:tc>
          <w:tcPr>
            <w:tcW w:w="2061" w:type="pc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毒性终点浓度-1/（mg/m</w:t>
            </w:r>
            <w:r>
              <w:rPr>
                <w:b/>
                <w:bCs/>
                <w:color w:val="000000" w:themeColor="text1"/>
                <w:vertAlign w:val="superscript"/>
                <w14:textFill>
                  <w14:solidFill>
                    <w14:schemeClr w14:val="tx1"/>
                  </w14:solidFill>
                </w14:textFill>
              </w:rPr>
              <w:t>3</w:t>
            </w:r>
            <w:r>
              <w:rPr>
                <w:b/>
                <w:bCs/>
                <w:color w:val="000000" w:themeColor="text1"/>
                <w14:textFill>
                  <w14:solidFill>
                    <w14:schemeClr w14:val="tx1"/>
                  </w14:solidFill>
                </w14:textFill>
              </w:rPr>
              <w:t>）</w:t>
            </w:r>
          </w:p>
        </w:tc>
        <w:tc>
          <w:tcPr>
            <w:tcW w:w="1732" w:type="pc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毒性终点浓度-2/（mg/m</w:t>
            </w:r>
            <w:r>
              <w:rPr>
                <w:b/>
                <w:bCs/>
                <w:color w:val="000000" w:themeColor="text1"/>
                <w:vertAlign w:val="superscript"/>
                <w14:textFill>
                  <w14:solidFill>
                    <w14:schemeClr w14:val="tx1"/>
                  </w14:solidFill>
                </w14:textFill>
              </w:rPr>
              <w:t>3</w:t>
            </w:r>
            <w:r>
              <w:rPr>
                <w:b/>
                <w:bCs/>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207"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硫化氢</w:t>
            </w:r>
          </w:p>
        </w:tc>
        <w:tc>
          <w:tcPr>
            <w:tcW w:w="2061"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70</w:t>
            </w:r>
          </w:p>
        </w:tc>
        <w:tc>
          <w:tcPr>
            <w:tcW w:w="1732"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207" w:type="pct"/>
            <w:shd w:val="clear" w:color="auto" w:fill="auto"/>
            <w:vAlign w:val="center"/>
          </w:tcPr>
          <w:p>
            <w:pPr>
              <w:pStyle w:val="294"/>
              <w:rPr>
                <w:color w:val="000000" w:themeColor="text1"/>
                <w:vertAlign w:val="subscript"/>
                <w14:textFill>
                  <w14:solidFill>
                    <w14:schemeClr w14:val="tx1"/>
                  </w14:solidFill>
                </w14:textFill>
              </w:rPr>
            </w:pPr>
            <w:r>
              <w:rPr>
                <w:color w:val="000000" w:themeColor="text1"/>
                <w14:textFill>
                  <w14:solidFill>
                    <w14:schemeClr w14:val="tx1"/>
                  </w14:solidFill>
                </w14:textFill>
              </w:rPr>
              <w:t>甲烷</w:t>
            </w:r>
          </w:p>
        </w:tc>
        <w:tc>
          <w:tcPr>
            <w:tcW w:w="2061"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260000</w:t>
            </w:r>
          </w:p>
        </w:tc>
        <w:tc>
          <w:tcPr>
            <w:tcW w:w="1732"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 xml:space="preserve">150000 </w:t>
            </w:r>
          </w:p>
        </w:tc>
      </w:tr>
    </w:tbl>
    <w:p>
      <w:pPr>
        <w:pStyle w:val="21"/>
        <w:ind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5）预测结果</w:t>
      </w:r>
    </w:p>
    <w:p>
      <w:pPr>
        <w:pStyle w:val="21"/>
        <w:ind w:firstLine="480"/>
        <w:jc w:val="both"/>
        <w:rPr>
          <w:rFonts w:ascii="Times New Roman" w:hAnsi="Times New Roman"/>
          <w:bCs/>
          <w:color w:val="000000" w:themeColor="text1"/>
          <w:kern w:val="2"/>
          <w:lang w:eastAsia="zh-CN"/>
          <w14:textFill>
            <w14:solidFill>
              <w14:schemeClr w14:val="tx1"/>
            </w14:solidFill>
          </w14:textFill>
        </w:rPr>
      </w:pPr>
      <w:r>
        <w:rPr>
          <w:rFonts w:hint="eastAsia" w:cs="宋体"/>
          <w:bCs/>
          <w:color w:val="000000" w:themeColor="text1"/>
          <w:kern w:val="2"/>
          <w:lang w:eastAsia="zh-CN"/>
          <w14:textFill>
            <w14:solidFill>
              <w14:schemeClr w14:val="tx1"/>
            </w14:solidFill>
          </w14:textFill>
        </w:rPr>
        <w:t>①</w:t>
      </w:r>
      <w:r>
        <w:rPr>
          <w:rFonts w:ascii="Times New Roman" w:hAnsi="Times New Roman"/>
          <w:bCs/>
          <w:color w:val="000000" w:themeColor="text1"/>
          <w:kern w:val="2"/>
          <w:lang w:eastAsia="zh-CN"/>
          <w14:textFill>
            <w14:solidFill>
              <w14:schemeClr w14:val="tx1"/>
            </w14:solidFill>
          </w14:textFill>
        </w:rPr>
        <w:t>一般计算点影响情况</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最不利气象条件下的一般计算点浓度，预测结果如下：</w:t>
      </w:r>
    </w:p>
    <w:p>
      <w:pPr>
        <w:pStyle w:val="200"/>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STYLEREF 2 \s</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大气毒性终点浓度影响区域</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242"/>
        <w:gridCol w:w="1242"/>
        <w:gridCol w:w="1208"/>
        <w:gridCol w:w="1208"/>
        <w:gridCol w:w="1423"/>
        <w:gridCol w:w="20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42" w:type="pc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物质名称</w:t>
            </w:r>
          </w:p>
        </w:tc>
        <w:tc>
          <w:tcPr>
            <w:tcW w:w="742" w:type="pc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阈值mg/m</w:t>
            </w:r>
            <w:r>
              <w:rPr>
                <w:b/>
                <w:bCs/>
                <w:color w:val="000000" w:themeColor="text1"/>
                <w:vertAlign w:val="superscript"/>
                <w14:textFill>
                  <w14:solidFill>
                    <w14:schemeClr w14:val="tx1"/>
                  </w14:solidFill>
                </w14:textFill>
              </w:rPr>
              <w:t>3</w:t>
            </w:r>
          </w:p>
        </w:tc>
        <w:tc>
          <w:tcPr>
            <w:tcW w:w="722" w:type="pc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X起点，m</w:t>
            </w:r>
          </w:p>
        </w:tc>
        <w:tc>
          <w:tcPr>
            <w:tcW w:w="722" w:type="pc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X终点，m</w:t>
            </w:r>
          </w:p>
        </w:tc>
        <w:tc>
          <w:tcPr>
            <w:tcW w:w="850" w:type="pc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最大半宽，m</w:t>
            </w:r>
          </w:p>
        </w:tc>
        <w:tc>
          <w:tcPr>
            <w:tcW w:w="1221" w:type="pc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最大半宽对应X，m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742" w:type="pct"/>
            <w:vMerge w:val="restar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硫化氢</w:t>
            </w:r>
          </w:p>
        </w:tc>
        <w:tc>
          <w:tcPr>
            <w:tcW w:w="742"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38</w:t>
            </w:r>
          </w:p>
        </w:tc>
        <w:tc>
          <w:tcPr>
            <w:tcW w:w="722" w:type="pct"/>
            <w:shd w:val="clear" w:color="auto" w:fill="auto"/>
            <w:vAlign w:val="center"/>
          </w:tcPr>
          <w:p>
            <w:pPr>
              <w:pStyle w:val="294"/>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722" w:type="pct"/>
            <w:shd w:val="clear" w:color="auto" w:fill="auto"/>
            <w:vAlign w:val="center"/>
          </w:tcPr>
          <w:p>
            <w:pPr>
              <w:pStyle w:val="294"/>
              <w:rPr>
                <w:color w:val="000000" w:themeColor="text1"/>
                <w14:textFill>
                  <w14:solidFill>
                    <w14:schemeClr w14:val="tx1"/>
                  </w14:solidFill>
                </w14:textFill>
              </w:rPr>
            </w:pPr>
            <w:r>
              <w:rPr>
                <w:rFonts w:hint="eastAsia"/>
                <w:color w:val="000000" w:themeColor="text1"/>
                <w14:textFill>
                  <w14:solidFill>
                    <w14:schemeClr w14:val="tx1"/>
                  </w14:solidFill>
                </w14:textFill>
              </w:rPr>
              <w:t>2180</w:t>
            </w:r>
          </w:p>
        </w:tc>
        <w:tc>
          <w:tcPr>
            <w:tcW w:w="850" w:type="pct"/>
            <w:shd w:val="clear" w:color="auto" w:fill="auto"/>
            <w:vAlign w:val="center"/>
          </w:tcPr>
          <w:p>
            <w:pPr>
              <w:pStyle w:val="294"/>
              <w:rPr>
                <w:color w:val="000000" w:themeColor="text1"/>
                <w14:textFill>
                  <w14:solidFill>
                    <w14:schemeClr w14:val="tx1"/>
                  </w14:solidFill>
                </w14:textFill>
              </w:rPr>
            </w:pPr>
            <w:r>
              <w:rPr>
                <w:rFonts w:hint="eastAsia"/>
                <w:color w:val="000000" w:themeColor="text1"/>
                <w14:textFill>
                  <w14:solidFill>
                    <w14:schemeClr w14:val="tx1"/>
                  </w14:solidFill>
                </w14:textFill>
              </w:rPr>
              <w:t>82</w:t>
            </w:r>
          </w:p>
        </w:tc>
        <w:tc>
          <w:tcPr>
            <w:tcW w:w="1221" w:type="pct"/>
            <w:shd w:val="clear" w:color="auto" w:fill="auto"/>
            <w:vAlign w:val="center"/>
          </w:tcPr>
          <w:p>
            <w:pPr>
              <w:pStyle w:val="294"/>
              <w:rPr>
                <w:color w:val="000000" w:themeColor="text1"/>
                <w14:textFill>
                  <w14:solidFill>
                    <w14:schemeClr w14:val="tx1"/>
                  </w14:solidFill>
                </w14:textFill>
              </w:rPr>
            </w:pPr>
            <w:r>
              <w:rPr>
                <w:rFonts w:hint="eastAsia"/>
                <w:color w:val="000000" w:themeColor="text1"/>
                <w14:textFill>
                  <w14:solidFill>
                    <w14:schemeClr w14:val="tx1"/>
                  </w14:solidFill>
                </w14:textFill>
              </w:rPr>
              <w:t>1010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42" w:type="pct"/>
            <w:vMerge w:val="continue"/>
            <w:shd w:val="clear" w:color="auto" w:fill="auto"/>
            <w:vAlign w:val="center"/>
          </w:tcPr>
          <w:p>
            <w:pPr>
              <w:pStyle w:val="294"/>
              <w:rPr>
                <w:color w:val="000000" w:themeColor="text1"/>
                <w14:textFill>
                  <w14:solidFill>
                    <w14:schemeClr w14:val="tx1"/>
                  </w14:solidFill>
                </w14:textFill>
              </w:rPr>
            </w:pPr>
          </w:p>
        </w:tc>
        <w:tc>
          <w:tcPr>
            <w:tcW w:w="742"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70</w:t>
            </w:r>
          </w:p>
        </w:tc>
        <w:tc>
          <w:tcPr>
            <w:tcW w:w="722" w:type="pct"/>
            <w:shd w:val="clear" w:color="auto" w:fill="auto"/>
            <w:vAlign w:val="center"/>
          </w:tcPr>
          <w:p>
            <w:pPr>
              <w:pStyle w:val="294"/>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722" w:type="pct"/>
            <w:shd w:val="clear" w:color="auto" w:fill="auto"/>
            <w:vAlign w:val="center"/>
          </w:tcPr>
          <w:p>
            <w:pPr>
              <w:pStyle w:val="294"/>
              <w:rPr>
                <w:color w:val="000000" w:themeColor="text1"/>
                <w14:textFill>
                  <w14:solidFill>
                    <w14:schemeClr w14:val="tx1"/>
                  </w14:solidFill>
                </w14:textFill>
              </w:rPr>
            </w:pPr>
            <w:r>
              <w:rPr>
                <w:rFonts w:hint="eastAsia"/>
                <w:color w:val="000000" w:themeColor="text1"/>
                <w14:textFill>
                  <w14:solidFill>
                    <w14:schemeClr w14:val="tx1"/>
                  </w14:solidFill>
                </w14:textFill>
              </w:rPr>
              <w:t>1380</w:t>
            </w:r>
          </w:p>
        </w:tc>
        <w:tc>
          <w:tcPr>
            <w:tcW w:w="850" w:type="pct"/>
            <w:shd w:val="clear" w:color="auto" w:fill="auto"/>
            <w:vAlign w:val="center"/>
          </w:tcPr>
          <w:p>
            <w:pPr>
              <w:pStyle w:val="294"/>
              <w:rPr>
                <w:color w:val="000000" w:themeColor="text1"/>
                <w14:textFill>
                  <w14:solidFill>
                    <w14:schemeClr w14:val="tx1"/>
                  </w14:solidFill>
                </w14:textFill>
              </w:rPr>
            </w:pPr>
            <w:r>
              <w:rPr>
                <w:rFonts w:hint="eastAsia"/>
                <w:color w:val="000000" w:themeColor="text1"/>
                <w14:textFill>
                  <w14:solidFill>
                    <w14:schemeClr w14:val="tx1"/>
                  </w14:solidFill>
                </w14:textFill>
              </w:rPr>
              <w:t>58</w:t>
            </w:r>
          </w:p>
        </w:tc>
        <w:tc>
          <w:tcPr>
            <w:tcW w:w="1221" w:type="pct"/>
            <w:shd w:val="clear" w:color="auto" w:fill="auto"/>
            <w:vAlign w:val="center"/>
          </w:tcPr>
          <w:p>
            <w:pPr>
              <w:pStyle w:val="294"/>
              <w:rPr>
                <w:color w:val="000000" w:themeColor="text1"/>
                <w14:textFill>
                  <w14:solidFill>
                    <w14:schemeClr w14:val="tx1"/>
                  </w14:solidFill>
                </w14:textFill>
              </w:rPr>
            </w:pPr>
            <w:r>
              <w:rPr>
                <w:rFonts w:hint="eastAsia"/>
                <w:color w:val="000000" w:themeColor="text1"/>
                <w14:textFill>
                  <w14:solidFill>
                    <w14:schemeClr w14:val="tx1"/>
                  </w14:solidFill>
                </w14:textFill>
              </w:rPr>
              <w:t>660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42" w:type="pct"/>
            <w:vMerge w:val="restar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甲烷</w:t>
            </w:r>
          </w:p>
        </w:tc>
        <w:tc>
          <w:tcPr>
            <w:tcW w:w="742"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150000</w:t>
            </w:r>
          </w:p>
        </w:tc>
        <w:tc>
          <w:tcPr>
            <w:tcW w:w="722"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0</w:t>
            </w:r>
          </w:p>
        </w:tc>
        <w:tc>
          <w:tcPr>
            <w:tcW w:w="722"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0</w:t>
            </w:r>
          </w:p>
        </w:tc>
        <w:tc>
          <w:tcPr>
            <w:tcW w:w="850"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0</w:t>
            </w:r>
          </w:p>
        </w:tc>
        <w:tc>
          <w:tcPr>
            <w:tcW w:w="1221"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42" w:type="pct"/>
            <w:vMerge w:val="continue"/>
            <w:shd w:val="clear" w:color="auto" w:fill="auto"/>
            <w:vAlign w:val="center"/>
          </w:tcPr>
          <w:p>
            <w:pPr>
              <w:pStyle w:val="294"/>
              <w:rPr>
                <w:color w:val="000000" w:themeColor="text1"/>
                <w14:textFill>
                  <w14:solidFill>
                    <w14:schemeClr w14:val="tx1"/>
                  </w14:solidFill>
                </w14:textFill>
              </w:rPr>
            </w:pPr>
          </w:p>
        </w:tc>
        <w:tc>
          <w:tcPr>
            <w:tcW w:w="742"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260000</w:t>
            </w:r>
          </w:p>
        </w:tc>
        <w:tc>
          <w:tcPr>
            <w:tcW w:w="722"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0</w:t>
            </w:r>
          </w:p>
        </w:tc>
        <w:tc>
          <w:tcPr>
            <w:tcW w:w="722"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0</w:t>
            </w:r>
          </w:p>
        </w:tc>
        <w:tc>
          <w:tcPr>
            <w:tcW w:w="850"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0</w:t>
            </w:r>
          </w:p>
        </w:tc>
        <w:tc>
          <w:tcPr>
            <w:tcW w:w="1221" w:type="pct"/>
            <w:shd w:val="clear" w:color="auto" w:fill="auto"/>
            <w:vAlign w:val="center"/>
          </w:tcPr>
          <w:p>
            <w:pPr>
              <w:pStyle w:val="294"/>
              <w:rPr>
                <w:color w:val="000000" w:themeColor="text1"/>
                <w14:textFill>
                  <w14:solidFill>
                    <w14:schemeClr w14:val="tx1"/>
                  </w14:solidFill>
                </w14:textFill>
              </w:rPr>
            </w:pPr>
            <w:r>
              <w:rPr>
                <w:color w:val="000000" w:themeColor="text1"/>
                <w14:textFill>
                  <w14:solidFill>
                    <w14:schemeClr w14:val="tx1"/>
                  </w14:solidFill>
                </w14:textFill>
              </w:rPr>
              <w:t>0</w:t>
            </w:r>
          </w:p>
        </w:tc>
      </w:tr>
    </w:tbl>
    <w:p>
      <w:pPr>
        <w:pStyle w:val="92"/>
        <w:spacing w:before="120" w:beforeLines="50" w:line="360" w:lineRule="auto"/>
        <w:rPr>
          <w:color w:val="000000" w:themeColor="text1"/>
          <w14:textFill>
            <w14:solidFill>
              <w14:schemeClr w14:val="tx1"/>
            </w14:solidFill>
          </w14:textFill>
        </w:rPr>
      </w:pPr>
      <w:r>
        <w:rPr>
          <w:lang w:eastAsia="zh-CN"/>
        </w:rPr>
        <w:drawing>
          <wp:inline distT="0" distB="0" distL="114300" distR="114300">
            <wp:extent cx="5294630" cy="4820285"/>
            <wp:effectExtent l="0" t="0" r="1270" b="0"/>
            <wp:docPr id="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1"/>
                    <pic:cNvPicPr>
                      <a:picLocks noChangeAspect="1"/>
                    </pic:cNvPicPr>
                  </pic:nvPicPr>
                  <pic:blipFill>
                    <a:blip r:embed="rId99"/>
                    <a:srcRect l="18478" t="3870" r="17885" b="1181"/>
                    <a:stretch>
                      <a:fillRect/>
                    </a:stretch>
                  </pic:blipFill>
                  <pic:spPr>
                    <a:xfrm>
                      <a:off x="0" y="0"/>
                      <a:ext cx="5305300" cy="4830373"/>
                    </a:xfrm>
                    <a:prstGeom prst="rect">
                      <a:avLst/>
                    </a:prstGeom>
                    <a:noFill/>
                    <a:ln>
                      <a:noFill/>
                    </a:ln>
                  </pic:spPr>
                </pic:pic>
              </a:graphicData>
            </a:graphic>
          </wp:inline>
        </w:drawing>
      </w:r>
    </w:p>
    <w:p>
      <w:pPr>
        <w:pStyle w:val="161"/>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STYLEREF 2 \s</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SEQ 图 \* ARABIC \s 2</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最不利气象条件下</w:t>
      </w:r>
      <w:r>
        <w:rPr>
          <w:color w:val="000000" w:themeColor="text1"/>
          <w14:textFill>
            <w14:solidFill>
              <w14:schemeClr w14:val="tx1"/>
            </w14:solidFill>
          </w14:textFill>
        </w:rPr>
        <w:t>H</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S扩散最大影响区域图</w:t>
      </w:r>
    </w:p>
    <w:p>
      <w:pPr>
        <w:ind w:firstLine="0" w:firstLineChars="0"/>
      </w:pPr>
      <w:r>
        <w:drawing>
          <wp:inline distT="0" distB="0" distL="114300" distR="114300">
            <wp:extent cx="5270500" cy="2628265"/>
            <wp:effectExtent l="0" t="0" r="6350" b="635"/>
            <wp:docPr id="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
                    <pic:cNvPicPr>
                      <a:picLocks noChangeAspect="1"/>
                    </pic:cNvPicPr>
                  </pic:nvPicPr>
                  <pic:blipFill>
                    <a:blip r:embed="rId100"/>
                    <a:stretch>
                      <a:fillRect/>
                    </a:stretch>
                  </pic:blipFill>
                  <pic:spPr>
                    <a:xfrm>
                      <a:off x="0" y="0"/>
                      <a:ext cx="5270500" cy="2628265"/>
                    </a:xfrm>
                    <a:prstGeom prst="rect">
                      <a:avLst/>
                    </a:prstGeom>
                    <a:noFill/>
                    <a:ln>
                      <a:noFill/>
                    </a:ln>
                  </pic:spPr>
                </pic:pic>
              </a:graphicData>
            </a:graphic>
          </wp:inline>
        </w:drawing>
      </w:r>
    </w:p>
    <w:p>
      <w:pPr>
        <w:pStyle w:val="161"/>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STYLEREF 2 \s</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SEQ 图 \* ARABIC \s 2</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最不利气象条件下</w:t>
      </w:r>
      <w:r>
        <w:rPr>
          <w:rFonts w:hint="eastAsia"/>
          <w:color w:val="000000" w:themeColor="text1"/>
          <w14:textFill>
            <w14:solidFill>
              <w14:schemeClr w14:val="tx1"/>
            </w14:solidFill>
          </w14:textFill>
        </w:rPr>
        <w:t>CH</w:t>
      </w:r>
      <w:r>
        <w:rPr>
          <w:color w:val="000000" w:themeColor="text1"/>
          <w:vertAlign w:val="subscript"/>
          <w14:textFill>
            <w14:solidFill>
              <w14:schemeClr w14:val="tx1"/>
            </w14:solidFill>
          </w14:textFill>
        </w:rPr>
        <w:t>4</w:t>
      </w:r>
      <w:r>
        <w:rPr>
          <w:color w:val="000000" w:themeColor="text1"/>
          <w14:textFill>
            <w14:solidFill>
              <w14:schemeClr w14:val="tx1"/>
            </w14:solidFill>
          </w14:textFill>
        </w:rPr>
        <w:t>扩散轴线扩散最大浓度图</w:t>
      </w:r>
    </w:p>
    <w:p>
      <w:pPr>
        <w:pStyle w:val="200"/>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STYLEREF 2 \s</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rFonts w:hint="eastAsia"/>
          <w:color w:val="000000" w:themeColor="text1"/>
          <w14:textFill>
            <w14:solidFill>
              <w14:schemeClr w14:val="tx1"/>
            </w14:solidFill>
          </w14:textFill>
        </w:rPr>
        <w:t xml:space="preserve">6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污染物扩散轴线各点的最大浓度列表（最不利气象）</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603"/>
        <w:gridCol w:w="1566"/>
        <w:gridCol w:w="1815"/>
        <w:gridCol w:w="1566"/>
        <w:gridCol w:w="1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trPr>
        <w:tc>
          <w:tcPr>
            <w:tcW w:w="958" w:type="pct"/>
            <w:vMerge w:val="restar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轴线距离（m）</w:t>
            </w:r>
          </w:p>
        </w:tc>
        <w:tc>
          <w:tcPr>
            <w:tcW w:w="2021" w:type="pct"/>
            <w:gridSpan w:val="2"/>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硫化氢</w:t>
            </w:r>
          </w:p>
        </w:tc>
        <w:tc>
          <w:tcPr>
            <w:tcW w:w="2021" w:type="pct"/>
            <w:gridSpan w:val="2"/>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甲烷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trPr>
        <w:tc>
          <w:tcPr>
            <w:tcW w:w="958" w:type="pct"/>
            <w:vMerge w:val="continue"/>
            <w:shd w:val="clear" w:color="auto" w:fill="auto"/>
            <w:vAlign w:val="center"/>
          </w:tcPr>
          <w:p>
            <w:pPr>
              <w:pStyle w:val="294"/>
              <w:rPr>
                <w:b/>
                <w:bCs/>
                <w:color w:val="000000" w:themeColor="text1"/>
                <w14:textFill>
                  <w14:solidFill>
                    <w14:schemeClr w14:val="tx1"/>
                  </w14:solidFill>
                </w14:textFill>
              </w:rPr>
            </w:pPr>
          </w:p>
        </w:tc>
        <w:tc>
          <w:tcPr>
            <w:tcW w:w="936" w:type="pc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出现时间，min</w:t>
            </w:r>
          </w:p>
        </w:tc>
        <w:tc>
          <w:tcPr>
            <w:tcW w:w="1085" w:type="pc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高峰浓度，mg/m</w:t>
            </w:r>
            <w:r>
              <w:rPr>
                <w:b/>
                <w:bCs/>
                <w:color w:val="000000" w:themeColor="text1"/>
                <w:vertAlign w:val="superscript"/>
                <w14:textFill>
                  <w14:solidFill>
                    <w14:schemeClr w14:val="tx1"/>
                  </w14:solidFill>
                </w14:textFill>
              </w:rPr>
              <w:t>3</w:t>
            </w:r>
          </w:p>
        </w:tc>
        <w:tc>
          <w:tcPr>
            <w:tcW w:w="936" w:type="pc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出现时间，min</w:t>
            </w:r>
          </w:p>
        </w:tc>
        <w:tc>
          <w:tcPr>
            <w:tcW w:w="1085" w:type="pct"/>
            <w:shd w:val="clear" w:color="auto" w:fill="auto"/>
            <w:vAlign w:val="center"/>
          </w:tcPr>
          <w:p>
            <w:pPr>
              <w:pStyle w:val="294"/>
              <w:rPr>
                <w:b/>
                <w:bCs/>
                <w:color w:val="000000" w:themeColor="text1"/>
                <w14:textFill>
                  <w14:solidFill>
                    <w14:schemeClr w14:val="tx1"/>
                  </w14:solidFill>
                </w14:textFill>
              </w:rPr>
            </w:pPr>
            <w:r>
              <w:rPr>
                <w:b/>
                <w:bCs/>
                <w:color w:val="000000" w:themeColor="text1"/>
                <w14:textFill>
                  <w14:solidFill>
                    <w14:schemeClr w14:val="tx1"/>
                  </w14:solidFill>
                </w14:textFill>
              </w:rPr>
              <w:t>高峰浓度，mg/m</w:t>
            </w:r>
            <w:r>
              <w:rPr>
                <w:b/>
                <w:bCs/>
                <w:color w:val="000000" w:themeColor="text1"/>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10.00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1.11E-01</w:t>
            </w:r>
          </w:p>
        </w:tc>
        <w:tc>
          <w:tcPr>
            <w:tcW w:w="1085" w:type="pct"/>
            <w:shd w:val="clear" w:color="auto" w:fill="auto"/>
            <w:vAlign w:val="bottom"/>
          </w:tcPr>
          <w:p>
            <w:pPr>
              <w:autoSpaceDE w:val="0"/>
              <w:autoSpaceDN w:val="0"/>
              <w:snapToGrid/>
              <w:spacing w:line="240" w:lineRule="auto"/>
              <w:ind w:firstLine="0" w:firstLineChars="0"/>
              <w:jc w:val="center"/>
              <w:rPr>
                <w:rFonts w:eastAsia="等线"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1</w:t>
            </w:r>
            <w:r>
              <w:rPr>
                <w:rFonts w:hint="eastAsia" w:eastAsia="等线" w:cs="Times New Roman"/>
                <w:color w:val="000000" w:themeColor="text1"/>
                <w:sz w:val="22"/>
                <w14:textFill>
                  <w14:solidFill>
                    <w14:schemeClr w14:val="tx1"/>
                  </w14:solidFill>
                </w14:textFill>
              </w:rPr>
              <w:t>.22</w:t>
            </w:r>
            <w:r>
              <w:rPr>
                <w:rFonts w:eastAsia="等线" w:cs="Times New Roman"/>
                <w:color w:val="000000" w:themeColor="text1"/>
                <w:sz w:val="22"/>
                <w14:textFill>
                  <w14:solidFill>
                    <w14:schemeClr w14:val="tx1"/>
                  </w14:solidFill>
                </w14:textFill>
              </w:rPr>
              <w:t>E+0</w:t>
            </w:r>
            <w:r>
              <w:rPr>
                <w:rFonts w:hint="eastAsia" w:eastAsia="等线" w:cs="Times New Roman"/>
                <w:color w:val="000000" w:themeColor="text1"/>
                <w:sz w:val="22"/>
                <w14:textFill>
                  <w14:solidFill>
                    <w14:schemeClr w14:val="tx1"/>
                  </w14:solidFill>
                </w14:textFill>
              </w:rPr>
              <w:t>1</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1.11E-01</w:t>
            </w:r>
          </w:p>
        </w:tc>
        <w:tc>
          <w:tcPr>
            <w:tcW w:w="1085" w:type="pct"/>
            <w:shd w:val="clear" w:color="auto" w:fill="auto"/>
            <w:vAlign w:val="bottom"/>
          </w:tcPr>
          <w:p>
            <w:pPr>
              <w:autoSpaceDE w:val="0"/>
              <w:autoSpaceDN w:val="0"/>
              <w:snapToGrid/>
              <w:spacing w:line="240" w:lineRule="auto"/>
              <w:ind w:firstLine="0" w:firstLineChars="0"/>
              <w:jc w:val="center"/>
              <w:rPr>
                <w:rFonts w:eastAsia="等线"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2.06</w:t>
            </w:r>
            <w:r>
              <w:rPr>
                <w:rFonts w:eastAsia="等线" w:cs="Times New Roman"/>
                <w:color w:val="000000" w:themeColor="text1"/>
                <w:sz w:val="22"/>
                <w14:textFill>
                  <w14:solidFill>
                    <w14:schemeClr w14:val="tx1"/>
                  </w14:solidFill>
                </w14:textFill>
              </w:rPr>
              <w:t>E</w:t>
            </w:r>
            <w:r>
              <w:rPr>
                <w:rFonts w:hint="eastAsia" w:eastAsia="等线" w:cs="Times New Roman"/>
                <w:color w:val="000000" w:themeColor="text1"/>
                <w:sz w:val="22"/>
                <w14:textFill>
                  <w14:solidFill>
                    <w14:schemeClr w14:val="tx1"/>
                  </w14:solidFill>
                </w14:textFill>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50.00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5.56E-01</w:t>
            </w:r>
          </w:p>
        </w:tc>
        <w:tc>
          <w:tcPr>
            <w:tcW w:w="1085" w:type="pct"/>
            <w:shd w:val="clear" w:color="auto" w:fill="auto"/>
            <w:vAlign w:val="bottom"/>
          </w:tcPr>
          <w:p>
            <w:pPr>
              <w:autoSpaceDE w:val="0"/>
              <w:autoSpaceDN w:val="0"/>
              <w:snapToGrid/>
              <w:spacing w:line="240" w:lineRule="auto"/>
              <w:ind w:firstLine="0" w:firstLineChars="0"/>
              <w:jc w:val="center"/>
              <w:rPr>
                <w:rFonts w:eastAsia="等线"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4.46</w:t>
            </w:r>
            <w:r>
              <w:rPr>
                <w:rFonts w:eastAsia="等线" w:cs="Times New Roman"/>
                <w:color w:val="000000" w:themeColor="text1"/>
                <w:sz w:val="22"/>
                <w14:textFill>
                  <w14:solidFill>
                    <w14:schemeClr w14:val="tx1"/>
                  </w14:solidFill>
                </w14:textFill>
              </w:rPr>
              <w:t>E+0</w:t>
            </w:r>
            <w:r>
              <w:rPr>
                <w:rFonts w:hint="eastAsia" w:eastAsia="等线" w:cs="Times New Roman"/>
                <w:color w:val="000000" w:themeColor="text1"/>
                <w:sz w:val="22"/>
                <w14:textFill>
                  <w14:solidFill>
                    <w14:schemeClr w14:val="tx1"/>
                  </w14:solidFill>
                </w14:textFill>
              </w:rPr>
              <w:t>3</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5.56E-01</w:t>
            </w:r>
          </w:p>
        </w:tc>
        <w:tc>
          <w:tcPr>
            <w:tcW w:w="1085" w:type="pct"/>
            <w:shd w:val="clear" w:color="auto" w:fill="auto"/>
            <w:vAlign w:val="bottom"/>
          </w:tcPr>
          <w:p>
            <w:pPr>
              <w:autoSpaceDE w:val="0"/>
              <w:autoSpaceDN w:val="0"/>
              <w:snapToGrid/>
              <w:spacing w:line="240" w:lineRule="auto"/>
              <w:ind w:firstLine="0" w:firstLineChars="0"/>
              <w:jc w:val="center"/>
              <w:rPr>
                <w:rFonts w:eastAsia="等线"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7.05</w:t>
            </w:r>
            <w:r>
              <w:rPr>
                <w:rFonts w:eastAsia="等线" w:cs="Times New Roman"/>
                <w:color w:val="000000" w:themeColor="text1"/>
                <w:sz w:val="22"/>
                <w14:textFill>
                  <w14:solidFill>
                    <w14:schemeClr w14:val="tx1"/>
                  </w14:solidFill>
                </w14:textFill>
              </w:rPr>
              <w:t>E+0</w:t>
            </w:r>
            <w:r>
              <w:rPr>
                <w:rFonts w:hint="eastAsia" w:eastAsia="等线" w:cs="Times New Roman"/>
                <w:color w:val="000000" w:themeColor="text1"/>
                <w:sz w:val="22"/>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100.00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1.11E+00</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2.97</w:t>
            </w:r>
            <w:r>
              <w:rPr>
                <w:rFonts w:eastAsia="等线" w:cs="Times New Roman"/>
                <w:color w:val="000000" w:themeColor="text1"/>
                <w:sz w:val="22"/>
                <w14:textFill>
                  <w14:solidFill>
                    <w14:schemeClr w14:val="tx1"/>
                  </w14:solidFill>
                </w14:textFill>
              </w:rPr>
              <w:t>E+03</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1.11E+00</w:t>
            </w:r>
          </w:p>
        </w:tc>
        <w:tc>
          <w:tcPr>
            <w:tcW w:w="1085" w:type="pct"/>
            <w:shd w:val="clear" w:color="auto" w:fill="auto"/>
            <w:vAlign w:val="bottom"/>
          </w:tcPr>
          <w:p>
            <w:pPr>
              <w:autoSpaceDE w:val="0"/>
              <w:autoSpaceDN w:val="0"/>
              <w:snapToGrid/>
              <w:spacing w:line="240" w:lineRule="auto"/>
              <w:ind w:firstLine="0" w:firstLineChars="0"/>
              <w:jc w:val="center"/>
              <w:rPr>
                <w:rFonts w:eastAsia="等线"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4.64</w:t>
            </w:r>
            <w:r>
              <w:rPr>
                <w:rFonts w:eastAsia="等线" w:cs="Times New Roman"/>
                <w:color w:val="000000" w:themeColor="text1"/>
                <w:sz w:val="22"/>
                <w14:textFill>
                  <w14:solidFill>
                    <w14:schemeClr w14:val="tx1"/>
                  </w14:solidFill>
                </w14:textFill>
              </w:rPr>
              <w:t>E+0</w:t>
            </w:r>
            <w:r>
              <w:rPr>
                <w:rFonts w:hint="eastAsia" w:eastAsia="等线" w:cs="Times New Roman"/>
                <w:color w:val="000000" w:themeColor="text1"/>
                <w:sz w:val="22"/>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150.00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1.67E+00</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1.99</w:t>
            </w:r>
            <w:r>
              <w:rPr>
                <w:rFonts w:eastAsia="等线" w:cs="Times New Roman"/>
                <w:color w:val="000000" w:themeColor="text1"/>
                <w:sz w:val="22"/>
                <w14:textFill>
                  <w14:solidFill>
                    <w14:schemeClr w14:val="tx1"/>
                  </w14:solidFill>
                </w14:textFill>
              </w:rPr>
              <w:t>E+03</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1.67E+00</w:t>
            </w:r>
          </w:p>
        </w:tc>
        <w:tc>
          <w:tcPr>
            <w:tcW w:w="1085" w:type="pct"/>
            <w:shd w:val="clear" w:color="auto" w:fill="auto"/>
            <w:vAlign w:val="bottom"/>
          </w:tcPr>
          <w:p>
            <w:pPr>
              <w:autoSpaceDE w:val="0"/>
              <w:autoSpaceDN w:val="0"/>
              <w:snapToGrid/>
              <w:spacing w:line="240" w:lineRule="auto"/>
              <w:ind w:firstLine="0" w:firstLineChars="0"/>
              <w:jc w:val="center"/>
              <w:rPr>
                <w:rFonts w:eastAsia="等线"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3.14</w:t>
            </w:r>
            <w:r>
              <w:rPr>
                <w:rFonts w:eastAsia="等线" w:cs="Times New Roman"/>
                <w:color w:val="000000" w:themeColor="text1"/>
                <w:sz w:val="22"/>
                <w14:textFill>
                  <w14:solidFill>
                    <w14:schemeClr w14:val="tx1"/>
                  </w14:solidFill>
                </w14:textFill>
              </w:rPr>
              <w:t>E+0</w:t>
            </w:r>
            <w:r>
              <w:rPr>
                <w:rFonts w:hint="eastAsia" w:eastAsia="等线" w:cs="Times New Roman"/>
                <w:color w:val="000000" w:themeColor="text1"/>
                <w:sz w:val="22"/>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200.00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2.22E+00</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1.41</w:t>
            </w:r>
            <w:r>
              <w:rPr>
                <w:rFonts w:eastAsia="等线" w:cs="Times New Roman"/>
                <w:color w:val="000000" w:themeColor="text1"/>
                <w:sz w:val="22"/>
                <w14:textFill>
                  <w14:solidFill>
                    <w14:schemeClr w14:val="tx1"/>
                  </w14:solidFill>
                </w14:textFill>
              </w:rPr>
              <w:t>E+03</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2.22E+00</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2.24</w:t>
            </w:r>
            <w:r>
              <w:rPr>
                <w:rFonts w:eastAsia="等线" w:cs="Times New Roman"/>
                <w:color w:val="000000" w:themeColor="text1"/>
                <w:sz w:val="22"/>
                <w14:textFill>
                  <w14:solidFill>
                    <w14:schemeClr w14:val="tx1"/>
                  </w14:solidFill>
                </w14:textFill>
              </w:rPr>
              <w:t>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300.00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3.33E+00</w:t>
            </w:r>
          </w:p>
        </w:tc>
        <w:tc>
          <w:tcPr>
            <w:tcW w:w="1085" w:type="pct"/>
            <w:shd w:val="clear" w:color="auto" w:fill="auto"/>
            <w:vAlign w:val="bottom"/>
          </w:tcPr>
          <w:p>
            <w:pPr>
              <w:autoSpaceDE w:val="0"/>
              <w:autoSpaceDN w:val="0"/>
              <w:snapToGrid/>
              <w:spacing w:line="240" w:lineRule="auto"/>
              <w:ind w:firstLine="0" w:firstLineChars="0"/>
              <w:jc w:val="center"/>
              <w:rPr>
                <w:rFonts w:eastAsia="等线"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8.03</w:t>
            </w:r>
            <w:r>
              <w:rPr>
                <w:rFonts w:eastAsia="等线" w:cs="Times New Roman"/>
                <w:color w:val="000000" w:themeColor="text1"/>
                <w:sz w:val="22"/>
                <w14:textFill>
                  <w14:solidFill>
                    <w14:schemeClr w14:val="tx1"/>
                  </w14:solidFill>
                </w14:textFill>
              </w:rPr>
              <w:t>E+0</w:t>
            </w:r>
            <w:r>
              <w:rPr>
                <w:rFonts w:hint="eastAsia" w:eastAsia="等线" w:cs="Times New Roman"/>
                <w:color w:val="000000" w:themeColor="text1"/>
                <w:sz w:val="22"/>
                <w14:textFill>
                  <w14:solidFill>
                    <w14:schemeClr w14:val="tx1"/>
                  </w14:solidFill>
                </w14:textFill>
              </w:rPr>
              <w:t>2</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3.33E+00</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1.30</w:t>
            </w:r>
            <w:r>
              <w:rPr>
                <w:rFonts w:eastAsia="等线" w:cs="Times New Roman"/>
                <w:color w:val="000000" w:themeColor="text1"/>
                <w:sz w:val="22"/>
                <w14:textFill>
                  <w14:solidFill>
                    <w14:schemeClr w14:val="tx1"/>
                  </w14:solidFill>
                </w14:textFill>
              </w:rPr>
              <w:t>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400.00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4.44E+00</w:t>
            </w:r>
          </w:p>
        </w:tc>
        <w:tc>
          <w:tcPr>
            <w:tcW w:w="1085" w:type="pct"/>
            <w:shd w:val="clear" w:color="auto" w:fill="auto"/>
            <w:vAlign w:val="bottom"/>
          </w:tcPr>
          <w:p>
            <w:pPr>
              <w:pStyle w:val="294"/>
              <w:rPr>
                <w:color w:val="000000" w:themeColor="text1"/>
                <w14:textFill>
                  <w14:solidFill>
                    <w14:schemeClr w14:val="tx1"/>
                  </w14:solidFill>
                </w14:textFill>
              </w:rPr>
            </w:pPr>
            <w:r>
              <w:rPr>
                <w:rFonts w:hint="eastAsia" w:eastAsia="等线"/>
                <w:color w:val="000000" w:themeColor="text1"/>
                <w:sz w:val="22"/>
                <w:szCs w:val="22"/>
                <w14:textFill>
                  <w14:solidFill>
                    <w14:schemeClr w14:val="tx1"/>
                  </w14:solidFill>
                </w14:textFill>
              </w:rPr>
              <w:t>5.22</w:t>
            </w:r>
            <w:r>
              <w:rPr>
                <w:rFonts w:eastAsia="等线"/>
                <w:color w:val="000000" w:themeColor="text1"/>
                <w:sz w:val="22"/>
                <w:szCs w:val="22"/>
                <w14:textFill>
                  <w14:solidFill>
                    <w14:schemeClr w14:val="tx1"/>
                  </w14:solidFill>
                </w14:textFill>
              </w:rPr>
              <w:t>E+02</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4.44E+00</w:t>
            </w:r>
          </w:p>
        </w:tc>
        <w:tc>
          <w:tcPr>
            <w:tcW w:w="1085" w:type="pct"/>
            <w:shd w:val="clear" w:color="auto" w:fill="auto"/>
            <w:vAlign w:val="bottom"/>
          </w:tcPr>
          <w:p>
            <w:pPr>
              <w:autoSpaceDE w:val="0"/>
              <w:autoSpaceDN w:val="0"/>
              <w:snapToGrid/>
              <w:spacing w:line="240" w:lineRule="auto"/>
              <w:ind w:firstLine="0" w:firstLineChars="0"/>
              <w:jc w:val="center"/>
              <w:rPr>
                <w:rFonts w:eastAsia="等线"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8.52</w:t>
            </w:r>
            <w:r>
              <w:rPr>
                <w:rFonts w:eastAsia="等线" w:cs="Times New Roman"/>
                <w:color w:val="000000" w:themeColor="text1"/>
                <w:sz w:val="22"/>
                <w14:textFill>
                  <w14:solidFill>
                    <w14:schemeClr w14:val="tx1"/>
                  </w14:solidFill>
                </w14:textFill>
              </w:rPr>
              <w:t>E+0</w:t>
            </w:r>
            <w:r>
              <w:rPr>
                <w:rFonts w:hint="eastAsia" w:eastAsia="等线" w:cs="Times New Roman"/>
                <w:color w:val="000000" w:themeColor="text1"/>
                <w:sz w:val="22"/>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500.00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5.56E+00</w:t>
            </w:r>
          </w:p>
        </w:tc>
        <w:tc>
          <w:tcPr>
            <w:tcW w:w="1085" w:type="pct"/>
            <w:shd w:val="clear" w:color="auto" w:fill="auto"/>
            <w:vAlign w:val="bottom"/>
          </w:tcPr>
          <w:p>
            <w:pPr>
              <w:pStyle w:val="294"/>
              <w:rPr>
                <w:color w:val="000000" w:themeColor="text1"/>
                <w14:textFill>
                  <w14:solidFill>
                    <w14:schemeClr w14:val="tx1"/>
                  </w14:solidFill>
                </w14:textFill>
              </w:rPr>
            </w:pPr>
            <w:r>
              <w:rPr>
                <w:rFonts w:hint="eastAsia" w:eastAsia="等线"/>
                <w:color w:val="000000" w:themeColor="text1"/>
                <w:sz w:val="22"/>
                <w:szCs w:val="22"/>
                <w14:textFill>
                  <w14:solidFill>
                    <w14:schemeClr w14:val="tx1"/>
                  </w14:solidFill>
                </w14:textFill>
              </w:rPr>
              <w:t>3.68</w:t>
            </w:r>
            <w:r>
              <w:rPr>
                <w:rFonts w:eastAsia="等线"/>
                <w:color w:val="000000" w:themeColor="text1"/>
                <w:sz w:val="22"/>
                <w:szCs w:val="22"/>
                <w14:textFill>
                  <w14:solidFill>
                    <w14:schemeClr w14:val="tx1"/>
                  </w14:solidFill>
                </w14:textFill>
              </w:rPr>
              <w:t>E+02</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5.56E+00</w:t>
            </w:r>
          </w:p>
        </w:tc>
        <w:tc>
          <w:tcPr>
            <w:tcW w:w="1085" w:type="pct"/>
            <w:shd w:val="clear" w:color="auto" w:fill="auto"/>
            <w:vAlign w:val="bottom"/>
          </w:tcPr>
          <w:p>
            <w:pPr>
              <w:autoSpaceDE w:val="0"/>
              <w:autoSpaceDN w:val="0"/>
              <w:snapToGrid/>
              <w:spacing w:line="240" w:lineRule="auto"/>
              <w:ind w:firstLine="0" w:firstLineChars="0"/>
              <w:jc w:val="center"/>
              <w:rPr>
                <w:rFonts w:eastAsia="等线"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6.06</w:t>
            </w:r>
            <w:r>
              <w:rPr>
                <w:rFonts w:eastAsia="等线" w:cs="Times New Roman"/>
                <w:color w:val="000000" w:themeColor="text1"/>
                <w:sz w:val="22"/>
                <w14:textFill>
                  <w14:solidFill>
                    <w14:schemeClr w14:val="tx1"/>
                  </w14:solidFill>
                </w14:textFill>
              </w:rPr>
              <w:t>E+0</w:t>
            </w:r>
            <w:r>
              <w:rPr>
                <w:rFonts w:hint="eastAsia" w:eastAsia="等线" w:cs="Times New Roman"/>
                <w:color w:val="000000" w:themeColor="text1"/>
                <w:sz w:val="22"/>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600.00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6.67E+00</w:t>
            </w:r>
          </w:p>
        </w:tc>
        <w:tc>
          <w:tcPr>
            <w:tcW w:w="1085" w:type="pct"/>
            <w:shd w:val="clear" w:color="auto" w:fill="auto"/>
            <w:vAlign w:val="bottom"/>
          </w:tcPr>
          <w:p>
            <w:pPr>
              <w:pStyle w:val="294"/>
              <w:rPr>
                <w:color w:val="000000" w:themeColor="text1"/>
                <w14:textFill>
                  <w14:solidFill>
                    <w14:schemeClr w14:val="tx1"/>
                  </w14:solidFill>
                </w14:textFill>
              </w:rPr>
            </w:pPr>
            <w:r>
              <w:rPr>
                <w:rFonts w:hint="eastAsia" w:eastAsia="等线"/>
                <w:color w:val="000000" w:themeColor="text1"/>
                <w:sz w:val="22"/>
                <w:szCs w:val="22"/>
                <w14:textFill>
                  <w14:solidFill>
                    <w14:schemeClr w14:val="tx1"/>
                  </w14:solidFill>
                </w14:textFill>
              </w:rPr>
              <w:t>2.76</w:t>
            </w:r>
            <w:r>
              <w:rPr>
                <w:rFonts w:eastAsia="等线"/>
                <w:color w:val="000000" w:themeColor="text1"/>
                <w:sz w:val="22"/>
                <w:szCs w:val="22"/>
                <w14:textFill>
                  <w14:solidFill>
                    <w14:schemeClr w14:val="tx1"/>
                  </w14:solidFill>
                </w14:textFill>
              </w:rPr>
              <w:t>E+02</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6.67E+00</w:t>
            </w:r>
          </w:p>
        </w:tc>
        <w:tc>
          <w:tcPr>
            <w:tcW w:w="1085" w:type="pct"/>
            <w:shd w:val="clear" w:color="auto" w:fill="auto"/>
            <w:vAlign w:val="bottom"/>
          </w:tcPr>
          <w:p>
            <w:pPr>
              <w:autoSpaceDE w:val="0"/>
              <w:autoSpaceDN w:val="0"/>
              <w:snapToGrid/>
              <w:spacing w:line="240" w:lineRule="auto"/>
              <w:ind w:firstLine="0" w:firstLineChars="0"/>
              <w:jc w:val="center"/>
              <w:rPr>
                <w:rFonts w:eastAsia="等线"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4.56</w:t>
            </w:r>
            <w:r>
              <w:rPr>
                <w:rFonts w:eastAsia="等线" w:cs="Times New Roman"/>
                <w:color w:val="000000" w:themeColor="text1"/>
                <w:sz w:val="22"/>
                <w14:textFill>
                  <w14:solidFill>
                    <w14:schemeClr w14:val="tx1"/>
                  </w14:solidFill>
                </w14:textFill>
              </w:rPr>
              <w:t>E+0</w:t>
            </w:r>
            <w:r>
              <w:rPr>
                <w:rFonts w:hint="eastAsia" w:eastAsia="等线" w:cs="Times New Roman"/>
                <w:color w:val="000000" w:themeColor="text1"/>
                <w:sz w:val="22"/>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700.00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7.78E+00</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2.15</w:t>
            </w:r>
            <w:r>
              <w:rPr>
                <w:rFonts w:eastAsia="等线" w:cs="Times New Roman"/>
                <w:color w:val="000000" w:themeColor="text1"/>
                <w:sz w:val="22"/>
                <w14:textFill>
                  <w14:solidFill>
                    <w14:schemeClr w14:val="tx1"/>
                  </w14:solidFill>
                </w14:textFill>
              </w:rPr>
              <w:t>E+02</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7.78E+00</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3.57</w:t>
            </w:r>
            <w:r>
              <w:rPr>
                <w:rFonts w:eastAsia="等线" w:cs="Times New Roman"/>
                <w:color w:val="000000" w:themeColor="text1"/>
                <w:sz w:val="22"/>
                <w14:textFill>
                  <w14:solidFill>
                    <w14:schemeClr w14:val="tx1"/>
                  </w14:solidFill>
                </w14:textFill>
              </w:rPr>
              <w:t>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800.00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8.89E+00</w:t>
            </w:r>
          </w:p>
        </w:tc>
        <w:tc>
          <w:tcPr>
            <w:tcW w:w="1085" w:type="pct"/>
            <w:shd w:val="clear" w:color="auto" w:fill="auto"/>
            <w:vAlign w:val="bottom"/>
          </w:tcPr>
          <w:p>
            <w:pPr>
              <w:pStyle w:val="294"/>
              <w:rPr>
                <w:color w:val="000000" w:themeColor="text1"/>
                <w14:textFill>
                  <w14:solidFill>
                    <w14:schemeClr w14:val="tx1"/>
                  </w14:solidFill>
                </w14:textFill>
              </w:rPr>
            </w:pPr>
            <w:r>
              <w:rPr>
                <w:rFonts w:hint="eastAsia" w:eastAsia="等线"/>
                <w:color w:val="000000" w:themeColor="text1"/>
                <w:sz w:val="22"/>
                <w:szCs w:val="22"/>
                <w14:textFill>
                  <w14:solidFill>
                    <w14:schemeClr w14:val="tx1"/>
                  </w14:solidFill>
                </w14:textFill>
              </w:rPr>
              <w:t>1.73</w:t>
            </w:r>
            <w:r>
              <w:rPr>
                <w:rFonts w:eastAsia="等线"/>
                <w:color w:val="000000" w:themeColor="text1"/>
                <w:sz w:val="22"/>
                <w:szCs w:val="22"/>
                <w14:textFill>
                  <w14:solidFill>
                    <w14:schemeClr w14:val="tx1"/>
                  </w14:solidFill>
                </w14:textFill>
              </w:rPr>
              <w:t>E+02</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8.89E+00</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2.88</w:t>
            </w:r>
            <w:r>
              <w:rPr>
                <w:rFonts w:eastAsia="等线" w:cs="Times New Roman"/>
                <w:color w:val="000000" w:themeColor="text1"/>
                <w:sz w:val="22"/>
                <w14:textFill>
                  <w14:solidFill>
                    <w14:schemeClr w14:val="tx1"/>
                  </w14:solidFill>
                </w14:textFill>
              </w:rPr>
              <w:t>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900.00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1.00E+01</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1.43</w:t>
            </w:r>
            <w:r>
              <w:rPr>
                <w:rFonts w:eastAsia="等线" w:cs="Times New Roman"/>
                <w:color w:val="000000" w:themeColor="text1"/>
                <w:sz w:val="22"/>
                <w14:textFill>
                  <w14:solidFill>
                    <w14:schemeClr w14:val="tx1"/>
                  </w14:solidFill>
                </w14:textFill>
              </w:rPr>
              <w:t>E+02</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1.00E+01</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2.38</w:t>
            </w:r>
            <w:r>
              <w:rPr>
                <w:rFonts w:eastAsia="等线" w:cs="Times New Roman"/>
                <w:color w:val="000000" w:themeColor="text1"/>
                <w:sz w:val="22"/>
                <w14:textFill>
                  <w14:solidFill>
                    <w14:schemeClr w14:val="tx1"/>
                  </w14:solidFill>
                </w14:textFill>
              </w:rPr>
              <w:t>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1000.00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1.11E+01</w:t>
            </w:r>
          </w:p>
        </w:tc>
        <w:tc>
          <w:tcPr>
            <w:tcW w:w="1085" w:type="pct"/>
            <w:shd w:val="clear" w:color="auto" w:fill="auto"/>
            <w:vAlign w:val="bottom"/>
          </w:tcPr>
          <w:p>
            <w:pPr>
              <w:pStyle w:val="294"/>
              <w:rPr>
                <w:color w:val="000000" w:themeColor="text1"/>
                <w14:textFill>
                  <w14:solidFill>
                    <w14:schemeClr w14:val="tx1"/>
                  </w14:solidFill>
                </w14:textFill>
              </w:rPr>
            </w:pPr>
            <w:r>
              <w:rPr>
                <w:rFonts w:hint="eastAsia" w:eastAsia="等线"/>
                <w:color w:val="000000" w:themeColor="text1"/>
                <w:sz w:val="22"/>
                <w:szCs w:val="22"/>
                <w14:textFill>
                  <w14:solidFill>
                    <w14:schemeClr w14:val="tx1"/>
                  </w14:solidFill>
                </w14:textFill>
              </w:rPr>
              <w:t>1.20</w:t>
            </w:r>
            <w:r>
              <w:rPr>
                <w:rFonts w:eastAsia="等线"/>
                <w:color w:val="000000" w:themeColor="text1"/>
                <w:sz w:val="22"/>
                <w:szCs w:val="22"/>
                <w14:textFill>
                  <w14:solidFill>
                    <w14:schemeClr w14:val="tx1"/>
                  </w14:solidFill>
                </w14:textFill>
              </w:rPr>
              <w:t>E+02</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1.11E+01</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2.01</w:t>
            </w:r>
            <w:r>
              <w:rPr>
                <w:rFonts w:eastAsia="等线" w:cs="Times New Roman"/>
                <w:color w:val="000000" w:themeColor="text1"/>
                <w:sz w:val="22"/>
                <w14:textFill>
                  <w14:solidFill>
                    <w14:schemeClr w14:val="tx1"/>
                  </w14:solidFill>
                </w14:textFill>
              </w:rPr>
              <w:t>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1200.00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1.33E+01</w:t>
            </w:r>
          </w:p>
        </w:tc>
        <w:tc>
          <w:tcPr>
            <w:tcW w:w="1085" w:type="pct"/>
            <w:shd w:val="clear" w:color="auto" w:fill="auto"/>
            <w:vAlign w:val="bottom"/>
          </w:tcPr>
          <w:p>
            <w:pPr>
              <w:autoSpaceDE w:val="0"/>
              <w:autoSpaceDN w:val="0"/>
              <w:snapToGrid/>
              <w:spacing w:line="240" w:lineRule="auto"/>
              <w:ind w:firstLine="0" w:firstLineChars="0"/>
              <w:jc w:val="center"/>
              <w:rPr>
                <w:rFonts w:eastAsia="等线"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8.90</w:t>
            </w:r>
            <w:r>
              <w:rPr>
                <w:rFonts w:eastAsia="等线" w:cs="Times New Roman"/>
                <w:color w:val="000000" w:themeColor="text1"/>
                <w:sz w:val="22"/>
                <w14:textFill>
                  <w14:solidFill>
                    <w14:schemeClr w14:val="tx1"/>
                  </w14:solidFill>
                </w14:textFill>
              </w:rPr>
              <w:t>E+0</w:t>
            </w:r>
            <w:r>
              <w:rPr>
                <w:rFonts w:hint="eastAsia" w:eastAsia="等线" w:cs="Times New Roman"/>
                <w:color w:val="000000" w:themeColor="text1"/>
                <w:sz w:val="22"/>
                <w14:textFill>
                  <w14:solidFill>
                    <w14:schemeClr w14:val="tx1"/>
                  </w14:solidFill>
                </w14:textFill>
              </w:rPr>
              <w:t>1</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1.33E+01</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1.49</w:t>
            </w:r>
            <w:r>
              <w:rPr>
                <w:rFonts w:eastAsia="等线" w:cs="Times New Roman"/>
                <w:color w:val="000000" w:themeColor="text1"/>
                <w:sz w:val="22"/>
                <w14:textFill>
                  <w14:solidFill>
                    <w14:schemeClr w14:val="tx1"/>
                  </w14:solidFill>
                </w14:textFill>
              </w:rPr>
              <w:t>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1400.00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1.96E+01</w:t>
            </w:r>
          </w:p>
        </w:tc>
        <w:tc>
          <w:tcPr>
            <w:tcW w:w="1085" w:type="pct"/>
            <w:shd w:val="clear" w:color="auto" w:fill="auto"/>
            <w:vAlign w:val="bottom"/>
          </w:tcPr>
          <w:p>
            <w:pPr>
              <w:autoSpaceDE w:val="0"/>
              <w:autoSpaceDN w:val="0"/>
              <w:snapToGrid/>
              <w:spacing w:line="240" w:lineRule="auto"/>
              <w:ind w:firstLine="0" w:firstLineChars="0"/>
              <w:jc w:val="center"/>
              <w:rPr>
                <w:rFonts w:eastAsia="等线"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6.90</w:t>
            </w:r>
            <w:r>
              <w:rPr>
                <w:rFonts w:eastAsia="等线" w:cs="Times New Roman"/>
                <w:color w:val="000000" w:themeColor="text1"/>
                <w:sz w:val="22"/>
                <w14:textFill>
                  <w14:solidFill>
                    <w14:schemeClr w14:val="tx1"/>
                  </w14:solidFill>
                </w14:textFill>
              </w:rPr>
              <w:t>E+0</w:t>
            </w:r>
            <w:r>
              <w:rPr>
                <w:rFonts w:hint="eastAsia" w:eastAsia="等线" w:cs="Times New Roman"/>
                <w:color w:val="000000" w:themeColor="text1"/>
                <w:sz w:val="22"/>
                <w14:textFill>
                  <w14:solidFill>
                    <w14:schemeClr w14:val="tx1"/>
                  </w14:solidFill>
                </w14:textFill>
              </w:rPr>
              <w:t>1</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1.96E+01</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1.49</w:t>
            </w:r>
            <w:r>
              <w:rPr>
                <w:rFonts w:eastAsia="等线" w:cs="Times New Roman"/>
                <w:color w:val="000000" w:themeColor="text1"/>
                <w:sz w:val="22"/>
                <w14:textFill>
                  <w14:solidFill>
                    <w14:schemeClr w14:val="tx1"/>
                  </w14:solidFill>
                </w14:textFill>
              </w:rPr>
              <w:t>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1600.00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2.18E+01</w:t>
            </w:r>
          </w:p>
        </w:tc>
        <w:tc>
          <w:tcPr>
            <w:tcW w:w="1085" w:type="pct"/>
            <w:shd w:val="clear" w:color="auto" w:fill="auto"/>
            <w:vAlign w:val="bottom"/>
          </w:tcPr>
          <w:p>
            <w:pPr>
              <w:pStyle w:val="294"/>
              <w:rPr>
                <w:color w:val="000000" w:themeColor="text1"/>
                <w14:textFill>
                  <w14:solidFill>
                    <w14:schemeClr w14:val="tx1"/>
                  </w14:solidFill>
                </w14:textFill>
              </w:rPr>
            </w:pPr>
            <w:r>
              <w:rPr>
                <w:rFonts w:hint="eastAsia" w:eastAsia="等线"/>
                <w:color w:val="000000" w:themeColor="text1"/>
                <w:sz w:val="22"/>
                <w:szCs w:val="22"/>
                <w14:textFill>
                  <w14:solidFill>
                    <w14:schemeClr w14:val="tx1"/>
                  </w14:solidFill>
                </w14:textFill>
              </w:rPr>
              <w:t>5.73</w:t>
            </w:r>
            <w:r>
              <w:rPr>
                <w:rFonts w:eastAsia="等线"/>
                <w:color w:val="000000" w:themeColor="text1"/>
                <w:sz w:val="22"/>
                <w:szCs w:val="22"/>
                <w14:textFill>
                  <w14:solidFill>
                    <w14:schemeClr w14:val="tx1"/>
                  </w14:solidFill>
                </w14:textFill>
              </w:rPr>
              <w:t>E+01</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2.18E+01</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9.65</w:t>
            </w:r>
            <w:r>
              <w:rPr>
                <w:rFonts w:eastAsia="等线" w:cs="Times New Roman"/>
                <w:color w:val="000000" w:themeColor="text1"/>
                <w:sz w:val="22"/>
                <w14:textFill>
                  <w14:solidFill>
                    <w14:schemeClr w14:val="tx1"/>
                  </w14:solidFill>
                </w14:textFill>
              </w:rPr>
              <w:t>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1800.00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2.50E+01</w:t>
            </w:r>
          </w:p>
        </w:tc>
        <w:tc>
          <w:tcPr>
            <w:tcW w:w="1085" w:type="pct"/>
            <w:shd w:val="clear" w:color="auto" w:fill="auto"/>
            <w:vAlign w:val="bottom"/>
          </w:tcPr>
          <w:p>
            <w:pPr>
              <w:pStyle w:val="294"/>
              <w:rPr>
                <w:color w:val="000000" w:themeColor="text1"/>
                <w14:textFill>
                  <w14:solidFill>
                    <w14:schemeClr w14:val="tx1"/>
                  </w14:solidFill>
                </w14:textFill>
              </w:rPr>
            </w:pPr>
            <w:r>
              <w:rPr>
                <w:rFonts w:hint="eastAsia" w:eastAsia="等线"/>
                <w:color w:val="000000" w:themeColor="text1"/>
                <w:sz w:val="22"/>
                <w:szCs w:val="22"/>
                <w14:textFill>
                  <w14:solidFill>
                    <w14:schemeClr w14:val="tx1"/>
                  </w14:solidFill>
                </w14:textFill>
              </w:rPr>
              <w:t>4.90</w:t>
            </w:r>
            <w:r>
              <w:rPr>
                <w:rFonts w:eastAsia="等线"/>
                <w:color w:val="000000" w:themeColor="text1"/>
                <w:sz w:val="22"/>
                <w:szCs w:val="22"/>
                <w14:textFill>
                  <w14:solidFill>
                    <w14:schemeClr w14:val="tx1"/>
                  </w14:solidFill>
                </w14:textFill>
              </w:rPr>
              <w:t>E+01</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2.50E+01</w:t>
            </w:r>
          </w:p>
        </w:tc>
        <w:tc>
          <w:tcPr>
            <w:tcW w:w="1085" w:type="pct"/>
            <w:shd w:val="clear" w:color="auto" w:fill="auto"/>
            <w:vAlign w:val="bottom"/>
          </w:tcPr>
          <w:p>
            <w:pPr>
              <w:autoSpaceDE w:val="0"/>
              <w:autoSpaceDN w:val="0"/>
              <w:snapToGrid/>
              <w:spacing w:line="240" w:lineRule="auto"/>
              <w:ind w:firstLine="0" w:firstLineChars="0"/>
              <w:jc w:val="center"/>
              <w:rPr>
                <w:rFonts w:eastAsia="等线"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8.26</w:t>
            </w:r>
            <w:r>
              <w:rPr>
                <w:rFonts w:eastAsia="等线" w:cs="Times New Roman"/>
                <w:color w:val="000000" w:themeColor="text1"/>
                <w:sz w:val="22"/>
                <w14:textFill>
                  <w14:solidFill>
                    <w14:schemeClr w14:val="tx1"/>
                  </w14:solidFill>
                </w14:textFill>
              </w:rPr>
              <w:t>E+0</w:t>
            </w:r>
            <w:r>
              <w:rPr>
                <w:rFonts w:hint="eastAsia" w:eastAsia="等线" w:cs="Times New Roman"/>
                <w:color w:val="000000" w:themeColor="text1"/>
                <w:sz w:val="22"/>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2000.00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2.72E+01</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4.26</w:t>
            </w:r>
            <w:r>
              <w:rPr>
                <w:rFonts w:eastAsia="等线" w:cs="Times New Roman"/>
                <w:color w:val="000000" w:themeColor="text1"/>
                <w:sz w:val="22"/>
                <w14:textFill>
                  <w14:solidFill>
                    <w14:schemeClr w14:val="tx1"/>
                  </w14:solidFill>
                </w14:textFill>
              </w:rPr>
              <w:t>E+01</w:t>
            </w:r>
          </w:p>
        </w:tc>
        <w:tc>
          <w:tcPr>
            <w:tcW w:w="936"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eastAsia="等线" w:cs="Times New Roman"/>
                <w:color w:val="000000" w:themeColor="text1"/>
                <w:sz w:val="22"/>
                <w14:textFill>
                  <w14:solidFill>
                    <w14:schemeClr w14:val="tx1"/>
                  </w14:solidFill>
                </w14:textFill>
              </w:rPr>
              <w:t>2.72E+01</w:t>
            </w:r>
          </w:p>
        </w:tc>
        <w:tc>
          <w:tcPr>
            <w:tcW w:w="1085" w:type="pct"/>
            <w:shd w:val="clear" w:color="auto" w:fill="auto"/>
            <w:vAlign w:val="bottom"/>
          </w:tcPr>
          <w:p>
            <w:pPr>
              <w:autoSpaceDE w:val="0"/>
              <w:autoSpaceDN w:val="0"/>
              <w:snapToGrid/>
              <w:spacing w:line="240" w:lineRule="auto"/>
              <w:ind w:firstLine="0" w:firstLineChars="0"/>
              <w:jc w:val="center"/>
              <w:rPr>
                <w:rFonts w:eastAsia="等线"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7.19</w:t>
            </w:r>
            <w:r>
              <w:rPr>
                <w:rFonts w:eastAsia="等线" w:cs="Times New Roman"/>
                <w:color w:val="000000" w:themeColor="text1"/>
                <w:sz w:val="22"/>
                <w14:textFill>
                  <w14:solidFill>
                    <w14:schemeClr w14:val="tx1"/>
                  </w14:solidFill>
                </w14:textFill>
              </w:rPr>
              <w:t>E+0</w:t>
            </w:r>
            <w:r>
              <w:rPr>
                <w:rFonts w:hint="eastAsia" w:eastAsia="等线" w:cs="Times New Roman"/>
                <w:color w:val="000000" w:themeColor="text1"/>
                <w:sz w:val="22"/>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2500.00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3.38E+01</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3.17</w:t>
            </w:r>
            <w:r>
              <w:rPr>
                <w:rFonts w:eastAsia="等线" w:cs="Times New Roman"/>
                <w:color w:val="000000" w:themeColor="text1"/>
                <w:sz w:val="22"/>
                <w14:textFill>
                  <w14:solidFill>
                    <w14:schemeClr w14:val="tx1"/>
                  </w14:solidFill>
                </w14:textFill>
              </w:rPr>
              <w:t>E+01</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3.38E+01</w:t>
            </w:r>
          </w:p>
        </w:tc>
        <w:tc>
          <w:tcPr>
            <w:tcW w:w="1085" w:type="pct"/>
            <w:shd w:val="clear" w:color="auto" w:fill="auto"/>
            <w:vAlign w:val="bottom"/>
          </w:tcPr>
          <w:p>
            <w:pPr>
              <w:pStyle w:val="294"/>
              <w:rPr>
                <w:rFonts w:eastAsia="等线"/>
                <w:color w:val="000000" w:themeColor="text1"/>
                <w14:textFill>
                  <w14:solidFill>
                    <w14:schemeClr w14:val="tx1"/>
                  </w14:solidFill>
                </w14:textFill>
              </w:rPr>
            </w:pPr>
            <w:r>
              <w:rPr>
                <w:rFonts w:hint="eastAsia" w:eastAsia="等线"/>
                <w:color w:val="000000" w:themeColor="text1"/>
                <w:sz w:val="22"/>
                <w:szCs w:val="22"/>
                <w14:textFill>
                  <w14:solidFill>
                    <w14:schemeClr w14:val="tx1"/>
                  </w14:solidFill>
                </w14:textFill>
              </w:rPr>
              <w:t>5.35</w:t>
            </w:r>
            <w:r>
              <w:rPr>
                <w:rFonts w:eastAsia="等线"/>
                <w:color w:val="000000" w:themeColor="text1"/>
                <w:sz w:val="22"/>
                <w:szCs w:val="22"/>
                <w14:textFill>
                  <w14:solidFill>
                    <w14:schemeClr w14:val="tx1"/>
                  </w14:solidFill>
                </w14:textFill>
              </w:rPr>
              <w:t>E+0</w:t>
            </w:r>
            <w:r>
              <w:rPr>
                <w:rFonts w:hint="eastAsia" w:eastAsia="等线"/>
                <w:color w:val="000000" w:themeColor="text1"/>
                <w:sz w:val="22"/>
                <w:szCs w:val="22"/>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3000.00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4.03E+01</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2.49</w:t>
            </w:r>
            <w:r>
              <w:rPr>
                <w:rFonts w:eastAsia="等线" w:cs="Times New Roman"/>
                <w:color w:val="000000" w:themeColor="text1"/>
                <w:sz w:val="22"/>
                <w14:textFill>
                  <w14:solidFill>
                    <w14:schemeClr w14:val="tx1"/>
                  </w14:solidFill>
                </w14:textFill>
              </w:rPr>
              <w:t>E+01</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4.03E+01</w:t>
            </w:r>
          </w:p>
        </w:tc>
        <w:tc>
          <w:tcPr>
            <w:tcW w:w="1085" w:type="pct"/>
            <w:shd w:val="clear" w:color="auto" w:fill="auto"/>
            <w:vAlign w:val="bottom"/>
          </w:tcPr>
          <w:p>
            <w:pPr>
              <w:pStyle w:val="294"/>
              <w:rPr>
                <w:color w:val="000000" w:themeColor="text1"/>
                <w14:textFill>
                  <w14:solidFill>
                    <w14:schemeClr w14:val="tx1"/>
                  </w14:solidFill>
                </w14:textFill>
              </w:rPr>
            </w:pPr>
            <w:r>
              <w:rPr>
                <w:rFonts w:hint="eastAsia" w:eastAsia="等线"/>
                <w:color w:val="000000" w:themeColor="text1"/>
                <w:sz w:val="22"/>
                <w:szCs w:val="22"/>
                <w14:textFill>
                  <w14:solidFill>
                    <w14:schemeClr w14:val="tx1"/>
                  </w14:solidFill>
                </w14:textFill>
              </w:rPr>
              <w:t>4.20</w:t>
            </w:r>
            <w:r>
              <w:rPr>
                <w:rFonts w:eastAsia="等线"/>
                <w:color w:val="000000" w:themeColor="text1"/>
                <w:sz w:val="22"/>
                <w:szCs w:val="22"/>
                <w14:textFill>
                  <w14:solidFill>
                    <w14:schemeClr w14:val="tx1"/>
                  </w14:solidFill>
                </w14:textFill>
              </w:rPr>
              <w:t>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3500.00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4.69E+01</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2.03</w:t>
            </w:r>
            <w:r>
              <w:rPr>
                <w:rFonts w:eastAsia="等线" w:cs="Times New Roman"/>
                <w:color w:val="000000" w:themeColor="text1"/>
                <w:sz w:val="22"/>
                <w14:textFill>
                  <w14:solidFill>
                    <w14:schemeClr w14:val="tx1"/>
                  </w14:solidFill>
                </w14:textFill>
              </w:rPr>
              <w:t>E+01</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4.69E+01</w:t>
            </w:r>
          </w:p>
        </w:tc>
        <w:tc>
          <w:tcPr>
            <w:tcW w:w="1085" w:type="pct"/>
            <w:shd w:val="clear" w:color="auto" w:fill="auto"/>
            <w:vAlign w:val="bottom"/>
          </w:tcPr>
          <w:p>
            <w:pPr>
              <w:pStyle w:val="294"/>
              <w:rPr>
                <w:color w:val="000000" w:themeColor="text1"/>
                <w14:textFill>
                  <w14:solidFill>
                    <w14:schemeClr w14:val="tx1"/>
                  </w14:solidFill>
                </w14:textFill>
              </w:rPr>
            </w:pPr>
            <w:r>
              <w:rPr>
                <w:rFonts w:hint="eastAsia" w:eastAsia="等线"/>
                <w:color w:val="000000" w:themeColor="text1"/>
                <w:sz w:val="22"/>
                <w:szCs w:val="22"/>
                <w14:textFill>
                  <w14:solidFill>
                    <w14:schemeClr w14:val="tx1"/>
                  </w14:solidFill>
                </w14:textFill>
              </w:rPr>
              <w:t>3.42</w:t>
            </w:r>
            <w:r>
              <w:rPr>
                <w:rFonts w:eastAsia="等线"/>
                <w:color w:val="000000" w:themeColor="text1"/>
                <w:sz w:val="22"/>
                <w:szCs w:val="22"/>
                <w14:textFill>
                  <w14:solidFill>
                    <w14:schemeClr w14:val="tx1"/>
                  </w14:solidFill>
                </w14:textFill>
              </w:rPr>
              <w:t>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4000.00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5.14E+01</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1.70</w:t>
            </w:r>
            <w:r>
              <w:rPr>
                <w:rFonts w:eastAsia="等线" w:cs="Times New Roman"/>
                <w:color w:val="000000" w:themeColor="text1"/>
                <w:sz w:val="22"/>
                <w14:textFill>
                  <w14:solidFill>
                    <w14:schemeClr w14:val="tx1"/>
                  </w14:solidFill>
                </w14:textFill>
              </w:rPr>
              <w:t>E+01</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5.14E+01</w:t>
            </w:r>
          </w:p>
        </w:tc>
        <w:tc>
          <w:tcPr>
            <w:tcW w:w="1085" w:type="pct"/>
            <w:shd w:val="clear" w:color="auto" w:fill="auto"/>
            <w:vAlign w:val="bottom"/>
          </w:tcPr>
          <w:p>
            <w:pPr>
              <w:pStyle w:val="294"/>
              <w:rPr>
                <w:color w:val="000000" w:themeColor="text1"/>
                <w14:textFill>
                  <w14:solidFill>
                    <w14:schemeClr w14:val="tx1"/>
                  </w14:solidFill>
                </w14:textFill>
              </w:rPr>
            </w:pPr>
            <w:r>
              <w:rPr>
                <w:rFonts w:hint="eastAsia" w:eastAsia="等线"/>
                <w:color w:val="000000" w:themeColor="text1"/>
                <w:sz w:val="22"/>
                <w:szCs w:val="22"/>
                <w14:textFill>
                  <w14:solidFill>
                    <w14:schemeClr w14:val="tx1"/>
                  </w14:solidFill>
                </w14:textFill>
              </w:rPr>
              <w:t>2.87</w:t>
            </w:r>
            <w:r>
              <w:rPr>
                <w:rFonts w:eastAsia="等线"/>
                <w:color w:val="000000" w:themeColor="text1"/>
                <w:sz w:val="22"/>
                <w:szCs w:val="22"/>
                <w14:textFill>
                  <w14:solidFill>
                    <w14:schemeClr w14:val="tx1"/>
                  </w14:solidFill>
                </w14:textFill>
              </w:rPr>
              <w:t>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4500.00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5.70E+01</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1.45</w:t>
            </w:r>
            <w:r>
              <w:rPr>
                <w:rFonts w:eastAsia="等线" w:cs="Times New Roman"/>
                <w:color w:val="000000" w:themeColor="text1"/>
                <w:sz w:val="22"/>
                <w14:textFill>
                  <w14:solidFill>
                    <w14:schemeClr w14:val="tx1"/>
                  </w14:solidFill>
                </w14:textFill>
              </w:rPr>
              <w:t>E+01</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5.70E+01</w:t>
            </w:r>
          </w:p>
        </w:tc>
        <w:tc>
          <w:tcPr>
            <w:tcW w:w="1085" w:type="pct"/>
            <w:shd w:val="clear" w:color="auto" w:fill="auto"/>
            <w:vAlign w:val="bottom"/>
          </w:tcPr>
          <w:p>
            <w:pPr>
              <w:pStyle w:val="294"/>
              <w:rPr>
                <w:color w:val="000000" w:themeColor="text1"/>
                <w14:textFill>
                  <w14:solidFill>
                    <w14:schemeClr w14:val="tx1"/>
                  </w14:solidFill>
                </w14:textFill>
              </w:rPr>
            </w:pPr>
            <w:r>
              <w:rPr>
                <w:rFonts w:hint="eastAsia" w:eastAsia="等线"/>
                <w:color w:val="000000" w:themeColor="text1"/>
                <w:sz w:val="22"/>
                <w:szCs w:val="22"/>
                <w14:textFill>
                  <w14:solidFill>
                    <w14:schemeClr w14:val="tx1"/>
                  </w14:solidFill>
                </w14:textFill>
              </w:rPr>
              <w:t>2.45</w:t>
            </w:r>
            <w:r>
              <w:rPr>
                <w:rFonts w:eastAsia="等线"/>
                <w:color w:val="000000" w:themeColor="text1"/>
                <w:sz w:val="22"/>
                <w:szCs w:val="22"/>
                <w14:textFill>
                  <w14:solidFill>
                    <w14:schemeClr w14:val="tx1"/>
                  </w14:solidFill>
                </w14:textFill>
              </w:rPr>
              <w:t>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5000.00</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6.26E+01</w:t>
            </w:r>
          </w:p>
        </w:tc>
        <w:tc>
          <w:tcPr>
            <w:tcW w:w="1085" w:type="pct"/>
            <w:shd w:val="clear" w:color="auto" w:fill="auto"/>
            <w:vAlign w:val="bottom"/>
          </w:tcPr>
          <w:p>
            <w:pPr>
              <w:autoSpaceDE w:val="0"/>
              <w:autoSpaceDN w:val="0"/>
              <w:snapToGrid/>
              <w:spacing w:line="240" w:lineRule="auto"/>
              <w:ind w:firstLine="0" w:firstLineChars="0"/>
              <w:jc w:val="center"/>
              <w:rPr>
                <w:rFonts w:cs="Times New Roman"/>
                <w:color w:val="000000" w:themeColor="text1"/>
                <w:sz w:val="21"/>
                <w:szCs w:val="20"/>
                <w14:textFill>
                  <w14:solidFill>
                    <w14:schemeClr w14:val="tx1"/>
                  </w14:solidFill>
                </w14:textFill>
              </w:rPr>
            </w:pPr>
            <w:r>
              <w:rPr>
                <w:rFonts w:hint="eastAsia" w:eastAsia="等线" w:cs="Times New Roman"/>
                <w:color w:val="000000" w:themeColor="text1"/>
                <w:sz w:val="22"/>
                <w14:textFill>
                  <w14:solidFill>
                    <w14:schemeClr w14:val="tx1"/>
                  </w14:solidFill>
                </w14:textFill>
              </w:rPr>
              <w:t>1.25</w:t>
            </w:r>
            <w:r>
              <w:rPr>
                <w:rFonts w:eastAsia="等线" w:cs="Times New Roman"/>
                <w:color w:val="000000" w:themeColor="text1"/>
                <w:sz w:val="22"/>
                <w14:textFill>
                  <w14:solidFill>
                    <w14:schemeClr w14:val="tx1"/>
                  </w14:solidFill>
                </w14:textFill>
              </w:rPr>
              <w:t>E+01</w:t>
            </w:r>
          </w:p>
        </w:tc>
        <w:tc>
          <w:tcPr>
            <w:tcW w:w="936" w:type="pct"/>
            <w:shd w:val="clear" w:color="auto" w:fill="auto"/>
            <w:vAlign w:val="bottom"/>
          </w:tcPr>
          <w:p>
            <w:pPr>
              <w:pStyle w:val="294"/>
              <w:rPr>
                <w:color w:val="000000" w:themeColor="text1"/>
                <w14:textFill>
                  <w14:solidFill>
                    <w14:schemeClr w14:val="tx1"/>
                  </w14:solidFill>
                </w14:textFill>
              </w:rPr>
            </w:pPr>
            <w:r>
              <w:rPr>
                <w:rFonts w:eastAsia="等线"/>
                <w:color w:val="000000" w:themeColor="text1"/>
                <w:sz w:val="22"/>
                <w:szCs w:val="22"/>
                <w14:textFill>
                  <w14:solidFill>
                    <w14:schemeClr w14:val="tx1"/>
                  </w14:solidFill>
                </w14:textFill>
              </w:rPr>
              <w:t>6.26E+01</w:t>
            </w:r>
          </w:p>
        </w:tc>
        <w:tc>
          <w:tcPr>
            <w:tcW w:w="1085" w:type="pct"/>
            <w:shd w:val="clear" w:color="auto" w:fill="auto"/>
            <w:vAlign w:val="bottom"/>
          </w:tcPr>
          <w:p>
            <w:pPr>
              <w:pStyle w:val="294"/>
              <w:rPr>
                <w:color w:val="000000" w:themeColor="text1"/>
                <w14:textFill>
                  <w14:solidFill>
                    <w14:schemeClr w14:val="tx1"/>
                  </w14:solidFill>
                </w14:textFill>
              </w:rPr>
            </w:pPr>
            <w:r>
              <w:rPr>
                <w:rFonts w:hint="eastAsia" w:eastAsia="等线"/>
                <w:color w:val="000000" w:themeColor="text1"/>
                <w:sz w:val="22"/>
                <w:szCs w:val="22"/>
                <w14:textFill>
                  <w14:solidFill>
                    <w14:schemeClr w14:val="tx1"/>
                  </w14:solidFill>
                </w14:textFill>
              </w:rPr>
              <w:t>2.16</w:t>
            </w:r>
            <w:r>
              <w:rPr>
                <w:rFonts w:eastAsia="等线"/>
                <w:color w:val="000000" w:themeColor="text1"/>
                <w:sz w:val="22"/>
                <w:szCs w:val="22"/>
                <w14:textFill>
                  <w14:solidFill>
                    <w14:schemeClr w14:val="tx1"/>
                  </w14:solidFill>
                </w14:textFill>
              </w:rPr>
              <w:t>E+01</w:t>
            </w:r>
          </w:p>
        </w:tc>
      </w:tr>
    </w:tbl>
    <w:p>
      <w:pPr>
        <w:pStyle w:val="21"/>
        <w:spacing w:before="120" w:beforeLines="5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预测结果分析：发生井喷时，以井口为源点，H</w:t>
      </w:r>
      <w:r>
        <w:rPr>
          <w:rFonts w:ascii="Times New Roman" w:hAnsi="Times New Roman"/>
          <w:bCs/>
          <w:color w:val="000000" w:themeColor="text1"/>
          <w:kern w:val="2"/>
          <w:vertAlign w:val="subscript"/>
          <w:lang w:eastAsia="zh-CN"/>
          <w14:textFill>
            <w14:solidFill>
              <w14:schemeClr w14:val="tx1"/>
            </w14:solidFill>
          </w14:textFill>
        </w:rPr>
        <w:t>2</w:t>
      </w:r>
      <w:r>
        <w:rPr>
          <w:rFonts w:ascii="Times New Roman" w:hAnsi="Times New Roman"/>
          <w:bCs/>
          <w:color w:val="000000" w:themeColor="text1"/>
          <w:kern w:val="2"/>
          <w:lang w:eastAsia="zh-CN"/>
          <w14:textFill>
            <w14:solidFill>
              <w14:schemeClr w14:val="tx1"/>
            </w14:solidFill>
          </w14:textFill>
        </w:rPr>
        <w:t>S扩散后达到毒性终点浓度-2的最远距离为下风向</w:t>
      </w:r>
      <w:r>
        <w:rPr>
          <w:rFonts w:hint="eastAsia" w:ascii="Times New Roman" w:hAnsi="Times New Roman"/>
          <w:bCs/>
          <w:color w:val="000000" w:themeColor="text1"/>
          <w:kern w:val="2"/>
          <w:lang w:eastAsia="zh-CN"/>
          <w14:textFill>
            <w14:solidFill>
              <w14:schemeClr w14:val="tx1"/>
            </w14:solidFill>
          </w14:textFill>
        </w:rPr>
        <w:t>2180</w:t>
      </w:r>
      <w:r>
        <w:rPr>
          <w:rFonts w:ascii="Times New Roman" w:hAnsi="Times New Roman"/>
          <w:bCs/>
          <w:color w:val="000000" w:themeColor="text1"/>
          <w:kern w:val="2"/>
          <w:lang w:eastAsia="zh-CN"/>
          <w14:textFill>
            <w14:solidFill>
              <w14:schemeClr w14:val="tx1"/>
            </w14:solidFill>
          </w14:textFill>
        </w:rPr>
        <w:t>m，到达时间为</w:t>
      </w:r>
      <w:r>
        <w:rPr>
          <w:rFonts w:hint="eastAsia" w:ascii="Times New Roman" w:hAnsi="Times New Roman"/>
          <w:bCs/>
          <w:color w:val="000000" w:themeColor="text1"/>
          <w:kern w:val="2"/>
          <w:lang w:eastAsia="zh-CN"/>
          <w14:textFill>
            <w14:solidFill>
              <w14:schemeClr w14:val="tx1"/>
            </w14:solidFill>
          </w14:textFill>
        </w:rPr>
        <w:t>29.22</w:t>
      </w:r>
      <w:r>
        <w:rPr>
          <w:rFonts w:ascii="Times New Roman" w:hAnsi="Times New Roman"/>
          <w:bCs/>
          <w:color w:val="000000" w:themeColor="text1"/>
          <w:kern w:val="2"/>
          <w:lang w:eastAsia="zh-CN"/>
          <w14:textFill>
            <w14:solidFill>
              <w14:schemeClr w14:val="tx1"/>
            </w14:solidFill>
          </w14:textFill>
        </w:rPr>
        <w:t>min，达到毒性终点浓度-1的最远距离为下风向</w:t>
      </w:r>
      <w:r>
        <w:rPr>
          <w:rFonts w:hint="eastAsia" w:ascii="Times New Roman" w:hAnsi="Times New Roman"/>
          <w:bCs/>
          <w:color w:val="000000" w:themeColor="text1"/>
          <w:kern w:val="2"/>
          <w:lang w:eastAsia="zh-CN"/>
          <w14:textFill>
            <w14:solidFill>
              <w14:schemeClr w14:val="tx1"/>
            </w14:solidFill>
          </w14:textFill>
        </w:rPr>
        <w:t>1380</w:t>
      </w:r>
      <w:r>
        <w:rPr>
          <w:rFonts w:ascii="Times New Roman" w:hAnsi="Times New Roman"/>
          <w:bCs/>
          <w:color w:val="000000" w:themeColor="text1"/>
          <w:kern w:val="2"/>
          <w:lang w:eastAsia="zh-CN"/>
          <w14:textFill>
            <w14:solidFill>
              <w14:schemeClr w14:val="tx1"/>
            </w14:solidFill>
          </w14:textFill>
        </w:rPr>
        <w:t>m，到达时间为</w:t>
      </w:r>
      <w:r>
        <w:rPr>
          <w:rFonts w:hint="eastAsia" w:ascii="Times New Roman" w:hAnsi="Times New Roman"/>
          <w:bCs/>
          <w:color w:val="000000" w:themeColor="text1"/>
          <w:kern w:val="2"/>
          <w:lang w:eastAsia="zh-CN"/>
          <w14:textFill>
            <w14:solidFill>
              <w14:schemeClr w14:val="tx1"/>
            </w14:solidFill>
          </w14:textFill>
        </w:rPr>
        <w:t>19.33</w:t>
      </w:r>
      <w:r>
        <w:rPr>
          <w:rFonts w:ascii="Times New Roman" w:hAnsi="Times New Roman"/>
          <w:bCs/>
          <w:color w:val="000000" w:themeColor="text1"/>
          <w:kern w:val="2"/>
          <w:lang w:eastAsia="zh-CN"/>
          <w14:textFill>
            <w14:solidFill>
              <w14:schemeClr w14:val="tx1"/>
            </w14:solidFill>
          </w14:textFill>
        </w:rPr>
        <w:t>min。CH</w:t>
      </w:r>
      <w:r>
        <w:rPr>
          <w:rFonts w:ascii="Times New Roman" w:hAnsi="Times New Roman"/>
          <w:bCs/>
          <w:color w:val="000000" w:themeColor="text1"/>
          <w:kern w:val="2"/>
          <w:vertAlign w:val="subscript"/>
          <w:lang w:eastAsia="zh-CN"/>
          <w14:textFill>
            <w14:solidFill>
              <w14:schemeClr w14:val="tx1"/>
            </w14:solidFill>
          </w14:textFill>
        </w:rPr>
        <w:t>4</w:t>
      </w:r>
      <w:r>
        <w:rPr>
          <w:rFonts w:ascii="Times New Roman" w:hAnsi="Times New Roman"/>
          <w:bCs/>
          <w:color w:val="000000" w:themeColor="text1"/>
          <w:kern w:val="2"/>
          <w:lang w:eastAsia="zh-CN"/>
          <w14:textFill>
            <w14:solidFill>
              <w14:schemeClr w14:val="tx1"/>
            </w14:solidFill>
          </w14:textFill>
        </w:rPr>
        <w:t>扩散后达到毒性终点浓度-2和毒性终点浓度-1的最远距离为下风向</w:t>
      </w:r>
      <w:r>
        <w:rPr>
          <w:rFonts w:hint="eastAsia" w:ascii="Times New Roman" w:hAnsi="Times New Roman"/>
          <w:bCs/>
          <w:color w:val="000000" w:themeColor="text1"/>
          <w:kern w:val="2"/>
          <w:lang w:eastAsia="zh-CN"/>
          <w14:textFill>
            <w14:solidFill>
              <w14:schemeClr w14:val="tx1"/>
            </w14:solidFill>
          </w14:textFill>
        </w:rPr>
        <w:t>1</w:t>
      </w:r>
      <w:r>
        <w:rPr>
          <w:rFonts w:ascii="Times New Roman" w:hAnsi="Times New Roman"/>
          <w:bCs/>
          <w:color w:val="000000" w:themeColor="text1"/>
          <w:kern w:val="2"/>
          <w:lang w:eastAsia="zh-CN"/>
          <w14:textFill>
            <w14:solidFill>
              <w14:schemeClr w14:val="tx1"/>
            </w14:solidFill>
          </w14:textFill>
        </w:rPr>
        <w:t>0m</w:t>
      </w:r>
      <w:r>
        <w:rPr>
          <w:rFonts w:hint="eastAsia" w:ascii="Times New Roman" w:hAnsi="Times New Roman"/>
          <w:bCs/>
          <w:color w:val="000000" w:themeColor="text1"/>
          <w:kern w:val="2"/>
          <w:lang w:eastAsia="zh-CN"/>
          <w14:textFill>
            <w14:solidFill>
              <w14:schemeClr w14:val="tx1"/>
            </w14:solidFill>
          </w14:textFill>
        </w:rPr>
        <w:t>以内</w:t>
      </w:r>
      <w:r>
        <w:rPr>
          <w:rFonts w:ascii="Times New Roman" w:hAnsi="Times New Roman"/>
          <w:bCs/>
          <w:color w:val="000000" w:themeColor="text1"/>
          <w:kern w:val="2"/>
          <w:lang w:eastAsia="zh-CN"/>
          <w14:textFill>
            <w14:solidFill>
              <w14:schemeClr w14:val="tx1"/>
            </w14:solidFill>
          </w14:textFill>
        </w:rPr>
        <w:t>。</w:t>
      </w:r>
    </w:p>
    <w:p>
      <w:pPr>
        <w:pStyle w:val="200"/>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rFonts w:hint="eastAsia"/>
          <w:color w:val="000000" w:themeColor="text1"/>
          <w14:textFill>
            <w14:solidFill>
              <w14:schemeClr w14:val="tx1"/>
            </w14:solidFill>
          </w14:textFill>
        </w:rPr>
        <w:t xml:space="preserve">7 </w:t>
      </w:r>
      <w:r>
        <w:rPr>
          <w:color w:val="000000" w:themeColor="text1"/>
          <w14:textFill>
            <w14:solidFill>
              <w14:schemeClr w14:val="tx1"/>
            </w14:solidFill>
          </w14:textFill>
        </w:rPr>
        <w:t xml:space="preserve"> 最不利气象下污染物扩散对周围敏感点的影响</w:t>
      </w:r>
    </w:p>
    <w:tbl>
      <w:tblPr>
        <w:tblStyle w:val="52"/>
        <w:tblW w:w="486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18"/>
        <w:gridCol w:w="2067"/>
        <w:gridCol w:w="841"/>
        <w:gridCol w:w="1179"/>
        <w:gridCol w:w="2022"/>
        <w:gridCol w:w="14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tblHeader/>
          <w:jc w:val="center"/>
        </w:trPr>
        <w:tc>
          <w:tcPr>
            <w:tcW w:w="380" w:type="pct"/>
            <w:vMerge w:val="restart"/>
            <w:shd w:val="clear" w:color="auto" w:fill="auto"/>
            <w:vAlign w:val="center"/>
          </w:tcPr>
          <w:p>
            <w:pPr>
              <w:pStyle w:val="294"/>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分类</w:t>
            </w:r>
          </w:p>
        </w:tc>
        <w:tc>
          <w:tcPr>
            <w:tcW w:w="1269" w:type="pct"/>
            <w:vMerge w:val="restart"/>
            <w:shd w:val="clear" w:color="auto" w:fill="auto"/>
            <w:vAlign w:val="center"/>
          </w:tcPr>
          <w:p>
            <w:pPr>
              <w:pStyle w:val="294"/>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名称</w:t>
            </w:r>
          </w:p>
        </w:tc>
        <w:tc>
          <w:tcPr>
            <w:tcW w:w="1240" w:type="pct"/>
            <w:gridSpan w:val="2"/>
            <w:shd w:val="clear" w:color="auto" w:fill="auto"/>
            <w:vAlign w:val="center"/>
          </w:tcPr>
          <w:p>
            <w:pPr>
              <w:pStyle w:val="294"/>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坐标</w:t>
            </w:r>
          </w:p>
        </w:tc>
        <w:tc>
          <w:tcPr>
            <w:tcW w:w="1241" w:type="pct"/>
            <w:vMerge w:val="restart"/>
            <w:shd w:val="clear" w:color="auto" w:fill="auto"/>
            <w:vAlign w:val="center"/>
          </w:tcPr>
          <w:p>
            <w:pPr>
              <w:pStyle w:val="294"/>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最大浓度及出现时间</w:t>
            </w:r>
          </w:p>
          <w:p>
            <w:pPr>
              <w:pStyle w:val="294"/>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（mg/m</w:t>
            </w:r>
            <w:r>
              <w:rPr>
                <w:b/>
                <w:bCs/>
                <w:color w:val="000000" w:themeColor="text1"/>
                <w:szCs w:val="21"/>
                <w:vertAlign w:val="superscript"/>
                <w14:textFill>
                  <w14:solidFill>
                    <w14:schemeClr w14:val="tx1"/>
                  </w14:solidFill>
                </w14:textFill>
              </w:rPr>
              <w:t>3</w:t>
            </w:r>
            <w:r>
              <w:rPr>
                <w:b/>
                <w:bCs/>
                <w:color w:val="000000" w:themeColor="text1"/>
                <w:szCs w:val="21"/>
                <w14:textFill>
                  <w14:solidFill>
                    <w14:schemeClr w14:val="tx1"/>
                  </w14:solidFill>
                </w14:textFill>
              </w:rPr>
              <w:t>|min）</w:t>
            </w:r>
          </w:p>
        </w:tc>
        <w:tc>
          <w:tcPr>
            <w:tcW w:w="866" w:type="pct"/>
            <w:vMerge w:val="restart"/>
            <w:vAlign w:val="center"/>
          </w:tcPr>
          <w:p>
            <w:pPr>
              <w:pStyle w:val="294"/>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毒性终点浓度2</w:t>
            </w:r>
          </w:p>
          <w:p>
            <w:pPr>
              <w:pStyle w:val="294"/>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（mg/m</w:t>
            </w:r>
            <w:r>
              <w:rPr>
                <w:b/>
                <w:bCs/>
                <w:color w:val="000000" w:themeColor="text1"/>
                <w:szCs w:val="21"/>
                <w:vertAlign w:val="superscript"/>
                <w14:textFill>
                  <w14:solidFill>
                    <w14:schemeClr w14:val="tx1"/>
                  </w14:solidFill>
                </w14:textFill>
              </w:rPr>
              <w:t>3</w:t>
            </w:r>
            <w:r>
              <w:rPr>
                <w:b/>
                <w:bCs/>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1" w:hRule="atLeast"/>
          <w:tblHeader/>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vMerge w:val="continue"/>
            <w:shd w:val="clear" w:color="auto" w:fill="auto"/>
            <w:vAlign w:val="center"/>
          </w:tcPr>
          <w:p>
            <w:pPr>
              <w:pStyle w:val="294"/>
              <w:rPr>
                <w:color w:val="000000" w:themeColor="text1"/>
                <w:szCs w:val="21"/>
                <w14:textFill>
                  <w14:solidFill>
                    <w14:schemeClr w14:val="tx1"/>
                  </w14:solidFill>
                </w14:textFill>
              </w:rPr>
            </w:pPr>
          </w:p>
        </w:tc>
        <w:tc>
          <w:tcPr>
            <w:tcW w:w="516" w:type="pct"/>
            <w:shd w:val="clear" w:color="auto" w:fill="auto"/>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X</w:t>
            </w:r>
          </w:p>
        </w:tc>
        <w:tc>
          <w:tcPr>
            <w:tcW w:w="724" w:type="pct"/>
            <w:shd w:val="clear" w:color="auto" w:fill="auto"/>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Y</w:t>
            </w:r>
          </w:p>
        </w:tc>
        <w:tc>
          <w:tcPr>
            <w:tcW w:w="1241" w:type="pct"/>
            <w:vMerge w:val="continue"/>
            <w:shd w:val="clear" w:color="auto" w:fill="auto"/>
            <w:vAlign w:val="center"/>
          </w:tcPr>
          <w:p>
            <w:pPr>
              <w:pStyle w:val="294"/>
              <w:rPr>
                <w:color w:val="000000" w:themeColor="text1"/>
                <w:szCs w:val="21"/>
                <w14:textFill>
                  <w14:solidFill>
                    <w14:schemeClr w14:val="tx1"/>
                  </w14:solidFill>
                </w14:textFill>
              </w:rPr>
            </w:pPr>
          </w:p>
        </w:tc>
        <w:tc>
          <w:tcPr>
            <w:tcW w:w="866" w:type="pct"/>
            <w:vMerge w:val="continue"/>
            <w:vAlign w:val="center"/>
          </w:tcPr>
          <w:p>
            <w:pPr>
              <w:pStyle w:val="294"/>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restart"/>
            <w:shd w:val="clear" w:color="auto" w:fill="auto"/>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H</w:t>
            </w:r>
            <w:r>
              <w:rPr>
                <w:color w:val="000000" w:themeColor="text1"/>
                <w:szCs w:val="21"/>
                <w:vertAlign w:val="subscript"/>
                <w14:textFill>
                  <w14:solidFill>
                    <w14:schemeClr w14:val="tx1"/>
                  </w14:solidFill>
                </w14:textFill>
              </w:rPr>
              <w:t>2</w:t>
            </w:r>
            <w:r>
              <w:rPr>
                <w:color w:val="000000" w:themeColor="text1"/>
                <w:szCs w:val="21"/>
                <w14:textFill>
                  <w14:solidFill>
                    <w14:schemeClr w14:val="tx1"/>
                  </w14:solidFill>
                </w14:textFill>
              </w:rPr>
              <w:t>S</w:t>
            </w: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黄家湾居民点</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321</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33</w:t>
            </w:r>
          </w:p>
        </w:tc>
        <w:tc>
          <w:tcPr>
            <w:tcW w:w="1241" w:type="pct"/>
            <w:shd w:val="clear" w:color="auto" w:fill="auto"/>
            <w:vAlign w:val="center"/>
          </w:tcPr>
          <w:p>
            <w:pPr>
              <w:pStyle w:val="294"/>
              <w:rPr>
                <w:color w:val="000000" w:themeColor="text1"/>
                <w:szCs w:val="21"/>
                <w14:textFill>
                  <w14:solidFill>
                    <w14:schemeClr w14:val="tx1"/>
                  </w14:solidFill>
                </w14:textFill>
              </w:rPr>
            </w:pPr>
            <w:r>
              <w:rPr>
                <w:rFonts w:eastAsia="等线"/>
                <w:color w:val="000000" w:themeColor="text1"/>
                <w:szCs w:val="21"/>
                <w14:textFill>
                  <w14:solidFill>
                    <w14:schemeClr w14:val="tx1"/>
                  </w14:solidFill>
                </w14:textFill>
              </w:rPr>
              <w:t>0.00E+00|5</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万白路居民点</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35</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230</w:t>
            </w:r>
          </w:p>
        </w:tc>
        <w:tc>
          <w:tcPr>
            <w:tcW w:w="1241" w:type="pct"/>
            <w:shd w:val="clear" w:color="auto" w:fill="auto"/>
            <w:vAlign w:val="center"/>
          </w:tcPr>
          <w:p>
            <w:pPr>
              <w:pStyle w:val="294"/>
              <w:rPr>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0.00</w:t>
            </w:r>
            <w:r>
              <w:rPr>
                <w:rFonts w:eastAsia="等线"/>
                <w:color w:val="000000" w:themeColor="text1"/>
                <w:szCs w:val="21"/>
                <w14:textFill>
                  <w14:solidFill>
                    <w14:schemeClr w14:val="tx1"/>
                  </w14:solidFill>
                </w14:textFill>
              </w:rPr>
              <w:t>E+00|5</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黄家岩居民点</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-244</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-217</w:t>
            </w:r>
          </w:p>
        </w:tc>
        <w:tc>
          <w:tcPr>
            <w:tcW w:w="1241" w:type="pct"/>
            <w:shd w:val="clear" w:color="auto" w:fill="auto"/>
            <w:vAlign w:val="center"/>
          </w:tcPr>
          <w:p>
            <w:pPr>
              <w:pStyle w:val="294"/>
              <w:rPr>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4.83</w:t>
            </w:r>
            <w:r>
              <w:rPr>
                <w:rFonts w:eastAsia="等线"/>
                <w:color w:val="000000" w:themeColor="text1"/>
                <w:szCs w:val="21"/>
                <w14:textFill>
                  <w14:solidFill>
                    <w14:schemeClr w14:val="tx1"/>
                  </w14:solidFill>
                </w14:textFill>
              </w:rPr>
              <w:t>E+</w:t>
            </w:r>
            <w:r>
              <w:rPr>
                <w:rFonts w:hint="eastAsia" w:eastAsia="等线"/>
                <w:color w:val="000000" w:themeColor="text1"/>
                <w:szCs w:val="21"/>
                <w14:textFill>
                  <w14:solidFill>
                    <w14:schemeClr w14:val="tx1"/>
                  </w14:solidFill>
                </w14:textFill>
              </w:rPr>
              <w:t>02</w:t>
            </w:r>
            <w:r>
              <w:rPr>
                <w:rFonts w:eastAsia="等线"/>
                <w:color w:val="000000" w:themeColor="text1"/>
                <w:szCs w:val="21"/>
                <w14:textFill>
                  <w14:solidFill>
                    <w14:schemeClr w14:val="tx1"/>
                  </w14:solidFill>
                </w14:textFill>
              </w:rPr>
              <w:t>|5</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李家岩居民点</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796</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-447</w:t>
            </w:r>
          </w:p>
        </w:tc>
        <w:tc>
          <w:tcPr>
            <w:tcW w:w="1241" w:type="pct"/>
            <w:shd w:val="clear" w:color="auto" w:fill="auto"/>
            <w:vAlign w:val="center"/>
          </w:tcPr>
          <w:p>
            <w:pPr>
              <w:pStyle w:val="294"/>
              <w:rPr>
                <w:color w:val="000000" w:themeColor="text1"/>
                <w:szCs w:val="21"/>
                <w14:textFill>
                  <w14:solidFill>
                    <w14:schemeClr w14:val="tx1"/>
                  </w14:solidFill>
                </w14:textFill>
              </w:rPr>
            </w:pPr>
            <w:r>
              <w:rPr>
                <w:rFonts w:eastAsia="等线"/>
                <w:color w:val="000000" w:themeColor="text1"/>
                <w:szCs w:val="21"/>
                <w14:textFill>
                  <w14:solidFill>
                    <w14:schemeClr w14:val="tx1"/>
                  </w14:solidFill>
                </w14:textFill>
              </w:rPr>
              <w:t>0.00E+00|5</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李家湾居民点</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371</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-1063</w:t>
            </w:r>
          </w:p>
        </w:tc>
        <w:tc>
          <w:tcPr>
            <w:tcW w:w="1241" w:type="pct"/>
            <w:shd w:val="clear" w:color="auto" w:fill="auto"/>
            <w:vAlign w:val="center"/>
          </w:tcPr>
          <w:p>
            <w:pPr>
              <w:pStyle w:val="294"/>
              <w:rPr>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0.00</w:t>
            </w:r>
            <w:r>
              <w:rPr>
                <w:rFonts w:eastAsia="等线"/>
                <w:color w:val="000000" w:themeColor="text1"/>
                <w:szCs w:val="21"/>
                <w14:textFill>
                  <w14:solidFill>
                    <w14:schemeClr w14:val="tx1"/>
                  </w14:solidFill>
                </w14:textFill>
              </w:rPr>
              <w:t>E</w:t>
            </w:r>
            <w:r>
              <w:rPr>
                <w:rFonts w:hint="eastAsia" w:eastAsia="等线"/>
                <w:color w:val="000000" w:themeColor="text1"/>
                <w:szCs w:val="21"/>
                <w14:textFill>
                  <w14:solidFill>
                    <w14:schemeClr w14:val="tx1"/>
                  </w14:solidFill>
                </w14:textFill>
              </w:rPr>
              <w:t>+00</w:t>
            </w:r>
            <w:r>
              <w:rPr>
                <w:rFonts w:eastAsia="等线"/>
                <w:color w:val="000000" w:themeColor="text1"/>
                <w:szCs w:val="21"/>
                <w14:textFill>
                  <w14:solidFill>
                    <w14:schemeClr w14:val="tx1"/>
                  </w14:solidFill>
                </w14:textFill>
              </w:rPr>
              <w:t>|5</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大田湾居民点</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-286</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-457</w:t>
            </w:r>
          </w:p>
        </w:tc>
        <w:tc>
          <w:tcPr>
            <w:tcW w:w="1241" w:type="pct"/>
            <w:shd w:val="clear" w:color="auto" w:fill="auto"/>
            <w:vAlign w:val="center"/>
          </w:tcPr>
          <w:p>
            <w:pPr>
              <w:pStyle w:val="294"/>
              <w:rPr>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1.14</w:t>
            </w:r>
            <w:r>
              <w:rPr>
                <w:rFonts w:eastAsia="等线"/>
                <w:color w:val="000000" w:themeColor="text1"/>
                <w:szCs w:val="21"/>
                <w14:textFill>
                  <w14:solidFill>
                    <w14:schemeClr w14:val="tx1"/>
                  </w14:solidFill>
                </w14:textFill>
              </w:rPr>
              <w:t>E-</w:t>
            </w:r>
            <w:r>
              <w:rPr>
                <w:rFonts w:hint="eastAsia" w:eastAsia="等线"/>
                <w:color w:val="000000" w:themeColor="text1"/>
                <w:szCs w:val="21"/>
                <w14:textFill>
                  <w14:solidFill>
                    <w14:schemeClr w14:val="tx1"/>
                  </w14:solidFill>
                </w14:textFill>
              </w:rPr>
              <w:t>01</w:t>
            </w:r>
            <w:r>
              <w:rPr>
                <w:rFonts w:eastAsia="等线"/>
                <w:color w:val="000000" w:themeColor="text1"/>
                <w:szCs w:val="21"/>
                <w14:textFill>
                  <w14:solidFill>
                    <w14:schemeClr w14:val="tx1"/>
                  </w14:solidFill>
                </w14:textFill>
              </w:rPr>
              <w:t>|10</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龙井社区居民点</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318</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464</w:t>
            </w:r>
          </w:p>
        </w:tc>
        <w:tc>
          <w:tcPr>
            <w:tcW w:w="1241" w:type="pct"/>
            <w:shd w:val="clear" w:color="auto" w:fill="auto"/>
            <w:vAlign w:val="center"/>
          </w:tcPr>
          <w:p>
            <w:pPr>
              <w:pStyle w:val="294"/>
              <w:rPr>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0.00</w:t>
            </w:r>
            <w:r>
              <w:rPr>
                <w:rFonts w:eastAsia="等线"/>
                <w:color w:val="000000" w:themeColor="text1"/>
                <w:szCs w:val="21"/>
                <w14:textFill>
                  <w14:solidFill>
                    <w14:schemeClr w14:val="tx1"/>
                  </w14:solidFill>
                </w14:textFill>
              </w:rPr>
              <w:t>E</w:t>
            </w:r>
            <w:r>
              <w:rPr>
                <w:rFonts w:hint="eastAsia" w:eastAsia="等线"/>
                <w:color w:val="000000" w:themeColor="text1"/>
                <w:szCs w:val="21"/>
                <w14:textFill>
                  <w14:solidFill>
                    <w14:schemeClr w14:val="tx1"/>
                  </w14:solidFill>
                </w14:textFill>
              </w:rPr>
              <w:t>+00</w:t>
            </w:r>
            <w:r>
              <w:rPr>
                <w:rFonts w:eastAsia="等线"/>
                <w:color w:val="000000" w:themeColor="text1"/>
                <w:szCs w:val="21"/>
                <w14:textFill>
                  <w14:solidFill>
                    <w14:schemeClr w14:val="tx1"/>
                  </w14:solidFill>
                </w14:textFill>
              </w:rPr>
              <w:t>|10</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张家坝居民点</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-330</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721</w:t>
            </w:r>
          </w:p>
        </w:tc>
        <w:tc>
          <w:tcPr>
            <w:tcW w:w="1241"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0.00</w:t>
            </w:r>
            <w:r>
              <w:rPr>
                <w:rFonts w:eastAsia="等线"/>
                <w:color w:val="000000" w:themeColor="text1"/>
                <w:szCs w:val="21"/>
                <w14:textFill>
                  <w14:solidFill>
                    <w14:schemeClr w14:val="tx1"/>
                  </w14:solidFill>
                </w14:textFill>
              </w:rPr>
              <w:t>E</w:t>
            </w:r>
            <w:r>
              <w:rPr>
                <w:rFonts w:hint="eastAsia" w:eastAsia="等线"/>
                <w:color w:val="000000" w:themeColor="text1"/>
                <w:szCs w:val="21"/>
                <w14:textFill>
                  <w14:solidFill>
                    <w14:schemeClr w14:val="tx1"/>
                  </w14:solidFill>
                </w14:textFill>
              </w:rPr>
              <w:t>+00</w:t>
            </w:r>
            <w:r>
              <w:rPr>
                <w:rFonts w:eastAsia="等线"/>
                <w:color w:val="000000" w:themeColor="text1"/>
                <w:szCs w:val="21"/>
                <w14:textFill>
                  <w14:solidFill>
                    <w14:schemeClr w14:val="tx1"/>
                  </w14:solidFill>
                </w14:textFill>
              </w:rPr>
              <w:t>|1</w:t>
            </w:r>
            <w:r>
              <w:rPr>
                <w:rFonts w:hint="eastAsia" w:eastAsia="等线"/>
                <w:color w:val="000000" w:themeColor="text1"/>
                <w:szCs w:val="21"/>
                <w14:textFill>
                  <w14:solidFill>
                    <w14:schemeClr w14:val="tx1"/>
                  </w14:solidFill>
                </w14:textFill>
              </w:rPr>
              <w:t>0</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天台寺居民点</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-1041</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774</w:t>
            </w:r>
          </w:p>
        </w:tc>
        <w:tc>
          <w:tcPr>
            <w:tcW w:w="1241"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0.00</w:t>
            </w:r>
            <w:r>
              <w:rPr>
                <w:rFonts w:eastAsia="等线"/>
                <w:color w:val="000000" w:themeColor="text1"/>
                <w:szCs w:val="21"/>
                <w14:textFill>
                  <w14:solidFill>
                    <w14:schemeClr w14:val="tx1"/>
                  </w14:solidFill>
                </w14:textFill>
              </w:rPr>
              <w:t>E</w:t>
            </w:r>
            <w:r>
              <w:rPr>
                <w:rFonts w:hint="eastAsia" w:eastAsia="等线"/>
                <w:color w:val="000000" w:themeColor="text1"/>
                <w:szCs w:val="21"/>
                <w14:textFill>
                  <w14:solidFill>
                    <w14:schemeClr w14:val="tx1"/>
                  </w14:solidFill>
                </w14:textFill>
              </w:rPr>
              <w:t>+00</w:t>
            </w:r>
            <w:r>
              <w:rPr>
                <w:rFonts w:eastAsia="等线"/>
                <w:color w:val="000000" w:themeColor="text1"/>
                <w:szCs w:val="21"/>
                <w14:textFill>
                  <w14:solidFill>
                    <w14:schemeClr w14:val="tx1"/>
                  </w14:solidFill>
                </w14:textFill>
              </w:rPr>
              <w:t>|1</w:t>
            </w:r>
            <w:r>
              <w:rPr>
                <w:rFonts w:hint="eastAsia" w:eastAsia="等线"/>
                <w:color w:val="000000" w:themeColor="text1"/>
                <w:szCs w:val="21"/>
                <w14:textFill>
                  <w14:solidFill>
                    <w14:schemeClr w14:val="tx1"/>
                  </w14:solidFill>
                </w14:textFill>
              </w:rPr>
              <w:t>0</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童家湾居民点</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-1517</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204</w:t>
            </w:r>
          </w:p>
        </w:tc>
        <w:tc>
          <w:tcPr>
            <w:tcW w:w="1241" w:type="pct"/>
            <w:shd w:val="clear" w:color="auto" w:fill="auto"/>
            <w:vAlign w:val="center"/>
          </w:tcPr>
          <w:p>
            <w:pPr>
              <w:pStyle w:val="294"/>
              <w:rPr>
                <w:rFonts w:eastAsia="等线"/>
                <w:color w:val="000000" w:themeColor="text1"/>
                <w:szCs w:val="21"/>
                <w14:textFill>
                  <w14:solidFill>
                    <w14:schemeClr w14:val="tx1"/>
                  </w14:solidFill>
                </w14:textFill>
              </w:rPr>
            </w:pPr>
            <w:r>
              <w:rPr>
                <w:rFonts w:eastAsia="等线"/>
                <w:color w:val="000000" w:themeColor="text1"/>
                <w:szCs w:val="21"/>
                <w14:textFill>
                  <w14:solidFill>
                    <w14:schemeClr w14:val="tx1"/>
                  </w14:solidFill>
                </w14:textFill>
              </w:rPr>
              <w:t>0.00E+00|1</w:t>
            </w:r>
            <w:r>
              <w:rPr>
                <w:rFonts w:hint="eastAsia" w:eastAsia="等线"/>
                <w:color w:val="000000" w:themeColor="text1"/>
                <w:szCs w:val="21"/>
                <w14:textFill>
                  <w14:solidFill>
                    <w14:schemeClr w14:val="tx1"/>
                  </w14:solidFill>
                </w14:textFill>
              </w:rPr>
              <w:t>0</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土主镇居民区</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-3556</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-916</w:t>
            </w:r>
          </w:p>
        </w:tc>
        <w:tc>
          <w:tcPr>
            <w:tcW w:w="1241" w:type="pct"/>
            <w:shd w:val="clear" w:color="auto" w:fill="auto"/>
            <w:vAlign w:val="center"/>
          </w:tcPr>
          <w:p>
            <w:pPr>
              <w:pStyle w:val="294"/>
              <w:rPr>
                <w:rFonts w:eastAsia="等线"/>
                <w:color w:val="000000" w:themeColor="text1"/>
                <w:szCs w:val="21"/>
                <w14:textFill>
                  <w14:solidFill>
                    <w14:schemeClr w14:val="tx1"/>
                  </w14:solidFill>
                </w14:textFill>
              </w:rPr>
            </w:pPr>
            <w:r>
              <w:rPr>
                <w:rFonts w:eastAsia="等线"/>
                <w:color w:val="000000" w:themeColor="text1"/>
                <w:szCs w:val="21"/>
                <w14:textFill>
                  <w14:solidFill>
                    <w14:schemeClr w14:val="tx1"/>
                  </w14:solidFill>
                </w14:textFill>
              </w:rPr>
              <w:t>0.00E+00|1</w:t>
            </w:r>
            <w:r>
              <w:rPr>
                <w:rFonts w:hint="eastAsia" w:eastAsia="等线"/>
                <w:color w:val="000000" w:themeColor="text1"/>
                <w:szCs w:val="21"/>
                <w14:textFill>
                  <w14:solidFill>
                    <w14:schemeClr w14:val="tx1"/>
                  </w14:solidFill>
                </w14:textFill>
              </w:rPr>
              <w:t>0</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普光学校</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-4780</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-1347</w:t>
            </w:r>
          </w:p>
        </w:tc>
        <w:tc>
          <w:tcPr>
            <w:tcW w:w="1241" w:type="pct"/>
            <w:shd w:val="clear" w:color="auto" w:fill="auto"/>
            <w:vAlign w:val="center"/>
          </w:tcPr>
          <w:p>
            <w:pPr>
              <w:pStyle w:val="294"/>
              <w:rPr>
                <w:rFonts w:eastAsia="等线"/>
                <w:color w:val="000000" w:themeColor="text1"/>
                <w:szCs w:val="21"/>
                <w14:textFill>
                  <w14:solidFill>
                    <w14:schemeClr w14:val="tx1"/>
                  </w14:solidFill>
                </w14:textFill>
              </w:rPr>
            </w:pPr>
            <w:r>
              <w:rPr>
                <w:rFonts w:eastAsia="等线"/>
                <w:color w:val="000000" w:themeColor="text1"/>
                <w:szCs w:val="21"/>
                <w14:textFill>
                  <w14:solidFill>
                    <w14:schemeClr w14:val="tx1"/>
                  </w14:solidFill>
                </w14:textFill>
              </w:rPr>
              <w:t>0.00E+00|1</w:t>
            </w:r>
            <w:r>
              <w:rPr>
                <w:rFonts w:hint="eastAsia" w:eastAsia="等线"/>
                <w:color w:val="000000" w:themeColor="text1"/>
                <w:szCs w:val="21"/>
                <w14:textFill>
                  <w14:solidFill>
                    <w14:schemeClr w14:val="tx1"/>
                  </w14:solidFill>
                </w14:textFill>
              </w:rPr>
              <w:t>0</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何家咀居民点</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-313</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-1718</w:t>
            </w:r>
          </w:p>
        </w:tc>
        <w:tc>
          <w:tcPr>
            <w:tcW w:w="1241" w:type="pct"/>
            <w:shd w:val="clear" w:color="auto" w:fill="auto"/>
            <w:vAlign w:val="center"/>
          </w:tcPr>
          <w:p>
            <w:pPr>
              <w:pStyle w:val="294"/>
              <w:rPr>
                <w:rFonts w:eastAsia="等线"/>
                <w:color w:val="000000" w:themeColor="text1"/>
                <w:szCs w:val="21"/>
                <w14:textFill>
                  <w14:solidFill>
                    <w14:schemeClr w14:val="tx1"/>
                  </w14:solidFill>
                </w14:textFill>
              </w:rPr>
            </w:pPr>
            <w:r>
              <w:rPr>
                <w:rFonts w:eastAsia="等线"/>
                <w:color w:val="000000" w:themeColor="text1"/>
                <w:szCs w:val="21"/>
                <w14:textFill>
                  <w14:solidFill>
                    <w14:schemeClr w14:val="tx1"/>
                  </w14:solidFill>
                </w14:textFill>
              </w:rPr>
              <w:t>0.00E+00|1</w:t>
            </w:r>
            <w:r>
              <w:rPr>
                <w:rFonts w:hint="eastAsia" w:eastAsia="等线"/>
                <w:color w:val="000000" w:themeColor="text1"/>
                <w:szCs w:val="21"/>
                <w14:textFill>
                  <w14:solidFill>
                    <w14:schemeClr w14:val="tx1"/>
                  </w14:solidFill>
                </w14:textFill>
              </w:rPr>
              <w:t>0</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大房子居民点</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1079</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-1645</w:t>
            </w:r>
          </w:p>
        </w:tc>
        <w:tc>
          <w:tcPr>
            <w:tcW w:w="1241" w:type="pct"/>
            <w:shd w:val="clear" w:color="auto" w:fill="auto"/>
            <w:vAlign w:val="center"/>
          </w:tcPr>
          <w:p>
            <w:pPr>
              <w:pStyle w:val="294"/>
              <w:rPr>
                <w:rFonts w:eastAsia="等线"/>
                <w:color w:val="000000" w:themeColor="text1"/>
                <w:szCs w:val="21"/>
                <w14:textFill>
                  <w14:solidFill>
                    <w14:schemeClr w14:val="tx1"/>
                  </w14:solidFill>
                </w14:textFill>
              </w:rPr>
            </w:pPr>
            <w:r>
              <w:rPr>
                <w:rFonts w:eastAsia="等线"/>
                <w:color w:val="000000" w:themeColor="text1"/>
                <w:szCs w:val="21"/>
                <w14:textFill>
                  <w14:solidFill>
                    <w14:schemeClr w14:val="tx1"/>
                  </w14:solidFill>
                </w14:textFill>
              </w:rPr>
              <w:t>0.00E+00|1</w:t>
            </w:r>
            <w:r>
              <w:rPr>
                <w:rFonts w:hint="eastAsia" w:eastAsia="等线"/>
                <w:color w:val="000000" w:themeColor="text1"/>
                <w:szCs w:val="21"/>
                <w14:textFill>
                  <w14:solidFill>
                    <w14:schemeClr w14:val="tx1"/>
                  </w14:solidFill>
                </w14:textFill>
              </w:rPr>
              <w:t>0</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新滩村居民点</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794</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-2126</w:t>
            </w:r>
          </w:p>
        </w:tc>
        <w:tc>
          <w:tcPr>
            <w:tcW w:w="1241" w:type="pct"/>
            <w:shd w:val="clear" w:color="auto" w:fill="auto"/>
            <w:vAlign w:val="center"/>
          </w:tcPr>
          <w:p>
            <w:pPr>
              <w:pStyle w:val="294"/>
              <w:rPr>
                <w:rFonts w:eastAsia="等线"/>
                <w:color w:val="000000" w:themeColor="text1"/>
                <w:szCs w:val="21"/>
                <w14:textFill>
                  <w14:solidFill>
                    <w14:schemeClr w14:val="tx1"/>
                  </w14:solidFill>
                </w14:textFill>
              </w:rPr>
            </w:pPr>
            <w:r>
              <w:rPr>
                <w:rFonts w:eastAsia="等线"/>
                <w:color w:val="000000" w:themeColor="text1"/>
                <w:szCs w:val="21"/>
                <w14:textFill>
                  <w14:solidFill>
                    <w14:schemeClr w14:val="tx1"/>
                  </w14:solidFill>
                </w14:textFill>
              </w:rPr>
              <w:t>0.00E+00|1</w:t>
            </w:r>
            <w:r>
              <w:rPr>
                <w:rFonts w:hint="eastAsia" w:eastAsia="等线"/>
                <w:color w:val="000000" w:themeColor="text1"/>
                <w:szCs w:val="21"/>
                <w14:textFill>
                  <w14:solidFill>
                    <w14:schemeClr w14:val="tx1"/>
                  </w14:solidFill>
                </w14:textFill>
              </w:rPr>
              <w:t>0</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lang w:eastAsia="en-US"/>
              </w:rPr>
            </w:pPr>
            <w:r>
              <w:rPr>
                <w:rFonts w:hint="eastAsia" w:cs="Times New Roman"/>
                <w:sz w:val="21"/>
                <w:szCs w:val="21"/>
              </w:rPr>
              <w:t>千河村等</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3555</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-1051</w:t>
            </w:r>
          </w:p>
        </w:tc>
        <w:tc>
          <w:tcPr>
            <w:tcW w:w="1241" w:type="pct"/>
            <w:shd w:val="clear" w:color="auto" w:fill="auto"/>
            <w:vAlign w:val="center"/>
          </w:tcPr>
          <w:p>
            <w:pPr>
              <w:pStyle w:val="294"/>
              <w:rPr>
                <w:rFonts w:eastAsia="等线"/>
                <w:color w:val="000000" w:themeColor="text1"/>
                <w:szCs w:val="21"/>
                <w14:textFill>
                  <w14:solidFill>
                    <w14:schemeClr w14:val="tx1"/>
                  </w14:solidFill>
                </w14:textFill>
              </w:rPr>
            </w:pPr>
            <w:r>
              <w:rPr>
                <w:rFonts w:eastAsia="等线"/>
                <w:color w:val="000000" w:themeColor="text1"/>
                <w:szCs w:val="21"/>
                <w14:textFill>
                  <w14:solidFill>
                    <w14:schemeClr w14:val="tx1"/>
                  </w14:solidFill>
                </w14:textFill>
              </w:rPr>
              <w:t>0.00E+00|1</w:t>
            </w:r>
            <w:r>
              <w:rPr>
                <w:rFonts w:hint="eastAsia" w:eastAsia="等线"/>
                <w:color w:val="000000" w:themeColor="text1"/>
                <w:szCs w:val="21"/>
                <w14:textFill>
                  <w14:solidFill>
                    <w14:schemeClr w14:val="tx1"/>
                  </w14:solidFill>
                </w14:textFill>
              </w:rPr>
              <w:t>0</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北斗村等</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2333</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448</w:t>
            </w:r>
          </w:p>
        </w:tc>
        <w:tc>
          <w:tcPr>
            <w:tcW w:w="1241" w:type="pct"/>
            <w:shd w:val="clear" w:color="auto" w:fill="auto"/>
            <w:vAlign w:val="center"/>
          </w:tcPr>
          <w:p>
            <w:pPr>
              <w:pStyle w:val="294"/>
              <w:rPr>
                <w:rFonts w:eastAsia="等线"/>
                <w:color w:val="000000" w:themeColor="text1"/>
                <w:szCs w:val="21"/>
                <w14:textFill>
                  <w14:solidFill>
                    <w14:schemeClr w14:val="tx1"/>
                  </w14:solidFill>
                </w14:textFill>
              </w:rPr>
            </w:pPr>
            <w:r>
              <w:rPr>
                <w:rFonts w:eastAsia="等线"/>
                <w:color w:val="000000" w:themeColor="text1"/>
                <w:szCs w:val="21"/>
                <w14:textFill>
                  <w14:solidFill>
                    <w14:schemeClr w14:val="tx1"/>
                  </w14:solidFill>
                </w14:textFill>
              </w:rPr>
              <w:t>0.00E+00|1</w:t>
            </w:r>
            <w:r>
              <w:rPr>
                <w:rFonts w:hint="eastAsia" w:eastAsia="等线"/>
                <w:color w:val="000000" w:themeColor="text1"/>
                <w:szCs w:val="21"/>
                <w14:textFill>
                  <w14:solidFill>
                    <w14:schemeClr w14:val="tx1"/>
                  </w14:solidFill>
                </w14:textFill>
              </w:rPr>
              <w:t>0</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1" w:hRule="atLeast"/>
          <w:jc w:val="center"/>
        </w:trPr>
        <w:tc>
          <w:tcPr>
            <w:tcW w:w="380" w:type="pct"/>
            <w:vMerge w:val="continue"/>
            <w:shd w:val="clear" w:color="auto" w:fill="auto"/>
            <w:vAlign w:val="center"/>
          </w:tcPr>
          <w:p>
            <w:pPr>
              <w:pStyle w:val="294"/>
              <w:rPr>
                <w:color w:val="000000" w:themeColor="text1"/>
                <w:szCs w:val="21"/>
                <w14:textFill>
                  <w14:solidFill>
                    <w14:schemeClr w14:val="tx1"/>
                  </w14:solidFill>
                </w14:textFill>
              </w:rPr>
            </w:pPr>
          </w:p>
        </w:tc>
        <w:tc>
          <w:tcPr>
            <w:tcW w:w="1269" w:type="pct"/>
            <w:shd w:val="clear" w:color="auto" w:fill="auto"/>
            <w:vAlign w:val="center"/>
          </w:tcPr>
          <w:p>
            <w:pPr>
              <w:widowControl/>
              <w:adjustRightInd/>
              <w:snapToGrid/>
              <w:spacing w:line="240" w:lineRule="auto"/>
              <w:ind w:firstLine="0" w:firstLineChars="0"/>
              <w:jc w:val="center"/>
              <w:rPr>
                <w:rFonts w:cs="Times New Roman"/>
                <w:sz w:val="21"/>
                <w:szCs w:val="21"/>
              </w:rPr>
            </w:pPr>
            <w:r>
              <w:rPr>
                <w:rFonts w:hint="eastAsia" w:cs="Times New Roman"/>
                <w:sz w:val="21"/>
                <w:szCs w:val="21"/>
              </w:rPr>
              <w:t>灯笼村等</w:t>
            </w:r>
          </w:p>
        </w:tc>
        <w:tc>
          <w:tcPr>
            <w:tcW w:w="516"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-77</w:t>
            </w:r>
          </w:p>
        </w:tc>
        <w:tc>
          <w:tcPr>
            <w:tcW w:w="724" w:type="pct"/>
            <w:shd w:val="clear" w:color="auto" w:fill="auto"/>
            <w:vAlign w:val="center"/>
          </w:tcPr>
          <w:p>
            <w:pPr>
              <w:pStyle w:val="294"/>
              <w:rPr>
                <w:rFonts w:eastAsia="等线"/>
                <w:color w:val="000000" w:themeColor="text1"/>
                <w:szCs w:val="21"/>
                <w14:textFill>
                  <w14:solidFill>
                    <w14:schemeClr w14:val="tx1"/>
                  </w14:solidFill>
                </w14:textFill>
              </w:rPr>
            </w:pPr>
            <w:r>
              <w:rPr>
                <w:rFonts w:hint="eastAsia" w:eastAsia="等线"/>
                <w:color w:val="000000" w:themeColor="text1"/>
                <w:szCs w:val="21"/>
                <w14:textFill>
                  <w14:solidFill>
                    <w14:schemeClr w14:val="tx1"/>
                  </w14:solidFill>
                </w14:textFill>
              </w:rPr>
              <w:t>1897</w:t>
            </w:r>
          </w:p>
        </w:tc>
        <w:tc>
          <w:tcPr>
            <w:tcW w:w="1241" w:type="pct"/>
            <w:shd w:val="clear" w:color="auto" w:fill="auto"/>
            <w:vAlign w:val="center"/>
          </w:tcPr>
          <w:p>
            <w:pPr>
              <w:pStyle w:val="294"/>
              <w:rPr>
                <w:rFonts w:eastAsia="等线"/>
                <w:color w:val="000000" w:themeColor="text1"/>
                <w:szCs w:val="21"/>
                <w14:textFill>
                  <w14:solidFill>
                    <w14:schemeClr w14:val="tx1"/>
                  </w14:solidFill>
                </w14:textFill>
              </w:rPr>
            </w:pPr>
            <w:r>
              <w:rPr>
                <w:rFonts w:eastAsia="等线"/>
                <w:color w:val="000000" w:themeColor="text1"/>
                <w:szCs w:val="21"/>
                <w14:textFill>
                  <w14:solidFill>
                    <w14:schemeClr w14:val="tx1"/>
                  </w14:solidFill>
                </w14:textFill>
              </w:rPr>
              <w:t>0.00E+00|1</w:t>
            </w:r>
            <w:r>
              <w:rPr>
                <w:rFonts w:hint="eastAsia" w:eastAsia="等线"/>
                <w:color w:val="000000" w:themeColor="text1"/>
                <w:szCs w:val="21"/>
                <w14:textFill>
                  <w14:solidFill>
                    <w14:schemeClr w14:val="tx1"/>
                  </w14:solidFill>
                </w14:textFill>
              </w:rPr>
              <w:t>0</w:t>
            </w:r>
          </w:p>
        </w:tc>
        <w:tc>
          <w:tcPr>
            <w:tcW w:w="866" w:type="pct"/>
            <w:vAlign w:val="center"/>
          </w:tcPr>
          <w:p>
            <w:pPr>
              <w:pStyle w:val="294"/>
              <w:rPr>
                <w:color w:val="000000" w:themeColor="text1"/>
                <w:szCs w:val="21"/>
                <w14:textFill>
                  <w14:solidFill>
                    <w14:schemeClr w14:val="tx1"/>
                  </w14:solidFill>
                </w14:textFill>
              </w:rPr>
            </w:pPr>
            <w:r>
              <w:rPr>
                <w:color w:val="000000" w:themeColor="text1"/>
                <w:szCs w:val="21"/>
                <w14:textFill>
                  <w14:solidFill>
                    <w14:schemeClr w14:val="tx1"/>
                  </w14:solidFill>
                </w14:textFill>
              </w:rPr>
              <w:t>38</w:t>
            </w:r>
          </w:p>
        </w:tc>
      </w:tr>
    </w:tbl>
    <w:p>
      <w:pPr>
        <w:pStyle w:val="92"/>
        <w:keepNext/>
        <w:spacing w:before="120" w:beforeLines="50" w:line="360" w:lineRule="auto"/>
        <w:rPr>
          <w:color w:val="000000" w:themeColor="text1"/>
          <w14:textFill>
            <w14:solidFill>
              <w14:schemeClr w14:val="tx1"/>
            </w14:solidFill>
          </w14:textFill>
        </w:rPr>
      </w:pPr>
      <w:r>
        <w:rPr>
          <w:lang w:eastAsia="zh-CN"/>
        </w:rPr>
        <w:drawing>
          <wp:inline distT="0" distB="0" distL="114300" distR="114300">
            <wp:extent cx="5269865" cy="2662555"/>
            <wp:effectExtent l="0" t="0" r="6985" b="4445"/>
            <wp:docPr id="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2"/>
                    <pic:cNvPicPr>
                      <a:picLocks noChangeAspect="1"/>
                    </pic:cNvPicPr>
                  </pic:nvPicPr>
                  <pic:blipFill>
                    <a:blip r:embed="rId101"/>
                    <a:stretch>
                      <a:fillRect/>
                    </a:stretch>
                  </pic:blipFill>
                  <pic:spPr>
                    <a:xfrm>
                      <a:off x="0" y="0"/>
                      <a:ext cx="5269865" cy="2662555"/>
                    </a:xfrm>
                    <a:prstGeom prst="rect">
                      <a:avLst/>
                    </a:prstGeom>
                    <a:noFill/>
                    <a:ln>
                      <a:noFill/>
                    </a:ln>
                  </pic:spPr>
                </pic:pic>
              </a:graphicData>
            </a:graphic>
          </wp:inline>
        </w:drawing>
      </w:r>
    </w:p>
    <w:p>
      <w:pPr>
        <w:pStyle w:val="161"/>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STYLEREF 2 \s</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SEQ 图 \* ARABIC \s 2</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井喷事故时周边敏感点</w:t>
      </w:r>
      <w:r>
        <w:rPr>
          <w:rFonts w:hint="eastAsia"/>
          <w:color w:val="000000" w:themeColor="text1"/>
          <w14:textFill>
            <w14:solidFill>
              <w14:schemeClr w14:val="tx1"/>
            </w14:solidFill>
          </w14:textFill>
        </w:rPr>
        <w:t>H2S浓度-</w:t>
      </w:r>
      <w:r>
        <w:rPr>
          <w:color w:val="000000" w:themeColor="text1"/>
          <w14:textFill>
            <w14:solidFill>
              <w14:schemeClr w14:val="tx1"/>
            </w14:solidFill>
          </w14:textFill>
        </w:rPr>
        <w:t>时间曲线</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预测结果分析：发生井喷时，以井口为源点，H</w:t>
      </w:r>
      <w:r>
        <w:rPr>
          <w:rFonts w:ascii="Times New Roman" w:hAnsi="Times New Roman"/>
          <w:color w:val="000000" w:themeColor="text1"/>
          <w:vertAlign w:val="subscript"/>
          <w:lang w:eastAsia="zh-CN"/>
          <w14:textFill>
            <w14:solidFill>
              <w14:schemeClr w14:val="tx1"/>
            </w14:solidFill>
          </w14:textFill>
        </w:rPr>
        <w:t>2</w:t>
      </w:r>
      <w:r>
        <w:rPr>
          <w:rFonts w:ascii="Times New Roman" w:hAnsi="Times New Roman"/>
          <w:color w:val="000000" w:themeColor="text1"/>
          <w:lang w:eastAsia="zh-CN"/>
          <w14:textFill>
            <w14:solidFill>
              <w14:schemeClr w14:val="tx1"/>
            </w14:solidFill>
          </w14:textFill>
        </w:rPr>
        <w:t>S扩散后</w:t>
      </w:r>
      <w:r>
        <w:rPr>
          <w:rFonts w:hint="eastAsia" w:ascii="Times New Roman" w:hAnsi="Times New Roman"/>
          <w:color w:val="000000" w:themeColor="text1"/>
          <w:lang w:eastAsia="zh-CN"/>
          <w14:textFill>
            <w14:solidFill>
              <w14:schemeClr w14:val="tx1"/>
            </w14:solidFill>
          </w14:textFill>
        </w:rPr>
        <w:t>，仅黄家岩居民点</w:t>
      </w:r>
      <w:r>
        <w:rPr>
          <w:rFonts w:ascii="Times New Roman" w:hAnsi="Times New Roman"/>
          <w:color w:val="000000" w:themeColor="text1"/>
          <w:lang w:eastAsia="zh-CN"/>
          <w14:textFill>
            <w14:solidFill>
              <w14:schemeClr w14:val="tx1"/>
            </w14:solidFill>
          </w14:textFill>
        </w:rPr>
        <w:t>出现超过毒性终点浓度2的情形，</w:t>
      </w:r>
      <w:r>
        <w:rPr>
          <w:rFonts w:hint="eastAsia" w:ascii="Times New Roman" w:hAnsi="Times New Roman"/>
          <w:color w:val="000000" w:themeColor="text1"/>
          <w:lang w:eastAsia="zh-CN"/>
          <w14:textFill>
            <w14:solidFill>
              <w14:schemeClr w14:val="tx1"/>
            </w14:solidFill>
          </w14:textFill>
        </w:rPr>
        <w:t>该居民点位于事故下风向且</w:t>
      </w:r>
      <w:r>
        <w:rPr>
          <w:rFonts w:ascii="Times New Roman" w:hAnsi="Times New Roman"/>
          <w:color w:val="000000" w:themeColor="text1"/>
          <w:lang w:eastAsia="zh-CN"/>
          <w14:textFill>
            <w14:solidFill>
              <w14:schemeClr w14:val="tx1"/>
            </w14:solidFill>
          </w14:textFill>
        </w:rPr>
        <w:t>距离井口较近</w:t>
      </w:r>
      <w:r>
        <w:rPr>
          <w:rFonts w:hint="eastAsia" w:ascii="Times New Roman" w:hAnsi="Times New Roman"/>
          <w:color w:val="000000" w:themeColor="text1"/>
          <w:lang w:eastAsia="zh-CN"/>
          <w14:textFill>
            <w14:solidFill>
              <w14:schemeClr w14:val="tx1"/>
            </w14:solidFill>
          </w14:textFill>
        </w:rPr>
        <w:t>，</w:t>
      </w:r>
      <w:r>
        <w:rPr>
          <w:rFonts w:ascii="Times New Roman" w:hAnsi="Times New Roman"/>
          <w:color w:val="000000" w:themeColor="text1"/>
          <w:lang w:eastAsia="zh-CN"/>
          <w14:textFill>
            <w14:solidFill>
              <w14:schemeClr w14:val="tx1"/>
            </w14:solidFill>
          </w14:textFill>
        </w:rPr>
        <w:t>超标较严重，故发生风险事故后应重点关注上述区域范围内敏感目标的撤离，同时其他敏感目标也应有序进行撤离。</w:t>
      </w:r>
    </w:p>
    <w:p>
      <w:pPr>
        <w:pStyle w:val="21"/>
        <w:spacing w:before="0"/>
        <w:ind w:left="0" w:firstLine="480"/>
        <w:jc w:val="both"/>
        <w:rPr>
          <w:rFonts w:ascii="Times New Roman" w:hAnsi="Times New Roman"/>
          <w:color w:val="000000" w:themeColor="text1"/>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发生井喷时，以井口为源点，CH</w:t>
      </w:r>
      <w:r>
        <w:rPr>
          <w:rFonts w:ascii="Times New Roman" w:hAnsi="Times New Roman"/>
          <w:color w:val="000000" w:themeColor="text1"/>
          <w:vertAlign w:val="subscript"/>
          <w:lang w:eastAsia="zh-CN"/>
          <w14:textFill>
            <w14:solidFill>
              <w14:schemeClr w14:val="tx1"/>
            </w14:solidFill>
          </w14:textFill>
        </w:rPr>
        <w:t>4</w:t>
      </w:r>
      <w:r>
        <w:rPr>
          <w:rFonts w:ascii="Times New Roman" w:hAnsi="Times New Roman"/>
          <w:color w:val="000000" w:themeColor="text1"/>
          <w:lang w:eastAsia="zh-CN"/>
          <w14:textFill>
            <w14:solidFill>
              <w14:schemeClr w14:val="tx1"/>
            </w14:solidFill>
          </w14:textFill>
        </w:rPr>
        <w:t>扩散后，各敏感点均未出现超标。</w:t>
      </w:r>
    </w:p>
    <w:p>
      <w:pPr>
        <w:widowControl/>
        <w:ind w:firstLine="482"/>
        <w:rPr>
          <w:rFonts w:cs="Times New Roman"/>
          <w:b/>
          <w:color w:val="000000"/>
          <w:szCs w:val="24"/>
        </w:rPr>
      </w:pPr>
      <w:r>
        <w:rPr>
          <w:rFonts w:cs="Times New Roman"/>
          <w:b/>
          <w:color w:val="000000"/>
          <w:szCs w:val="24"/>
        </w:rPr>
        <w:t>（2）钻井过程中地层间气体涌出</w:t>
      </w:r>
    </w:p>
    <w:p>
      <w:pPr>
        <w:ind w:firstLine="480"/>
        <w:rPr>
          <w:rFonts w:cs="Times New Roman"/>
          <w:color w:val="000000"/>
          <w:kern w:val="0"/>
          <w:szCs w:val="24"/>
        </w:rPr>
      </w:pPr>
      <w:r>
        <w:rPr>
          <w:rFonts w:cs="Times New Roman"/>
          <w:color w:val="000000"/>
          <w:kern w:val="0"/>
          <w:szCs w:val="24"/>
        </w:rPr>
        <w:t>根据现阶段钻井情况，所穿地层可能含不连续可燃气体，属于浅层气。钻井过程中地层之间的气体如果出气量较大，则会引发气体溢流。钻井过程中钻遇的层间气体可能含有硫化氢，当钻井设备测量到硫化氢气体后，立刻关闭防喷器，避免气体溢出，如气量较大，则引至放喷池点燃，如气量较小，往钻井液中配加氢氧化钠进行中和，从而消除钻井过程中硫化氢气体的影响。</w:t>
      </w:r>
    </w:p>
    <w:p>
      <w:pPr>
        <w:widowControl/>
        <w:ind w:firstLine="482"/>
        <w:rPr>
          <w:rFonts w:cs="Times New Roman"/>
          <w:b/>
          <w:color w:val="000000"/>
          <w:szCs w:val="24"/>
        </w:rPr>
      </w:pPr>
      <w:r>
        <w:rPr>
          <w:rFonts w:cs="Times New Roman"/>
          <w:b/>
          <w:color w:val="000000"/>
          <w:szCs w:val="24"/>
        </w:rPr>
        <w:t>（3）套管破裂天然气串层泄露进入地表环境风险影响分析</w:t>
      </w:r>
    </w:p>
    <w:p>
      <w:pPr>
        <w:ind w:firstLine="480"/>
        <w:rPr>
          <w:rFonts w:cs="Times New Roman"/>
          <w:color w:val="000000"/>
          <w:kern w:val="0"/>
          <w:szCs w:val="24"/>
        </w:rPr>
      </w:pPr>
      <w:r>
        <w:rPr>
          <w:rFonts w:cs="Times New Roman"/>
          <w:color w:val="000000"/>
          <w:kern w:val="0"/>
          <w:szCs w:val="24"/>
        </w:rPr>
        <w:t>在施工中，出现套管破裂的概率很小。由于地下岩层的阻隔，事故发生后串层泄露进入地表的天然气量、压力、速率比井喷量小很多，影响程度比井喷小很多。</w:t>
      </w:r>
    </w:p>
    <w:p>
      <w:pPr>
        <w:ind w:firstLine="480"/>
        <w:rPr>
          <w:rFonts w:cs="Times New Roman"/>
          <w:color w:val="000000"/>
          <w:kern w:val="0"/>
          <w:szCs w:val="24"/>
        </w:rPr>
      </w:pPr>
      <w:r>
        <w:rPr>
          <w:rFonts w:cs="Times New Roman"/>
          <w:color w:val="000000"/>
          <w:kern w:val="0"/>
          <w:szCs w:val="24"/>
        </w:rPr>
        <w:t>该事故主要控制措施是加强对周边3km范围内居民进行宣传教育，遇到此类事故应立即撤离泄露点，撤离距离根据应急监测确定。企业应在可能的泄露点周边设置便携监测仪，确定浓度，根据浓度确定具体撤离范围。企业同时应对事故后主要是堵漏，通过井口周边放喷管放喷燃烧泄压，减少周边地表泄露点泄露量，对地表泄露点进行点火燃烧。</w:t>
      </w:r>
    </w:p>
    <w:p>
      <w:pPr>
        <w:widowControl/>
        <w:ind w:firstLine="482"/>
        <w:rPr>
          <w:rFonts w:cs="Times New Roman"/>
          <w:b/>
          <w:color w:val="000000"/>
          <w:szCs w:val="24"/>
        </w:rPr>
      </w:pPr>
      <w:bookmarkStart w:id="330" w:name="_Hlk88498378"/>
      <w:r>
        <w:rPr>
          <w:rFonts w:cs="Times New Roman"/>
          <w:b/>
          <w:color w:val="000000"/>
          <w:szCs w:val="24"/>
        </w:rPr>
        <w:t>（4）试采期天然气泄漏风险分析</w:t>
      </w:r>
    </w:p>
    <w:p>
      <w:pPr>
        <w:widowControl/>
        <w:ind w:firstLine="480"/>
        <w:rPr>
          <w:rFonts w:cs="Times New Roman"/>
          <w:bCs/>
          <w:color w:val="000000"/>
          <w:szCs w:val="24"/>
        </w:rPr>
      </w:pPr>
      <w:r>
        <w:rPr>
          <w:rFonts w:cs="Times New Roman"/>
          <w:bCs/>
          <w:color w:val="000000"/>
          <w:szCs w:val="24"/>
        </w:rPr>
        <w:t>由于地面试采工程时在测试放喷定产后配产规模下生产，最大配产规模15×10</w:t>
      </w:r>
      <w:r>
        <w:rPr>
          <w:rFonts w:cs="Times New Roman"/>
          <w:bCs/>
          <w:color w:val="000000"/>
          <w:szCs w:val="24"/>
          <w:vertAlign w:val="superscript"/>
        </w:rPr>
        <w:t>4</w:t>
      </w:r>
      <w:r>
        <w:rPr>
          <w:rFonts w:cs="Times New Roman"/>
          <w:bCs/>
          <w:color w:val="000000"/>
          <w:szCs w:val="24"/>
        </w:rPr>
        <w:t>m</w:t>
      </w:r>
      <w:r>
        <w:rPr>
          <w:rFonts w:cs="Times New Roman"/>
          <w:bCs/>
          <w:color w:val="000000"/>
          <w:szCs w:val="24"/>
          <w:vertAlign w:val="superscript"/>
        </w:rPr>
        <w:t>3</w:t>
      </w:r>
      <w:r>
        <w:rPr>
          <w:rFonts w:cs="Times New Roman"/>
          <w:bCs/>
          <w:color w:val="000000"/>
          <w:szCs w:val="24"/>
        </w:rPr>
        <w:t>/d，地面试采阶段环境风险源较钻井和储层改造施工阶段小，其环境风险影响范围较施工期小，且在站内工艺管道发生断裂泄漏事故后，自控系统控制的截断阀能在2min内截断上游气源，管道两边截断阀（井口截断阀、出站阀组区截断阀）在第一时间响应关闭并启动放散程序，最大泄漏量为管线在线量和2min的天然气流量，天然气泄漏量很小。由于天然气</w:t>
      </w:r>
      <w:r>
        <w:rPr>
          <w:rFonts w:hint="eastAsia" w:cs="Times New Roman"/>
          <w:bCs/>
          <w:color w:val="000000"/>
          <w:szCs w:val="24"/>
          <w:lang w:eastAsia="zh-CN"/>
        </w:rPr>
        <w:t>主要成分</w:t>
      </w:r>
      <w:r>
        <w:rPr>
          <w:rFonts w:cs="Times New Roman"/>
          <w:bCs/>
          <w:color w:val="000000"/>
          <w:szCs w:val="24"/>
        </w:rPr>
        <w:t>为甲烷和硫化氢，稀释扩散较快，对环境、人和动物的影响是局部影响，且井口周边300m范围内无居民分布，发生风险事故后周边居民能及时</w:t>
      </w:r>
      <w:r>
        <w:rPr>
          <w:rFonts w:hint="eastAsia" w:cs="Times New Roman"/>
          <w:bCs/>
          <w:color w:val="000000"/>
          <w:szCs w:val="24"/>
          <w:lang w:eastAsia="zh-CN"/>
        </w:rPr>
        <w:t>地</w:t>
      </w:r>
      <w:r>
        <w:rPr>
          <w:rFonts w:cs="Times New Roman"/>
          <w:bCs/>
          <w:color w:val="000000"/>
          <w:szCs w:val="24"/>
        </w:rPr>
        <w:t>进行疏散。因此，对大气环境影响小。</w:t>
      </w:r>
    </w:p>
    <w:p>
      <w:pPr>
        <w:widowControl/>
        <w:ind w:firstLine="482"/>
        <w:rPr>
          <w:rFonts w:cs="Times New Roman"/>
          <w:b/>
          <w:color w:val="000000"/>
          <w:szCs w:val="24"/>
        </w:rPr>
      </w:pPr>
      <w:r>
        <w:rPr>
          <w:rFonts w:cs="Times New Roman"/>
          <w:b/>
          <w:color w:val="000000"/>
          <w:szCs w:val="24"/>
        </w:rPr>
        <w:t>（5）火灾爆炸产生次生污染物对大气的影响</w:t>
      </w:r>
    </w:p>
    <w:p>
      <w:pPr>
        <w:widowControl/>
        <w:ind w:firstLine="480"/>
        <w:rPr>
          <w:rFonts w:cs="Times New Roman"/>
          <w:bCs/>
          <w:color w:val="000000"/>
          <w:szCs w:val="24"/>
        </w:rPr>
      </w:pPr>
      <w:r>
        <w:rPr>
          <w:rFonts w:cs="Times New Roman"/>
          <w:bCs/>
          <w:color w:val="000000"/>
          <w:szCs w:val="24"/>
        </w:rPr>
        <w:t>钻井过程发生井喷失控后天然气逸散到空气中遇明火发生火灾爆炸或主动点火发生火灾爆炸情形、施工期柴油泄漏后遇明火燃烧情形以及采气过程站场或集输管线发生天然气泄漏后遇明火燃烧等情形产生污染物对大气将产生一定的影响。由于本项目可能发生火灾爆炸的部位位于露天环境，燃烧物质与空气接触较充分，充分燃烧情况下燃烧产物主要为SO</w:t>
      </w:r>
      <w:r>
        <w:rPr>
          <w:rFonts w:cs="Times New Roman"/>
          <w:bCs/>
          <w:color w:val="000000"/>
          <w:szCs w:val="24"/>
          <w:vertAlign w:val="subscript"/>
        </w:rPr>
        <w:t>2</w:t>
      </w:r>
      <w:r>
        <w:rPr>
          <w:rFonts w:cs="Times New Roman"/>
          <w:bCs/>
          <w:color w:val="000000"/>
          <w:szCs w:val="24"/>
        </w:rPr>
        <w:t>、CO</w:t>
      </w:r>
      <w:r>
        <w:rPr>
          <w:rFonts w:cs="Times New Roman"/>
          <w:bCs/>
          <w:color w:val="000000"/>
          <w:szCs w:val="24"/>
          <w:vertAlign w:val="subscript"/>
        </w:rPr>
        <w:t>2</w:t>
      </w:r>
      <w:r>
        <w:rPr>
          <w:rFonts w:cs="Times New Roman"/>
          <w:bCs/>
          <w:color w:val="000000"/>
          <w:szCs w:val="24"/>
        </w:rPr>
        <w:t>，毒性较大的CO的量相对较少。且本项目处于农村环境，周边大气敏感点分散，且环境空气流通性较好，火灾爆炸燃烧产物对大气产生的影响较小。</w:t>
      </w:r>
      <w:bookmarkEnd w:id="330"/>
    </w:p>
    <w:p>
      <w:pPr>
        <w:pStyle w:val="4"/>
        <w:ind w:firstLine="241"/>
      </w:pPr>
      <w:r>
        <w:rPr>
          <w:rFonts w:hint="eastAsia"/>
        </w:rPr>
        <w:t>6.4.2</w:t>
      </w:r>
      <w:r>
        <w:t>地表水环境风险影响分析</w:t>
      </w:r>
      <w:bookmarkEnd w:id="324"/>
    </w:p>
    <w:p>
      <w:pPr>
        <w:widowControl/>
        <w:ind w:firstLine="482"/>
        <w:rPr>
          <w:rFonts w:cs="Times New Roman"/>
          <w:b/>
          <w:color w:val="000000"/>
          <w:szCs w:val="24"/>
        </w:rPr>
      </w:pPr>
      <w:r>
        <w:rPr>
          <w:rFonts w:cs="Times New Roman"/>
          <w:b/>
          <w:color w:val="000000"/>
          <w:szCs w:val="24"/>
        </w:rPr>
        <w:t>（1）废水泄漏或外溢影响分析</w:t>
      </w:r>
    </w:p>
    <w:p>
      <w:pPr>
        <w:widowControl/>
        <w:ind w:firstLine="480"/>
        <w:rPr>
          <w:rFonts w:cs="Times New Roman"/>
          <w:bCs/>
          <w:color w:val="000000"/>
          <w:szCs w:val="24"/>
        </w:rPr>
      </w:pPr>
      <w:r>
        <w:rPr>
          <w:rFonts w:cs="Times New Roman"/>
          <w:bCs/>
          <w:color w:val="000000"/>
          <w:szCs w:val="24"/>
        </w:rPr>
        <w:t>钻井废水、压裂废水、气田水的危害主要表现在：pH值过高过低、可溶性盐含量高，含石油类。泄漏和外溢废水对地表水的影响一般有两种途径，一种是泄漏后直接进入水体；另一种是泄漏于地表，由降雨形成的地表径流将泄漏废水或受污染的土壤一起带入水体造成污染。由于本项目位于森林生态环境与农业生态环境中，周边主要为耕地与林地，项目附近有冲沟等，泄漏的废水可能随着降雨进入地表水，使地表水中的COD、BOD、石油类增高，影响水生生物的生长。</w:t>
      </w:r>
    </w:p>
    <w:p>
      <w:pPr>
        <w:widowControl/>
        <w:ind w:firstLine="480"/>
        <w:rPr>
          <w:rFonts w:cs="Times New Roman"/>
          <w:bCs/>
          <w:color w:val="000000"/>
          <w:szCs w:val="24"/>
        </w:rPr>
      </w:pPr>
      <w:r>
        <w:rPr>
          <w:rFonts w:cs="Times New Roman"/>
          <w:bCs/>
          <w:color w:val="000000"/>
          <w:szCs w:val="24"/>
        </w:rPr>
        <w:t>钻井井场设置清污分流系统，使井场内废水经处理后进入泥浆不落地系统内，同时避免雨水流入废水系统增加负荷，项目高出地面的放喷池集污坑等池壁也可有效避免周边雨水进入废水之中。试采期气田水于火炬分液罐内暂存，火炬分液罐外围设置有采取防渗处理的围堰，也有效防止气田水外溢。因此只要加强管理，完善风险防范措施，发生废水外溢事故的概率较低。此外，工程也有相应的事故应急预案，事故时能及时采取控制措施，确保对地表水环境的影响降至最低限度。</w:t>
      </w:r>
    </w:p>
    <w:p>
      <w:pPr>
        <w:widowControl/>
        <w:ind w:firstLine="480"/>
        <w:rPr>
          <w:rFonts w:cs="Times New Roman"/>
          <w:bCs/>
          <w:color w:val="000000"/>
          <w:szCs w:val="24"/>
        </w:rPr>
      </w:pPr>
      <w:r>
        <w:rPr>
          <w:rFonts w:cs="Times New Roman"/>
          <w:bCs/>
          <w:color w:val="000000"/>
          <w:szCs w:val="24"/>
        </w:rPr>
        <w:t>考虑到初期雨水以及井场内所有储水设备泄露收集处理不及时等极端情况时，集污坑规格不够，废水流出井场，对周围环境造成影响，要求建设单位（尤其如果项目施工在雨季时）应确保集污坑的利用效率，保证井场内废水能有效收集进入泥浆不落地装置或放喷池。建议建设单位适当加大集污坑的规格或者将集污坑改建为隔油池并做好防渗，增大废水储存规格，避免初期雨水控制不好或极端情况对附近水环境的污染，同时也能更加降低污水泄露对外环境（如地下水、耕地）的影响。本次环评要求构建“三级”防控体系：具体如下：</w:t>
      </w:r>
    </w:p>
    <w:p>
      <w:pPr>
        <w:widowControl/>
        <w:ind w:firstLine="480"/>
        <w:rPr>
          <w:rFonts w:cs="Times New Roman"/>
          <w:bCs/>
          <w:color w:val="000000"/>
          <w:szCs w:val="24"/>
        </w:rPr>
      </w:pPr>
      <w:r>
        <w:rPr>
          <w:rFonts w:cs="Times New Roman"/>
          <w:bCs/>
          <w:color w:val="000000"/>
          <w:szCs w:val="24"/>
        </w:rPr>
        <w:t>第一级防控措施是对存放废水和原料的罐池定期检查，确认罐池容量不超过设计容量，并及时清空，确保废水暂存容量足够；</w:t>
      </w:r>
    </w:p>
    <w:p>
      <w:pPr>
        <w:widowControl/>
        <w:ind w:firstLine="480"/>
        <w:rPr>
          <w:rFonts w:cs="Times New Roman"/>
          <w:bCs/>
          <w:color w:val="000000"/>
          <w:szCs w:val="24"/>
        </w:rPr>
      </w:pPr>
      <w:r>
        <w:rPr>
          <w:rFonts w:cs="Times New Roman"/>
          <w:bCs/>
          <w:color w:val="000000"/>
          <w:szCs w:val="24"/>
        </w:rPr>
        <w:t>第二级防控措施是通过对可能发生废水泄露的罐、池区以及作业区等区域修建围堰，避免泄露废水散排进入井场其他区域；</w:t>
      </w:r>
    </w:p>
    <w:p>
      <w:pPr>
        <w:widowControl/>
        <w:ind w:firstLine="480"/>
        <w:rPr>
          <w:rFonts w:cs="Times New Roman"/>
          <w:bCs/>
          <w:color w:val="000000"/>
          <w:szCs w:val="24"/>
        </w:rPr>
      </w:pPr>
      <w:r>
        <w:rPr>
          <w:rFonts w:cs="Times New Roman"/>
          <w:bCs/>
          <w:color w:val="000000"/>
          <w:szCs w:val="24"/>
        </w:rPr>
        <w:t>第三级防控措施是内环沟集污坑、方井、井场四周集水坑等废水汇集处低进高出，同时设置水泵，将废水抽至泥浆不落地区暂存罐或应急罐、放喷池，拦截可能流出井场外的废水，保持内环沟、集污坑、方井、泥浆不落地装置应急罐等常空。</w:t>
      </w:r>
    </w:p>
    <w:p>
      <w:pPr>
        <w:widowControl/>
        <w:ind w:firstLine="480"/>
        <w:rPr>
          <w:rFonts w:cs="Times New Roman"/>
          <w:bCs/>
          <w:color w:val="000000"/>
          <w:szCs w:val="24"/>
        </w:rPr>
      </w:pPr>
      <w:r>
        <w:rPr>
          <w:rFonts w:cs="Times New Roman"/>
          <w:bCs/>
          <w:color w:val="000000"/>
          <w:szCs w:val="24"/>
        </w:rPr>
        <w:t>在废水外溢事故发生，集水坑拦截失效时，在集水坑附近等低洼区域以及外溢口处采用沙包、装土编织袋等拦截措施阻止废水进入外环境，同时保持泥浆不落地区暂存罐常空，通过泵将井场场内外溢废水引流至泥浆不落地区暂存罐或应急罐、放喷池，并及时处理转运。</w:t>
      </w:r>
    </w:p>
    <w:p>
      <w:pPr>
        <w:widowControl/>
        <w:ind w:firstLine="482"/>
        <w:rPr>
          <w:rFonts w:cs="Times New Roman"/>
          <w:b/>
          <w:color w:val="000000"/>
          <w:szCs w:val="24"/>
        </w:rPr>
      </w:pPr>
      <w:r>
        <w:rPr>
          <w:rFonts w:cs="Times New Roman"/>
          <w:b/>
          <w:color w:val="000000"/>
          <w:szCs w:val="24"/>
        </w:rPr>
        <w:t>（2）油类物质的泄漏或外溢</w:t>
      </w:r>
    </w:p>
    <w:p>
      <w:pPr>
        <w:widowControl/>
        <w:ind w:firstLine="480"/>
        <w:rPr>
          <w:rFonts w:cs="Times New Roman"/>
          <w:bCs/>
          <w:color w:val="000000"/>
          <w:szCs w:val="24"/>
        </w:rPr>
      </w:pPr>
      <w:r>
        <w:rPr>
          <w:rFonts w:cs="Times New Roman"/>
          <w:bCs/>
          <w:color w:val="000000"/>
          <w:szCs w:val="24"/>
        </w:rPr>
        <w:t>柴油及废油泄漏对地表水的影响一般有两种途径，一种是泄漏后直接进入水体；另一种是柴油或废油泄漏于地表，由降雨形成的地表径流将受污染的土壤一起带入水体造成污染。由于本项目位于农业生态环境中，主要为耕地和林地，项目附近有冲沟等，泄漏的柴油或废油可能随着降雨进入地表水，将产生如下危害：表层油在地表水体中可大大降低水体及动植物对氧的摄取，能引起某些生物死亡率的增加。因此，加强管理尽量杜绝风险事故发生是控制污染的主要手段，应加强对储油罐和废油罐的检查，以减少事故的发生。</w:t>
      </w:r>
      <w:r>
        <w:rPr>
          <w:rFonts w:cs="Times New Roman"/>
          <w:color w:val="000000"/>
          <w:kern w:val="0"/>
          <w:szCs w:val="24"/>
        </w:rPr>
        <w:t>钻井施工期油罐布置在井场外地势较高处，风险影响主要是柴油罐区的火灾爆炸。钻井期油罐设置在基础上，基础周边设置围栏、收油沟以及集污坑。油罐密闭，柴油发生大量泄露的几率很小，一般情况管道阀门泄露，少量跑冒漏滴均收集在集污坑内，可有效防止污染。钻井施工期设置废油桶集中收集暂存于泥浆不落地装置区临时堆放区内，钻井队综合利用或交由有资质的单位处理，废油在施工生产过程中随时利用，废油暂存量小，废油发生泄露并进入外环境的可能性很小。废油在生产过程中随时利用，废油暂存量小，废油发生泄露并进入外环境的可能性很小。</w:t>
      </w:r>
    </w:p>
    <w:p>
      <w:pPr>
        <w:widowControl/>
        <w:ind w:firstLine="480"/>
        <w:rPr>
          <w:rFonts w:cs="Times New Roman"/>
          <w:bCs/>
          <w:color w:val="000000"/>
          <w:szCs w:val="24"/>
        </w:rPr>
      </w:pPr>
      <w:r>
        <w:rPr>
          <w:rFonts w:cs="Times New Roman"/>
          <w:bCs/>
          <w:color w:val="000000"/>
          <w:szCs w:val="24"/>
        </w:rPr>
        <w:t>尽管项目在钻井期存在对地表水环境产生影响的风险因素，但项目有完善的QHSE管理体系，以及有效的风险防范措施，发生事故的概率较低。此外，工程也有相应的事故应急预案，事故时能及时采取控制措施，确保对地表水环境的影响降至最低限度。</w:t>
      </w:r>
    </w:p>
    <w:p>
      <w:pPr>
        <w:widowControl/>
        <w:ind w:firstLine="482"/>
        <w:rPr>
          <w:rFonts w:cs="Times New Roman"/>
          <w:b/>
          <w:color w:val="000000"/>
          <w:szCs w:val="24"/>
        </w:rPr>
      </w:pPr>
      <w:r>
        <w:rPr>
          <w:rFonts w:cs="Times New Roman"/>
          <w:b/>
          <w:color w:val="000000"/>
          <w:szCs w:val="24"/>
        </w:rPr>
        <w:t>（3）</w:t>
      </w:r>
      <w:r>
        <w:rPr>
          <w:rFonts w:cs="Times New Roman"/>
          <w:b/>
          <w:bCs/>
          <w:color w:val="000000"/>
          <w:szCs w:val="24"/>
        </w:rPr>
        <w:t>物质外运过程事故影响分析</w:t>
      </w:r>
    </w:p>
    <w:p>
      <w:pPr>
        <w:widowControl/>
        <w:ind w:firstLine="480"/>
        <w:rPr>
          <w:rFonts w:cs="Times New Roman"/>
          <w:bCs/>
          <w:color w:val="000000"/>
          <w:szCs w:val="24"/>
        </w:rPr>
      </w:pPr>
      <w:r>
        <w:rPr>
          <w:rFonts w:cs="Times New Roman"/>
          <w:bCs/>
          <w:color w:val="000000"/>
          <w:szCs w:val="24"/>
        </w:rPr>
        <w:t>本项目液体类物质转运采用罐体装载，固废采用密封袋装运输，罐体为钢板密封罐，发生翻车泄露的机率很小，且合格泥浆、返排液、钻井固废等无有毒有害物质，主要是含有机污染物，罐车输送的量约10t/车，一次运输量不大，不会产生严重后果。根据沿海对盐碱地改造的经验，一块盐碱地经2~3次灌淡水浸泡后，便可种植水稻。达州地区自然降雨量大，受污染的植被、土壤、耕地经过几场雨后便可基本得到恢复。物质转运过程中发生事故污染的可能性极小，在环境所能接受的范围内。</w:t>
      </w:r>
    </w:p>
    <w:p>
      <w:pPr>
        <w:pStyle w:val="4"/>
        <w:ind w:firstLine="241"/>
      </w:pPr>
      <w:bookmarkStart w:id="331" w:name="_Toc120173182"/>
      <w:r>
        <w:rPr>
          <w:rFonts w:hint="eastAsia"/>
        </w:rPr>
        <w:t>6.4.3</w:t>
      </w:r>
      <w:r>
        <w:t>地下水及土壤环境风险影响分析</w:t>
      </w:r>
      <w:bookmarkEnd w:id="331"/>
    </w:p>
    <w:p>
      <w:pPr>
        <w:widowControl/>
        <w:ind w:firstLine="482"/>
        <w:rPr>
          <w:rFonts w:cs="Times New Roman"/>
          <w:b/>
          <w:color w:val="000000"/>
          <w:szCs w:val="24"/>
        </w:rPr>
      </w:pPr>
      <w:r>
        <w:rPr>
          <w:rFonts w:cs="Times New Roman"/>
          <w:b/>
          <w:color w:val="000000"/>
          <w:szCs w:val="24"/>
        </w:rPr>
        <w:t>（1）井漏事故影响分析</w:t>
      </w:r>
    </w:p>
    <w:p>
      <w:pPr>
        <w:ind w:firstLine="480"/>
        <w:rPr>
          <w:rFonts w:cs="Times New Roman"/>
          <w:color w:val="000000"/>
          <w:kern w:val="0"/>
          <w:szCs w:val="24"/>
        </w:rPr>
      </w:pPr>
      <w:r>
        <w:rPr>
          <w:rFonts w:cs="Times New Roman"/>
          <w:color w:val="000000"/>
          <w:kern w:val="0"/>
          <w:szCs w:val="24"/>
        </w:rPr>
        <w:t>井漏是钻井过程中遇到复杂地层，钻井液或其他介质（固井水泥浆等）漏入地层孔隙、裂缝等空间的现象。若漏失地层与含水层之间存在较多的断裂或裂隙，漏失的钻井液就有可能顺着岩层断裂、裂隙进入地下水，造成地下水污染。另外，钻井过程可能破坏含水层结构，影响地下水流场。</w:t>
      </w:r>
    </w:p>
    <w:p>
      <w:pPr>
        <w:widowControl/>
        <w:ind w:firstLine="480"/>
        <w:rPr>
          <w:rFonts w:cs="Times New Roman"/>
          <w:bCs/>
          <w:color w:val="000000"/>
          <w:szCs w:val="24"/>
        </w:rPr>
      </w:pPr>
      <w:r>
        <w:rPr>
          <w:rFonts w:cs="Times New Roman"/>
          <w:color w:val="000000"/>
          <w:kern w:val="0"/>
          <w:szCs w:val="24"/>
        </w:rPr>
        <w:t>本项目钻井过程中对钻井液漏失量进行监控，发现钻井液漏失时，及时堵塞固井，各开完钻后及时下套管水泥固井，能有效避免钻井液漏失对环境造成污染。同时本项目不涉及表层钻井，钻井深度大于4000m，因此井漏事故情景下不会对地下水和土壤造成污染影响。同时采取了事故监控井措施，能及时发现和处理对地下水环境的不利影响，因此对周边地下水影响小。</w:t>
      </w:r>
    </w:p>
    <w:p>
      <w:pPr>
        <w:widowControl/>
        <w:ind w:firstLine="482"/>
        <w:rPr>
          <w:rFonts w:cs="Times New Roman"/>
          <w:b/>
          <w:color w:val="000000"/>
          <w:szCs w:val="24"/>
        </w:rPr>
      </w:pPr>
      <w:r>
        <w:rPr>
          <w:rFonts w:cs="Times New Roman"/>
          <w:b/>
          <w:color w:val="000000"/>
          <w:szCs w:val="24"/>
        </w:rPr>
        <w:t>（2）柴油、废油、钻井液、钻井废水、压裂返排液、气田水等泄漏影响分析</w:t>
      </w:r>
    </w:p>
    <w:p>
      <w:pPr>
        <w:widowControl/>
        <w:ind w:firstLine="480"/>
        <w:rPr>
          <w:rFonts w:cs="Times New Roman"/>
          <w:bCs/>
          <w:color w:val="000000"/>
          <w:szCs w:val="24"/>
        </w:rPr>
      </w:pPr>
      <w:r>
        <w:rPr>
          <w:rFonts w:cs="Times New Roman"/>
          <w:bCs/>
          <w:color w:val="000000"/>
          <w:szCs w:val="24"/>
        </w:rPr>
        <w:t>根据地下水环境影响分析章节预测结果，非正常工况，若放喷池发生渗漏或压裂施工井筒破裂压裂液漏失，污染物会大量进入地下水含水层，污染物扩散，但超标范围内泉点取水口分布较少，因此对地下水环境影响较小。因此钻井平台施工阶段应加强场站内巡查，及时发现池、罐是否存在渗漏等异常，若发现罐体渗漏结合地下水污染超标和影响范围，建议以泄漏处两侧150m至下游划分为分散式水源禁止饮用带，同时设置地下水跟踪监测井，发现异常立即对下游邻近的居民泉点取水口进行取样监测，同时对居民进行告知。</w:t>
      </w:r>
    </w:p>
    <w:p>
      <w:pPr>
        <w:widowControl/>
        <w:ind w:firstLine="480"/>
        <w:rPr>
          <w:rFonts w:cs="Times New Roman"/>
          <w:bCs/>
          <w:color w:val="000000"/>
          <w:szCs w:val="24"/>
        </w:rPr>
      </w:pPr>
      <w:r>
        <w:rPr>
          <w:rFonts w:cs="Times New Roman"/>
          <w:bCs/>
          <w:color w:val="000000"/>
          <w:szCs w:val="24"/>
        </w:rPr>
        <w:t>其他油类物质和钻井液、压裂返排液等均存在罐内，罐和基础地面进行了防渗处理，设置于地面基础上，四周设置了围堰，若发生泄漏能及时发现处理，污染物不会进入地下水或土壤环境，难以对地下水和土壤环境造成不利影响。同时若机械设备有少量油类物质泄漏于井场内，泄漏的柴油和废油在泄漏处呈点状分布，其在壤土中渗透能力不强，与水的溶解又低，且易于发现。因此，泄漏的柴油、废油对当地地下水裂隙水水质影响较弱，对土壤污染仅限于接触油类物质少量井场内部分，污染有限。只要对泄漏的柴油、废油采取有效的回收措施，对浅层地下水和土壤环境不会产生明显影响。</w:t>
      </w:r>
    </w:p>
    <w:p>
      <w:pPr>
        <w:widowControl/>
        <w:ind w:firstLine="482"/>
        <w:rPr>
          <w:rFonts w:cs="Times New Roman"/>
          <w:b/>
          <w:color w:val="000000"/>
          <w:szCs w:val="24"/>
        </w:rPr>
      </w:pPr>
      <w:bookmarkStart w:id="332" w:name="_Hlk88498239"/>
      <w:r>
        <w:rPr>
          <w:rFonts w:cs="Times New Roman"/>
          <w:b/>
          <w:color w:val="000000"/>
          <w:szCs w:val="24"/>
        </w:rPr>
        <w:t>（3）套外返水风险影响</w:t>
      </w:r>
    </w:p>
    <w:p>
      <w:pPr>
        <w:widowControl/>
        <w:ind w:firstLine="480"/>
        <w:rPr>
          <w:rFonts w:cs="Times New Roman"/>
          <w:bCs/>
          <w:color w:val="000000"/>
          <w:szCs w:val="24"/>
        </w:rPr>
      </w:pPr>
      <w:r>
        <w:rPr>
          <w:rFonts w:cs="Times New Roman"/>
          <w:bCs/>
          <w:color w:val="000000"/>
          <w:szCs w:val="24"/>
        </w:rPr>
        <w:t>套管腐蚀损坏的机率很小，固井质量是产生套管内外返水的控制因素。一旦由于固井质量问题而出现套外返水，将对地下水、土壤产生影响。深部高矿化度地层水（主要在3000m以下地层）Cl</w:t>
      </w:r>
      <w:r>
        <w:rPr>
          <w:rFonts w:cs="Times New Roman"/>
          <w:bCs/>
          <w:color w:val="000000"/>
          <w:szCs w:val="24"/>
          <w:vertAlign w:val="superscript"/>
        </w:rPr>
        <w:t>-</w:t>
      </w:r>
      <w:r>
        <w:rPr>
          <w:rFonts w:cs="Times New Roman"/>
          <w:bCs/>
          <w:color w:val="000000"/>
          <w:szCs w:val="24"/>
        </w:rPr>
        <w:t>离子浓度达到19000～23000mg/L，水型以CaCl</w:t>
      </w:r>
      <w:r>
        <w:rPr>
          <w:rFonts w:cs="Times New Roman"/>
          <w:bCs/>
          <w:color w:val="000000"/>
          <w:szCs w:val="24"/>
          <w:vertAlign w:val="subscript"/>
        </w:rPr>
        <w:t>2</w:t>
      </w:r>
      <w:r>
        <w:rPr>
          <w:rFonts w:cs="Times New Roman"/>
          <w:bCs/>
          <w:color w:val="000000"/>
          <w:szCs w:val="24"/>
        </w:rPr>
        <w:t>为主，矿化度8.62～14g/L。沿套管外形成的环状空隙带上窜，在水头压力差的作用下直接进入各含水层，并随地下水的流动和在弥散作用下，在含水层中扩散迁移，将引起盐污染。</w:t>
      </w:r>
    </w:p>
    <w:p>
      <w:pPr>
        <w:widowControl/>
        <w:ind w:firstLine="480"/>
        <w:rPr>
          <w:rFonts w:cs="Times New Roman"/>
          <w:bCs/>
          <w:color w:val="000000"/>
          <w:szCs w:val="24"/>
        </w:rPr>
      </w:pPr>
      <w:r>
        <w:rPr>
          <w:rFonts w:cs="Times New Roman"/>
          <w:bCs/>
          <w:color w:val="000000"/>
          <w:szCs w:val="24"/>
        </w:rPr>
        <w:t>本项目固井水泥返至地面，地层水通过水泥固封断产生的裂纹和缝隙带出地层水的量也不会太大，会对含水层产生一定影响，可能对附近农户山泉水质产生影响，通过目前较好的固井工艺，这种深层地层水窜入表层的机率很小，对地下水和土壤环境影响小。</w:t>
      </w:r>
      <w:bookmarkEnd w:id="332"/>
    </w:p>
    <w:p>
      <w:pPr>
        <w:pStyle w:val="3"/>
      </w:pPr>
      <w:bookmarkStart w:id="333" w:name="5.3.5环境风险防范措施及应急要求"/>
      <w:bookmarkEnd w:id="333"/>
      <w:bookmarkStart w:id="334" w:name="_Toc164667033"/>
      <w:r>
        <w:rPr>
          <w:rFonts w:hint="eastAsia"/>
        </w:rPr>
        <w:t>6.5</w:t>
      </w:r>
      <w:r>
        <w:t>环境风险防范措施</w:t>
      </w:r>
      <w:bookmarkEnd w:id="334"/>
    </w:p>
    <w:p>
      <w:pPr>
        <w:pStyle w:val="4"/>
        <w:ind w:firstLine="241"/>
      </w:pPr>
      <w:bookmarkStart w:id="335" w:name="_Toc120173184"/>
      <w:r>
        <w:rPr>
          <w:rFonts w:hint="eastAsia"/>
        </w:rPr>
        <w:t>6.5.1</w:t>
      </w:r>
      <w:r>
        <w:t>普光气田开发运营多年所采取的风险防范措施及效果</w:t>
      </w:r>
    </w:p>
    <w:p>
      <w:pPr>
        <w:widowControl/>
        <w:ind w:firstLine="480"/>
        <w:rPr>
          <w:rFonts w:cs="Times New Roman"/>
          <w:bCs/>
          <w:color w:val="000000"/>
          <w:szCs w:val="24"/>
        </w:rPr>
      </w:pPr>
      <w:r>
        <w:rPr>
          <w:rFonts w:cs="Times New Roman"/>
          <w:bCs/>
          <w:color w:val="000000"/>
          <w:szCs w:val="24"/>
        </w:rPr>
        <w:t>根据中国石化普光气田开发及川气东送管道工程普光气田开发工程环境风险评价专题报告（2012年）可知，建设单位在历年气田开发生产过程中采取了诸多环保措施，以确保将风险事故降至最低，主要采取了如下措施：</w:t>
      </w:r>
    </w:p>
    <w:p>
      <w:pPr>
        <w:widowControl/>
        <w:ind w:firstLine="480"/>
        <w:rPr>
          <w:rFonts w:cs="Times New Roman"/>
          <w:bCs/>
          <w:color w:val="000000"/>
          <w:szCs w:val="24"/>
        </w:rPr>
      </w:pPr>
      <w:r>
        <w:rPr>
          <w:rFonts w:hint="eastAsia" w:ascii="宋体" w:hAnsi="宋体" w:cs="宋体"/>
          <w:bCs/>
          <w:color w:val="000000"/>
          <w:szCs w:val="24"/>
        </w:rPr>
        <w:t>①</w:t>
      </w:r>
      <w:r>
        <w:rPr>
          <w:rFonts w:cs="Times New Roman"/>
          <w:bCs/>
          <w:color w:val="000000"/>
          <w:szCs w:val="24"/>
        </w:rPr>
        <w:t>严格落实各项环境风险防范措施，细化程序，明确责任</w:t>
      </w:r>
    </w:p>
    <w:p>
      <w:pPr>
        <w:widowControl/>
        <w:ind w:firstLine="480"/>
        <w:rPr>
          <w:rFonts w:cs="Times New Roman"/>
          <w:bCs/>
          <w:color w:val="000000"/>
          <w:szCs w:val="24"/>
        </w:rPr>
      </w:pPr>
      <w:r>
        <w:rPr>
          <w:rFonts w:cs="Times New Roman"/>
          <w:bCs/>
          <w:color w:val="000000"/>
          <w:szCs w:val="24"/>
        </w:rPr>
        <w:t>A、严格落实了冬项环境风险防范措施</w:t>
      </w:r>
    </w:p>
    <w:p>
      <w:pPr>
        <w:widowControl/>
        <w:ind w:firstLine="480"/>
        <w:rPr>
          <w:rFonts w:cs="Times New Roman"/>
          <w:bCs/>
          <w:color w:val="000000"/>
          <w:szCs w:val="24"/>
        </w:rPr>
      </w:pPr>
      <w:r>
        <w:rPr>
          <w:rFonts w:cs="Times New Roman"/>
          <w:bCs/>
          <w:color w:val="000000"/>
          <w:szCs w:val="24"/>
        </w:rPr>
        <w:t>a、采取了高标准的技术措施：采用的工艺技术、管线材质和风险防控措施均是国际最高标准。采用了SCADA、（ESD、F-G）火气监测系统、腐蚀监测、ESD等安全防范措施，风险投资达14.1437亿元。</w:t>
      </w:r>
    </w:p>
    <w:p>
      <w:pPr>
        <w:widowControl/>
        <w:ind w:firstLine="480"/>
        <w:rPr>
          <w:rFonts w:cs="Times New Roman"/>
          <w:bCs/>
          <w:color w:val="000000"/>
          <w:szCs w:val="24"/>
        </w:rPr>
      </w:pPr>
      <w:r>
        <w:rPr>
          <w:rFonts w:cs="Times New Roman"/>
          <w:bCs/>
          <w:color w:val="000000"/>
          <w:szCs w:val="24"/>
        </w:rPr>
        <w:t>b、建立了严格的防范等级：一是采取了目前国际上最高等级的四级防范关断系统，在紧急状态，可对单井、单站、管线、全气田实二紧急关断，采取火妇放空泄乐进行控制保护，有效地杜绝了风险事件的发生，消除了环培事件隐患。二是律成了紧急疏散广播系统建成了紧急疏散广播系统，修建基站6座，安装紧急疏散广播点287个，在每个集气站安装了紧急疏散警报（属防空警报器），声音达123分贝，可覆盖场站周边2km。通过飞信及应急广播系统，及时通知周边村民。在居民密集的地方设置了逃生方向示意图。每个集气站周边有2个以上的紧急集合点。</w:t>
      </w:r>
    </w:p>
    <w:p>
      <w:pPr>
        <w:widowControl/>
        <w:ind w:firstLine="480"/>
        <w:rPr>
          <w:rFonts w:cs="Times New Roman"/>
          <w:bCs/>
          <w:color w:val="000000"/>
          <w:szCs w:val="24"/>
        </w:rPr>
      </w:pPr>
      <w:r>
        <w:rPr>
          <w:rFonts w:cs="Times New Roman"/>
          <w:bCs/>
          <w:color w:val="000000"/>
          <w:szCs w:val="24"/>
        </w:rPr>
        <w:t>c、完善了HSE管理体系：一是集输系统建成火气检测系统（FCS）、腐蚀监测和视频监控系统，在站场、阀室、管线和隧道等部位安装了硫化氢检测仪376个、可燃气体检测仪305个、火焰探测器124个、腐蚀监测仪309个、电指纹监测仪19个、视频摄像头120个是对投产每个站场、管道和每套装置等都进行消气防监护，储备了充足的应急物资和设备，建立了普光气田生态安全监控系统，对区域大气、水质和土壤进行监测。三是按照“一点一事一策一案”的原则，编制了一个总体预案，9类专项预案，122项子预案。其中包括井喷、硫化氢泄漏和水体污染环境风险应急预案。按照投产方案开展不同级别应急演练，对应急指挥系统进行穿行测试，验证了页案的适用性和可操作性，检验了普光气田的应急处置能力和企地双方协同作战能力及组织疏散能力，集气站每周演练一次应急预案不气区每月演练一次，采气厂每季演练一次，企地联动半年一次。</w:t>
      </w:r>
    </w:p>
    <w:p>
      <w:pPr>
        <w:widowControl/>
        <w:ind w:firstLine="480"/>
        <w:rPr>
          <w:rFonts w:cs="Times New Roman"/>
          <w:bCs/>
          <w:color w:val="000000"/>
          <w:szCs w:val="24"/>
        </w:rPr>
      </w:pPr>
      <w:r>
        <w:rPr>
          <w:rFonts w:cs="Times New Roman"/>
          <w:bCs/>
          <w:color w:val="000000"/>
          <w:szCs w:val="24"/>
        </w:rPr>
        <w:t>B、细化了管理程序，明确了责任</w:t>
      </w:r>
    </w:p>
    <w:p>
      <w:pPr>
        <w:widowControl/>
        <w:ind w:firstLine="480"/>
        <w:rPr>
          <w:rFonts w:cs="Times New Roman"/>
          <w:bCs/>
          <w:color w:val="000000"/>
          <w:szCs w:val="24"/>
        </w:rPr>
      </w:pPr>
      <w:r>
        <w:rPr>
          <w:rFonts w:cs="Times New Roman"/>
          <w:bCs/>
          <w:color w:val="000000"/>
          <w:szCs w:val="24"/>
        </w:rPr>
        <w:t>a、编制了140项操作规程。</w:t>
      </w:r>
    </w:p>
    <w:p>
      <w:pPr>
        <w:widowControl/>
        <w:ind w:firstLine="480"/>
        <w:rPr>
          <w:rFonts w:cs="Times New Roman"/>
          <w:bCs/>
          <w:color w:val="000000"/>
          <w:szCs w:val="24"/>
        </w:rPr>
      </w:pPr>
      <w:r>
        <w:rPr>
          <w:rFonts w:cs="Times New Roman"/>
          <w:bCs/>
          <w:color w:val="000000"/>
          <w:szCs w:val="24"/>
        </w:rPr>
        <w:t>b、编制了123项岗位HSE职责。</w:t>
      </w:r>
    </w:p>
    <w:p>
      <w:pPr>
        <w:widowControl/>
        <w:spacing w:before="35"/>
        <w:ind w:left="138" w:firstLine="480"/>
        <w:rPr>
          <w:rFonts w:cs="Times New Roman"/>
          <w:bCs/>
          <w:color w:val="000000"/>
          <w:szCs w:val="24"/>
        </w:rPr>
      </w:pPr>
      <w:r>
        <w:rPr>
          <w:rFonts w:hint="eastAsia" w:ascii="宋体" w:hAnsi="宋体" w:cs="宋体"/>
          <w:bCs/>
          <w:color w:val="000000"/>
          <w:szCs w:val="24"/>
        </w:rPr>
        <w:t>②</w:t>
      </w:r>
      <w:r>
        <w:rPr>
          <w:rFonts w:cs="Times New Roman"/>
          <w:bCs/>
          <w:color w:val="000000"/>
          <w:szCs w:val="24"/>
        </w:rPr>
        <w:t>落实发生井喷失控（或放喷）时5分钟内实施点火、30分钟内紧急疏散伤害浓度范围内居民的措施</w:t>
      </w:r>
    </w:p>
    <w:p>
      <w:pPr>
        <w:widowControl/>
        <w:ind w:firstLine="480"/>
        <w:rPr>
          <w:rFonts w:cs="Times New Roman"/>
          <w:bCs/>
          <w:color w:val="000000"/>
          <w:szCs w:val="24"/>
        </w:rPr>
      </w:pPr>
      <w:r>
        <w:rPr>
          <w:rFonts w:cs="Times New Roman"/>
          <w:bCs/>
          <w:color w:val="000000"/>
          <w:szCs w:val="24"/>
        </w:rPr>
        <w:t>A、已在有关规章制度和应急预案中规定了发生并喷失控（或放喷）时5分钟内实施点火、30分钟内紧急疏散伤害浓度范围内居民的措施。</w:t>
      </w:r>
    </w:p>
    <w:p>
      <w:pPr>
        <w:widowControl/>
        <w:ind w:firstLine="480"/>
        <w:rPr>
          <w:rFonts w:cs="Times New Roman"/>
          <w:bCs/>
          <w:color w:val="000000"/>
          <w:szCs w:val="24"/>
        </w:rPr>
      </w:pPr>
      <w:r>
        <w:rPr>
          <w:rFonts w:cs="Times New Roman"/>
          <w:bCs/>
          <w:color w:val="000000"/>
          <w:szCs w:val="24"/>
        </w:rPr>
        <w:t>a、与北京理工大学联合研制了并喷失控（或放喷）点火枪（火焰喷射器），可按指令立即实施点火。</w:t>
      </w:r>
    </w:p>
    <w:p>
      <w:pPr>
        <w:widowControl/>
        <w:ind w:firstLine="480"/>
        <w:rPr>
          <w:rFonts w:cs="Times New Roman"/>
          <w:bCs/>
          <w:color w:val="000000"/>
          <w:szCs w:val="24"/>
        </w:rPr>
      </w:pPr>
      <w:r>
        <w:rPr>
          <w:rFonts w:cs="Times New Roman"/>
          <w:bCs/>
          <w:color w:val="000000"/>
          <w:szCs w:val="24"/>
        </w:rPr>
        <w:t>b、建立了应急疏散广播系统、紧急疏散警报和飞信通知系统，确保伤害浓度范围内居民得到及时疏散。</w:t>
      </w:r>
    </w:p>
    <w:p>
      <w:pPr>
        <w:widowControl/>
        <w:ind w:firstLine="480"/>
        <w:rPr>
          <w:rFonts w:cs="Times New Roman"/>
          <w:bCs/>
          <w:color w:val="000000"/>
          <w:szCs w:val="24"/>
        </w:rPr>
      </w:pPr>
      <w:r>
        <w:rPr>
          <w:rFonts w:cs="Times New Roman"/>
          <w:bCs/>
          <w:color w:val="000000"/>
          <w:szCs w:val="24"/>
        </w:rPr>
        <w:t>B、</w:t>
      </w:r>
      <w:r>
        <w:rPr>
          <w:rFonts w:hint="eastAsia" w:cs="Times New Roman"/>
          <w:bCs/>
          <w:color w:val="000000"/>
          <w:szCs w:val="24"/>
          <w:lang w:eastAsia="zh-CN"/>
        </w:rPr>
        <w:t>截至</w:t>
      </w:r>
      <w:r>
        <w:rPr>
          <w:rFonts w:cs="Times New Roman"/>
          <w:bCs/>
          <w:color w:val="000000"/>
          <w:szCs w:val="24"/>
        </w:rPr>
        <w:t>2022年普光气钻井工程全部顺利完成的钻井均未发生喷失控事故。</w:t>
      </w:r>
    </w:p>
    <w:p>
      <w:pPr>
        <w:widowControl/>
        <w:spacing w:before="35"/>
        <w:ind w:left="138" w:firstLine="480"/>
        <w:rPr>
          <w:rFonts w:cs="Times New Roman"/>
          <w:bCs/>
          <w:color w:val="000000"/>
          <w:szCs w:val="24"/>
        </w:rPr>
      </w:pPr>
      <w:r>
        <w:rPr>
          <w:rFonts w:hint="eastAsia" w:ascii="宋体" w:hAnsi="宋体" w:cs="宋体"/>
          <w:bCs/>
          <w:color w:val="000000"/>
          <w:szCs w:val="24"/>
        </w:rPr>
        <w:t>③</w:t>
      </w:r>
      <w:r>
        <w:rPr>
          <w:rFonts w:cs="Times New Roman"/>
          <w:bCs/>
          <w:color w:val="000000"/>
          <w:szCs w:val="24"/>
        </w:rPr>
        <w:t>采取加密截断阀、加大管壁厚度、采用抗硫化氢材料、腐蚀在线检测系统等措施，降低气田集气管道风险事故概率</w:t>
      </w:r>
    </w:p>
    <w:p>
      <w:pPr>
        <w:widowControl/>
        <w:spacing w:before="35"/>
        <w:ind w:left="138" w:firstLine="480"/>
        <w:rPr>
          <w:rFonts w:cs="Times New Roman"/>
          <w:bCs/>
          <w:color w:val="000000"/>
          <w:szCs w:val="24"/>
        </w:rPr>
      </w:pPr>
      <w:r>
        <w:rPr>
          <w:rFonts w:cs="Times New Roman"/>
          <w:bCs/>
          <w:color w:val="000000"/>
          <w:szCs w:val="24"/>
        </w:rPr>
        <w:t>A、已在工程设计、安全环保专篇落实，并已按要求完成施工。</w:t>
      </w:r>
    </w:p>
    <w:p>
      <w:pPr>
        <w:widowControl/>
        <w:spacing w:before="35"/>
        <w:ind w:left="138" w:firstLine="480"/>
        <w:rPr>
          <w:rFonts w:cs="Times New Roman"/>
          <w:bCs/>
          <w:color w:val="000000"/>
          <w:szCs w:val="24"/>
        </w:rPr>
      </w:pPr>
      <w:r>
        <w:rPr>
          <w:rFonts w:cs="Times New Roman"/>
          <w:bCs/>
          <w:color w:val="000000"/>
          <w:szCs w:val="24"/>
        </w:rPr>
        <w:t>B、根据每两个BV阀室间管道含硫化氢气体1400m</w:t>
      </w:r>
      <w:r>
        <w:rPr>
          <w:rFonts w:cs="Times New Roman"/>
          <w:bCs/>
          <w:color w:val="000000"/>
          <w:szCs w:val="24"/>
          <w:vertAlign w:val="superscript"/>
        </w:rPr>
        <w:t>3</w:t>
      </w:r>
      <w:r>
        <w:rPr>
          <w:rFonts w:cs="Times New Roman"/>
          <w:bCs/>
          <w:color w:val="000000"/>
          <w:szCs w:val="24"/>
        </w:rPr>
        <w:t>的限值，在普光主体集输管道共设置29座酸气阀室，安装了43台紧急切断阀（液联动球阀），可在管段发生泄漏达至压降速率设定值（0.3Mpa/min）时，自动关断泄漏点上下游阀门，控制泄漏量。在阀室都设置了固定式硫化氢气体检测仪及可燃气体探测仪，可以实现远程监控。</w:t>
      </w:r>
    </w:p>
    <w:p>
      <w:pPr>
        <w:widowControl/>
        <w:spacing w:before="35"/>
        <w:ind w:left="138" w:firstLine="480"/>
        <w:rPr>
          <w:rFonts w:cs="Times New Roman"/>
          <w:bCs/>
          <w:color w:val="000000"/>
          <w:szCs w:val="24"/>
        </w:rPr>
      </w:pPr>
      <w:r>
        <w:rPr>
          <w:rFonts w:cs="Times New Roman"/>
          <w:bCs/>
          <w:color w:val="000000"/>
          <w:szCs w:val="24"/>
        </w:rPr>
        <w:t>C、集气管道采用L360QCS抗硫材质，腐蚀余量为3.2mm，加大了管壁厚度。根据腐蚀监控实测数据，集气站场电阻探针监测的总体平约腐蚀速率为0.0262mm/a、集输管线上冬阀室电指纹（FSM）监测的总体平均腐速率为0.0328mm/a、站场腐蚀挂片监测的总体平均腐蚀速率为0.0329mm/a，总体的平均腐蚀速率低于推荐标准0.076mm/a，在受控范围以内。</w:t>
      </w:r>
    </w:p>
    <w:p>
      <w:pPr>
        <w:widowControl/>
        <w:spacing w:before="35"/>
        <w:ind w:left="138" w:firstLine="480"/>
        <w:rPr>
          <w:rFonts w:cs="Times New Roman"/>
          <w:bCs/>
          <w:color w:val="000000"/>
          <w:szCs w:val="24"/>
        </w:rPr>
      </w:pPr>
      <w:r>
        <w:rPr>
          <w:rFonts w:cs="Times New Roman"/>
          <w:bCs/>
          <w:color w:val="000000"/>
          <w:szCs w:val="24"/>
        </w:rPr>
        <w:t>D、普光集气集输管道采用强制电流阴极保护，共设6座阴极保护站，分别位于集气末站、P301、P304、P202、P102、P104集气站。各阴极保护站设备输出信号及管道沿线保护电位，接入站控室PLC和线路截断阀室RTU，再上传至中控室阴极保护智能监测系统服务器进行数据处理、分析、报警。阴保电位每月检测一次，实测电位在保护电位范围-0.85V~-1.15V之间，保护有效。</w:t>
      </w:r>
    </w:p>
    <w:p>
      <w:pPr>
        <w:widowControl/>
        <w:spacing w:before="35"/>
        <w:ind w:left="138" w:firstLine="480"/>
        <w:rPr>
          <w:rFonts w:cs="Times New Roman"/>
          <w:bCs/>
          <w:color w:val="000000"/>
          <w:szCs w:val="24"/>
        </w:rPr>
      </w:pPr>
      <w:r>
        <w:rPr>
          <w:rFonts w:cs="Times New Roman"/>
          <w:bCs/>
          <w:color w:val="000000"/>
          <w:szCs w:val="24"/>
        </w:rPr>
        <w:t>E、管道外层采用三层PE防腐层处理，内层防腐采用：</w:t>
      </w:r>
    </w:p>
    <w:p>
      <w:pPr>
        <w:widowControl/>
        <w:spacing w:before="35"/>
        <w:ind w:left="138" w:firstLine="480"/>
        <w:rPr>
          <w:rFonts w:cs="Times New Roman"/>
          <w:bCs/>
          <w:color w:val="000000"/>
          <w:szCs w:val="24"/>
        </w:rPr>
      </w:pPr>
      <w:r>
        <w:rPr>
          <w:rFonts w:cs="Times New Roman"/>
          <w:bCs/>
          <w:color w:val="000000"/>
          <w:szCs w:val="24"/>
        </w:rPr>
        <w:t>a、预涂膜缓蚀剂：在系统投产前利用清管器携带油溶性缓蚀剂对站外集输管线内壁进行预涂膜。</w:t>
      </w:r>
    </w:p>
    <w:p>
      <w:pPr>
        <w:widowControl/>
        <w:spacing w:before="35"/>
        <w:ind w:left="138" w:firstLine="480"/>
        <w:rPr>
          <w:rFonts w:cs="Times New Roman"/>
          <w:bCs/>
          <w:color w:val="000000"/>
          <w:szCs w:val="24"/>
        </w:rPr>
      </w:pPr>
      <w:r>
        <w:rPr>
          <w:rFonts w:cs="Times New Roman"/>
          <w:bCs/>
          <w:color w:val="000000"/>
          <w:szCs w:val="24"/>
        </w:rPr>
        <w:t>b、连续加注缓蚀剂：在每口单井和试采站外输进行连续缓蚀剂加注。</w:t>
      </w:r>
    </w:p>
    <w:p>
      <w:pPr>
        <w:widowControl/>
        <w:spacing w:before="35"/>
        <w:ind w:left="138" w:firstLine="480"/>
        <w:rPr>
          <w:rFonts w:cs="Times New Roman"/>
          <w:bCs/>
          <w:color w:val="000000"/>
          <w:szCs w:val="24"/>
        </w:rPr>
      </w:pPr>
      <w:r>
        <w:rPr>
          <w:rFonts w:cs="Times New Roman"/>
          <w:bCs/>
          <w:color w:val="000000"/>
          <w:szCs w:val="24"/>
        </w:rPr>
        <w:t>c、批处理缓蚀剂：为了增强连续加注缓蚀剂的保护效果，结合腐蚀监测的情况，每月采用油溶性缓蚀剂进行1次处理</w:t>
      </w:r>
    </w:p>
    <w:p>
      <w:pPr>
        <w:widowControl/>
        <w:spacing w:before="35"/>
        <w:ind w:left="138" w:firstLine="480"/>
        <w:rPr>
          <w:rFonts w:cs="Times New Roman"/>
          <w:bCs/>
          <w:color w:val="000000"/>
          <w:szCs w:val="24"/>
        </w:rPr>
      </w:pPr>
      <w:r>
        <w:rPr>
          <w:rFonts w:cs="Times New Roman"/>
          <w:bCs/>
          <w:color w:val="000000"/>
          <w:szCs w:val="24"/>
        </w:rPr>
        <w:t>d、管道智能检测：投产前及投产一年内分别进行一次管道智能检测，正常时2-3年做一次。</w:t>
      </w:r>
    </w:p>
    <w:p>
      <w:pPr>
        <w:widowControl/>
        <w:spacing w:before="35"/>
        <w:ind w:left="138" w:firstLine="480"/>
        <w:rPr>
          <w:rFonts w:cs="Times New Roman"/>
          <w:bCs/>
          <w:color w:val="000000"/>
          <w:szCs w:val="24"/>
        </w:rPr>
      </w:pPr>
      <w:r>
        <w:rPr>
          <w:rFonts w:cs="Times New Roman"/>
          <w:bCs/>
          <w:color w:val="000000"/>
          <w:szCs w:val="24"/>
        </w:rPr>
        <w:t>e、站场采用腐蚀挂片（138套）、电阻探针（142套）、线性极化探针（17套）方式，线路管道采用电指纹方法（19套），进行腐蚀监测。余腐钟挂片外的所有在线监测方法测量的数据通过网络传至站控室和中控室，实时在线监测和分析处理数据。通过以上综合措施，掌握腐蚀情况，及时调整缓蚀剂加注量、优化配方及批处理频次。</w:t>
      </w:r>
    </w:p>
    <w:p>
      <w:pPr>
        <w:widowControl/>
        <w:spacing w:before="35"/>
        <w:ind w:left="138" w:firstLine="480"/>
        <w:rPr>
          <w:rFonts w:cs="Times New Roman"/>
          <w:bCs/>
          <w:color w:val="000000"/>
          <w:szCs w:val="24"/>
        </w:rPr>
      </w:pPr>
      <w:r>
        <w:rPr>
          <w:rFonts w:hint="eastAsia" w:ascii="宋体" w:hAnsi="宋体" w:cs="宋体"/>
          <w:bCs/>
          <w:color w:val="000000"/>
          <w:szCs w:val="24"/>
        </w:rPr>
        <w:t>④</w:t>
      </w:r>
      <w:r>
        <w:rPr>
          <w:rFonts w:cs="Times New Roman"/>
          <w:bCs/>
          <w:color w:val="000000"/>
          <w:szCs w:val="24"/>
        </w:rPr>
        <w:t>建立事故应急实时计算机评估系统</w:t>
      </w:r>
    </w:p>
    <w:p>
      <w:pPr>
        <w:widowControl/>
        <w:spacing w:before="35"/>
        <w:ind w:left="138" w:firstLine="480"/>
        <w:rPr>
          <w:rFonts w:cs="Times New Roman"/>
          <w:bCs/>
          <w:color w:val="000000"/>
          <w:szCs w:val="24"/>
        </w:rPr>
      </w:pPr>
      <w:r>
        <w:rPr>
          <w:rFonts w:cs="Times New Roman"/>
          <w:bCs/>
          <w:color w:val="000000"/>
          <w:szCs w:val="24"/>
        </w:rPr>
        <w:t>A、委托中石化西南环境保护技术中心与北京师范大学联合研制了事故应急实时计算机评估系统，该系统不仅能在事故发生时，对环培影响范围和程度进行预警预测，还可针对普光气田生产活动对环境产生的影响进行长期的跟踪监测。该系统安装在普光分公司应急救援中心环境监测站，由监测站进行日常管理和维护。</w:t>
      </w:r>
    </w:p>
    <w:p>
      <w:pPr>
        <w:widowControl/>
        <w:spacing w:before="35"/>
        <w:ind w:left="138" w:firstLine="480"/>
        <w:rPr>
          <w:rFonts w:cs="Times New Roman"/>
          <w:bCs/>
          <w:color w:val="000000"/>
          <w:szCs w:val="24"/>
        </w:rPr>
      </w:pPr>
      <w:r>
        <w:rPr>
          <w:rFonts w:cs="Times New Roman"/>
          <w:bCs/>
          <w:color w:val="000000"/>
          <w:szCs w:val="24"/>
        </w:rPr>
        <w:t>B、与相关院校开展研究，有针对性开展具有普光山区特点和气候特点的评估研究，建立一年四季的典型模型。</w:t>
      </w:r>
    </w:p>
    <w:p>
      <w:pPr>
        <w:widowControl/>
        <w:spacing w:before="35"/>
        <w:ind w:left="138" w:firstLine="480"/>
        <w:rPr>
          <w:rFonts w:cs="Times New Roman"/>
          <w:bCs/>
          <w:color w:val="000000"/>
          <w:szCs w:val="24"/>
        </w:rPr>
      </w:pPr>
      <w:r>
        <w:rPr>
          <w:rFonts w:hint="eastAsia" w:ascii="宋体" w:hAnsi="宋体" w:cs="宋体"/>
          <w:bCs/>
          <w:color w:val="000000"/>
          <w:szCs w:val="24"/>
        </w:rPr>
        <w:t>⑤</w:t>
      </w:r>
      <w:r>
        <w:rPr>
          <w:rFonts w:cs="Times New Roman"/>
          <w:bCs/>
          <w:color w:val="000000"/>
          <w:szCs w:val="24"/>
        </w:rPr>
        <w:t>加强井场气象观测</w:t>
      </w:r>
    </w:p>
    <w:p>
      <w:pPr>
        <w:widowControl/>
        <w:spacing w:before="35"/>
        <w:ind w:left="138" w:firstLine="480"/>
        <w:rPr>
          <w:rFonts w:cs="Times New Roman"/>
          <w:bCs/>
          <w:color w:val="000000"/>
          <w:szCs w:val="24"/>
        </w:rPr>
      </w:pPr>
      <w:r>
        <w:rPr>
          <w:rFonts w:cs="Times New Roman"/>
          <w:bCs/>
          <w:color w:val="000000"/>
          <w:szCs w:val="24"/>
        </w:rPr>
        <w:t>在16座集气站设置了自动气象监测设施，可实时连续监测各集气站气压、湿度、温度、风向、风速等指标，可以实时就地显示及远传至应急救援中心，可在第一时间确定泄漏影响区域。</w:t>
      </w:r>
    </w:p>
    <w:p>
      <w:pPr>
        <w:widowControl/>
        <w:spacing w:before="35"/>
        <w:ind w:left="138" w:firstLine="480"/>
        <w:rPr>
          <w:rFonts w:cs="Times New Roman"/>
          <w:bCs/>
          <w:color w:val="000000"/>
          <w:szCs w:val="24"/>
        </w:rPr>
      </w:pPr>
      <w:r>
        <w:rPr>
          <w:rFonts w:hint="eastAsia" w:ascii="宋体" w:hAnsi="宋体" w:cs="宋体"/>
          <w:bCs/>
          <w:color w:val="000000"/>
          <w:szCs w:val="24"/>
        </w:rPr>
        <w:t>⑥</w:t>
      </w:r>
      <w:r>
        <w:rPr>
          <w:rFonts w:cs="Times New Roman"/>
          <w:bCs/>
          <w:color w:val="000000"/>
          <w:szCs w:val="24"/>
        </w:rPr>
        <w:t>集气站周围300m内、集气管线两侧100m内及半致死浓度范围内居民搬迁</w:t>
      </w:r>
    </w:p>
    <w:p>
      <w:pPr>
        <w:widowControl/>
        <w:spacing w:before="35"/>
        <w:ind w:left="138" w:firstLine="480"/>
        <w:rPr>
          <w:rFonts w:cs="Times New Roman"/>
          <w:bCs/>
          <w:color w:val="000000"/>
          <w:szCs w:val="24"/>
        </w:rPr>
      </w:pPr>
      <w:r>
        <w:rPr>
          <w:rFonts w:cs="Times New Roman"/>
          <w:bCs/>
          <w:color w:val="000000"/>
          <w:szCs w:val="24"/>
        </w:rPr>
        <w:t>A、净化厂周围800m、集气站周围300m、管道两侧100m距离内的居民拆迁安置工作已全部完成。</w:t>
      </w:r>
    </w:p>
    <w:p>
      <w:pPr>
        <w:widowControl/>
        <w:spacing w:before="35"/>
        <w:ind w:left="138" w:firstLine="480"/>
        <w:rPr>
          <w:rFonts w:cs="Times New Roman"/>
          <w:bCs/>
          <w:color w:val="000000"/>
          <w:szCs w:val="24"/>
        </w:rPr>
      </w:pPr>
      <w:r>
        <w:rPr>
          <w:rFonts w:cs="Times New Roman"/>
          <w:bCs/>
          <w:color w:val="000000"/>
          <w:szCs w:val="24"/>
        </w:rPr>
        <w:t>B、半致死浓度范围的居民拆迁安置工作正在抓紧进行。</w:t>
      </w:r>
    </w:p>
    <w:p>
      <w:pPr>
        <w:widowControl/>
        <w:spacing w:before="35"/>
        <w:ind w:left="138" w:firstLine="480"/>
        <w:rPr>
          <w:rFonts w:cs="Times New Roman"/>
          <w:bCs/>
          <w:color w:val="000000"/>
          <w:szCs w:val="24"/>
        </w:rPr>
      </w:pPr>
      <w:r>
        <w:rPr>
          <w:rFonts w:hint="eastAsia" w:ascii="宋体" w:hAnsi="宋体" w:cs="宋体"/>
          <w:bCs/>
          <w:color w:val="000000"/>
          <w:szCs w:val="24"/>
        </w:rPr>
        <w:t>⑦</w:t>
      </w:r>
      <w:r>
        <w:rPr>
          <w:rFonts w:cs="Times New Roman"/>
          <w:bCs/>
          <w:color w:val="000000"/>
          <w:szCs w:val="24"/>
        </w:rPr>
        <w:t>设置井场地面硫化氢检测报警仪</w:t>
      </w:r>
    </w:p>
    <w:p>
      <w:pPr>
        <w:widowControl/>
        <w:spacing w:before="35"/>
        <w:ind w:left="138" w:firstLine="480"/>
        <w:rPr>
          <w:rFonts w:cs="Times New Roman"/>
          <w:bCs/>
          <w:color w:val="000000"/>
          <w:szCs w:val="24"/>
        </w:rPr>
      </w:pPr>
      <w:r>
        <w:rPr>
          <w:rFonts w:cs="Times New Roman"/>
          <w:bCs/>
          <w:color w:val="000000"/>
          <w:szCs w:val="24"/>
        </w:rPr>
        <w:t>A、已安装井场地面硫化氢检测报警仪。</w:t>
      </w:r>
    </w:p>
    <w:p>
      <w:pPr>
        <w:widowControl/>
        <w:spacing w:before="35"/>
        <w:ind w:left="138" w:firstLine="480"/>
        <w:rPr>
          <w:rFonts w:cs="Times New Roman"/>
          <w:bCs/>
          <w:color w:val="000000"/>
          <w:szCs w:val="24"/>
        </w:rPr>
      </w:pPr>
      <w:r>
        <w:rPr>
          <w:rFonts w:cs="Times New Roman"/>
          <w:bCs/>
          <w:color w:val="000000"/>
          <w:szCs w:val="24"/>
        </w:rPr>
        <w:t>a、每个钻井井场设置5台固定式地面硫化氢检测仪；</w:t>
      </w:r>
    </w:p>
    <w:p>
      <w:pPr>
        <w:widowControl/>
        <w:spacing w:before="35"/>
        <w:ind w:left="138" w:firstLine="480"/>
        <w:rPr>
          <w:rFonts w:cs="Times New Roman"/>
          <w:bCs/>
          <w:color w:val="000000"/>
          <w:szCs w:val="24"/>
        </w:rPr>
      </w:pPr>
      <w:r>
        <w:rPr>
          <w:rFonts w:cs="Times New Roman"/>
          <w:bCs/>
          <w:color w:val="000000"/>
          <w:szCs w:val="24"/>
        </w:rPr>
        <w:t>b、每个集气站场设置16~17台固定式地面硫化氢检测仪；</w:t>
      </w:r>
    </w:p>
    <w:p>
      <w:pPr>
        <w:widowControl/>
        <w:spacing w:before="35"/>
        <w:ind w:left="138" w:firstLine="480"/>
        <w:rPr>
          <w:rFonts w:cs="Times New Roman"/>
          <w:bCs/>
          <w:color w:val="000000"/>
          <w:szCs w:val="24"/>
        </w:rPr>
      </w:pPr>
      <w:r>
        <w:rPr>
          <w:rFonts w:cs="Times New Roman"/>
          <w:bCs/>
          <w:color w:val="000000"/>
          <w:szCs w:val="24"/>
        </w:rPr>
        <w:t>c、阀室、隧道安装了68台固定式硫化氢气体检测仪；</w:t>
      </w:r>
    </w:p>
    <w:p>
      <w:pPr>
        <w:widowControl/>
        <w:spacing w:before="35"/>
        <w:ind w:left="138" w:firstLine="480"/>
        <w:rPr>
          <w:rFonts w:cs="Times New Roman"/>
          <w:bCs/>
          <w:color w:val="000000"/>
          <w:szCs w:val="24"/>
        </w:rPr>
      </w:pPr>
      <w:r>
        <w:rPr>
          <w:rFonts w:cs="Times New Roman"/>
          <w:bCs/>
          <w:color w:val="000000"/>
          <w:szCs w:val="24"/>
        </w:rPr>
        <w:t>d、在气站、阀室安装了314台可气体检测仪：在集气站共安装了2台火焰监测器；在每条道内设置了11对开路式红外对射式可燃气体探测器在线探测甲烷气体，在隧道内安装了5对开放空间气体泄漏激光检测器，同时对硫化氢气体、可燃气体进行检测。</w:t>
      </w:r>
    </w:p>
    <w:p>
      <w:pPr>
        <w:widowControl/>
        <w:spacing w:before="35"/>
        <w:ind w:left="138" w:firstLine="480"/>
        <w:rPr>
          <w:rFonts w:cs="Times New Roman"/>
          <w:bCs/>
          <w:color w:val="000000"/>
          <w:szCs w:val="24"/>
        </w:rPr>
      </w:pPr>
      <w:r>
        <w:rPr>
          <w:rFonts w:cs="Times New Roman"/>
          <w:bCs/>
          <w:color w:val="000000"/>
          <w:szCs w:val="24"/>
        </w:rPr>
        <w:t>B、每个站场设置长明灯火炬（双回路控制能实现自动点火），使泄漏的硫化氢气体得到及时燃烧。</w:t>
      </w:r>
    </w:p>
    <w:p>
      <w:pPr>
        <w:widowControl/>
        <w:spacing w:before="35"/>
        <w:ind w:left="138" w:firstLine="480"/>
        <w:rPr>
          <w:rFonts w:cs="Times New Roman"/>
          <w:bCs/>
          <w:color w:val="000000"/>
          <w:szCs w:val="24"/>
        </w:rPr>
      </w:pPr>
      <w:r>
        <w:rPr>
          <w:rFonts w:hint="eastAsia" w:ascii="宋体" w:hAnsi="宋体" w:cs="宋体"/>
          <w:bCs/>
          <w:color w:val="000000"/>
          <w:szCs w:val="24"/>
        </w:rPr>
        <w:t>⑧</w:t>
      </w:r>
      <w:r>
        <w:rPr>
          <w:rFonts w:cs="Times New Roman"/>
          <w:bCs/>
          <w:color w:val="000000"/>
          <w:szCs w:val="24"/>
        </w:rPr>
        <w:t>发生井漏等事故溢出的硫化氢影响周边地表水体和浅层地下水时，及时采取措施，划定饮用水禁止取水范围并通知周边居民，同时采取点火措施。及时做好风险事故的各项补偿措施</w:t>
      </w:r>
    </w:p>
    <w:p>
      <w:pPr>
        <w:widowControl/>
        <w:spacing w:before="35"/>
        <w:ind w:left="138" w:firstLine="480"/>
        <w:rPr>
          <w:rFonts w:cs="Times New Roman"/>
          <w:bCs/>
          <w:color w:val="000000"/>
          <w:szCs w:val="24"/>
        </w:rPr>
      </w:pPr>
      <w:r>
        <w:rPr>
          <w:rFonts w:cs="Times New Roman"/>
          <w:bCs/>
          <w:color w:val="000000"/>
          <w:szCs w:val="24"/>
        </w:rPr>
        <w:t>A、加大表层套管下深。表层套管下深不少于700m，井口与河流、沟谷水平距离小于1000m的井，表层套管下深应低于河床、沟谷底部不少于300m。 以上措施可有效杜绝发生井漏等事故溢出的硫化氢影响周边地表水体和浅层地下水。</w:t>
      </w:r>
    </w:p>
    <w:p>
      <w:pPr>
        <w:widowControl/>
        <w:spacing w:before="35"/>
        <w:ind w:left="138" w:firstLine="480"/>
        <w:rPr>
          <w:rFonts w:cs="Times New Roman"/>
          <w:bCs/>
          <w:color w:val="000000"/>
          <w:szCs w:val="24"/>
        </w:rPr>
      </w:pPr>
      <w:r>
        <w:rPr>
          <w:rFonts w:cs="Times New Roman"/>
          <w:bCs/>
          <w:color w:val="000000"/>
          <w:szCs w:val="24"/>
        </w:rPr>
        <w:t>B、完善井控制度，制定了钻井风险应急预案，配备了井场应急物资储备。</w:t>
      </w:r>
    </w:p>
    <w:p>
      <w:pPr>
        <w:widowControl/>
        <w:spacing w:before="35"/>
        <w:ind w:left="138" w:firstLine="480"/>
        <w:rPr>
          <w:rFonts w:cs="Times New Roman"/>
          <w:bCs/>
          <w:color w:val="000000"/>
          <w:szCs w:val="24"/>
        </w:rPr>
      </w:pPr>
      <w:r>
        <w:rPr>
          <w:rFonts w:cs="Times New Roman"/>
          <w:bCs/>
          <w:color w:val="000000"/>
          <w:szCs w:val="24"/>
        </w:rPr>
        <w:t>C、已完钻的井均未发生井漏等事故。</w:t>
      </w:r>
    </w:p>
    <w:p>
      <w:pPr>
        <w:widowControl/>
        <w:spacing w:before="35"/>
        <w:ind w:left="138" w:firstLine="480"/>
        <w:rPr>
          <w:rFonts w:cs="Times New Roman"/>
          <w:bCs/>
          <w:color w:val="000000"/>
          <w:szCs w:val="24"/>
        </w:rPr>
      </w:pPr>
      <w:r>
        <w:rPr>
          <w:rFonts w:hint="eastAsia" w:ascii="宋体" w:hAnsi="宋体" w:cs="宋体"/>
          <w:bCs/>
          <w:color w:val="000000"/>
          <w:szCs w:val="24"/>
        </w:rPr>
        <w:t>⑨</w:t>
      </w:r>
      <w:r>
        <w:rPr>
          <w:rFonts w:cs="Times New Roman"/>
          <w:bCs/>
          <w:color w:val="000000"/>
          <w:szCs w:val="24"/>
        </w:rPr>
        <w:t>采用电子自动点火火炬放空系统，输气管道及站场采取密闭输送，选用可靠性高的设备</w:t>
      </w:r>
    </w:p>
    <w:p>
      <w:pPr>
        <w:widowControl/>
        <w:spacing w:before="35"/>
        <w:ind w:left="138" w:firstLine="480"/>
        <w:rPr>
          <w:rFonts w:cs="Times New Roman"/>
          <w:bCs/>
          <w:color w:val="000000"/>
          <w:szCs w:val="24"/>
        </w:rPr>
      </w:pPr>
      <w:r>
        <w:rPr>
          <w:rFonts w:cs="Times New Roman"/>
          <w:bCs/>
          <w:color w:val="000000"/>
          <w:szCs w:val="24"/>
        </w:rPr>
        <w:t>A、每一个火炬均设置了长明灯和电子自动点火装置</w:t>
      </w:r>
    </w:p>
    <w:p>
      <w:pPr>
        <w:widowControl/>
        <w:spacing w:before="35"/>
        <w:ind w:left="138" w:firstLine="480"/>
        <w:rPr>
          <w:rFonts w:cs="Times New Roman"/>
          <w:bCs/>
          <w:color w:val="000000"/>
          <w:szCs w:val="24"/>
        </w:rPr>
      </w:pPr>
      <w:r>
        <w:rPr>
          <w:rFonts w:cs="Times New Roman"/>
          <w:bCs/>
          <w:color w:val="000000"/>
          <w:szCs w:val="24"/>
        </w:rPr>
        <w:t xml:space="preserve">B输气管道及站场装置均采取天然气密闭输送。 </w:t>
      </w:r>
    </w:p>
    <w:p>
      <w:pPr>
        <w:widowControl/>
        <w:spacing w:before="35"/>
        <w:ind w:left="138" w:firstLine="480"/>
        <w:rPr>
          <w:rFonts w:cs="Times New Roman"/>
          <w:bCs/>
          <w:color w:val="000000"/>
          <w:szCs w:val="24"/>
        </w:rPr>
      </w:pPr>
      <w:r>
        <w:rPr>
          <w:rFonts w:cs="Times New Roman"/>
          <w:bCs/>
          <w:color w:val="000000"/>
          <w:szCs w:val="24"/>
        </w:rPr>
        <w:t>C、采用加厚高抗硫管材、阴极保护、缓蚀剂加注及批处理涂膜、在线腐蚀监测等高性能设备；采用了先进的SCADA自动控制技术；四级关断技术等可靠性高的技术措施，实现了泄漏及时发现、有效控制。</w:t>
      </w:r>
    </w:p>
    <w:p>
      <w:pPr>
        <w:ind w:firstLine="480"/>
        <w:rPr>
          <w:rFonts w:cs="Times New Roman"/>
        </w:rPr>
      </w:pPr>
      <w:r>
        <w:rPr>
          <w:rFonts w:cs="Times New Roman"/>
          <w:bCs/>
          <w:color w:val="000000"/>
        </w:rPr>
        <w:t>上述环境风险保护措施沿用至今，均未发生过相应的环境风险事故，可认为现行的环境风险防范措施有效可行，本项目将沿用上述的环境风险措施，且在发生环境风险措施后积极采取相应措施，尽量降低风险事故发生的概率和影响。</w:t>
      </w:r>
    </w:p>
    <w:p>
      <w:pPr>
        <w:pStyle w:val="4"/>
        <w:ind w:firstLine="241"/>
      </w:pPr>
      <w:r>
        <w:rPr>
          <w:rFonts w:hint="eastAsia"/>
        </w:rPr>
        <w:t>6.5.2</w:t>
      </w:r>
      <w:r>
        <w:t>钻井过程风险防范措施</w:t>
      </w:r>
      <w:bookmarkEnd w:id="335"/>
    </w:p>
    <w:p>
      <w:pPr>
        <w:widowControl/>
        <w:ind w:firstLine="482"/>
        <w:rPr>
          <w:rFonts w:cs="Times New Roman"/>
          <w:b/>
          <w:color w:val="000000"/>
          <w:szCs w:val="24"/>
        </w:rPr>
      </w:pPr>
      <w:r>
        <w:rPr>
          <w:rFonts w:cs="Times New Roman"/>
          <w:b/>
          <w:color w:val="000000"/>
          <w:szCs w:val="24"/>
        </w:rPr>
        <w:t>（1）施工设计中的防井喷措施</w:t>
      </w:r>
    </w:p>
    <w:p>
      <w:pPr>
        <w:widowControl/>
        <w:ind w:firstLine="480"/>
        <w:rPr>
          <w:rFonts w:cs="Times New Roman"/>
          <w:bCs/>
          <w:color w:val="000000"/>
          <w:szCs w:val="24"/>
        </w:rPr>
      </w:pPr>
      <w:r>
        <w:rPr>
          <w:rFonts w:cs="Times New Roman"/>
          <w:bCs/>
          <w:color w:val="000000"/>
          <w:szCs w:val="24"/>
        </w:rPr>
        <w:t xml:space="preserve">1）选择合理的压井液。新井投产和试油、试气施工应参照钻穿油、气层时钻井泥浆性能，认真选择合理的压井液，避免因压井液性能达不到施工要求而造成井喷污染； </w:t>
      </w:r>
    </w:p>
    <w:p>
      <w:pPr>
        <w:widowControl/>
        <w:ind w:firstLine="480"/>
        <w:rPr>
          <w:rFonts w:cs="Times New Roman"/>
          <w:bCs/>
          <w:color w:val="000000"/>
          <w:szCs w:val="24"/>
        </w:rPr>
      </w:pPr>
      <w:r>
        <w:rPr>
          <w:rFonts w:cs="Times New Roman"/>
          <w:bCs/>
          <w:color w:val="000000"/>
          <w:szCs w:val="24"/>
        </w:rPr>
        <w:t xml:space="preserve">2）选择合理的射孔方式； </w:t>
      </w:r>
    </w:p>
    <w:p>
      <w:pPr>
        <w:widowControl/>
        <w:ind w:firstLine="480"/>
        <w:rPr>
          <w:rFonts w:cs="Times New Roman"/>
          <w:bCs/>
          <w:color w:val="000000"/>
          <w:szCs w:val="24"/>
        </w:rPr>
      </w:pPr>
      <w:r>
        <w:rPr>
          <w:rFonts w:cs="Times New Roman"/>
          <w:bCs/>
          <w:color w:val="000000"/>
          <w:szCs w:val="24"/>
        </w:rPr>
        <w:t xml:space="preserve">3）规定上提钻具的速度，井内下有大直径工具（工具外径超过油层套管内径80%以上）的井，严禁高速起钻，防止因高速起钻引起抽汲作用造成井喷污染； </w:t>
      </w:r>
    </w:p>
    <w:p>
      <w:pPr>
        <w:widowControl/>
        <w:ind w:firstLine="480"/>
        <w:rPr>
          <w:rFonts w:cs="Times New Roman"/>
          <w:bCs/>
          <w:color w:val="000000"/>
          <w:szCs w:val="24"/>
        </w:rPr>
      </w:pPr>
      <w:r>
        <w:rPr>
          <w:rFonts w:cs="Times New Roman"/>
          <w:bCs/>
          <w:color w:val="000000"/>
          <w:szCs w:val="24"/>
        </w:rPr>
        <w:t xml:space="preserve">4）对防喷装置的配备要有明确要求； </w:t>
      </w:r>
    </w:p>
    <w:p>
      <w:pPr>
        <w:widowControl/>
        <w:ind w:firstLine="480"/>
        <w:rPr>
          <w:rFonts w:cs="Times New Roman"/>
          <w:bCs/>
          <w:color w:val="000000"/>
          <w:szCs w:val="24"/>
        </w:rPr>
      </w:pPr>
      <w:r>
        <w:rPr>
          <w:rFonts w:cs="Times New Roman"/>
          <w:bCs/>
          <w:color w:val="000000"/>
          <w:szCs w:val="24"/>
        </w:rPr>
        <w:t xml:space="preserve">5）选择使用有利于防止和控制井喷的井下管柱和工具，以适应突发事故的处理和补救措施的需要。 </w:t>
      </w:r>
    </w:p>
    <w:p>
      <w:pPr>
        <w:ind w:firstLine="482"/>
        <w:rPr>
          <w:rFonts w:cs="Times New Roman"/>
          <w:b/>
          <w:bCs/>
          <w:color w:val="000000"/>
        </w:rPr>
      </w:pPr>
      <w:r>
        <w:rPr>
          <w:rFonts w:cs="Times New Roman"/>
          <w:b/>
          <w:bCs/>
          <w:color w:val="000000"/>
        </w:rPr>
        <w:t>（2）钻井作业中的井喷防范措施</w:t>
      </w:r>
    </w:p>
    <w:p>
      <w:pPr>
        <w:ind w:firstLine="480"/>
        <w:rPr>
          <w:rFonts w:cs="Times New Roman"/>
          <w:color w:val="000000"/>
        </w:rPr>
      </w:pPr>
      <w:r>
        <w:rPr>
          <w:rFonts w:cs="Times New Roman"/>
          <w:color w:val="000000"/>
        </w:rPr>
        <w:t>施工单位应按《石油天然气钻井健康、安全与环境管理体系指南》（SY/T6283-1997）、中国石油天然气集团公司《石油天然气钻井作业健康、安全与环境管理导则》及相关的井控技术标准和规范中的有关规定执行，并针对本工程情况制定具体的可操作的实施方案，主要包括：</w:t>
      </w:r>
    </w:p>
    <w:p>
      <w:pPr>
        <w:ind w:firstLine="480"/>
        <w:rPr>
          <w:rFonts w:cs="Times New Roman"/>
          <w:color w:val="000000"/>
        </w:rPr>
      </w:pPr>
      <w:r>
        <w:rPr>
          <w:rFonts w:cs="Times New Roman"/>
          <w:color w:val="000000"/>
        </w:rPr>
        <w:t>1）开钻前向全队职工、钻井现场的所有工作人员进行地质、工程、钻井液和井控装备等方面的技术交底，并提出具体要求；</w:t>
      </w:r>
    </w:p>
    <w:p>
      <w:pPr>
        <w:ind w:firstLine="480"/>
        <w:rPr>
          <w:rFonts w:cs="Times New Roman"/>
          <w:color w:val="000000"/>
        </w:rPr>
      </w:pPr>
      <w:r>
        <w:rPr>
          <w:rFonts w:cs="Times New Roman"/>
          <w:color w:val="000000"/>
        </w:rPr>
        <w:t>2）严格执行井控工作九项管理制度，落实溢流监测岗位、关井操作岗位和钻井队干部24h值班制度，井控准备工作及应急预案必须经验收合格后，方可钻开油气层；</w:t>
      </w:r>
    </w:p>
    <w:p>
      <w:pPr>
        <w:ind w:firstLine="480"/>
        <w:rPr>
          <w:rFonts w:cs="Times New Roman"/>
          <w:color w:val="000000"/>
        </w:rPr>
      </w:pPr>
      <w:r>
        <w:rPr>
          <w:rFonts w:cs="Times New Roman"/>
          <w:color w:val="000000"/>
        </w:rPr>
        <w:t>3）种井控装备及其它专用工具、消防器材、防爆电路系统配备齐全、运转正常；</w:t>
      </w:r>
    </w:p>
    <w:p>
      <w:pPr>
        <w:ind w:firstLine="480"/>
        <w:rPr>
          <w:rFonts w:cs="Times New Roman"/>
          <w:color w:val="000000"/>
        </w:rPr>
      </w:pPr>
      <w:r>
        <w:rPr>
          <w:rFonts w:cs="Times New Roman"/>
          <w:color w:val="000000"/>
        </w:rPr>
        <w:t>4）每次起钻前必须活动方钻杆上、下旋塞一次，以保证其正常可靠；</w:t>
      </w:r>
    </w:p>
    <w:p>
      <w:pPr>
        <w:ind w:firstLine="480"/>
        <w:rPr>
          <w:rFonts w:cs="Times New Roman"/>
          <w:color w:val="000000"/>
        </w:rPr>
      </w:pPr>
      <w:r>
        <w:rPr>
          <w:rFonts w:cs="Times New Roman"/>
          <w:color w:val="000000"/>
        </w:rPr>
        <w:t>5）气层钻进中，必须在近钻头位置安装钻具回压阀，同时钻台上配备一只与钻具尺寸相符的回压阀，且备有相应的抢接工具，在大门坡道上准备一根防喷单根（钻杆下部有与钻铤扣相符的配合接头）；</w:t>
      </w:r>
    </w:p>
    <w:p>
      <w:pPr>
        <w:ind w:firstLine="480"/>
        <w:rPr>
          <w:rFonts w:cs="Times New Roman"/>
          <w:color w:val="000000"/>
        </w:rPr>
      </w:pPr>
      <w:r>
        <w:rPr>
          <w:rFonts w:cs="Times New Roman"/>
          <w:color w:val="000000"/>
        </w:rPr>
        <w:t>6）按班组进行防喷演习，并达到规定要求；</w:t>
      </w:r>
    </w:p>
    <w:p>
      <w:pPr>
        <w:ind w:firstLine="480"/>
        <w:rPr>
          <w:rFonts w:cs="Times New Roman"/>
          <w:color w:val="000000"/>
        </w:rPr>
      </w:pPr>
      <w:r>
        <w:rPr>
          <w:rFonts w:cs="Times New Roman"/>
          <w:color w:val="000000"/>
        </w:rPr>
        <w:t>7）严格落实坐岗制度，无论钻井还是起下钻，或其它辅助作业，钻井班落实专人坐岗观察钻井液池液面变化和钻井液出口情况，录井人员除了在仪表上观察外，还对钻井液池液面变化和钻井液出口进行定时观察，定时测量进出口钻井液性能，两个岗都必须作好真实准确记录，值班干部必须对上述两个岗位工作情况进行定时和不定时检查，并当班签认；</w:t>
      </w:r>
    </w:p>
    <w:p>
      <w:pPr>
        <w:ind w:firstLine="480"/>
        <w:rPr>
          <w:rFonts w:cs="Times New Roman"/>
          <w:color w:val="000000"/>
        </w:rPr>
      </w:pPr>
      <w:r>
        <w:rPr>
          <w:rFonts w:cs="Times New Roman"/>
          <w:color w:val="000000"/>
        </w:rPr>
        <w:t>8）认真搞好随钻地层压力的监测工作中，发现地层压力异常、溢流、井涌等情况，应及时关井并调整钻井液密度，同时上报有关部门；</w:t>
      </w:r>
    </w:p>
    <w:p>
      <w:pPr>
        <w:ind w:firstLine="480"/>
        <w:rPr>
          <w:rFonts w:cs="Times New Roman"/>
          <w:color w:val="000000"/>
        </w:rPr>
      </w:pPr>
      <w:r>
        <w:rPr>
          <w:rFonts w:cs="Times New Roman"/>
          <w:color w:val="000000"/>
        </w:rPr>
        <w:t>9）严格控制起下钻速度，起钻必须按规定灌满钻井液；</w:t>
      </w:r>
    </w:p>
    <w:p>
      <w:pPr>
        <w:ind w:firstLine="480"/>
        <w:rPr>
          <w:rFonts w:cs="Times New Roman"/>
          <w:color w:val="000000"/>
        </w:rPr>
      </w:pPr>
      <w:r>
        <w:rPr>
          <w:rFonts w:cs="Times New Roman"/>
          <w:color w:val="000000"/>
        </w:rPr>
        <w:t>10）加强井场设备的运行、保养和检查，保证设备的正常运行，设备检修必须按有关规定执行；</w:t>
      </w:r>
    </w:p>
    <w:p>
      <w:pPr>
        <w:ind w:firstLine="480"/>
        <w:rPr>
          <w:rFonts w:cs="Times New Roman"/>
          <w:color w:val="000000"/>
        </w:rPr>
      </w:pPr>
      <w:r>
        <w:rPr>
          <w:rFonts w:cs="Times New Roman"/>
          <w:color w:val="000000"/>
        </w:rPr>
        <w:t>11）钻井中遇到钻速突然加快、放散、井漏、气测及油气水显示异常等情况，应立即停钻观察，如发生溢流要按规定及时发出报警信号，并按正确的关井程序及时关井，关井求压后迅速实施压井作业；</w:t>
      </w:r>
    </w:p>
    <w:p>
      <w:pPr>
        <w:ind w:firstLine="480"/>
        <w:rPr>
          <w:rFonts w:cs="Times New Roman"/>
          <w:color w:val="000000"/>
        </w:rPr>
      </w:pPr>
      <w:r>
        <w:rPr>
          <w:rFonts w:cs="Times New Roman"/>
          <w:color w:val="000000"/>
        </w:rPr>
        <w:t>12）发生溢流后，根据关井压力，尽快在井口、地层和套管安全条件下压井，待井内平稳后才恢复钻井；</w:t>
      </w:r>
    </w:p>
    <w:p>
      <w:pPr>
        <w:ind w:firstLine="480"/>
        <w:rPr>
          <w:rFonts w:cs="Times New Roman"/>
          <w:color w:val="000000"/>
        </w:rPr>
      </w:pPr>
      <w:r>
        <w:rPr>
          <w:rFonts w:cs="Times New Roman"/>
          <w:color w:val="000000"/>
        </w:rPr>
        <w:t>13）关井压力不得超过井口装置的工作压力、套管抗内压强度的80％和地层破裂压力三者中的最小值；</w:t>
      </w:r>
    </w:p>
    <w:p>
      <w:pPr>
        <w:ind w:firstLine="480"/>
        <w:rPr>
          <w:rFonts w:cs="Times New Roman"/>
          <w:color w:val="000000"/>
        </w:rPr>
      </w:pPr>
      <w:r>
        <w:rPr>
          <w:rFonts w:cs="Times New Roman"/>
          <w:color w:val="000000"/>
        </w:rPr>
        <w:t>14）强化员工的爱岗敬业教育，严格执行项操作规程，确保钻井作业过程中不因操作失误导致井喷事故的发生。</w:t>
      </w:r>
    </w:p>
    <w:p>
      <w:pPr>
        <w:ind w:firstLine="482"/>
        <w:rPr>
          <w:rFonts w:cs="Times New Roman"/>
          <w:b/>
          <w:bCs/>
          <w:color w:val="000000"/>
        </w:rPr>
      </w:pPr>
      <w:r>
        <w:rPr>
          <w:rFonts w:cs="Times New Roman"/>
          <w:b/>
          <w:bCs/>
          <w:color w:val="000000"/>
        </w:rPr>
        <w:t>（3）防井喷装置</w:t>
      </w:r>
    </w:p>
    <w:p>
      <w:pPr>
        <w:ind w:firstLine="480"/>
        <w:rPr>
          <w:rFonts w:cs="Times New Roman"/>
          <w:color w:val="000000"/>
        </w:rPr>
      </w:pPr>
      <w:r>
        <w:rPr>
          <w:rFonts w:cs="Times New Roman"/>
          <w:color w:val="000000"/>
        </w:rPr>
        <w:t>1）以半封和全封防喷器为主体的防喷装置，包括高压闸门、自封、四通、套管头、过渡法兰等；</w:t>
      </w:r>
    </w:p>
    <w:p>
      <w:pPr>
        <w:ind w:firstLine="480"/>
        <w:rPr>
          <w:rFonts w:cs="Times New Roman"/>
          <w:color w:val="000000"/>
        </w:rPr>
      </w:pPr>
      <w:r>
        <w:rPr>
          <w:rFonts w:cs="Times New Roman"/>
          <w:color w:val="000000"/>
        </w:rPr>
        <w:t>2）以节流管汇为主体的井控管汇，包括放喷管线、压井管线等；</w:t>
      </w:r>
    </w:p>
    <w:p>
      <w:pPr>
        <w:ind w:firstLine="480"/>
        <w:rPr>
          <w:rFonts w:cs="Times New Roman"/>
          <w:color w:val="000000"/>
        </w:rPr>
      </w:pPr>
      <w:r>
        <w:rPr>
          <w:rFonts w:cs="Times New Roman"/>
          <w:color w:val="000000"/>
        </w:rPr>
        <w:t>3）井下管柱防喷工具，包括钻具、防喷单流阀等；</w:t>
      </w:r>
    </w:p>
    <w:p>
      <w:pPr>
        <w:ind w:firstLine="480"/>
        <w:rPr>
          <w:rFonts w:cs="Times New Roman"/>
          <w:color w:val="000000"/>
        </w:rPr>
      </w:pPr>
      <w:r>
        <w:rPr>
          <w:rFonts w:cs="Times New Roman"/>
          <w:color w:val="000000"/>
        </w:rPr>
        <w:t>4）具有净化、加大密度、原料储备及自动调配、自动灌装等功能的压井液储备系统；</w:t>
      </w:r>
    </w:p>
    <w:p>
      <w:pPr>
        <w:ind w:firstLine="480"/>
        <w:rPr>
          <w:rFonts w:cs="Times New Roman"/>
          <w:color w:val="000000"/>
        </w:rPr>
      </w:pPr>
      <w:r>
        <w:rPr>
          <w:rFonts w:cs="Times New Roman"/>
          <w:color w:val="000000"/>
        </w:rPr>
        <w:t>5）防止井喷失控的专用设备、设施，包括高压自封、不压井起下管柱装置等。</w:t>
      </w:r>
    </w:p>
    <w:p>
      <w:pPr>
        <w:ind w:firstLine="482"/>
        <w:rPr>
          <w:rFonts w:cs="Times New Roman"/>
          <w:b/>
          <w:bCs/>
          <w:color w:val="000000"/>
        </w:rPr>
      </w:pPr>
      <w:bookmarkStart w:id="336" w:name="_Hlk88499419"/>
      <w:r>
        <w:rPr>
          <w:rFonts w:cs="Times New Roman"/>
          <w:b/>
          <w:bCs/>
          <w:color w:val="000000"/>
        </w:rPr>
        <w:t>（4）井喷前期气侵、井涌防范措施</w:t>
      </w:r>
    </w:p>
    <w:p>
      <w:pPr>
        <w:ind w:firstLine="480"/>
        <w:rPr>
          <w:rFonts w:cs="Times New Roman"/>
          <w:color w:val="000000"/>
        </w:rPr>
      </w:pPr>
      <w:r>
        <w:rPr>
          <w:rFonts w:cs="Times New Roman"/>
          <w:color w:val="000000"/>
        </w:rPr>
        <w:t>1）选择合理的压井液。新井投产和试油、试气施工应参照钻穿油、气层时钻井泥浆性能，认真选择合理的压井液，避免因压井液性能达不到施工要求而造成井喷污染；</w:t>
      </w:r>
    </w:p>
    <w:p>
      <w:pPr>
        <w:ind w:firstLine="480"/>
        <w:rPr>
          <w:rFonts w:cs="Times New Roman"/>
          <w:color w:val="000000"/>
        </w:rPr>
      </w:pPr>
      <w:r>
        <w:rPr>
          <w:rFonts w:cs="Times New Roman"/>
          <w:color w:val="000000"/>
        </w:rPr>
        <w:t>2）选择合理的射孔方式；</w:t>
      </w:r>
    </w:p>
    <w:p>
      <w:pPr>
        <w:ind w:firstLine="480"/>
        <w:rPr>
          <w:rFonts w:cs="Times New Roman"/>
          <w:color w:val="000000"/>
        </w:rPr>
      </w:pPr>
      <w:r>
        <w:rPr>
          <w:rFonts w:cs="Times New Roman"/>
          <w:color w:val="000000"/>
        </w:rPr>
        <w:t>3）规定上提钻具的速度。井内下有大直径工具（工具外径超过油层套管内径80%以上）的井，严禁高速起钻，防止因高速起钻引起抽汲作用造成井喷污染；</w:t>
      </w:r>
    </w:p>
    <w:p>
      <w:pPr>
        <w:ind w:firstLine="480"/>
        <w:rPr>
          <w:rFonts w:cs="Times New Roman"/>
          <w:color w:val="000000"/>
        </w:rPr>
      </w:pPr>
      <w:r>
        <w:rPr>
          <w:rFonts w:cs="Times New Roman"/>
          <w:color w:val="000000"/>
        </w:rPr>
        <w:t>4）发生气侵时，及时检查调整钻井液密度，发现井涌时及时关泵压井。</w:t>
      </w:r>
    </w:p>
    <w:p>
      <w:pPr>
        <w:ind w:firstLine="482"/>
        <w:rPr>
          <w:rFonts w:cs="Times New Roman"/>
          <w:b/>
          <w:bCs/>
          <w:color w:val="000000"/>
        </w:rPr>
      </w:pPr>
      <w:r>
        <w:rPr>
          <w:rFonts w:cs="Times New Roman"/>
          <w:b/>
          <w:bCs/>
          <w:color w:val="000000"/>
        </w:rPr>
        <w:t>（5）钻开气层前验收</w:t>
      </w:r>
    </w:p>
    <w:p>
      <w:pPr>
        <w:ind w:firstLine="480"/>
        <w:rPr>
          <w:rFonts w:cs="Times New Roman"/>
          <w:color w:val="000000"/>
        </w:rPr>
      </w:pPr>
      <w:r>
        <w:rPr>
          <w:rFonts w:cs="Times New Roman"/>
          <w:color w:val="000000"/>
        </w:rPr>
        <w:t>钻开气层时极容易发生井下事故从而导致环境污染事故。钻开气层前验收就是在钻开气层前对井队的安全和井控工作进行全面大检查，以消除事故隐患，实现安全生产和清洁生产。</w:t>
      </w:r>
    </w:p>
    <w:p>
      <w:pPr>
        <w:ind w:firstLine="482"/>
        <w:rPr>
          <w:rFonts w:cs="Times New Roman"/>
          <w:b/>
          <w:bCs/>
          <w:color w:val="000000"/>
        </w:rPr>
      </w:pPr>
      <w:r>
        <w:rPr>
          <w:rFonts w:cs="Times New Roman"/>
          <w:b/>
          <w:bCs/>
          <w:color w:val="000000"/>
        </w:rPr>
        <w:t>（6）钻井、完井防腐措施</w:t>
      </w:r>
    </w:p>
    <w:p>
      <w:pPr>
        <w:ind w:firstLine="480"/>
        <w:rPr>
          <w:rFonts w:cs="Times New Roman"/>
          <w:color w:val="000000"/>
        </w:rPr>
      </w:pPr>
      <w:r>
        <w:rPr>
          <w:rFonts w:cs="Times New Roman"/>
          <w:color w:val="000000"/>
        </w:rPr>
        <w:t>应加强油管腐蚀监测，掌握气井腐蚀状况，按井下作业流程检查油管腐蚀情况，记录每口作业井的油管腐蚀情况，根据井油管腐蚀情况进行专门的更换油管修井，以避免油管腐蚀穿孔、断落。</w:t>
      </w:r>
    </w:p>
    <w:p>
      <w:pPr>
        <w:ind w:firstLine="480" w:firstLineChars="0"/>
        <w:rPr>
          <w:rFonts w:cs="Times New Roman"/>
          <w:b/>
          <w:bCs/>
          <w:color w:val="000000"/>
        </w:rPr>
      </w:pPr>
      <w:r>
        <w:rPr>
          <w:rFonts w:cs="Times New Roman"/>
          <w:b/>
          <w:bCs/>
          <w:color w:val="000000"/>
        </w:rPr>
        <w:t>（7）钻井过程中的防硫化氢措施</w:t>
      </w:r>
    </w:p>
    <w:p>
      <w:pPr>
        <w:ind w:firstLine="480"/>
        <w:rPr>
          <w:rFonts w:cs="Times New Roman"/>
          <w:color w:val="000000"/>
        </w:rPr>
      </w:pPr>
      <w:r>
        <w:rPr>
          <w:rFonts w:cs="Times New Roman"/>
          <w:color w:val="000000"/>
        </w:rPr>
        <w:t>本项目三开采用可循环水基微泡钻井液体系，该钻井液体系具有防漏性好、密度低、无需添加额外设备、有利于储层保护等优点。基础配方为以发泡剂VES-1、泡沫增强剂FSA-1为核心，配合其他处理剂形成抗温140</w:t>
      </w:r>
      <w:r>
        <w:rPr>
          <w:rFonts w:hint="eastAsia" w:ascii="宋体" w:hAnsi="宋体" w:cs="宋体"/>
          <w:color w:val="000000"/>
        </w:rPr>
        <w:t>℃</w:t>
      </w:r>
      <w:r>
        <w:rPr>
          <w:rFonts w:cs="Times New Roman"/>
          <w:color w:val="000000"/>
        </w:rPr>
        <w:t>、密度不大于0.95g/cm</w:t>
      </w:r>
      <w:r>
        <w:rPr>
          <w:rFonts w:cs="Times New Roman"/>
          <w:color w:val="000000"/>
          <w:vertAlign w:val="superscript"/>
        </w:rPr>
        <w:t>3</w:t>
      </w:r>
      <w:r>
        <w:rPr>
          <w:rFonts w:cs="Times New Roman"/>
          <w:color w:val="000000"/>
        </w:rPr>
        <w:t>微泡钻井液体系。应用可循环微泡钻井液，“气锁”阻止井浆继续流动，具有“气锁”和“架桥”封堵双重作用，还可以提高地层承压能力,低密度缓解井漏，低摩阻降低泵压，高黏度和高切力阻止井漏，能够解决低压漏失层漏失问题，能满足深井储层专打保护储层要求。与西南工区使用的常规水基钻井液类似，微泡钻井液可以通过提高钻井液pH值，加入除硫剂等方式清除钻井液中可能含有的H</w:t>
      </w:r>
      <w:r>
        <w:rPr>
          <w:rFonts w:cs="Times New Roman"/>
          <w:color w:val="000000"/>
          <w:vertAlign w:val="subscript"/>
        </w:rPr>
        <w:t>2</w:t>
      </w:r>
      <w:r>
        <w:rPr>
          <w:rFonts w:cs="Times New Roman"/>
          <w:color w:val="000000"/>
        </w:rPr>
        <w:t>S，保证施工安全。</w:t>
      </w:r>
    </w:p>
    <w:p>
      <w:pPr>
        <w:pStyle w:val="4"/>
        <w:ind w:firstLine="241"/>
      </w:pPr>
      <w:bookmarkStart w:id="337" w:name="_Toc120173185"/>
      <w:r>
        <w:rPr>
          <w:rFonts w:hint="eastAsia"/>
        </w:rPr>
        <w:t>6.5.3</w:t>
      </w:r>
      <w:r>
        <w:t>废水、油类外溢或泄露等风险防范措施</w:t>
      </w:r>
      <w:bookmarkEnd w:id="337"/>
    </w:p>
    <w:p>
      <w:pPr>
        <w:ind w:firstLine="480"/>
        <w:rPr>
          <w:rFonts w:cs="Times New Roman"/>
          <w:color w:val="000000"/>
        </w:rPr>
      </w:pPr>
      <w:r>
        <w:rPr>
          <w:rFonts w:cs="Times New Roman"/>
          <w:color w:val="000000"/>
        </w:rPr>
        <w:t>钻井期废水收集罐、试采期火炬分液罐通过设置围堰和防渗，放喷池通过加固池壁和防渗，降低垮塌风险；对井场排污沟及时清扫，保证排污沟畅通；集污坑和泥浆不落地装置加强保护管理，泥浆不落地装置设计时向集污坑倾斜，避免少量集水因围堰垮塌外流。由于项目区域地势高差较大，考虑到暴雨等情况下排水问题，建议对集污坑和泥浆不落地装置内集水进行及时清理，及时清掏，适当加大集污坑规格或者适当扩大其容量，确保集污坑有足够的容量，能够对初期雨水及时收集；加大外环沟和集水坑规格，外排沟系统应与周边泄洪沟有效连接，确保雨水能正常排放，不至于淹没井场；建议对井场雨水排放口（集水坑）进行适当扩建，对正常雨水进行隔油沉淀后外排。加强平时管理，保证放喷池、泥浆不落地装置的储罐内有足够空余容积，水位达到池体80%时应外运处理，可有效防止水体污染事故。若池体发生垮塌事故，立即封堵内外环沟与自然沟渠连通处，及时清理池内及排污沟内废水，池底废水清理完后立即重新修建池壁，并进一步加固。试采期站内火炬分液罐安装溢外报警器，以便及时发现外溢情况。</w:t>
      </w:r>
    </w:p>
    <w:p>
      <w:pPr>
        <w:pStyle w:val="4"/>
        <w:ind w:firstLine="241"/>
      </w:pPr>
      <w:bookmarkStart w:id="338" w:name="_Toc120173186"/>
      <w:r>
        <w:rPr>
          <w:rFonts w:hint="eastAsia"/>
        </w:rPr>
        <w:t>6.5.4</w:t>
      </w:r>
      <w:r>
        <w:t>物质外运风险防范措施</w:t>
      </w:r>
      <w:bookmarkEnd w:id="338"/>
    </w:p>
    <w:p>
      <w:pPr>
        <w:ind w:firstLine="480"/>
        <w:rPr>
          <w:rFonts w:cs="Times New Roman"/>
          <w:color w:val="000000"/>
        </w:rPr>
      </w:pPr>
      <w:r>
        <w:rPr>
          <w:rFonts w:cs="Times New Roman"/>
          <w:color w:val="000000"/>
        </w:rPr>
        <w:t>1）废水、钻井固废转运单位在开展运输工作前，应对运输人员进行相关安全环保知识培训，运输车辆、装卸工具必须符合安全环保要求，装卸过程中不得溢出和泄漏。严禁随意倾倒、排放或者向第三方转移废水。</w:t>
      </w:r>
    </w:p>
    <w:p>
      <w:pPr>
        <w:ind w:firstLine="480"/>
        <w:rPr>
          <w:rFonts w:cs="Times New Roman"/>
          <w:color w:val="000000"/>
        </w:rPr>
      </w:pPr>
      <w:r>
        <w:rPr>
          <w:rFonts w:cs="Times New Roman"/>
          <w:color w:val="000000"/>
        </w:rPr>
        <w:t>2）运输前规划运输路线，废水、钻井固废转运过程中应严格按照规定的路线运输到相应的目的地；运输过程中应尽量避开环境敏感区，遇环境敏感区需减速慢行，废水、钻井固废转运应建立交接三联单制度，确保废水运至相应的目的地。</w:t>
      </w:r>
    </w:p>
    <w:p>
      <w:pPr>
        <w:ind w:firstLine="480"/>
        <w:rPr>
          <w:rFonts w:cs="Times New Roman"/>
          <w:color w:val="000000"/>
        </w:rPr>
      </w:pPr>
      <w:r>
        <w:rPr>
          <w:rFonts w:cs="Times New Roman"/>
          <w:color w:val="000000"/>
        </w:rPr>
        <w:t>3）废水、钻井固废转运必须使用密闭的车辆运输，并确保运输车辆车况处于良好状态。</w:t>
      </w:r>
    </w:p>
    <w:p>
      <w:pPr>
        <w:ind w:firstLine="480"/>
        <w:rPr>
          <w:rFonts w:cs="Times New Roman"/>
          <w:color w:val="000000"/>
        </w:rPr>
      </w:pPr>
      <w:r>
        <w:rPr>
          <w:rFonts w:cs="Times New Roman"/>
          <w:color w:val="000000"/>
        </w:rPr>
        <w:t>4）尽量避免雨天和大雾天运转废水。</w:t>
      </w:r>
    </w:p>
    <w:p>
      <w:pPr>
        <w:ind w:firstLine="480"/>
        <w:rPr>
          <w:rFonts w:cs="Times New Roman"/>
          <w:color w:val="000000"/>
        </w:rPr>
      </w:pPr>
      <w:r>
        <w:rPr>
          <w:rFonts w:cs="Times New Roman"/>
          <w:color w:val="000000"/>
        </w:rPr>
        <w:t>5）本工程废水、钻井固废运输由专业单位负责实施，不得自行运输，也不得委托公司外其他单位运输。</w:t>
      </w:r>
    </w:p>
    <w:p>
      <w:pPr>
        <w:ind w:firstLine="480"/>
        <w:rPr>
          <w:rFonts w:cs="Times New Roman"/>
          <w:color w:val="000000"/>
        </w:rPr>
      </w:pPr>
      <w:r>
        <w:rPr>
          <w:rFonts w:cs="Times New Roman"/>
          <w:color w:val="000000"/>
        </w:rPr>
        <w:t>6）承包废水、钻井固废转运的承包商实施车辆登记制度，为每台车辆安装GPS系统，并纳入建设方的GPS监控系统平台，以便随时掌握废水、钻井固废运输车辆位置和行驶路线，确保废水、钻井固废转运至相应的目的地。</w:t>
      </w:r>
    </w:p>
    <w:p>
      <w:pPr>
        <w:ind w:firstLine="480"/>
        <w:rPr>
          <w:rFonts w:cs="Times New Roman"/>
          <w:color w:val="000000"/>
        </w:rPr>
      </w:pPr>
      <w:r>
        <w:rPr>
          <w:rFonts w:cs="Times New Roman"/>
          <w:color w:val="000000"/>
        </w:rPr>
        <w:t>7）废水、钻井固废运输车辆严格执行签认制度。签认单保存期不得少于二年，以便备查。</w:t>
      </w:r>
    </w:p>
    <w:p>
      <w:pPr>
        <w:ind w:firstLine="480"/>
        <w:rPr>
          <w:rFonts w:cs="Times New Roman"/>
          <w:color w:val="000000"/>
        </w:rPr>
      </w:pPr>
      <w:r>
        <w:rPr>
          <w:rFonts w:cs="Times New Roman"/>
          <w:color w:val="000000"/>
        </w:rPr>
        <w:t>8）废水、钻井固废转运单位应做好应急管理工作，做好风险防范识别，编制生产废水、钻井固废运输应急预案，每次废水、钻井固废运输任务都应制定运输方案和应急措施，严禁超速超载，路过环境敏感区需减速慢性，安全驶离，强化运输过程的安全管理，防止因安全事故衍生成环保事故。</w:t>
      </w:r>
    </w:p>
    <w:p>
      <w:pPr>
        <w:ind w:firstLine="480"/>
        <w:rPr>
          <w:rFonts w:cs="Times New Roman"/>
          <w:color w:val="000000"/>
        </w:rPr>
      </w:pPr>
      <w:r>
        <w:rPr>
          <w:rFonts w:cs="Times New Roman"/>
          <w:color w:val="000000"/>
        </w:rPr>
        <w:t>9）废水、钻井固废产生单位和废水、钻井固废转运单位应建立健全管理制度和办法，加强与地方相关部门的联系和协调。废水运输过程中，废水、钻井固废产生单位、承运单位应做好相关记录，建立相关台账。在发生事故后应及时通报当地环保部门，并积极配合环保部门抢险。确保安全通过，同时要注意清洁运输，防止废水、钻井固废泄漏。</w:t>
      </w:r>
    </w:p>
    <w:p>
      <w:pPr>
        <w:pStyle w:val="4"/>
        <w:ind w:firstLine="241"/>
      </w:pPr>
      <w:bookmarkStart w:id="339" w:name="_Toc120173187"/>
      <w:r>
        <w:rPr>
          <w:rFonts w:hint="eastAsia"/>
        </w:rPr>
        <w:t>6.5.5</w:t>
      </w:r>
      <w:r>
        <w:t>井漏防范措施</w:t>
      </w:r>
      <w:bookmarkEnd w:id="339"/>
    </w:p>
    <w:p>
      <w:pPr>
        <w:ind w:firstLine="480"/>
        <w:rPr>
          <w:rFonts w:cs="Times New Roman"/>
          <w:color w:val="000000"/>
        </w:rPr>
      </w:pPr>
      <w:r>
        <w:rPr>
          <w:rFonts w:cs="Times New Roman"/>
        </w:rPr>
        <w:t>本项目不涉及浅层钻井，钻井深度大于4000m，即使发生井漏事故后仍不会对浅层地下水造成污染影响</w:t>
      </w:r>
      <w:r>
        <w:rPr>
          <w:rFonts w:cs="Times New Roman"/>
          <w:color w:val="000000"/>
        </w:rPr>
        <w:t>。从钻井工艺上优化尽可能的减少井漏事故对当地地下水环境的影响，在钻遇地下溶洞等不良地质时，漏失仅引起地下水浊度等物理指标变化，且工程上会采取快速钻井快速下管的施工工艺，因此对地下水尤其是对地下水饮用水源或泉点取水口影响不大，尽管如此，仍提出如下预防和应急措施：</w:t>
      </w:r>
    </w:p>
    <w:p>
      <w:pPr>
        <w:ind w:firstLine="480"/>
        <w:rPr>
          <w:rFonts w:cs="Times New Roman"/>
          <w:color w:val="000000"/>
        </w:rPr>
      </w:pPr>
      <w:r>
        <w:rPr>
          <w:rFonts w:cs="Times New Roman"/>
          <w:color w:val="000000"/>
        </w:rPr>
        <w:t>1）井场井站项目在施工建设前应充分研究地质设计资料和钻井等，必要时应采取钻探等方法进行调查分析，查明项目所在地的地下水分布情况、埋藏深度及岩溶发育情况等，并在此基础上优化钻井施工工艺、泥浆体系等，对钻井过程中可能发生的泥浆漏失的情况，应有所预见。</w:t>
      </w:r>
    </w:p>
    <w:p>
      <w:pPr>
        <w:ind w:firstLine="480"/>
        <w:rPr>
          <w:rFonts w:cs="Times New Roman"/>
          <w:color w:val="000000"/>
        </w:rPr>
      </w:pPr>
      <w:r>
        <w:rPr>
          <w:rFonts w:cs="Times New Roman"/>
          <w:color w:val="000000"/>
        </w:rPr>
        <w:t>2）采用强钻方式快速钻穿漏失层达到固井层位，针对这种情况应选用合理泥浆密度，实现近平衡压力钻井，降低泥浆环空压耗，降低泥浆激动压力，从而降低井筒中泥浆动压力，减小泥浆漏失量。</w:t>
      </w:r>
    </w:p>
    <w:p>
      <w:pPr>
        <w:ind w:firstLine="480"/>
        <w:rPr>
          <w:rFonts w:cs="Times New Roman"/>
          <w:color w:val="000000"/>
        </w:rPr>
      </w:pPr>
      <w:r>
        <w:rPr>
          <w:rFonts w:cs="Times New Roman"/>
          <w:color w:val="000000"/>
        </w:rPr>
        <w:t>3）对钻井体系进行实时监控，并配备足够的堵漏材料，一旦发现井漏，立即采取堵漏措施，在压裂过程亦需监控压裂液的漏失情况，以防止压裂液的扩散污染。</w:t>
      </w:r>
    </w:p>
    <w:p>
      <w:pPr>
        <w:ind w:firstLine="480"/>
        <w:rPr>
          <w:rFonts w:cs="Times New Roman"/>
          <w:color w:val="000000"/>
        </w:rPr>
      </w:pPr>
      <w:r>
        <w:rPr>
          <w:rFonts w:cs="Times New Roman"/>
          <w:color w:val="000000"/>
        </w:rPr>
        <w:t>4）若发现地下水受到污染，立即告知村民，定期进行监测，直至污染影响消失。</w:t>
      </w:r>
    </w:p>
    <w:bookmarkEnd w:id="336"/>
    <w:p>
      <w:pPr>
        <w:pStyle w:val="4"/>
        <w:ind w:firstLine="241"/>
      </w:pPr>
      <w:bookmarkStart w:id="340" w:name="_Toc120173188"/>
      <w:r>
        <w:rPr>
          <w:rFonts w:hint="eastAsia"/>
        </w:rPr>
        <w:t>6.5.6</w:t>
      </w:r>
      <w:r>
        <w:t>套外返水事故防范</w:t>
      </w:r>
      <w:bookmarkEnd w:id="340"/>
    </w:p>
    <w:p>
      <w:pPr>
        <w:ind w:firstLine="480"/>
        <w:rPr>
          <w:rFonts w:cs="Times New Roman"/>
          <w:color w:val="000000"/>
        </w:rPr>
      </w:pPr>
      <w:r>
        <w:rPr>
          <w:rFonts w:cs="Times New Roman"/>
          <w:color w:val="000000"/>
        </w:rPr>
        <w:t>设计通过固井、水泥返至地面是防止套外返水的有效措施。固井质量的好坏是产生套管内外返水的控制因素。</w:t>
      </w:r>
    </w:p>
    <w:p>
      <w:pPr>
        <w:ind w:firstLine="480"/>
        <w:rPr>
          <w:rFonts w:cs="Times New Roman"/>
          <w:color w:val="000000"/>
        </w:rPr>
      </w:pPr>
      <w:r>
        <w:rPr>
          <w:rFonts w:cs="Times New Roman"/>
          <w:color w:val="000000"/>
        </w:rPr>
        <w:t>施工单位应严格按照钻井行业固井作业规范进行，确保固井质量，避免和减少出现固井裂纹、缝隙、窜槽。加强套管的防腐，防止在运输、下套管，作业时对外表面防护层的磨损及套管与钻柱之间的内磨损。套管是油气与地下水隔离的屏障，要防止腐蚀和破损。</w:t>
      </w:r>
    </w:p>
    <w:p>
      <w:pPr>
        <w:pStyle w:val="4"/>
        <w:ind w:firstLine="241"/>
      </w:pPr>
      <w:bookmarkStart w:id="341" w:name="_Toc120173189"/>
      <w:r>
        <w:rPr>
          <w:rFonts w:hint="eastAsia"/>
        </w:rPr>
        <w:t>6.5.7</w:t>
      </w:r>
      <w:r>
        <w:t>油类使用、储运过程中的风险防范措施</w:t>
      </w:r>
      <w:bookmarkEnd w:id="341"/>
    </w:p>
    <w:p>
      <w:pPr>
        <w:ind w:firstLine="480"/>
        <w:rPr>
          <w:rFonts w:cs="Times New Roman"/>
          <w:color w:val="000000"/>
        </w:rPr>
      </w:pPr>
      <w:r>
        <w:rPr>
          <w:rFonts w:cs="Times New Roman"/>
          <w:color w:val="000000"/>
        </w:rPr>
        <w:t>（1）提高柴油危险性的认识。从柴油的燃烧爆炸危险性分析可以看出，正常条件下，如炎热干燥的天气、附近存在火源、工作中违章操作、油库的安全设备、设施配备不合理或管理使用不当等，都有可能将柴油引燃、引爆。</w:t>
      </w:r>
    </w:p>
    <w:p>
      <w:pPr>
        <w:ind w:firstLine="480"/>
        <w:rPr>
          <w:rFonts w:cs="Times New Roman"/>
          <w:color w:val="000000"/>
        </w:rPr>
      </w:pPr>
      <w:r>
        <w:rPr>
          <w:rFonts w:cs="Times New Roman"/>
          <w:color w:val="000000"/>
        </w:rPr>
        <w:t>（2）加强对柴油和废油的储存管理，应采取减少油品蒸发、防止形成爆炸性油品混合物的一次防护措施。工程采用柴油罐对柴油进行储存，确保呼吸阀、测量孔、接地装置等附件完整可靠，防止油气的产生和积聚。油罐区均设置有围堰，可防止油罐破损泄露的柴油污染地表土壤、地表水等。油罐区使用前底部及墙体内侧采用三油两布（沥青、玻璃纤维布）作防渗处理。油桶选择完好无损的油桶，置于防渗区，保持盖子紧盖，及时综合利用。</w:t>
      </w:r>
    </w:p>
    <w:p>
      <w:pPr>
        <w:ind w:firstLine="480"/>
        <w:rPr>
          <w:rFonts w:cs="Times New Roman"/>
          <w:color w:val="000000"/>
        </w:rPr>
      </w:pPr>
      <w:r>
        <w:rPr>
          <w:rFonts w:cs="Times New Roman"/>
          <w:color w:val="000000"/>
        </w:rPr>
        <w:t>（3）按照危险物品贮存场地相关要求，对柴油和废油储存和使用场所设置标识标牌。</w:t>
      </w:r>
    </w:p>
    <w:p>
      <w:pPr>
        <w:ind w:firstLine="480"/>
        <w:rPr>
          <w:rFonts w:cs="Times New Roman"/>
          <w:color w:val="000000"/>
        </w:rPr>
      </w:pPr>
      <w:r>
        <w:rPr>
          <w:rFonts w:cs="Times New Roman"/>
          <w:color w:val="000000"/>
        </w:rPr>
        <w:t>（4）柴油储存和使用场所要设置在通风条件较好的地势较高处，设置机械排风系统。柴油储存和使用场所内的通风、照明、通信、控制等电气设备的选型、安装、电力线路敷设等，必须符合现行国家标准《爆炸和火灾危险环境电力装置设计规范》的规定。加强油罐、油桶的管理及安全检查，防止发生结构安全事故引起重大泄露。</w:t>
      </w:r>
    </w:p>
    <w:p>
      <w:pPr>
        <w:ind w:firstLine="480"/>
        <w:rPr>
          <w:rFonts w:cs="Times New Roman"/>
        </w:rPr>
      </w:pPr>
      <w:r>
        <w:rPr>
          <w:rFonts w:cs="Times New Roman"/>
        </w:rPr>
        <w:t>（5）盐酸罐四周修建了专门的截流沟，且盐酸采用玻璃钢罐盛装，地面采用防渗处理。</w:t>
      </w:r>
      <w:r>
        <w:rPr>
          <w:rFonts w:cs="Times New Roman"/>
          <w:szCs w:val="24"/>
        </w:rPr>
        <w:t>盐酸属于危险化学品和易制毒化学品，根据《危险化学品管理条例》和《易制毒化学品管理条例》，本项目使用盐酸前应落实使用盐酸具体责任单位，并在当地公安机关备案。</w:t>
      </w:r>
    </w:p>
    <w:p>
      <w:pPr>
        <w:ind w:firstLine="480"/>
        <w:rPr>
          <w:rFonts w:cs="Times New Roman"/>
        </w:rPr>
      </w:pPr>
      <w:r>
        <w:rPr>
          <w:rFonts w:cs="Times New Roman"/>
        </w:rPr>
        <w:t>（6）建设方将柴油和废油、盐酸储存和运输列入环境事故应急处置预案，且应与当地政府的环境事故应急处置预案相衔接。</w:t>
      </w:r>
    </w:p>
    <w:p>
      <w:pPr>
        <w:pStyle w:val="4"/>
        <w:ind w:firstLine="241"/>
      </w:pPr>
      <w:bookmarkStart w:id="342" w:name="_Toc120173190"/>
      <w:r>
        <w:rPr>
          <w:rFonts w:hint="eastAsia"/>
        </w:rPr>
        <w:t>6.5.8</w:t>
      </w:r>
      <w:r>
        <w:t>试采工程风险防范措施</w:t>
      </w:r>
      <w:bookmarkEnd w:id="342"/>
    </w:p>
    <w:p>
      <w:pPr>
        <w:ind w:firstLine="480"/>
        <w:rPr>
          <w:rFonts w:cs="Times New Roman"/>
          <w:color w:val="000000"/>
        </w:rPr>
      </w:pPr>
      <w:r>
        <w:rPr>
          <w:rFonts w:cs="Times New Roman"/>
          <w:color w:val="000000"/>
        </w:rPr>
        <w:t>（1）场站应按配备足够数量的正压式空气呼吸器及空气呼吸器气瓶压力相应的空气压缩机等。配备相应的安全设施，如井口安全系统、放散系统、灭火器、消防砂池、警示标志、逃生门、防雷和防静电措施、报警系统、风向标、高音喇叭等。</w:t>
      </w:r>
    </w:p>
    <w:p>
      <w:pPr>
        <w:ind w:firstLine="480"/>
        <w:rPr>
          <w:rFonts w:cs="Times New Roman"/>
          <w:color w:val="000000"/>
        </w:rPr>
      </w:pPr>
      <w:r>
        <w:rPr>
          <w:rFonts w:cs="Times New Roman"/>
          <w:color w:val="000000"/>
        </w:rPr>
        <w:t>（2）站场周围设置明显的安全警示标志，并告知附近居民可能性危险、危害及安全注意事项。调查附近居民分布情况，掌握有效的联系方式等。</w:t>
      </w:r>
    </w:p>
    <w:p>
      <w:pPr>
        <w:ind w:firstLine="480"/>
        <w:rPr>
          <w:rFonts w:cs="Times New Roman"/>
          <w:color w:val="000000"/>
        </w:rPr>
      </w:pPr>
      <w:r>
        <w:rPr>
          <w:rFonts w:cs="Times New Roman"/>
          <w:color w:val="000000"/>
        </w:rPr>
        <w:t>（3）设备和管线焊接和检验，应符合相关标准和规范要求。</w:t>
      </w:r>
    </w:p>
    <w:p>
      <w:pPr>
        <w:ind w:firstLine="480"/>
        <w:rPr>
          <w:rFonts w:cs="Times New Roman"/>
          <w:color w:val="000000"/>
        </w:rPr>
      </w:pPr>
      <w:r>
        <w:rPr>
          <w:rFonts w:cs="Times New Roman"/>
          <w:color w:val="000000"/>
        </w:rPr>
        <w:t>（4）场站的建设和布局，应严格按照设计规范要求进行设计，确保站场安全。</w:t>
      </w:r>
    </w:p>
    <w:p>
      <w:pPr>
        <w:ind w:firstLine="480"/>
        <w:rPr>
          <w:rFonts w:cs="Times New Roman"/>
          <w:color w:val="000000"/>
        </w:rPr>
      </w:pPr>
      <w:r>
        <w:rPr>
          <w:rFonts w:cs="Times New Roman"/>
          <w:color w:val="000000"/>
        </w:rPr>
        <w:t>（5）结合站场可能发生的事故类型，编制详细的应急救援预案，有针对性地进行宣传，并定期演练。</w:t>
      </w:r>
    </w:p>
    <w:p>
      <w:pPr>
        <w:ind w:firstLine="480"/>
        <w:rPr>
          <w:rFonts w:cs="Times New Roman"/>
          <w:color w:val="000000"/>
        </w:rPr>
      </w:pPr>
      <w:r>
        <w:rPr>
          <w:rFonts w:cs="Times New Roman"/>
          <w:color w:val="000000"/>
        </w:rPr>
        <w:t>（6）加强污水运输车辆的管理，防止运输过程发生事故导致废水泄露，污染环境；定期对污水进行转运，避免由于储存过多导致其外溢污染环境；加强火炬分液罐的维护保养工作，避免由于腐蚀等造成其泄露污染环境。</w:t>
      </w:r>
    </w:p>
    <w:p>
      <w:pPr>
        <w:ind w:firstLine="480"/>
        <w:rPr>
          <w:rFonts w:cs="Times New Roman"/>
          <w:color w:val="000000"/>
        </w:rPr>
      </w:pPr>
      <w:r>
        <w:rPr>
          <w:rFonts w:cs="Times New Roman"/>
          <w:color w:val="000000"/>
        </w:rPr>
        <w:t>（7）火炬分液罐区设置防渗围堰，防止泄露废水外溢。</w:t>
      </w:r>
    </w:p>
    <w:p>
      <w:pPr>
        <w:ind w:firstLine="480"/>
        <w:rPr>
          <w:rFonts w:cs="Times New Roman"/>
          <w:color w:val="000000"/>
        </w:rPr>
      </w:pPr>
      <w:r>
        <w:rPr>
          <w:rFonts w:cs="Times New Roman"/>
          <w:color w:val="000000"/>
        </w:rPr>
        <w:t>（8）自动控制系统。</w:t>
      </w:r>
    </w:p>
    <w:p>
      <w:pPr>
        <w:ind w:firstLine="480"/>
        <w:rPr>
          <w:rFonts w:cs="Times New Roman"/>
          <w:color w:val="000000"/>
        </w:rPr>
      </w:pPr>
      <w:r>
        <w:rPr>
          <w:rFonts w:cs="Times New Roman"/>
          <w:color w:val="000000"/>
        </w:rPr>
        <w:t>1）井场井站井口装置等相关工艺设施等实现自动控制、定期巡查；</w:t>
      </w:r>
    </w:p>
    <w:p>
      <w:pPr>
        <w:ind w:firstLine="480"/>
        <w:rPr>
          <w:rFonts w:cs="Times New Roman"/>
          <w:color w:val="000000"/>
        </w:rPr>
      </w:pPr>
      <w:r>
        <w:rPr>
          <w:rFonts w:cs="Times New Roman"/>
          <w:color w:val="000000"/>
        </w:rPr>
        <w:t>2）对本项目井场井站生产装置等全部工艺过程进行监视和控制，实现对整个试采区域的生产运行进行监控和调度管理；</w:t>
      </w:r>
    </w:p>
    <w:p>
      <w:pPr>
        <w:ind w:firstLine="480"/>
        <w:rPr>
          <w:rFonts w:cs="Times New Roman"/>
          <w:color w:val="000000"/>
        </w:rPr>
      </w:pPr>
      <w:r>
        <w:rPr>
          <w:rFonts w:cs="Times New Roman"/>
          <w:color w:val="000000"/>
        </w:rPr>
        <w:t>3）场站可实现对下列数据的采集和传递：站场/工艺设施的工艺变量、站场/工艺设施的阀门状态、设备状态、井口温度、压力、流量信息/计量参数、管道防腐参数等；</w:t>
      </w:r>
    </w:p>
    <w:p>
      <w:pPr>
        <w:ind w:firstLine="480"/>
        <w:rPr>
          <w:rFonts w:cs="Times New Roman"/>
          <w:color w:val="000000"/>
        </w:rPr>
      </w:pPr>
      <w:r>
        <w:rPr>
          <w:rFonts w:cs="Times New Roman"/>
          <w:color w:val="000000"/>
        </w:rPr>
        <w:t>4）可进行安全报警、装置气体泄漏检测；</w:t>
      </w:r>
    </w:p>
    <w:p>
      <w:pPr>
        <w:ind w:firstLine="480"/>
        <w:rPr>
          <w:rFonts w:cs="Times New Roman"/>
          <w:color w:val="000000"/>
        </w:rPr>
      </w:pPr>
      <w:r>
        <w:rPr>
          <w:rFonts w:cs="Times New Roman"/>
          <w:color w:val="000000"/>
        </w:rPr>
        <w:t>5）对井场井站进行远程监视，实现紧急情况下30s内各切断阀自动截断关停。</w:t>
      </w:r>
    </w:p>
    <w:p>
      <w:pPr>
        <w:pStyle w:val="4"/>
        <w:ind w:firstLine="241"/>
      </w:pPr>
      <w:bookmarkStart w:id="343" w:name="_Toc120173191"/>
      <w:r>
        <w:rPr>
          <w:rFonts w:hint="eastAsia"/>
        </w:rPr>
        <w:t>6.5.9</w:t>
      </w:r>
      <w:r>
        <w:t>环境风险防范措施工程监理</w:t>
      </w:r>
      <w:bookmarkEnd w:id="343"/>
    </w:p>
    <w:p>
      <w:pPr>
        <w:ind w:firstLine="480"/>
        <w:rPr>
          <w:rFonts w:cs="Times New Roman"/>
        </w:rPr>
      </w:pPr>
      <w:r>
        <w:rPr>
          <w:rFonts w:cs="Times New Roman"/>
        </w:rPr>
        <w:t>为确保工程环境风险防范措施合理有效地实施，可在钻采过程中引入工程监理制度，由监理单位负责环境风险防范措施的监理工作，确保项措施得到合理有效的落实。</w:t>
      </w:r>
    </w:p>
    <w:p>
      <w:pPr>
        <w:pStyle w:val="4"/>
        <w:ind w:firstLine="241"/>
      </w:pPr>
      <w:bookmarkStart w:id="344" w:name="_Toc120173192"/>
      <w:r>
        <w:rPr>
          <w:rFonts w:hint="eastAsia"/>
        </w:rPr>
        <w:t>6.5.10</w:t>
      </w:r>
      <w:r>
        <w:t>其他环境风险防范措施</w:t>
      </w:r>
      <w:bookmarkEnd w:id="344"/>
    </w:p>
    <w:p>
      <w:pPr>
        <w:ind w:firstLine="482"/>
        <w:rPr>
          <w:rFonts w:cs="Times New Roman"/>
          <w:b/>
          <w:bCs/>
          <w:color w:val="000000"/>
        </w:rPr>
      </w:pPr>
      <w:r>
        <w:rPr>
          <w:rFonts w:cs="Times New Roman"/>
          <w:b/>
          <w:bCs/>
          <w:color w:val="000000"/>
        </w:rPr>
        <w:t>（1）公众安全防护</w:t>
      </w:r>
    </w:p>
    <w:p>
      <w:pPr>
        <w:ind w:firstLine="480"/>
        <w:rPr>
          <w:rFonts w:cs="Times New Roman"/>
          <w:color w:val="000000"/>
        </w:rPr>
      </w:pPr>
      <w:r>
        <w:rPr>
          <w:rFonts w:cs="Times New Roman"/>
          <w:color w:val="000000"/>
        </w:rPr>
        <w:t>按照本项目行业操作规范，需加强对井场附近居民宣传井喷的危害及相关知识。井队队长及安全员负责指定应急培训计划，定期对应急组织机构成员和应急保障系统、应急信息的有关人员进行综合性应急培训并作好培训记录。应急演练应每个月开展一次，进入气层后半个月开展一次，通过演练掌握应急人员在应急抢险中对预案的熟悉程度和能力，二是加强抢险应急设备的维护保养，检查是否备足所需应急材料。</w:t>
      </w:r>
    </w:p>
    <w:p>
      <w:pPr>
        <w:ind w:firstLine="480"/>
        <w:rPr>
          <w:rFonts w:cs="Times New Roman"/>
          <w:color w:val="000000"/>
        </w:rPr>
      </w:pPr>
      <w:r>
        <w:rPr>
          <w:rFonts w:cs="Times New Roman"/>
          <w:color w:val="000000"/>
        </w:rPr>
        <w:t>按照钻井行业环境风险应急预案规范要求，发生井喷失控等风险事故时应及时撤离</w:t>
      </w:r>
      <w:r>
        <w:rPr>
          <w:rFonts w:cs="Times New Roman"/>
        </w:rPr>
        <w:t>疏散紧急撤离区内（井口周边0~</w:t>
      </w:r>
      <w:r>
        <w:rPr>
          <w:rFonts w:hint="eastAsia" w:cs="Times New Roman"/>
        </w:rPr>
        <w:t>220</w:t>
      </w:r>
      <w:r>
        <w:rPr>
          <w:rFonts w:cs="Times New Roman"/>
        </w:rPr>
        <w:t>0m范围）居民和企业员工，保护周围居民生命安全和健康，同时井喷失控后，还需在井口周边</w:t>
      </w:r>
      <w:r>
        <w:rPr>
          <w:rFonts w:hint="eastAsia" w:cs="Times New Roman"/>
        </w:rPr>
        <w:t>22</w:t>
      </w:r>
      <w:r>
        <w:rPr>
          <w:rFonts w:cs="Times New Roman"/>
        </w:rPr>
        <w:t>00m范围外布设环境应急监测点，可按照近密远疏的原则布设监测点，并根据监测结果及时按照环境风险应急预案</w:t>
      </w:r>
      <w:r>
        <w:rPr>
          <w:rFonts w:hint="eastAsia" w:cs="Times New Roman"/>
          <w:lang w:eastAsia="zh-CN"/>
        </w:rPr>
        <w:t>制定</w:t>
      </w:r>
      <w:r>
        <w:rPr>
          <w:rFonts w:cs="Times New Roman"/>
        </w:rPr>
        <w:t>的临时撤离方案组织一般撤离区居民和企业员工撤离。</w:t>
      </w:r>
    </w:p>
    <w:p>
      <w:pPr>
        <w:ind w:firstLine="480"/>
        <w:rPr>
          <w:rFonts w:cs="Times New Roman"/>
          <w:color w:val="000000"/>
        </w:rPr>
      </w:pPr>
      <w:r>
        <w:rPr>
          <w:rFonts w:cs="Times New Roman"/>
          <w:color w:val="000000"/>
        </w:rPr>
        <w:t>（2）钻井、储层改造期间配备应急点火系统及点火时间、点火管理</w:t>
      </w:r>
    </w:p>
    <w:p>
      <w:pPr>
        <w:ind w:firstLine="480"/>
        <w:rPr>
          <w:rFonts w:cs="Times New Roman"/>
          <w:color w:val="000000"/>
        </w:rPr>
      </w:pPr>
      <w:r>
        <w:rPr>
          <w:rFonts w:cs="Times New Roman"/>
          <w:color w:val="000000"/>
        </w:rPr>
        <w:t>根据《钻井井控技术规程》（SY/T6426-2005），钻井现场仍按照含硫油气井配备自动、手动和高压高能电子点火三套独立点火系统，确保100%的点火成功率。钻井队在现场条件不能实施井控作业而决定放喷点火时，点火人员应佩戴防护器具，并在上风方向，离火口距离不得少于10m，用点火枪点火。</w:t>
      </w:r>
    </w:p>
    <w:p>
      <w:pPr>
        <w:ind w:firstLine="480"/>
        <w:rPr>
          <w:rFonts w:cs="Times New Roman"/>
          <w:color w:val="000000"/>
        </w:rPr>
      </w:pPr>
      <w:r>
        <w:rPr>
          <w:rFonts w:cs="Times New Roman"/>
          <w:color w:val="000000"/>
        </w:rPr>
        <w:t>（3）地质灾害防范</w:t>
      </w:r>
    </w:p>
    <w:p>
      <w:pPr>
        <w:ind w:firstLine="480"/>
        <w:rPr>
          <w:rFonts w:cs="Times New Roman"/>
          <w:color w:val="000000"/>
        </w:rPr>
      </w:pPr>
      <w:r>
        <w:rPr>
          <w:rFonts w:cs="Times New Roman"/>
          <w:color w:val="000000"/>
        </w:rPr>
        <w:t>对项目地周边开展详尽地质勘探工作，进而指导钻前施工和钻井施工，严防地质灾害环境影响诱发本项目环境风险。</w:t>
      </w:r>
    </w:p>
    <w:p>
      <w:pPr>
        <w:ind w:firstLine="480"/>
        <w:rPr>
          <w:rFonts w:cs="Times New Roman"/>
          <w:color w:val="000000"/>
        </w:rPr>
      </w:pPr>
      <w:r>
        <w:rPr>
          <w:rFonts w:cs="Times New Roman"/>
          <w:color w:val="000000"/>
        </w:rPr>
        <w:t>（4）夜间特别管理机制</w:t>
      </w:r>
    </w:p>
    <w:p>
      <w:pPr>
        <w:ind w:firstLine="480"/>
        <w:rPr>
          <w:rFonts w:cs="Times New Roman"/>
          <w:color w:val="000000"/>
        </w:rPr>
      </w:pPr>
      <w:r>
        <w:rPr>
          <w:rFonts w:cs="Times New Roman"/>
          <w:color w:val="000000"/>
        </w:rPr>
        <w:t>由于钻井工程特点需要24小时连续作业，所以应特别警惕夜间风险事故的防范和应急。严格落实井喷失控15min内及时点火以及应急预案确定的周边居民事故状态下的撤离方案，至压井作业完成。井场配备高音喇叭、防爆灯具，以便夜间事故及时通知周边居民，防爆灯具应布置在井场内风向标处，以便井场人员和周边较近居民可判断风向，带领其他人员撤离。井场实行轮班制度，保证夜间各岗位有相应值班人员。对居民进行公众教育、培训中应强调夜间自救内容，要求居民夜间保持通讯设备的畅通，夜间不关手机等，在钻开气层前后及钻开过程中夜间保持一定的警惕性。</w:t>
      </w:r>
    </w:p>
    <w:p>
      <w:pPr>
        <w:ind w:firstLine="480"/>
        <w:rPr>
          <w:rFonts w:cs="Times New Roman"/>
          <w:color w:val="000000"/>
        </w:rPr>
      </w:pPr>
      <w:r>
        <w:rPr>
          <w:rFonts w:cs="Times New Roman"/>
          <w:color w:val="000000"/>
        </w:rPr>
        <w:t>（5）运输路由要求及风险防范</w:t>
      </w:r>
    </w:p>
    <w:p>
      <w:pPr>
        <w:ind w:firstLine="480"/>
        <w:rPr>
          <w:rFonts w:cs="Times New Roman"/>
          <w:color w:val="000000"/>
        </w:rPr>
      </w:pPr>
      <w:r>
        <w:rPr>
          <w:rFonts w:cs="Times New Roman"/>
          <w:color w:val="000000"/>
        </w:rPr>
        <w:t>本项目废物、回用钻井液、钻井固废等运输均由有资质单位负责运输，不能利用的废油、废油桶、含油抹布手套等危废由钻井队委托具有危废道路运输经营许可证单位运输。转运废物工作中要加强对车辆的监督和管理，采取转运联单制度，规范转运台账，避免私拉乱倒的现象发生。</w:t>
      </w:r>
    </w:p>
    <w:p>
      <w:pPr>
        <w:pStyle w:val="3"/>
      </w:pPr>
      <w:bookmarkStart w:id="345" w:name="_Toc80793281"/>
      <w:bookmarkStart w:id="346" w:name="_Toc164667034"/>
      <w:r>
        <w:rPr>
          <w:rFonts w:hint="eastAsia"/>
        </w:rPr>
        <w:t>6.6</w:t>
      </w:r>
      <w:r>
        <w:t>应急</w:t>
      </w:r>
      <w:bookmarkEnd w:id="345"/>
      <w:r>
        <w:t>措施</w:t>
      </w:r>
      <w:bookmarkEnd w:id="346"/>
    </w:p>
    <w:p>
      <w:pPr>
        <w:pStyle w:val="4"/>
        <w:ind w:firstLine="241"/>
      </w:pPr>
      <w:bookmarkStart w:id="347" w:name="_Toc120173194"/>
      <w:r>
        <w:t>6</w:t>
      </w:r>
      <w:r>
        <w:rPr>
          <w:rFonts w:hint="eastAsia"/>
        </w:rPr>
        <w:t>.6.1</w:t>
      </w:r>
      <w:r>
        <w:t>井喷及井喷失控应急处理预案</w:t>
      </w:r>
      <w:bookmarkEnd w:id="347"/>
    </w:p>
    <w:p>
      <w:pPr>
        <w:ind w:firstLine="480"/>
        <w:rPr>
          <w:rFonts w:cs="Times New Roman"/>
          <w:color w:val="000000"/>
        </w:rPr>
      </w:pPr>
      <w:r>
        <w:rPr>
          <w:rFonts w:cs="Times New Roman"/>
          <w:color w:val="000000"/>
        </w:rPr>
        <w:t>根据事态发展变化情况，事故现场抢险指挥部根据应急领导小组的指令并充分考虑专家和有关意见的基础上，依法采取紧急措施，并注意做好以下工作：</w:t>
      </w:r>
    </w:p>
    <w:p>
      <w:pPr>
        <w:ind w:firstLine="480"/>
        <w:rPr>
          <w:rFonts w:cs="Times New Roman"/>
          <w:color w:val="000000"/>
        </w:rPr>
      </w:pPr>
      <w:r>
        <w:rPr>
          <w:rFonts w:cs="Times New Roman"/>
          <w:color w:val="000000"/>
        </w:rPr>
        <w:t>（1）井喷失控后严防着火和爆炸。应立即停钻机、机房柴油机，切断井架、钻台、机泵房等处全部照明灯和用电设备的电源，熄灭一切火源，需要时打开专用探照灯，并组织警戒。</w:t>
      </w:r>
    </w:p>
    <w:p>
      <w:pPr>
        <w:ind w:firstLine="480"/>
        <w:rPr>
          <w:rFonts w:cs="Times New Roman"/>
          <w:color w:val="000000"/>
        </w:rPr>
      </w:pPr>
      <w:r>
        <w:rPr>
          <w:rFonts w:cs="Times New Roman"/>
          <w:color w:val="000000"/>
        </w:rPr>
        <w:t>（2）立即向当地政府报告，协助当地政府作好</w:t>
      </w:r>
      <w:r>
        <w:rPr>
          <w:rFonts w:cs="Times New Roman"/>
        </w:rPr>
        <w:t>井口</w:t>
      </w:r>
      <w:r>
        <w:rPr>
          <w:rFonts w:hint="eastAsia" w:cs="Times New Roman"/>
        </w:rPr>
        <w:t>22</w:t>
      </w:r>
      <w:r>
        <w:rPr>
          <w:rFonts w:cs="Times New Roman"/>
        </w:rPr>
        <w:t>00m范</w:t>
      </w:r>
      <w:r>
        <w:rPr>
          <w:rFonts w:cs="Times New Roman"/>
          <w:color w:val="000000"/>
        </w:rPr>
        <w:t>围内散居农户和企业员工，以及场镇居民、学校、医院、企业等的疏散工作。此外，事故时应根据井喷的实际情况，确定扩大疏散范围。</w:t>
      </w:r>
    </w:p>
    <w:p>
      <w:pPr>
        <w:ind w:firstLine="480"/>
        <w:rPr>
          <w:rFonts w:cs="Times New Roman"/>
          <w:color w:val="000000"/>
        </w:rPr>
      </w:pPr>
      <w:r>
        <w:rPr>
          <w:rFonts w:cs="Times New Roman"/>
          <w:color w:val="000000"/>
        </w:rPr>
        <w:t>（3）设置观察点，定时取样，监测（大气/空气）中的天然气、硫化氢和二氧化碳含量等，划分安全范围，并根据对监测结果和井喷事故的严重程度及时进行研判，若井喷事故较为严重，监测（大气/空气）中的天然气、硫化氢和二氧化碳含量等浓度较高，可将撤离疏散距离扩大到5000m范围。</w:t>
      </w:r>
    </w:p>
    <w:p>
      <w:pPr>
        <w:ind w:firstLine="480"/>
        <w:rPr>
          <w:rFonts w:cs="Times New Roman"/>
          <w:color w:val="000000"/>
        </w:rPr>
      </w:pPr>
      <w:r>
        <w:rPr>
          <w:rFonts w:cs="Times New Roman"/>
          <w:color w:val="000000"/>
        </w:rPr>
        <w:t>（4）迅速成立现场抢险领导小组，根据失控状况制定抢险方案，统一指挥、组织和协调抢险工作。抢险方案</w:t>
      </w:r>
      <w:r>
        <w:rPr>
          <w:rFonts w:hint="eastAsia" w:cs="Times New Roman"/>
          <w:color w:val="000000"/>
          <w:lang w:eastAsia="zh-CN"/>
        </w:rPr>
        <w:t>制定</w:t>
      </w:r>
      <w:r>
        <w:rPr>
          <w:rFonts w:cs="Times New Roman"/>
          <w:color w:val="000000"/>
        </w:rPr>
        <w:t>及实施，要把环境保护同时考虑，同时实施，防止出现次生环境事故。</w:t>
      </w:r>
    </w:p>
    <w:p>
      <w:pPr>
        <w:ind w:firstLine="480"/>
        <w:rPr>
          <w:rFonts w:cs="Times New Roman"/>
          <w:color w:val="000000"/>
        </w:rPr>
      </w:pPr>
      <w:r>
        <w:rPr>
          <w:rFonts w:cs="Times New Roman"/>
          <w:color w:val="000000"/>
        </w:rPr>
        <w:t>（5）当井喷失控时，应立即通知并协助当地政府疏散井口2</w:t>
      </w:r>
      <w:r>
        <w:rPr>
          <w:rFonts w:hint="eastAsia" w:cs="Times New Roman"/>
          <w:color w:val="000000"/>
        </w:rPr>
        <w:t>2</w:t>
      </w:r>
      <w:r>
        <w:rPr>
          <w:rFonts w:cs="Times New Roman"/>
          <w:color w:val="000000"/>
        </w:rPr>
        <w:t>00m范围内的散居农户，以及场镇居民、学校、医院、企业等环境敏感点和社会关注点，根据检测情况，考虑风向、地形、人口密度、受污染程度等情况及时作出风险和危害程度评估，决定是否扩大撤离范围；关停生产设施；请求援助。</w:t>
      </w:r>
    </w:p>
    <w:p>
      <w:pPr>
        <w:ind w:firstLine="480"/>
        <w:rPr>
          <w:rFonts w:cs="Times New Roman"/>
          <w:color w:val="000000"/>
        </w:rPr>
      </w:pPr>
      <w:r>
        <w:rPr>
          <w:rFonts w:cs="Times New Roman"/>
          <w:color w:val="000000"/>
        </w:rPr>
        <w:t>（6）在确保人员安全的前提下，将氧气瓶、油罐等易燃易爆物品撤离危险区。</w:t>
      </w:r>
    </w:p>
    <w:p>
      <w:pPr>
        <w:ind w:firstLine="480"/>
        <w:rPr>
          <w:rFonts w:cs="Times New Roman"/>
          <w:color w:val="000000"/>
        </w:rPr>
      </w:pPr>
      <w:r>
        <w:rPr>
          <w:rFonts w:cs="Times New Roman"/>
          <w:color w:val="000000"/>
        </w:rPr>
        <w:t>（7）在进行处置井喷事故的同时，充分考虑到事故和次生事故对环境可能造成的威胁，要严密制定并采取保护措施，防止事态扩大和引发次生灾害。</w:t>
      </w:r>
    </w:p>
    <w:p>
      <w:pPr>
        <w:ind w:firstLine="480"/>
        <w:rPr>
          <w:rFonts w:cs="Times New Roman"/>
          <w:color w:val="000000"/>
        </w:rPr>
      </w:pPr>
      <w:r>
        <w:rPr>
          <w:rFonts w:cs="Times New Roman"/>
          <w:color w:val="000000"/>
        </w:rPr>
        <w:t>（8）在事故处理结束后，确认作业现场及其周边环境安全的情况下，和地方政府商定撤离群众的返回时间。</w:t>
      </w:r>
    </w:p>
    <w:p>
      <w:pPr>
        <w:pStyle w:val="4"/>
        <w:ind w:firstLine="241"/>
      </w:pPr>
      <w:bookmarkStart w:id="348" w:name="_Toc120173195"/>
      <w:r>
        <w:rPr>
          <w:rFonts w:hint="eastAsia"/>
        </w:rPr>
        <w:t>6.6.2</w:t>
      </w:r>
      <w:r>
        <w:t>井喷或场站泄露应急疏散预案</w:t>
      </w:r>
      <w:bookmarkEnd w:id="348"/>
    </w:p>
    <w:p>
      <w:pPr>
        <w:ind w:firstLine="480"/>
        <w:rPr>
          <w:rFonts w:cs="Times New Roman"/>
          <w:color w:val="000000"/>
        </w:rPr>
      </w:pPr>
      <w:r>
        <w:rPr>
          <w:rFonts w:cs="Times New Roman"/>
          <w:color w:val="000000"/>
        </w:rPr>
        <w:t>当井喷或天然气试采期间出现失控时，应立即通知并协助当地政府疏散井口2</w:t>
      </w:r>
      <w:r>
        <w:rPr>
          <w:rFonts w:hint="eastAsia" w:cs="Times New Roman"/>
          <w:color w:val="000000"/>
        </w:rPr>
        <w:t>2</w:t>
      </w:r>
      <w:r>
        <w:rPr>
          <w:rFonts w:cs="Times New Roman"/>
          <w:color w:val="000000"/>
        </w:rPr>
        <w:t>00m范围内的散居农户等，周边较近的场镇居民、学校师生、医院医护人员和病人等。根据监测情况，考虑风向、地形、人口密度、受污染程度等情况及时作出风险和危害程度评估，决定是否扩大撤离范围。</w:t>
      </w:r>
    </w:p>
    <w:p>
      <w:pPr>
        <w:ind w:firstLine="480"/>
        <w:rPr>
          <w:rFonts w:cs="Times New Roman"/>
          <w:color w:val="000000"/>
        </w:rPr>
      </w:pPr>
      <w:r>
        <w:rPr>
          <w:rFonts w:cs="Times New Roman"/>
          <w:color w:val="000000"/>
        </w:rPr>
        <w:t>为了保障每位员工和井场周围群众的生命安全，应按正确的方法和方向撤离，每位接到撤离通知的员工和群众应按下列程序撤离：</w:t>
      </w:r>
    </w:p>
    <w:p>
      <w:pPr>
        <w:ind w:firstLine="480"/>
        <w:rPr>
          <w:rFonts w:cs="Times New Roman"/>
          <w:color w:val="000000"/>
        </w:rPr>
      </w:pPr>
      <w:r>
        <w:rPr>
          <w:rFonts w:cs="Times New Roman"/>
          <w:color w:val="000000"/>
        </w:rPr>
        <w:t>（1）群众由当地政府组织撤离，井队员工由井队组织撤离；</w:t>
      </w:r>
    </w:p>
    <w:p>
      <w:pPr>
        <w:ind w:firstLine="480"/>
        <w:rPr>
          <w:rFonts w:cs="Times New Roman"/>
          <w:color w:val="000000"/>
        </w:rPr>
      </w:pPr>
      <w:r>
        <w:rPr>
          <w:rFonts w:cs="Times New Roman"/>
          <w:color w:val="000000"/>
        </w:rPr>
        <w:t>（2）逃生时要注意风向，一要沿上风（逆风）方向逃生，二要沿着地面上的高处跑。本项目周边地势起伏较大，但井口周边300m范围内无居民分布，</w:t>
      </w:r>
      <w:r>
        <w:rPr>
          <w:rFonts w:cs="Times New Roman"/>
        </w:rPr>
        <w:t>发生井喷后影响范围约</w:t>
      </w:r>
      <w:r>
        <w:rPr>
          <w:rFonts w:hint="eastAsia" w:cs="Times New Roman"/>
        </w:rPr>
        <w:t>218</w:t>
      </w:r>
      <w:r>
        <w:rPr>
          <w:rFonts w:cs="Times New Roman"/>
        </w:rPr>
        <w:t>0m，井口300m外至</w:t>
      </w:r>
      <w:r>
        <w:rPr>
          <w:rFonts w:hint="eastAsia" w:cs="Times New Roman"/>
        </w:rPr>
        <w:t>22</w:t>
      </w:r>
      <w:r>
        <w:rPr>
          <w:rFonts w:cs="Times New Roman"/>
        </w:rPr>
        <w:t>00m处居民有较充足的时间撤离。撤离路线：建议撤离时根据风向，根据所在地道路分布情况转移至高处安全集合点，同时建设单位应引导周边群众撤离。撤离路线应根据实际风险进行调整，原则就是往上风向撤离。项目撤离路线均不受周边地形限制，项目区域主导风为东北风，撤离路线不位于下风向，因此撤离路线是合理的</w:t>
      </w:r>
      <w:r>
        <w:rPr>
          <w:rFonts w:cs="Times New Roman"/>
          <w:color w:val="000000"/>
        </w:rPr>
        <w:t>。</w:t>
      </w:r>
    </w:p>
    <w:p>
      <w:pPr>
        <w:ind w:firstLine="480"/>
        <w:rPr>
          <w:rFonts w:cs="Times New Roman"/>
          <w:color w:val="000000"/>
        </w:rPr>
      </w:pPr>
      <w:r>
        <w:rPr>
          <w:rFonts w:cs="Times New Roman"/>
          <w:color w:val="000000"/>
        </w:rPr>
        <w:t>本项目所在的普光气田区域5km范围内各村镇均已设置有应急高音喇叭，能够对区域范围内所有居民点进行覆盖，且主要村镇均已设置有应急安置点，各村镇联系人已在中原油田普光分公司应急指挥中心办公室存档，应急措施完善，能够确保发生风险事故后第一时间启动应急预案与撤离方案，具体方案见中原油田普光分公司编制有《中原油田普光分公司环境应急预案（2021年4月》，</w:t>
      </w:r>
      <w:r>
        <w:rPr>
          <w:rFonts w:cs="Times New Roman"/>
        </w:rPr>
        <w:t>项目所在区域路网及交通条件较好，能够确保</w:t>
      </w:r>
      <w:r>
        <w:rPr>
          <w:rFonts w:hint="eastAsia" w:cs="Times New Roman"/>
        </w:rPr>
        <w:t>22</w:t>
      </w:r>
      <w:r>
        <w:rPr>
          <w:rFonts w:cs="Times New Roman"/>
        </w:rPr>
        <w:t>00m范围内的居民均能及时有效的撤离至安全的应急安置点。</w:t>
      </w:r>
    </w:p>
    <w:p>
      <w:pPr>
        <w:ind w:firstLine="480"/>
        <w:rPr>
          <w:rFonts w:cs="Times New Roman"/>
          <w:color w:val="000000"/>
        </w:rPr>
      </w:pPr>
      <w:r>
        <w:rPr>
          <w:rFonts w:cs="Times New Roman"/>
          <w:color w:val="000000"/>
        </w:rPr>
        <w:t>（3）时间就是生命，紧急逃生时，不要因收贵重物品等事宜延误时间，并且要轻装撤离逃生。</w:t>
      </w:r>
    </w:p>
    <w:p>
      <w:pPr>
        <w:ind w:firstLine="480"/>
        <w:rPr>
          <w:rFonts w:cs="Times New Roman"/>
          <w:color w:val="000000"/>
        </w:rPr>
      </w:pPr>
      <w:r>
        <w:rPr>
          <w:rFonts w:cs="Times New Roman"/>
          <w:color w:val="000000"/>
        </w:rPr>
        <w:t>（4）当所处位置离井场很远时，则只要偏离风向往离井场越来越远的方向逃生即可。</w:t>
      </w:r>
    </w:p>
    <w:p>
      <w:pPr>
        <w:pStyle w:val="4"/>
        <w:ind w:firstLine="241"/>
      </w:pPr>
      <w:bookmarkStart w:id="349" w:name="_Toc120173196"/>
      <w:r>
        <w:rPr>
          <w:rFonts w:hint="eastAsia"/>
        </w:rPr>
        <w:t>6.6.3</w:t>
      </w:r>
      <w:r>
        <w:t>天然气窜层泄露进入地表应急措施</w:t>
      </w:r>
      <w:bookmarkEnd w:id="349"/>
    </w:p>
    <w:p>
      <w:pPr>
        <w:ind w:firstLine="480"/>
        <w:rPr>
          <w:rFonts w:cs="Times New Roman"/>
          <w:color w:val="000000"/>
        </w:rPr>
      </w:pPr>
      <w:r>
        <w:rPr>
          <w:rFonts w:cs="Times New Roman"/>
          <w:color w:val="000000"/>
        </w:rPr>
        <w:t>由于天然气窜层泄露时，压力小，速率低，不会出现井喷式的泄露，只要及时组织人员撤离，并及时采取事故应对措施一般情况下不会引起人员伤亡。应对此类事故措施主要是通过加强对钻井返空介质的监测来及时了解井下状况，采取措施避免井漏气窜的发生，钻前加强对周边</w:t>
      </w:r>
      <w:r>
        <w:rPr>
          <w:rFonts w:hint="eastAsia" w:cs="Times New Roman"/>
          <w:color w:val="000000"/>
        </w:rPr>
        <w:t>22</w:t>
      </w:r>
      <w:r>
        <w:rPr>
          <w:rFonts w:cs="Times New Roman"/>
          <w:color w:val="000000"/>
        </w:rPr>
        <w:t>00m居民的教育培训，遇到此类事故应立即撤离并远离泄露点。企业在泄露点周边设置便携监测仪确定浓度，根据浓度确定具体撤离范围。气窜发生时及应立即采取井下堵漏措施，并通过井口放喷管放喷燃烧泄压，减少周边地表泄露点泄露量，此类环境风险是可控的。</w:t>
      </w:r>
    </w:p>
    <w:p>
      <w:pPr>
        <w:pStyle w:val="4"/>
        <w:ind w:firstLine="241"/>
      </w:pPr>
      <w:bookmarkStart w:id="350" w:name="_Toc120173197"/>
      <w:r>
        <w:rPr>
          <w:rFonts w:hint="eastAsia"/>
        </w:rPr>
        <w:t>6.6.4</w:t>
      </w:r>
      <w:r>
        <w:t>井漏环境风险事故应急措施</w:t>
      </w:r>
      <w:bookmarkEnd w:id="350"/>
    </w:p>
    <w:p>
      <w:pPr>
        <w:ind w:firstLine="480"/>
        <w:rPr>
          <w:rFonts w:cs="Times New Roman"/>
          <w:color w:val="000000"/>
        </w:rPr>
      </w:pPr>
      <w:r>
        <w:rPr>
          <w:rFonts w:cs="Times New Roman"/>
          <w:color w:val="000000"/>
        </w:rPr>
        <w:t>发生井漏时必须利用各种堵漏材料，处理井漏的规定流程如下：</w:t>
      </w:r>
    </w:p>
    <w:p>
      <w:pPr>
        <w:ind w:firstLine="480"/>
        <w:rPr>
          <w:rFonts w:cs="Times New Roman"/>
          <w:color w:val="000000"/>
        </w:rPr>
      </w:pPr>
      <w:r>
        <w:rPr>
          <w:rFonts w:cs="Times New Roman"/>
          <w:color w:val="000000"/>
        </w:rPr>
        <w:t>（1）分析井漏发生的原因，确定漏层位置、类型及漏失严重程度。</w:t>
      </w:r>
    </w:p>
    <w:p>
      <w:pPr>
        <w:ind w:firstLine="480"/>
        <w:rPr>
          <w:rFonts w:cs="Times New Roman"/>
          <w:color w:val="000000"/>
        </w:rPr>
      </w:pPr>
      <w:r>
        <w:rPr>
          <w:rFonts w:cs="Times New Roman"/>
          <w:color w:val="000000"/>
        </w:rPr>
        <w:t>（2）保质保量的配置堵漏泥浆。</w:t>
      </w:r>
    </w:p>
    <w:p>
      <w:pPr>
        <w:ind w:firstLine="480"/>
        <w:rPr>
          <w:rFonts w:cs="Times New Roman"/>
          <w:color w:val="000000"/>
        </w:rPr>
      </w:pPr>
      <w:r>
        <w:rPr>
          <w:rFonts w:cs="Times New Roman"/>
          <w:color w:val="000000"/>
        </w:rPr>
        <w:t>（3）施工时如果能起钻，应尽可能采用光钻杆，下至漏层顶部。</w:t>
      </w:r>
    </w:p>
    <w:p>
      <w:pPr>
        <w:ind w:firstLine="480"/>
        <w:rPr>
          <w:rFonts w:cs="Times New Roman"/>
          <w:color w:val="000000"/>
        </w:rPr>
      </w:pPr>
      <w:r>
        <w:rPr>
          <w:rFonts w:cs="Times New Roman"/>
          <w:color w:val="000000"/>
        </w:rPr>
        <w:t>（4）使用正确的堵剂注入方法，确保堵剂进入漏层近井筒处。</w:t>
      </w:r>
    </w:p>
    <w:p>
      <w:pPr>
        <w:ind w:firstLine="480"/>
        <w:rPr>
          <w:rFonts w:cs="Times New Roman"/>
          <w:color w:val="000000"/>
        </w:rPr>
      </w:pPr>
      <w:r>
        <w:rPr>
          <w:rFonts w:cs="Times New Roman"/>
          <w:color w:val="000000"/>
        </w:rPr>
        <w:t>（5）施工过程中要不停地活动钻具，避免卡钻。</w:t>
      </w:r>
    </w:p>
    <w:p>
      <w:pPr>
        <w:ind w:firstLine="480"/>
        <w:rPr>
          <w:rFonts w:cs="Times New Roman"/>
          <w:color w:val="000000"/>
        </w:rPr>
      </w:pPr>
      <w:r>
        <w:rPr>
          <w:rFonts w:cs="Times New Roman"/>
          <w:color w:val="000000"/>
        </w:rPr>
        <w:t>（6）凡采用桥堵剂堵漏，要卸掉循环管线及泵中的滤清器、筛网等，防止堵塞憋泵伤人。</w:t>
      </w:r>
    </w:p>
    <w:p>
      <w:pPr>
        <w:ind w:firstLine="480"/>
        <w:rPr>
          <w:rFonts w:cs="Times New Roman"/>
          <w:color w:val="000000"/>
        </w:rPr>
      </w:pPr>
      <w:r>
        <w:rPr>
          <w:rFonts w:cs="Times New Roman"/>
          <w:color w:val="000000"/>
        </w:rPr>
        <w:t>（7）憋压试漏时要缓慢进行，压力一般不能过大，避免造成新的诱导裂缝。</w:t>
      </w:r>
    </w:p>
    <w:p>
      <w:pPr>
        <w:ind w:firstLine="480"/>
        <w:rPr>
          <w:rFonts w:cs="Times New Roman"/>
          <w:color w:val="000000"/>
        </w:rPr>
      </w:pPr>
      <w:r>
        <w:rPr>
          <w:rFonts w:cs="Times New Roman"/>
          <w:color w:val="000000"/>
        </w:rPr>
        <w:t>（8）施工完成后，各种资料必须收集整理齐全、准确。</w:t>
      </w:r>
    </w:p>
    <w:p>
      <w:pPr>
        <w:pStyle w:val="4"/>
        <w:ind w:firstLine="241"/>
      </w:pPr>
      <w:bookmarkStart w:id="351" w:name="_Toc120173198"/>
      <w:r>
        <w:rPr>
          <w:rFonts w:hint="eastAsia"/>
        </w:rPr>
        <w:t>6.6.</w:t>
      </w:r>
      <w:r>
        <w:t>5废水、油类物质泄露应急措施</w:t>
      </w:r>
      <w:bookmarkEnd w:id="351"/>
    </w:p>
    <w:p>
      <w:pPr>
        <w:ind w:firstLine="480"/>
        <w:rPr>
          <w:rFonts w:cs="Times New Roman"/>
          <w:color w:val="000000"/>
        </w:rPr>
      </w:pPr>
      <w:r>
        <w:rPr>
          <w:rFonts w:cs="Times New Roman"/>
          <w:color w:val="000000"/>
        </w:rPr>
        <w:t>（1）当钻井废水或油类物质油外溢时，应及时围堵，并及时进行清理，确保废水、柴油不进入河流中。</w:t>
      </w:r>
    </w:p>
    <w:p>
      <w:pPr>
        <w:ind w:firstLine="480"/>
        <w:rPr>
          <w:rFonts w:cs="Times New Roman"/>
          <w:color w:val="000000"/>
        </w:rPr>
      </w:pPr>
      <w:r>
        <w:rPr>
          <w:rFonts w:cs="Times New Roman"/>
          <w:color w:val="000000"/>
        </w:rPr>
        <w:t>（2）对受泄露钻井废水或油污染的土壤进行清理和置换，确保农业生产不受影响，同时避免雨水冲刷进入河流中。</w:t>
      </w:r>
    </w:p>
    <w:p>
      <w:pPr>
        <w:pStyle w:val="4"/>
        <w:ind w:firstLine="241"/>
      </w:pPr>
      <w:bookmarkStart w:id="352" w:name="_Toc120173199"/>
      <w:r>
        <w:rPr>
          <w:rFonts w:hint="eastAsia"/>
        </w:rPr>
        <w:t>6.6.</w:t>
      </w:r>
      <w:r>
        <w:t>6外运过程应急措施</w:t>
      </w:r>
      <w:bookmarkEnd w:id="352"/>
    </w:p>
    <w:p>
      <w:pPr>
        <w:ind w:firstLine="480"/>
        <w:rPr>
          <w:rFonts w:cs="Times New Roman"/>
          <w:color w:val="000000"/>
        </w:rPr>
      </w:pPr>
      <w:r>
        <w:rPr>
          <w:rFonts w:cs="Times New Roman"/>
          <w:color w:val="000000"/>
        </w:rPr>
        <w:t>废水外运均采用密闭罐车运输，固废采用密封袋装运输，罐体为钢板密封罐，发生翻车泄露的机率很小，且合格泥浆、返排液、钻井固废等无有毒有害物质，主要是含有机污染物，罐车输送的量约10t/车，一次运输量不大，发生事故时对环境也不会造成重大环境影响。一旦发生事故，井场废水外溢造成环境污染时，现场人员应及时向上级汇报并视情况向当地生态环境局汇报，同时采取有力措施，防止污染扩大。应急抢险应以尽量减少泄露量、控制废水扩散范围为基本原则。施工单位须制定出应急救援预案和与当地政府和有关部门建立相衔接的应急救援体系，并按规定程序报批后进行宣传和演练，加强信息交流，建立与相关方面的通讯联络系统。</w:t>
      </w:r>
    </w:p>
    <w:p>
      <w:pPr>
        <w:pStyle w:val="4"/>
        <w:ind w:firstLine="241"/>
      </w:pPr>
      <w:bookmarkStart w:id="353" w:name="_Toc120173200"/>
      <w:r>
        <w:rPr>
          <w:rFonts w:hint="eastAsia"/>
        </w:rPr>
        <w:t>6.6.</w:t>
      </w:r>
      <w:r>
        <w:t>7套外返水的应急措施</w:t>
      </w:r>
      <w:bookmarkEnd w:id="353"/>
    </w:p>
    <w:p>
      <w:pPr>
        <w:ind w:firstLine="480"/>
        <w:rPr>
          <w:rFonts w:cs="Times New Roman"/>
          <w:color w:val="000000"/>
        </w:rPr>
      </w:pPr>
      <w:r>
        <w:rPr>
          <w:rFonts w:cs="Times New Roman"/>
          <w:color w:val="000000"/>
        </w:rPr>
        <w:t>套外返水若是固井质量问题应采用工程措施进行封堵、封隔，消除套外返水情况。对受盐污染地下水采用抽采方式减缓污染，加快恢复。</w:t>
      </w:r>
    </w:p>
    <w:p>
      <w:pPr>
        <w:pStyle w:val="4"/>
        <w:ind w:firstLine="241"/>
      </w:pPr>
      <w:bookmarkStart w:id="354" w:name="_Toc120173201"/>
      <w:r>
        <w:rPr>
          <w:rFonts w:hint="eastAsia"/>
        </w:rPr>
        <w:t>6.6.</w:t>
      </w:r>
      <w:r>
        <w:t>8事故发生后外环境污染物的消除方案</w:t>
      </w:r>
      <w:bookmarkEnd w:id="354"/>
    </w:p>
    <w:p>
      <w:pPr>
        <w:ind w:firstLine="480"/>
        <w:rPr>
          <w:rFonts w:cs="Times New Roman"/>
          <w:color w:val="000000"/>
        </w:rPr>
      </w:pPr>
      <w:r>
        <w:rPr>
          <w:rFonts w:cs="Times New Roman"/>
          <w:color w:val="000000"/>
        </w:rPr>
        <w:t>当发生天然气扩散时，应及时进行井控，争取最短时间控制井喷源头，尽可能切断泄露源。天然气扩散时间短，通过空气流动自然扩散降低空气中可燃气体浓度。井喷失控点燃后可通过空气流动自然扩散和自然降雨降低空气中污染物浓度。对洒水收集的废水经收集后单独处理达标排放。</w:t>
      </w:r>
    </w:p>
    <w:p>
      <w:pPr>
        <w:pStyle w:val="4"/>
        <w:ind w:firstLine="241"/>
      </w:pPr>
      <w:bookmarkStart w:id="355" w:name="_Toc120173202"/>
      <w:r>
        <w:rPr>
          <w:rFonts w:hint="eastAsia"/>
        </w:rPr>
        <w:t>6.6.</w:t>
      </w:r>
      <w:r>
        <w:t>9宣传、培训和演习</w:t>
      </w:r>
      <w:bookmarkEnd w:id="355"/>
    </w:p>
    <w:p>
      <w:pPr>
        <w:ind w:firstLine="480"/>
        <w:rPr>
          <w:rFonts w:cs="Times New Roman"/>
          <w:color w:val="000000"/>
        </w:rPr>
      </w:pPr>
      <w:r>
        <w:rPr>
          <w:rFonts w:cs="Times New Roman"/>
          <w:color w:val="000000"/>
        </w:rPr>
        <w:t>（1）公众信息交流。各级政府、天然气开采企业要按规定向公众和员工说明天然气开采的危险性及发生事故可能造成的危害，广泛宣传应急救援有关法律法规和天然气开采事故预防、避险、避灾、自救、互救的常识。</w:t>
      </w:r>
    </w:p>
    <w:p>
      <w:pPr>
        <w:ind w:firstLine="480"/>
        <w:rPr>
          <w:rFonts w:cs="Times New Roman"/>
          <w:color w:val="000000"/>
        </w:rPr>
      </w:pPr>
      <w:r>
        <w:rPr>
          <w:rFonts w:cs="Times New Roman"/>
          <w:color w:val="000000"/>
        </w:rPr>
        <w:t>（2）培训。天然气开采有关应急救援队伍按照有关规定参加业务培训；天然气开发企业按照有关规定对员工进行应急培训；各级安全生产监督管理部门负责对应急救援培训情况进行监督检查。各级应急救援管理机构加强应急管理、救援人员的上岗前培训和常规性培训。</w:t>
      </w:r>
    </w:p>
    <w:p>
      <w:pPr>
        <w:ind w:firstLine="480"/>
        <w:rPr>
          <w:rFonts w:cs="Times New Roman"/>
          <w:color w:val="000000"/>
        </w:rPr>
      </w:pPr>
      <w:r>
        <w:rPr>
          <w:rFonts w:cs="Times New Roman"/>
          <w:color w:val="000000"/>
        </w:rPr>
        <w:t>（3）演习。普光分公司及所属单位每年至少组织一次环境事故应急的桌面演练或全面演习，并将演习总结报应急办公室。</w:t>
      </w:r>
    </w:p>
    <w:p>
      <w:pPr>
        <w:pStyle w:val="4"/>
        <w:ind w:firstLine="241"/>
      </w:pPr>
      <w:bookmarkStart w:id="356" w:name="_Toc120173203"/>
      <w:r>
        <w:rPr>
          <w:rFonts w:hint="eastAsia"/>
        </w:rPr>
        <w:t>6.6.</w:t>
      </w:r>
      <w:r>
        <w:t>10风险管理措施</w:t>
      </w:r>
      <w:bookmarkEnd w:id="356"/>
    </w:p>
    <w:p>
      <w:pPr>
        <w:ind w:firstLine="480"/>
        <w:rPr>
          <w:rFonts w:cs="Times New Roman"/>
          <w:color w:val="000000"/>
        </w:rPr>
      </w:pPr>
      <w:r>
        <w:rPr>
          <w:rFonts w:cs="Times New Roman"/>
          <w:color w:val="000000"/>
        </w:rPr>
        <w:t>普光分公司成立专门的为应对油气勘探、开发等生产经营过程中可能发生的重大突发事故，最大限度地保障人民群众生命和财产安全，减轻事故灾害。普光分公司建立了详细周密的应急救援体系，设立了三级应急救援网络。</w:t>
      </w:r>
    </w:p>
    <w:p>
      <w:pPr>
        <w:ind w:firstLine="480"/>
        <w:rPr>
          <w:rFonts w:cs="Times New Roman"/>
          <w:color w:val="000000"/>
        </w:rPr>
      </w:pPr>
      <w:r>
        <w:rPr>
          <w:rFonts w:cs="Times New Roman"/>
          <w:color w:val="000000"/>
        </w:rPr>
        <w:t>普光分公司应急领导小组负责所属范围内所有重、特大事故的应急管理。定期组织、检查、审核等五个专业事故应急小组职责履行情况。发生重大事故，专业应急小组进行应急指挥、调度、抢险、施救、现场调查、恢复生产等工作，普光分公司应急领导小组协调有关工作。对特大事故，普光分公司应急领导小组直接负责事故现场指挥、调度、抢险、施救、恢复生产，并会同地方政府、股份公司开展事故调查等工作。</w:t>
      </w:r>
    </w:p>
    <w:p>
      <w:pPr>
        <w:pStyle w:val="4"/>
        <w:ind w:firstLine="241"/>
      </w:pPr>
      <w:bookmarkStart w:id="357" w:name="_Toc120173204"/>
      <w:r>
        <w:rPr>
          <w:rFonts w:hint="eastAsia"/>
        </w:rPr>
        <w:t>6.6.1</w:t>
      </w:r>
      <w:r>
        <w:t>1应急联动</w:t>
      </w:r>
      <w:bookmarkEnd w:id="357"/>
    </w:p>
    <w:p>
      <w:pPr>
        <w:ind w:firstLine="480"/>
        <w:rPr>
          <w:rFonts w:cs="Times New Roman"/>
          <w:color w:val="000000"/>
        </w:rPr>
      </w:pPr>
      <w:r>
        <w:rPr>
          <w:rFonts w:cs="Times New Roman"/>
          <w:color w:val="000000"/>
        </w:rPr>
        <w:t>（1）上层联动：本项目所在的达州市、宣汉县、</w:t>
      </w:r>
      <w:r>
        <w:rPr>
          <w:rFonts w:hint="eastAsia" w:cs="Times New Roman"/>
          <w:color w:val="000000"/>
        </w:rPr>
        <w:t>普光</w:t>
      </w:r>
      <w:r>
        <w:rPr>
          <w:rFonts w:cs="Times New Roman"/>
          <w:color w:val="000000"/>
        </w:rPr>
        <w:t>镇政府均设置有应急管理办公室，工程的建设和运行得到了当地各级政府的大力支持，因此，在企业自身建立并完善应急响应机制的前提下，与地方进一步强化应急联动，应急联动具有可行性。</w:t>
      </w:r>
    </w:p>
    <w:p>
      <w:pPr>
        <w:ind w:firstLine="480"/>
        <w:rPr>
          <w:rFonts w:cs="Times New Roman"/>
          <w:color w:val="000000"/>
        </w:rPr>
      </w:pPr>
      <w:r>
        <w:rPr>
          <w:rFonts w:cs="Times New Roman"/>
          <w:color w:val="000000"/>
        </w:rPr>
        <w:t>（2）下层联动：开展项目周边人居调查工作，结合项目周边人员分布情况，落实紧急情况下的应急联络人，确保有效组织环境风险事故下的应急撤离。</w:t>
      </w:r>
    </w:p>
    <w:p>
      <w:pPr>
        <w:pStyle w:val="4"/>
        <w:ind w:firstLine="241"/>
      </w:pPr>
      <w:bookmarkStart w:id="358" w:name="_Toc120173205"/>
      <w:r>
        <w:rPr>
          <w:rFonts w:hint="eastAsia"/>
        </w:rPr>
        <w:t>6.6.1</w:t>
      </w:r>
      <w:r>
        <w:t>2普光分公司应急预案体系介绍</w:t>
      </w:r>
      <w:bookmarkEnd w:id="358"/>
    </w:p>
    <w:p>
      <w:pPr>
        <w:ind w:firstLine="480"/>
        <w:rPr>
          <w:rFonts w:cs="Times New Roman"/>
          <w:color w:val="000000"/>
        </w:rPr>
      </w:pPr>
      <w:r>
        <w:rPr>
          <w:rFonts w:cs="Times New Roman"/>
          <w:color w:val="000000"/>
        </w:rPr>
        <w:t>（1）备案情况</w:t>
      </w:r>
    </w:p>
    <w:p>
      <w:pPr>
        <w:ind w:firstLine="480"/>
        <w:rPr>
          <w:rFonts w:cs="Times New Roman"/>
          <w:color w:val="000000"/>
        </w:rPr>
      </w:pPr>
      <w:r>
        <w:rPr>
          <w:rFonts w:cs="Times New Roman"/>
          <w:color w:val="000000"/>
        </w:rPr>
        <w:t>中原油田普光分公司编制有《中原油田普光分公司环境应急预案（2021年4月》，2021年6月22日，达州市宣汉生态环境局同意备案（备案号：511722-2021-012-L），详见附件。</w:t>
      </w:r>
    </w:p>
    <w:p>
      <w:pPr>
        <w:ind w:firstLine="480"/>
        <w:rPr>
          <w:rFonts w:cs="Times New Roman"/>
          <w:color w:val="000000"/>
        </w:rPr>
      </w:pPr>
      <w:r>
        <w:rPr>
          <w:rFonts w:cs="Times New Roman"/>
          <w:color w:val="000000"/>
        </w:rPr>
        <w:t>（2）应急预案体系</w:t>
      </w:r>
    </w:p>
    <w:p>
      <w:pPr>
        <w:ind w:firstLine="480"/>
        <w:rPr>
          <w:rFonts w:cs="Times New Roman"/>
          <w:color w:val="000000"/>
        </w:rPr>
      </w:pPr>
      <w:r>
        <w:rPr>
          <w:rFonts w:cs="Times New Roman"/>
          <w:color w:val="000000"/>
        </w:rPr>
        <w:t>1）体系介绍</w:t>
      </w:r>
    </w:p>
    <w:p>
      <w:pPr>
        <w:ind w:firstLine="480"/>
        <w:rPr>
          <w:rFonts w:cs="Times New Roman"/>
          <w:color w:val="000000"/>
        </w:rPr>
      </w:pPr>
      <w:r>
        <w:rPr>
          <w:rFonts w:cs="Times New Roman"/>
          <w:color w:val="000000"/>
        </w:rPr>
        <w:t>普光分公司应急预案体系见</w:t>
      </w:r>
      <w:r>
        <w:rPr>
          <w:rFonts w:cs="Times New Roman"/>
          <w:color w:val="000000"/>
        </w:rPr>
        <w:fldChar w:fldCharType="begin"/>
      </w:r>
      <w:r>
        <w:rPr>
          <w:rFonts w:cs="Times New Roman"/>
          <w:color w:val="000000"/>
        </w:rPr>
        <w:instrText xml:space="preserve"> REF _Ref142923787 \h  \* MERGEFORMAT </w:instrText>
      </w:r>
      <w:r>
        <w:rPr>
          <w:rFonts w:cs="Times New Roman"/>
          <w:color w:val="000000"/>
        </w:rPr>
        <w:fldChar w:fldCharType="separate"/>
      </w:r>
      <w:r>
        <w:rPr>
          <w:rFonts w:cs="Times New Roman"/>
          <w:color w:val="000000"/>
        </w:rPr>
        <w:t>图6.6</w:t>
      </w:r>
      <w:r>
        <w:rPr>
          <w:rFonts w:cs="Times New Roman"/>
          <w:color w:val="000000"/>
        </w:rPr>
        <w:noBreakHyphen/>
      </w:r>
      <w:r>
        <w:rPr>
          <w:rFonts w:cs="Times New Roman"/>
          <w:color w:val="000000"/>
        </w:rPr>
        <w:t>1</w:t>
      </w:r>
      <w:r>
        <w:rPr>
          <w:rFonts w:cs="Times New Roman"/>
          <w:color w:val="000000"/>
        </w:rPr>
        <w:fldChar w:fldCharType="end"/>
      </w:r>
      <w:r>
        <w:rPr>
          <w:rFonts w:cs="Times New Roman"/>
          <w:color w:val="000000"/>
        </w:rPr>
        <w:t>。</w:t>
      </w:r>
    </w:p>
    <w:p>
      <w:pPr>
        <w:widowControl/>
        <w:spacing w:line="240" w:lineRule="auto"/>
        <w:ind w:firstLine="0" w:firstLineChars="0"/>
        <w:jc w:val="center"/>
        <w:rPr>
          <w:rFonts w:cs="Times New Roman"/>
          <w:color w:val="000000"/>
          <w:kern w:val="0"/>
          <w:sz w:val="29"/>
          <w:szCs w:val="29"/>
          <w:lang w:eastAsia="en-US"/>
        </w:rPr>
      </w:pPr>
      <w:r>
        <w:rPr>
          <w:rFonts w:cs="Times New Roman"/>
          <w:color w:val="000000"/>
          <w:kern w:val="0"/>
          <w:sz w:val="29"/>
          <w:szCs w:val="29"/>
        </w:rPr>
        <w:drawing>
          <wp:inline distT="0" distB="0" distL="0" distR="0">
            <wp:extent cx="4133850" cy="2638425"/>
            <wp:effectExtent l="0" t="0" r="0"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02"/>
                    <a:stretch>
                      <a:fillRect/>
                    </a:stretch>
                  </pic:blipFill>
                  <pic:spPr>
                    <a:xfrm>
                      <a:off x="0" y="0"/>
                      <a:ext cx="4133850" cy="2638425"/>
                    </a:xfrm>
                    <a:prstGeom prst="rect">
                      <a:avLst/>
                    </a:prstGeom>
                  </pic:spPr>
                </pic:pic>
              </a:graphicData>
            </a:graphic>
          </wp:inline>
        </w:drawing>
      </w:r>
    </w:p>
    <w:p>
      <w:pPr>
        <w:ind w:firstLine="0" w:firstLineChars="0"/>
        <w:jc w:val="center"/>
        <w:rPr>
          <w:rFonts w:cs="Times New Roman"/>
          <w:color w:val="000000"/>
          <w:sz w:val="21"/>
          <w:szCs w:val="28"/>
        </w:rPr>
      </w:pPr>
      <w:bookmarkStart w:id="359" w:name="_Ref142923787"/>
      <w:r>
        <w:rPr>
          <w:rFonts w:cs="Times New Roman"/>
          <w:color w:val="000000"/>
          <w:sz w:val="21"/>
          <w:szCs w:val="28"/>
        </w:rPr>
        <w:t>图</w:t>
      </w:r>
      <w:r>
        <w:rPr>
          <w:rFonts w:cs="Times New Roman"/>
          <w:color w:val="000000"/>
          <w:sz w:val="21"/>
          <w:szCs w:val="28"/>
        </w:rPr>
        <w:fldChar w:fldCharType="begin"/>
      </w:r>
      <w:r>
        <w:rPr>
          <w:rFonts w:cs="Times New Roman"/>
          <w:color w:val="000000"/>
          <w:sz w:val="21"/>
          <w:szCs w:val="28"/>
        </w:rPr>
        <w:instrText xml:space="preserve"> STYLEREF 2 \s </w:instrText>
      </w:r>
      <w:r>
        <w:rPr>
          <w:rFonts w:cs="Times New Roman"/>
          <w:color w:val="000000"/>
          <w:sz w:val="21"/>
          <w:szCs w:val="28"/>
        </w:rPr>
        <w:fldChar w:fldCharType="separate"/>
      </w:r>
      <w:r>
        <w:rPr>
          <w:rFonts w:cs="Times New Roman"/>
          <w:color w:val="000000"/>
          <w:sz w:val="21"/>
          <w:szCs w:val="28"/>
        </w:rPr>
        <w:t>6.6</w:t>
      </w:r>
      <w:r>
        <w:rPr>
          <w:rFonts w:cs="Times New Roman"/>
          <w:color w:val="000000"/>
          <w:sz w:val="21"/>
          <w:szCs w:val="28"/>
        </w:rPr>
        <w:fldChar w:fldCharType="end"/>
      </w:r>
      <w:r>
        <w:rPr>
          <w:rFonts w:cs="Times New Roman"/>
          <w:color w:val="000000"/>
          <w:sz w:val="21"/>
          <w:szCs w:val="28"/>
        </w:rPr>
        <w:noBreakHyphen/>
      </w:r>
      <w:r>
        <w:rPr>
          <w:rFonts w:cs="Times New Roman"/>
          <w:color w:val="000000"/>
          <w:sz w:val="21"/>
          <w:szCs w:val="28"/>
        </w:rPr>
        <w:fldChar w:fldCharType="begin"/>
      </w:r>
      <w:r>
        <w:rPr>
          <w:rFonts w:cs="Times New Roman"/>
          <w:color w:val="000000"/>
          <w:sz w:val="21"/>
          <w:szCs w:val="28"/>
        </w:rPr>
        <w:instrText xml:space="preserve"> SEQ 图 \* ARABIC \s 2 </w:instrText>
      </w:r>
      <w:r>
        <w:rPr>
          <w:rFonts w:cs="Times New Roman"/>
          <w:color w:val="000000"/>
          <w:sz w:val="21"/>
          <w:szCs w:val="28"/>
        </w:rPr>
        <w:fldChar w:fldCharType="separate"/>
      </w:r>
      <w:r>
        <w:rPr>
          <w:rFonts w:cs="Times New Roman"/>
          <w:color w:val="000000"/>
          <w:sz w:val="21"/>
          <w:szCs w:val="28"/>
        </w:rPr>
        <w:t>1</w:t>
      </w:r>
      <w:r>
        <w:rPr>
          <w:rFonts w:cs="Times New Roman"/>
          <w:color w:val="000000"/>
          <w:sz w:val="21"/>
          <w:szCs w:val="28"/>
        </w:rPr>
        <w:fldChar w:fldCharType="end"/>
      </w:r>
      <w:bookmarkEnd w:id="359"/>
      <w:r>
        <w:rPr>
          <w:rFonts w:cs="Times New Roman"/>
          <w:color w:val="000000"/>
          <w:sz w:val="21"/>
          <w:szCs w:val="28"/>
        </w:rPr>
        <w:t xml:space="preserve"> 普光分公司应急预案体系图</w:t>
      </w:r>
    </w:p>
    <w:p>
      <w:pPr>
        <w:ind w:firstLine="480"/>
        <w:rPr>
          <w:rFonts w:cs="Times New Roman"/>
          <w:color w:val="000000"/>
        </w:rPr>
      </w:pPr>
      <w:r>
        <w:rPr>
          <w:rFonts w:cs="Times New Roman"/>
          <w:color w:val="000000"/>
        </w:rPr>
        <w:t>专项应急预案包括高含H</w:t>
      </w:r>
      <w:r>
        <w:rPr>
          <w:rFonts w:cs="Times New Roman"/>
          <w:color w:val="000000"/>
          <w:vertAlign w:val="subscript"/>
        </w:rPr>
        <w:t>2</w:t>
      </w:r>
      <w:r>
        <w:rPr>
          <w:rFonts w:cs="Times New Roman"/>
          <w:color w:val="000000"/>
        </w:rPr>
        <w:t>S泄漏环境应急预案、火灾爆炸环境应急预案、水体环境污染应急预案、大气环境污染应急预案等。此外，普光分公司应急救援中心还编制了水体污染事件环境应急监测预案和H</w:t>
      </w:r>
      <w:r>
        <w:rPr>
          <w:rFonts w:cs="Times New Roman"/>
          <w:color w:val="000000"/>
          <w:vertAlign w:val="subscript"/>
        </w:rPr>
        <w:t>2</w:t>
      </w:r>
      <w:r>
        <w:rPr>
          <w:rFonts w:cs="Times New Roman"/>
          <w:color w:val="000000"/>
        </w:rPr>
        <w:t>S泄漏应急监测预案。</w:t>
      </w:r>
    </w:p>
    <w:p>
      <w:pPr>
        <w:ind w:firstLine="480"/>
        <w:rPr>
          <w:rFonts w:cs="Times New Roman"/>
          <w:color w:val="000000"/>
        </w:rPr>
      </w:pPr>
      <w:r>
        <w:rPr>
          <w:rFonts w:cs="Times New Roman"/>
          <w:color w:val="000000"/>
        </w:rPr>
        <w:t>2）普光分公司应急预案</w:t>
      </w:r>
    </w:p>
    <w:p>
      <w:pPr>
        <w:ind w:firstLine="480"/>
        <w:rPr>
          <w:rFonts w:cs="Times New Roman"/>
          <w:color w:val="000000"/>
        </w:rPr>
      </w:pPr>
      <w:r>
        <w:rPr>
          <w:rFonts w:cs="Times New Roman"/>
          <w:color w:val="000000"/>
        </w:rPr>
        <w:t>普光分公司综合应急预案框架见</w:t>
      </w:r>
      <w:r>
        <w:rPr>
          <w:rFonts w:cs="Times New Roman"/>
          <w:color w:val="000000"/>
        </w:rPr>
        <w:fldChar w:fldCharType="begin"/>
      </w:r>
      <w:r>
        <w:rPr>
          <w:rFonts w:cs="Times New Roman"/>
          <w:color w:val="000000"/>
        </w:rPr>
        <w:instrText xml:space="preserve"> REF _Ref142923793 \h  \* MERGEFORMAT </w:instrText>
      </w:r>
      <w:r>
        <w:rPr>
          <w:rFonts w:cs="Times New Roman"/>
          <w:color w:val="000000"/>
        </w:rPr>
        <w:fldChar w:fldCharType="separate"/>
      </w:r>
      <w:r>
        <w:rPr>
          <w:rFonts w:cs="Times New Roman"/>
          <w:color w:val="000000"/>
        </w:rPr>
        <w:t>图6.6</w:t>
      </w:r>
      <w:r>
        <w:rPr>
          <w:rFonts w:cs="Times New Roman"/>
          <w:color w:val="000000"/>
        </w:rPr>
        <w:noBreakHyphen/>
      </w:r>
      <w:r>
        <w:rPr>
          <w:rFonts w:cs="Times New Roman"/>
          <w:color w:val="000000"/>
        </w:rPr>
        <w:t>2</w:t>
      </w:r>
      <w:r>
        <w:rPr>
          <w:rFonts w:cs="Times New Roman"/>
          <w:color w:val="000000"/>
        </w:rPr>
        <w:fldChar w:fldCharType="end"/>
      </w:r>
      <w:r>
        <w:rPr>
          <w:rFonts w:cs="Times New Roman"/>
          <w:color w:val="000000"/>
        </w:rPr>
        <w:t>，普光分公司专项应急预案框架见</w:t>
      </w:r>
      <w:r>
        <w:rPr>
          <w:rFonts w:cs="Times New Roman"/>
          <w:color w:val="000000"/>
        </w:rPr>
        <w:fldChar w:fldCharType="begin"/>
      </w:r>
      <w:r>
        <w:rPr>
          <w:rFonts w:cs="Times New Roman"/>
          <w:color w:val="000000"/>
        </w:rPr>
        <w:instrText xml:space="preserve"> REF _Ref142923797 \h  \* MERGEFORMAT </w:instrText>
      </w:r>
      <w:r>
        <w:rPr>
          <w:rFonts w:cs="Times New Roman"/>
          <w:color w:val="000000"/>
        </w:rPr>
        <w:fldChar w:fldCharType="separate"/>
      </w:r>
      <w:r>
        <w:rPr>
          <w:rFonts w:cs="Times New Roman"/>
          <w:color w:val="000000"/>
        </w:rPr>
        <w:t>图6.6</w:t>
      </w:r>
      <w:r>
        <w:rPr>
          <w:rFonts w:cs="Times New Roman"/>
          <w:color w:val="000000"/>
        </w:rPr>
        <w:noBreakHyphen/>
      </w:r>
      <w:r>
        <w:rPr>
          <w:rFonts w:cs="Times New Roman"/>
          <w:color w:val="000000"/>
        </w:rPr>
        <w:t>3</w:t>
      </w:r>
      <w:r>
        <w:rPr>
          <w:rFonts w:cs="Times New Roman"/>
          <w:color w:val="000000"/>
        </w:rPr>
        <w:fldChar w:fldCharType="end"/>
      </w:r>
      <w:r>
        <w:rPr>
          <w:rFonts w:cs="Times New Roman"/>
          <w:color w:val="000000"/>
        </w:rPr>
        <w:t>。</w:t>
      </w:r>
    </w:p>
    <w:p>
      <w:pPr>
        <w:widowControl/>
        <w:spacing w:line="240" w:lineRule="auto"/>
        <w:ind w:firstLine="0" w:firstLineChars="0"/>
        <w:jc w:val="center"/>
        <w:rPr>
          <w:rFonts w:cs="Times New Roman"/>
          <w:color w:val="000000"/>
          <w:kern w:val="0"/>
          <w:sz w:val="29"/>
          <w:szCs w:val="29"/>
          <w:lang w:eastAsia="en-US"/>
        </w:rPr>
      </w:pPr>
      <w:r>
        <w:rPr>
          <w:rFonts w:cs="Times New Roman"/>
          <w:color w:val="000000"/>
          <w:kern w:val="0"/>
          <w:sz w:val="29"/>
          <w:szCs w:val="29"/>
        </w:rPr>
        <w:drawing>
          <wp:inline distT="0" distB="0" distL="0" distR="0">
            <wp:extent cx="5274310" cy="5882640"/>
            <wp:effectExtent l="0" t="0" r="2540" b="3810"/>
            <wp:docPr id="28" name="图片 28" descr="综合应急预案框架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综合应急预案框架图.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5274310" cy="5882640"/>
                    </a:xfrm>
                    <a:prstGeom prst="rect">
                      <a:avLst/>
                    </a:prstGeom>
                    <a:noFill/>
                    <a:ln>
                      <a:noFill/>
                    </a:ln>
                  </pic:spPr>
                </pic:pic>
              </a:graphicData>
            </a:graphic>
          </wp:inline>
        </w:drawing>
      </w:r>
    </w:p>
    <w:p>
      <w:pPr>
        <w:ind w:firstLine="0" w:firstLineChars="0"/>
        <w:jc w:val="center"/>
        <w:rPr>
          <w:rFonts w:cs="Times New Roman"/>
          <w:color w:val="000000"/>
          <w:sz w:val="21"/>
          <w:szCs w:val="28"/>
        </w:rPr>
      </w:pPr>
      <w:bookmarkStart w:id="360" w:name="_Ref142923793"/>
      <w:r>
        <w:rPr>
          <w:rFonts w:cs="Times New Roman"/>
          <w:color w:val="000000"/>
          <w:sz w:val="21"/>
          <w:szCs w:val="28"/>
        </w:rPr>
        <w:t>图</w:t>
      </w:r>
      <w:r>
        <w:rPr>
          <w:rFonts w:cs="Times New Roman"/>
          <w:color w:val="000000"/>
          <w:sz w:val="21"/>
          <w:szCs w:val="28"/>
        </w:rPr>
        <w:fldChar w:fldCharType="begin"/>
      </w:r>
      <w:r>
        <w:rPr>
          <w:rFonts w:cs="Times New Roman"/>
          <w:color w:val="000000"/>
          <w:sz w:val="21"/>
          <w:szCs w:val="28"/>
        </w:rPr>
        <w:instrText xml:space="preserve"> STYLEREF 2 \s </w:instrText>
      </w:r>
      <w:r>
        <w:rPr>
          <w:rFonts w:cs="Times New Roman"/>
          <w:color w:val="000000"/>
          <w:sz w:val="21"/>
          <w:szCs w:val="28"/>
        </w:rPr>
        <w:fldChar w:fldCharType="separate"/>
      </w:r>
      <w:r>
        <w:rPr>
          <w:rFonts w:cs="Times New Roman"/>
          <w:color w:val="000000"/>
          <w:sz w:val="21"/>
          <w:szCs w:val="28"/>
        </w:rPr>
        <w:t>6.6</w:t>
      </w:r>
      <w:r>
        <w:rPr>
          <w:rFonts w:cs="Times New Roman"/>
          <w:color w:val="000000"/>
          <w:sz w:val="21"/>
          <w:szCs w:val="28"/>
        </w:rPr>
        <w:fldChar w:fldCharType="end"/>
      </w:r>
      <w:r>
        <w:rPr>
          <w:rFonts w:cs="Times New Roman"/>
          <w:color w:val="000000"/>
          <w:sz w:val="21"/>
          <w:szCs w:val="28"/>
        </w:rPr>
        <w:noBreakHyphen/>
      </w:r>
      <w:r>
        <w:rPr>
          <w:rFonts w:cs="Times New Roman"/>
          <w:color w:val="000000"/>
          <w:sz w:val="21"/>
          <w:szCs w:val="28"/>
        </w:rPr>
        <w:fldChar w:fldCharType="begin"/>
      </w:r>
      <w:r>
        <w:rPr>
          <w:rFonts w:cs="Times New Roman"/>
          <w:color w:val="000000"/>
          <w:sz w:val="21"/>
          <w:szCs w:val="28"/>
        </w:rPr>
        <w:instrText xml:space="preserve"> SEQ 图 \* ARABIC \s 2 </w:instrText>
      </w:r>
      <w:r>
        <w:rPr>
          <w:rFonts w:cs="Times New Roman"/>
          <w:color w:val="000000"/>
          <w:sz w:val="21"/>
          <w:szCs w:val="28"/>
        </w:rPr>
        <w:fldChar w:fldCharType="separate"/>
      </w:r>
      <w:r>
        <w:rPr>
          <w:rFonts w:cs="Times New Roman"/>
          <w:color w:val="000000"/>
          <w:sz w:val="21"/>
          <w:szCs w:val="28"/>
        </w:rPr>
        <w:t>2</w:t>
      </w:r>
      <w:r>
        <w:rPr>
          <w:rFonts w:cs="Times New Roman"/>
          <w:color w:val="000000"/>
          <w:sz w:val="21"/>
          <w:szCs w:val="28"/>
        </w:rPr>
        <w:fldChar w:fldCharType="end"/>
      </w:r>
      <w:bookmarkEnd w:id="360"/>
      <w:r>
        <w:rPr>
          <w:rFonts w:cs="Times New Roman"/>
          <w:color w:val="000000"/>
          <w:sz w:val="21"/>
          <w:szCs w:val="28"/>
        </w:rPr>
        <w:t xml:space="preserve"> 普光分公司综合应急预案框架图</w:t>
      </w:r>
    </w:p>
    <w:p>
      <w:pPr>
        <w:widowControl/>
        <w:spacing w:line="240" w:lineRule="auto"/>
        <w:ind w:firstLine="0" w:firstLineChars="0"/>
        <w:jc w:val="center"/>
        <w:rPr>
          <w:rFonts w:cs="Times New Roman"/>
          <w:color w:val="000000"/>
          <w:kern w:val="0"/>
          <w:sz w:val="29"/>
          <w:szCs w:val="29"/>
          <w:lang w:eastAsia="en-US"/>
        </w:rPr>
      </w:pPr>
      <w:r>
        <w:rPr>
          <w:rFonts w:cs="Times New Roman"/>
          <w:color w:val="000000"/>
          <w:kern w:val="0"/>
          <w:sz w:val="29"/>
          <w:szCs w:val="29"/>
        </w:rPr>
        <w:drawing>
          <wp:inline distT="0" distB="0" distL="0" distR="0">
            <wp:extent cx="4810125" cy="5380355"/>
            <wp:effectExtent l="0" t="0" r="9525" b="0"/>
            <wp:docPr id="33" name="图片 33" descr="应急预案结构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应急预案结构图.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4824575" cy="5396332"/>
                    </a:xfrm>
                    <a:prstGeom prst="rect">
                      <a:avLst/>
                    </a:prstGeom>
                    <a:noFill/>
                    <a:ln>
                      <a:noFill/>
                    </a:ln>
                  </pic:spPr>
                </pic:pic>
              </a:graphicData>
            </a:graphic>
          </wp:inline>
        </w:drawing>
      </w:r>
    </w:p>
    <w:p>
      <w:pPr>
        <w:ind w:firstLine="0" w:firstLineChars="0"/>
        <w:jc w:val="center"/>
        <w:rPr>
          <w:rFonts w:cs="Times New Roman"/>
          <w:color w:val="000000"/>
          <w:sz w:val="21"/>
          <w:szCs w:val="28"/>
        </w:rPr>
      </w:pPr>
      <w:bookmarkStart w:id="361" w:name="_Ref142923797"/>
      <w:r>
        <w:rPr>
          <w:rFonts w:cs="Times New Roman"/>
          <w:color w:val="000000"/>
          <w:sz w:val="21"/>
          <w:szCs w:val="28"/>
        </w:rPr>
        <w:t>图</w:t>
      </w:r>
      <w:r>
        <w:rPr>
          <w:rFonts w:cs="Times New Roman"/>
          <w:color w:val="000000"/>
          <w:sz w:val="21"/>
          <w:szCs w:val="28"/>
        </w:rPr>
        <w:fldChar w:fldCharType="begin"/>
      </w:r>
      <w:r>
        <w:rPr>
          <w:rFonts w:cs="Times New Roman"/>
          <w:color w:val="000000"/>
          <w:sz w:val="21"/>
          <w:szCs w:val="28"/>
        </w:rPr>
        <w:instrText xml:space="preserve"> STYLEREF 2 \s </w:instrText>
      </w:r>
      <w:r>
        <w:rPr>
          <w:rFonts w:cs="Times New Roman"/>
          <w:color w:val="000000"/>
          <w:sz w:val="21"/>
          <w:szCs w:val="28"/>
        </w:rPr>
        <w:fldChar w:fldCharType="separate"/>
      </w:r>
      <w:r>
        <w:rPr>
          <w:rFonts w:cs="Times New Roman"/>
          <w:color w:val="000000"/>
          <w:sz w:val="21"/>
          <w:szCs w:val="28"/>
        </w:rPr>
        <w:t>6.6</w:t>
      </w:r>
      <w:r>
        <w:rPr>
          <w:rFonts w:cs="Times New Roman"/>
          <w:color w:val="000000"/>
          <w:sz w:val="21"/>
          <w:szCs w:val="28"/>
        </w:rPr>
        <w:fldChar w:fldCharType="end"/>
      </w:r>
      <w:r>
        <w:rPr>
          <w:rFonts w:cs="Times New Roman"/>
          <w:color w:val="000000"/>
          <w:sz w:val="21"/>
          <w:szCs w:val="28"/>
        </w:rPr>
        <w:noBreakHyphen/>
      </w:r>
      <w:r>
        <w:rPr>
          <w:rFonts w:cs="Times New Roman"/>
          <w:color w:val="000000"/>
          <w:sz w:val="21"/>
          <w:szCs w:val="28"/>
        </w:rPr>
        <w:fldChar w:fldCharType="begin"/>
      </w:r>
      <w:r>
        <w:rPr>
          <w:rFonts w:cs="Times New Roman"/>
          <w:color w:val="000000"/>
          <w:sz w:val="21"/>
          <w:szCs w:val="28"/>
        </w:rPr>
        <w:instrText xml:space="preserve"> SEQ 图 \* ARABIC \s 2 </w:instrText>
      </w:r>
      <w:r>
        <w:rPr>
          <w:rFonts w:cs="Times New Roman"/>
          <w:color w:val="000000"/>
          <w:sz w:val="21"/>
          <w:szCs w:val="28"/>
        </w:rPr>
        <w:fldChar w:fldCharType="separate"/>
      </w:r>
      <w:r>
        <w:rPr>
          <w:rFonts w:cs="Times New Roman"/>
          <w:color w:val="000000"/>
          <w:sz w:val="21"/>
          <w:szCs w:val="28"/>
        </w:rPr>
        <w:t>3</w:t>
      </w:r>
      <w:r>
        <w:rPr>
          <w:rFonts w:cs="Times New Roman"/>
          <w:color w:val="000000"/>
          <w:sz w:val="21"/>
          <w:szCs w:val="28"/>
        </w:rPr>
        <w:fldChar w:fldCharType="end"/>
      </w:r>
      <w:bookmarkEnd w:id="361"/>
      <w:r>
        <w:rPr>
          <w:rFonts w:cs="Times New Roman"/>
          <w:color w:val="000000"/>
          <w:sz w:val="21"/>
          <w:szCs w:val="28"/>
        </w:rPr>
        <w:t xml:space="preserve"> 普光分公司专项应急预案框架图</w:t>
      </w:r>
    </w:p>
    <w:p>
      <w:pPr>
        <w:ind w:firstLine="480"/>
        <w:rPr>
          <w:rFonts w:cs="Times New Roman"/>
          <w:color w:val="000000"/>
        </w:rPr>
      </w:pPr>
      <w:r>
        <w:rPr>
          <w:rFonts w:cs="Times New Roman"/>
          <w:color w:val="000000"/>
        </w:rPr>
        <w:t>（3）普光分公司应急组织机构</w:t>
      </w:r>
    </w:p>
    <w:p>
      <w:pPr>
        <w:widowControl/>
        <w:spacing w:line="240" w:lineRule="auto"/>
        <w:ind w:firstLine="0" w:firstLineChars="0"/>
        <w:jc w:val="center"/>
        <w:rPr>
          <w:rFonts w:cs="Times New Roman"/>
          <w:color w:val="000000"/>
          <w:kern w:val="0"/>
          <w:sz w:val="29"/>
          <w:szCs w:val="29"/>
        </w:rPr>
      </w:pPr>
      <w:r>
        <w:rPr>
          <w:rFonts w:cs="Times New Roman"/>
          <w:color w:val="000000"/>
          <w:kern w:val="0"/>
          <w:sz w:val="29"/>
          <w:szCs w:val="29"/>
        </w:rPr>
        <w:drawing>
          <wp:inline distT="0" distB="0" distL="0" distR="0">
            <wp:extent cx="5274310" cy="4202430"/>
            <wp:effectExtent l="0" t="0" r="2540"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05"/>
                    <a:stretch>
                      <a:fillRect/>
                    </a:stretch>
                  </pic:blipFill>
                  <pic:spPr>
                    <a:xfrm>
                      <a:off x="0" y="0"/>
                      <a:ext cx="5274310" cy="4202430"/>
                    </a:xfrm>
                    <a:prstGeom prst="rect">
                      <a:avLst/>
                    </a:prstGeom>
                  </pic:spPr>
                </pic:pic>
              </a:graphicData>
            </a:graphic>
          </wp:inline>
        </w:drawing>
      </w:r>
      <w:r>
        <w:rPr>
          <w:rFonts w:cs="Times New Roman"/>
          <w:color w:val="000000"/>
          <w:sz w:val="21"/>
          <w:szCs w:val="28"/>
        </w:rPr>
        <w:t>图</w:t>
      </w:r>
      <w:r>
        <w:rPr>
          <w:rFonts w:cs="Times New Roman"/>
          <w:color w:val="000000"/>
          <w:sz w:val="21"/>
          <w:szCs w:val="28"/>
        </w:rPr>
        <w:fldChar w:fldCharType="begin"/>
      </w:r>
      <w:r>
        <w:rPr>
          <w:rFonts w:cs="Times New Roman"/>
          <w:color w:val="000000"/>
          <w:sz w:val="21"/>
          <w:szCs w:val="28"/>
        </w:rPr>
        <w:instrText xml:space="preserve"> STYLEREF 2 \s </w:instrText>
      </w:r>
      <w:r>
        <w:rPr>
          <w:rFonts w:cs="Times New Roman"/>
          <w:color w:val="000000"/>
          <w:sz w:val="21"/>
          <w:szCs w:val="28"/>
        </w:rPr>
        <w:fldChar w:fldCharType="separate"/>
      </w:r>
      <w:r>
        <w:rPr>
          <w:rFonts w:cs="Times New Roman"/>
          <w:color w:val="000000"/>
          <w:sz w:val="21"/>
          <w:szCs w:val="28"/>
        </w:rPr>
        <w:t>6.6</w:t>
      </w:r>
      <w:r>
        <w:rPr>
          <w:rFonts w:cs="Times New Roman"/>
          <w:color w:val="000000"/>
          <w:sz w:val="21"/>
          <w:szCs w:val="28"/>
        </w:rPr>
        <w:fldChar w:fldCharType="end"/>
      </w:r>
      <w:r>
        <w:rPr>
          <w:rFonts w:cs="Times New Roman"/>
          <w:color w:val="000000"/>
          <w:sz w:val="21"/>
          <w:szCs w:val="28"/>
        </w:rPr>
        <w:noBreakHyphen/>
      </w:r>
      <w:r>
        <w:rPr>
          <w:rFonts w:cs="Times New Roman"/>
          <w:color w:val="000000"/>
          <w:sz w:val="21"/>
          <w:szCs w:val="28"/>
        </w:rPr>
        <w:fldChar w:fldCharType="begin"/>
      </w:r>
      <w:r>
        <w:rPr>
          <w:rFonts w:cs="Times New Roman"/>
          <w:color w:val="000000"/>
          <w:sz w:val="21"/>
          <w:szCs w:val="28"/>
        </w:rPr>
        <w:instrText xml:space="preserve"> SEQ 图 \* ARABIC \s 2 </w:instrText>
      </w:r>
      <w:r>
        <w:rPr>
          <w:rFonts w:cs="Times New Roman"/>
          <w:color w:val="000000"/>
          <w:sz w:val="21"/>
          <w:szCs w:val="28"/>
        </w:rPr>
        <w:fldChar w:fldCharType="separate"/>
      </w:r>
      <w:r>
        <w:rPr>
          <w:rFonts w:cs="Times New Roman"/>
          <w:color w:val="000000"/>
          <w:sz w:val="21"/>
          <w:szCs w:val="28"/>
        </w:rPr>
        <w:t>4</w:t>
      </w:r>
      <w:r>
        <w:rPr>
          <w:rFonts w:cs="Times New Roman"/>
          <w:color w:val="000000"/>
          <w:sz w:val="21"/>
          <w:szCs w:val="28"/>
        </w:rPr>
        <w:fldChar w:fldCharType="end"/>
      </w:r>
      <w:r>
        <w:rPr>
          <w:rFonts w:cs="Times New Roman"/>
          <w:color w:val="000000"/>
          <w:sz w:val="21"/>
          <w:szCs w:val="28"/>
        </w:rPr>
        <w:t xml:space="preserve"> 应急管理组织机构框图</w:t>
      </w:r>
    </w:p>
    <w:p>
      <w:pPr>
        <w:ind w:firstLine="480"/>
        <w:rPr>
          <w:rFonts w:cs="Times New Roman"/>
          <w:bCs/>
          <w:color w:val="000000"/>
        </w:rPr>
      </w:pPr>
      <w:r>
        <w:rPr>
          <w:rFonts w:cs="Times New Roman"/>
          <w:bCs/>
          <w:color w:val="000000"/>
        </w:rPr>
        <w:t>（4）应急响应</w:t>
      </w:r>
    </w:p>
    <w:p>
      <w:pPr>
        <w:ind w:firstLine="480"/>
        <w:rPr>
          <w:rFonts w:cs="Times New Roman"/>
          <w:color w:val="000000"/>
        </w:rPr>
      </w:pPr>
      <w:r>
        <w:rPr>
          <w:rFonts w:cs="Times New Roman"/>
          <w:color w:val="000000"/>
        </w:rPr>
        <w:t>1）分类与分级</w:t>
      </w:r>
    </w:p>
    <w:p>
      <w:pPr>
        <w:ind w:firstLine="480"/>
        <w:rPr>
          <w:rFonts w:cs="Times New Roman"/>
          <w:color w:val="000000"/>
        </w:rPr>
      </w:pPr>
      <w:r>
        <w:rPr>
          <w:rFonts w:hint="eastAsia" w:ascii="宋体" w:hAnsi="宋体" w:cs="宋体"/>
          <w:color w:val="000000"/>
        </w:rPr>
        <w:t>①</w:t>
      </w:r>
      <w:r>
        <w:rPr>
          <w:rFonts w:cs="Times New Roman"/>
          <w:color w:val="000000"/>
        </w:rPr>
        <w:t>分类</w:t>
      </w:r>
    </w:p>
    <w:p>
      <w:pPr>
        <w:ind w:firstLine="480"/>
        <w:rPr>
          <w:rFonts w:cs="Times New Roman"/>
          <w:color w:val="000000"/>
        </w:rPr>
      </w:pPr>
      <w:r>
        <w:rPr>
          <w:rFonts w:cs="Times New Roman"/>
          <w:color w:val="000000"/>
        </w:rPr>
        <w:t>分公司各所属单位应根据应急事件的发生过程、性质和机理，按照工业生产事件、公共卫生事件、自然灾害事件和社会安全事件的类别，经危害识别、风险评估，确定单位内可能发生或易发生的应急事件。</w:t>
      </w:r>
    </w:p>
    <w:p>
      <w:pPr>
        <w:ind w:firstLine="480"/>
        <w:rPr>
          <w:rFonts w:cs="Times New Roman"/>
          <w:color w:val="000000"/>
        </w:rPr>
      </w:pPr>
      <w:r>
        <w:rPr>
          <w:rFonts w:hint="eastAsia" w:ascii="宋体" w:hAnsi="宋体" w:cs="宋体"/>
          <w:color w:val="000000"/>
        </w:rPr>
        <w:t>②</w:t>
      </w:r>
      <w:r>
        <w:rPr>
          <w:rFonts w:cs="Times New Roman"/>
          <w:color w:val="000000"/>
        </w:rPr>
        <w:t>分级</w:t>
      </w:r>
    </w:p>
    <w:p>
      <w:pPr>
        <w:ind w:firstLine="480"/>
        <w:rPr>
          <w:rFonts w:cs="Times New Roman"/>
          <w:color w:val="000000"/>
        </w:rPr>
      </w:pPr>
      <w:r>
        <w:rPr>
          <w:rFonts w:cs="Times New Roman"/>
          <w:color w:val="000000"/>
        </w:rPr>
        <w:t>为了有效处置各类突发事件，按照突发事件的性质、危害程度、可控性、影响范围、人员伤亡和财产损失等因素，并依据机构设置情况，由高到低分为五个级别：</w:t>
      </w:r>
      <w:r>
        <w:rPr>
          <w:rFonts w:hint="eastAsia" w:ascii="宋体" w:hAnsi="宋体" w:cs="宋体"/>
          <w:color w:val="000000"/>
        </w:rPr>
        <w:t>Ⅰ</w:t>
      </w:r>
      <w:r>
        <w:rPr>
          <w:rFonts w:cs="Times New Roman"/>
          <w:color w:val="000000"/>
        </w:rPr>
        <w:t>（中国石化）级、</w:t>
      </w:r>
      <w:r>
        <w:rPr>
          <w:rFonts w:hint="eastAsia" w:ascii="宋体" w:hAnsi="宋体" w:cs="宋体"/>
          <w:color w:val="000000"/>
        </w:rPr>
        <w:t>Ⅱ</w:t>
      </w:r>
      <w:r>
        <w:rPr>
          <w:rFonts w:cs="Times New Roman"/>
          <w:color w:val="000000"/>
        </w:rPr>
        <w:t>（中原油田）级、</w:t>
      </w:r>
      <w:r>
        <w:rPr>
          <w:rFonts w:hint="eastAsia" w:ascii="宋体" w:hAnsi="宋体" w:cs="宋体"/>
          <w:color w:val="000000"/>
        </w:rPr>
        <w:t>Ⅲ</w:t>
      </w:r>
      <w:r>
        <w:rPr>
          <w:rFonts w:cs="Times New Roman"/>
          <w:color w:val="000000"/>
        </w:rPr>
        <w:t>（分公司）级、</w:t>
      </w:r>
      <w:r>
        <w:rPr>
          <w:rFonts w:hint="eastAsia" w:ascii="宋体" w:hAnsi="宋体" w:cs="宋体"/>
          <w:color w:val="000000"/>
        </w:rPr>
        <w:t>Ⅳ</w:t>
      </w:r>
      <w:r>
        <w:rPr>
          <w:rFonts w:cs="Times New Roman"/>
          <w:color w:val="000000"/>
        </w:rPr>
        <w:t>（厂）级、</w:t>
      </w:r>
      <w:r>
        <w:rPr>
          <w:rFonts w:hint="eastAsia" w:ascii="宋体" w:hAnsi="宋体" w:cs="宋体"/>
          <w:color w:val="000000"/>
        </w:rPr>
        <w:t>Ⅴ</w:t>
      </w:r>
      <w:r>
        <w:rPr>
          <w:rFonts w:cs="Times New Roman"/>
          <w:color w:val="000000"/>
        </w:rPr>
        <w:t>（车间、区）级等。</w:t>
      </w:r>
    </w:p>
    <w:p>
      <w:pPr>
        <w:ind w:firstLine="480"/>
        <w:rPr>
          <w:rFonts w:cs="Times New Roman"/>
          <w:color w:val="000000"/>
        </w:rPr>
      </w:pPr>
      <w:r>
        <w:rPr>
          <w:rFonts w:cs="Times New Roman"/>
          <w:color w:val="000000"/>
        </w:rPr>
        <w:t>2）响应程序</w:t>
      </w:r>
    </w:p>
    <w:p>
      <w:pPr>
        <w:ind w:firstLine="480"/>
        <w:rPr>
          <w:rFonts w:cs="Times New Roman"/>
          <w:color w:val="000000"/>
        </w:rPr>
      </w:pPr>
      <w:r>
        <w:rPr>
          <w:rFonts w:hint="eastAsia" w:ascii="宋体" w:hAnsi="宋体" w:cs="宋体"/>
          <w:color w:val="000000"/>
        </w:rPr>
        <w:t>①</w:t>
      </w:r>
      <w:r>
        <w:rPr>
          <w:rFonts w:cs="Times New Roman"/>
          <w:color w:val="000000"/>
        </w:rPr>
        <w:t>应急启动条件</w:t>
      </w:r>
    </w:p>
    <w:p>
      <w:pPr>
        <w:ind w:firstLine="480"/>
        <w:rPr>
          <w:rFonts w:cs="Times New Roman"/>
          <w:color w:val="000000"/>
        </w:rPr>
      </w:pPr>
      <w:r>
        <w:rPr>
          <w:rFonts w:cs="Times New Roman"/>
          <w:color w:val="000000"/>
        </w:rPr>
        <w:t>符合以下条件之一时，应启动本预案：</w:t>
      </w:r>
    </w:p>
    <w:p>
      <w:pPr>
        <w:ind w:firstLine="480"/>
        <w:rPr>
          <w:rFonts w:cs="Times New Roman"/>
          <w:color w:val="000000"/>
        </w:rPr>
      </w:pPr>
      <w:r>
        <w:rPr>
          <w:rFonts w:cs="Times New Roman"/>
          <w:color w:val="000000"/>
        </w:rPr>
        <w:t>a）中原油田要求分公司启动应急预案时；</w:t>
      </w:r>
    </w:p>
    <w:p>
      <w:pPr>
        <w:ind w:firstLine="480"/>
        <w:rPr>
          <w:rFonts w:cs="Times New Roman"/>
          <w:color w:val="000000"/>
        </w:rPr>
      </w:pPr>
      <w:r>
        <w:rPr>
          <w:rFonts w:cs="Times New Roman"/>
          <w:color w:val="000000"/>
        </w:rPr>
        <w:t>b）市、县级人民政府要求分公司启动应急预案时；</w:t>
      </w:r>
    </w:p>
    <w:p>
      <w:pPr>
        <w:ind w:firstLine="480"/>
        <w:rPr>
          <w:rFonts w:cs="Times New Roman"/>
          <w:color w:val="000000"/>
        </w:rPr>
      </w:pPr>
      <w:r>
        <w:rPr>
          <w:rFonts w:cs="Times New Roman"/>
          <w:color w:val="000000"/>
        </w:rPr>
        <w:t>c）发生</w:t>
      </w:r>
      <w:r>
        <w:rPr>
          <w:rFonts w:hint="eastAsia" w:ascii="宋体" w:hAnsi="宋体" w:cs="宋体"/>
          <w:color w:val="000000"/>
        </w:rPr>
        <w:t>Ⅲ</w:t>
      </w:r>
      <w:r>
        <w:rPr>
          <w:rFonts w:cs="Times New Roman"/>
          <w:color w:val="000000"/>
        </w:rPr>
        <w:t>（分公司）级及</w:t>
      </w:r>
      <w:r>
        <w:rPr>
          <w:rFonts w:hint="eastAsia" w:ascii="宋体" w:hAnsi="宋体" w:cs="宋体"/>
          <w:color w:val="000000"/>
        </w:rPr>
        <w:t>Ⅲ</w:t>
      </w:r>
      <w:r>
        <w:rPr>
          <w:rFonts w:cs="Times New Roman"/>
          <w:color w:val="000000"/>
        </w:rPr>
        <w:t>级以上事件时；</w:t>
      </w:r>
    </w:p>
    <w:p>
      <w:pPr>
        <w:ind w:firstLine="480"/>
        <w:rPr>
          <w:rFonts w:cs="Times New Roman"/>
          <w:color w:val="000000"/>
        </w:rPr>
      </w:pPr>
      <w:r>
        <w:rPr>
          <w:rFonts w:cs="Times New Roman"/>
          <w:color w:val="000000"/>
        </w:rPr>
        <w:t>d）所属单位请求时。</w:t>
      </w:r>
    </w:p>
    <w:p>
      <w:pPr>
        <w:ind w:firstLine="480"/>
        <w:rPr>
          <w:rFonts w:cs="Times New Roman"/>
          <w:color w:val="000000"/>
        </w:rPr>
      </w:pPr>
      <w:r>
        <w:rPr>
          <w:rFonts w:hint="eastAsia" w:ascii="宋体" w:hAnsi="宋体" w:cs="宋体"/>
          <w:color w:val="000000"/>
        </w:rPr>
        <w:t>②</w:t>
      </w:r>
      <w:r>
        <w:rPr>
          <w:rFonts w:cs="Times New Roman"/>
          <w:color w:val="000000"/>
        </w:rPr>
        <w:t>应急指令</w:t>
      </w:r>
    </w:p>
    <w:p>
      <w:pPr>
        <w:ind w:firstLine="480"/>
        <w:rPr>
          <w:rFonts w:cs="Times New Roman"/>
          <w:color w:val="000000"/>
        </w:rPr>
      </w:pPr>
      <w:r>
        <w:rPr>
          <w:rFonts w:cs="Times New Roman"/>
          <w:color w:val="000000"/>
        </w:rPr>
        <w:t>发生突发事件时，应急指令下达程序见</w:t>
      </w:r>
      <w:r>
        <w:rPr>
          <w:rFonts w:cs="Times New Roman"/>
          <w:color w:val="000000"/>
        </w:rPr>
        <w:fldChar w:fldCharType="begin"/>
      </w:r>
      <w:r>
        <w:rPr>
          <w:rFonts w:cs="Times New Roman"/>
          <w:color w:val="000000"/>
        </w:rPr>
        <w:instrText xml:space="preserve"> REF _Ref142923854 \h  \* MERGEFORMAT </w:instrText>
      </w:r>
      <w:r>
        <w:rPr>
          <w:rFonts w:cs="Times New Roman"/>
          <w:color w:val="000000"/>
        </w:rPr>
        <w:fldChar w:fldCharType="separate"/>
      </w:r>
      <w:r>
        <w:rPr>
          <w:rFonts w:cs="Times New Roman"/>
          <w:color w:val="000000"/>
        </w:rPr>
        <w:t>图6.6</w:t>
      </w:r>
      <w:r>
        <w:rPr>
          <w:rFonts w:cs="Times New Roman"/>
          <w:color w:val="000000"/>
        </w:rPr>
        <w:noBreakHyphen/>
      </w:r>
      <w:r>
        <w:rPr>
          <w:rFonts w:cs="Times New Roman"/>
          <w:color w:val="000000"/>
        </w:rPr>
        <w:t>5</w:t>
      </w:r>
      <w:r>
        <w:rPr>
          <w:rFonts w:cs="Times New Roman"/>
          <w:color w:val="000000"/>
        </w:rPr>
        <w:fldChar w:fldCharType="end"/>
      </w:r>
      <w:r>
        <w:rPr>
          <w:rFonts w:cs="Times New Roman"/>
          <w:color w:val="000000"/>
        </w:rPr>
        <w:t>。</w:t>
      </w:r>
    </w:p>
    <w:p>
      <w:pPr>
        <w:widowControl/>
        <w:spacing w:line="240" w:lineRule="auto"/>
        <w:ind w:firstLine="0" w:firstLineChars="0"/>
        <w:jc w:val="center"/>
        <w:rPr>
          <w:rFonts w:cs="Times New Roman"/>
          <w:color w:val="000000"/>
          <w:kern w:val="0"/>
          <w:sz w:val="29"/>
          <w:szCs w:val="29"/>
          <w:lang w:eastAsia="en-US"/>
        </w:rPr>
      </w:pPr>
      <w:r>
        <w:rPr>
          <w:rFonts w:cs="Times New Roman"/>
          <w:color w:val="000000"/>
          <w:kern w:val="0"/>
          <w:sz w:val="29"/>
          <w:szCs w:val="29"/>
        </w:rPr>
        <w:drawing>
          <wp:inline distT="0" distB="0" distL="0" distR="0">
            <wp:extent cx="5274310" cy="4931410"/>
            <wp:effectExtent l="0" t="0" r="2540" b="25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06"/>
                    <a:stretch>
                      <a:fillRect/>
                    </a:stretch>
                  </pic:blipFill>
                  <pic:spPr>
                    <a:xfrm>
                      <a:off x="0" y="0"/>
                      <a:ext cx="5274310" cy="4931410"/>
                    </a:xfrm>
                    <a:prstGeom prst="rect">
                      <a:avLst/>
                    </a:prstGeom>
                  </pic:spPr>
                </pic:pic>
              </a:graphicData>
            </a:graphic>
          </wp:inline>
        </w:drawing>
      </w:r>
    </w:p>
    <w:p>
      <w:pPr>
        <w:ind w:firstLine="0" w:firstLineChars="0"/>
        <w:jc w:val="center"/>
        <w:rPr>
          <w:rFonts w:cs="Times New Roman"/>
          <w:color w:val="000000"/>
          <w:sz w:val="21"/>
          <w:szCs w:val="28"/>
        </w:rPr>
      </w:pPr>
      <w:bookmarkStart w:id="362" w:name="_Ref142923854"/>
      <w:r>
        <w:rPr>
          <w:rFonts w:cs="Times New Roman"/>
          <w:color w:val="000000"/>
          <w:sz w:val="21"/>
          <w:szCs w:val="28"/>
        </w:rPr>
        <w:t>图</w:t>
      </w:r>
      <w:r>
        <w:rPr>
          <w:rFonts w:cs="Times New Roman"/>
          <w:color w:val="000000"/>
          <w:sz w:val="21"/>
          <w:szCs w:val="28"/>
        </w:rPr>
        <w:fldChar w:fldCharType="begin"/>
      </w:r>
      <w:r>
        <w:rPr>
          <w:rFonts w:cs="Times New Roman"/>
          <w:color w:val="000000"/>
          <w:sz w:val="21"/>
          <w:szCs w:val="28"/>
        </w:rPr>
        <w:instrText xml:space="preserve"> STYLEREF 2 \s </w:instrText>
      </w:r>
      <w:r>
        <w:rPr>
          <w:rFonts w:cs="Times New Roman"/>
          <w:color w:val="000000"/>
          <w:sz w:val="21"/>
          <w:szCs w:val="28"/>
        </w:rPr>
        <w:fldChar w:fldCharType="separate"/>
      </w:r>
      <w:r>
        <w:rPr>
          <w:rFonts w:cs="Times New Roman"/>
          <w:color w:val="000000"/>
          <w:sz w:val="21"/>
          <w:szCs w:val="28"/>
        </w:rPr>
        <w:t>6.6</w:t>
      </w:r>
      <w:r>
        <w:rPr>
          <w:rFonts w:cs="Times New Roman"/>
          <w:color w:val="000000"/>
          <w:sz w:val="21"/>
          <w:szCs w:val="28"/>
        </w:rPr>
        <w:fldChar w:fldCharType="end"/>
      </w:r>
      <w:r>
        <w:rPr>
          <w:rFonts w:cs="Times New Roman"/>
          <w:color w:val="000000"/>
          <w:sz w:val="21"/>
          <w:szCs w:val="28"/>
        </w:rPr>
        <w:noBreakHyphen/>
      </w:r>
      <w:r>
        <w:rPr>
          <w:rFonts w:cs="Times New Roman"/>
          <w:color w:val="000000"/>
          <w:sz w:val="21"/>
          <w:szCs w:val="28"/>
        </w:rPr>
        <w:fldChar w:fldCharType="begin"/>
      </w:r>
      <w:r>
        <w:rPr>
          <w:rFonts w:cs="Times New Roman"/>
          <w:color w:val="000000"/>
          <w:sz w:val="21"/>
          <w:szCs w:val="28"/>
        </w:rPr>
        <w:instrText xml:space="preserve"> SEQ 图 \* ARABIC \s 2 </w:instrText>
      </w:r>
      <w:r>
        <w:rPr>
          <w:rFonts w:cs="Times New Roman"/>
          <w:color w:val="000000"/>
          <w:sz w:val="21"/>
          <w:szCs w:val="28"/>
        </w:rPr>
        <w:fldChar w:fldCharType="separate"/>
      </w:r>
      <w:r>
        <w:rPr>
          <w:rFonts w:cs="Times New Roman"/>
          <w:color w:val="000000"/>
          <w:sz w:val="21"/>
          <w:szCs w:val="28"/>
        </w:rPr>
        <w:t>5</w:t>
      </w:r>
      <w:r>
        <w:rPr>
          <w:rFonts w:cs="Times New Roman"/>
          <w:color w:val="000000"/>
          <w:sz w:val="21"/>
          <w:szCs w:val="28"/>
        </w:rPr>
        <w:fldChar w:fldCharType="end"/>
      </w:r>
      <w:bookmarkEnd w:id="362"/>
      <w:r>
        <w:rPr>
          <w:rFonts w:cs="Times New Roman"/>
          <w:color w:val="000000"/>
          <w:sz w:val="21"/>
          <w:szCs w:val="28"/>
        </w:rPr>
        <w:t xml:space="preserve"> 普光分公司应急指令下达程序框图</w:t>
      </w:r>
    </w:p>
    <w:p>
      <w:pPr>
        <w:ind w:firstLine="480"/>
        <w:rPr>
          <w:rFonts w:cs="Times New Roman"/>
          <w:color w:val="000000"/>
        </w:rPr>
      </w:pPr>
      <w:r>
        <w:rPr>
          <w:rFonts w:hint="eastAsia" w:ascii="宋体" w:hAnsi="宋体" w:cs="宋体"/>
          <w:color w:val="000000"/>
        </w:rPr>
        <w:t>③</w:t>
      </w:r>
      <w:r>
        <w:rPr>
          <w:rFonts w:cs="Times New Roman"/>
          <w:color w:val="000000"/>
        </w:rPr>
        <w:t>应急处置</w:t>
      </w:r>
    </w:p>
    <w:p>
      <w:pPr>
        <w:ind w:firstLine="480"/>
        <w:rPr>
          <w:rFonts w:cs="Times New Roman"/>
          <w:color w:val="000000"/>
        </w:rPr>
      </w:pPr>
      <w:r>
        <w:rPr>
          <w:rFonts w:cs="Times New Roman"/>
          <w:color w:val="000000"/>
        </w:rPr>
        <w:t>当符合应急预案启动条件时，分公司应急指挥中心应立即下达启动本预案的指令，并按照本预案中相应专项应急预案的要求实施应急处置。</w:t>
      </w:r>
    </w:p>
    <w:p>
      <w:pPr>
        <w:ind w:firstLine="480"/>
        <w:rPr>
          <w:rFonts w:cs="Times New Roman"/>
          <w:color w:val="000000"/>
        </w:rPr>
      </w:pPr>
      <w:r>
        <w:rPr>
          <w:rFonts w:cs="Times New Roman"/>
          <w:color w:val="000000"/>
        </w:rPr>
        <w:t>当事件难以控制时，分公司应急指挥中心应请求启动相应的应急预案，并向市级政府应急管理办公室报告，请求支援。</w:t>
      </w:r>
    </w:p>
    <w:p>
      <w:pPr>
        <w:ind w:firstLine="482"/>
        <w:rPr>
          <w:rFonts w:cs="Times New Roman"/>
          <w:b/>
          <w:color w:val="000000"/>
        </w:rPr>
      </w:pPr>
      <w:r>
        <w:rPr>
          <w:rFonts w:cs="Times New Roman"/>
          <w:b/>
          <w:color w:val="000000"/>
        </w:rPr>
        <w:t>（5）应急结束</w:t>
      </w:r>
    </w:p>
    <w:p>
      <w:pPr>
        <w:ind w:firstLine="480"/>
        <w:rPr>
          <w:rFonts w:cs="Times New Roman"/>
          <w:color w:val="000000"/>
        </w:rPr>
      </w:pPr>
      <w:r>
        <w:rPr>
          <w:rFonts w:cs="Times New Roman"/>
          <w:color w:val="000000"/>
        </w:rPr>
        <w:t>经应急处置后，现场应急指挥部确认满足专项应急预案终止条件时，向分公司应急指挥中心报告，分公司应急指挥中心可下达应急终止指令。</w:t>
      </w:r>
    </w:p>
    <w:p>
      <w:pPr>
        <w:ind w:firstLine="480"/>
        <w:rPr>
          <w:rFonts w:cs="Times New Roman"/>
          <w:color w:val="000000"/>
        </w:rPr>
      </w:pPr>
      <w:r>
        <w:rPr>
          <w:rFonts w:cs="Times New Roman"/>
          <w:color w:val="000000"/>
        </w:rPr>
        <w:t>应急终止后，现场应急指挥部负责编写应急总结，应急指挥中心办公室负责对现场应急指挥部的应急总结、值班记录等资料进行汇总、归档，经理办公室负责起草分公司应急指挥中心的应急总结上报材料。现场应急指挥部向事件调查组移交相关材料。分公司应急指挥中心负责向中原油田上报应急总结。</w:t>
      </w:r>
    </w:p>
    <w:p>
      <w:pPr>
        <w:ind w:firstLine="482"/>
        <w:rPr>
          <w:rFonts w:cs="Times New Roman"/>
          <w:b/>
          <w:color w:val="000000"/>
        </w:rPr>
      </w:pPr>
      <w:r>
        <w:rPr>
          <w:rFonts w:cs="Times New Roman"/>
          <w:b/>
          <w:color w:val="000000"/>
        </w:rPr>
        <w:t>（6）应急保障</w:t>
      </w:r>
    </w:p>
    <w:p>
      <w:pPr>
        <w:ind w:firstLine="480"/>
        <w:rPr>
          <w:rFonts w:cs="Times New Roman"/>
          <w:color w:val="000000"/>
        </w:rPr>
      </w:pPr>
      <w:r>
        <w:rPr>
          <w:rFonts w:cs="Times New Roman"/>
          <w:color w:val="000000"/>
        </w:rPr>
        <w:t>1）应急队伍保障</w:t>
      </w:r>
    </w:p>
    <w:p>
      <w:pPr>
        <w:ind w:firstLine="480"/>
        <w:rPr>
          <w:rFonts w:cs="Times New Roman"/>
          <w:color w:val="000000"/>
        </w:rPr>
      </w:pPr>
      <w:r>
        <w:rPr>
          <w:rFonts w:cs="Times New Roman"/>
          <w:color w:val="000000"/>
        </w:rPr>
        <w:t>分公司应急救援队伍由采气厂、净化厂、应急救援中心和社会应急资源组成。应急队伍配备必要的人员、装备等，平时加强应急队伍的业务培训和应急演练，提高应急人员业务水平；与社会应急资源签订互助协议，提供应急期间的消气防、医疗卫生、治安保卫、交通维护和运输等应急救援力量的保障。</w:t>
      </w:r>
    </w:p>
    <w:p>
      <w:pPr>
        <w:ind w:firstLine="480"/>
        <w:rPr>
          <w:rFonts w:cs="Times New Roman"/>
          <w:color w:val="000000"/>
        </w:rPr>
      </w:pPr>
      <w:r>
        <w:rPr>
          <w:rFonts w:cs="Times New Roman"/>
          <w:color w:val="000000"/>
        </w:rPr>
        <w:t>2）财力保障</w:t>
      </w:r>
    </w:p>
    <w:p>
      <w:pPr>
        <w:ind w:firstLine="480"/>
        <w:rPr>
          <w:rFonts w:cs="Times New Roman"/>
          <w:color w:val="000000"/>
        </w:rPr>
      </w:pPr>
      <w:r>
        <w:rPr>
          <w:rFonts w:cs="Times New Roman"/>
          <w:color w:val="000000"/>
        </w:rPr>
        <w:t>事件处置过程中的费用，由计划财务部门负责保障；事件应急处置结束后，各级应急指挥中心办公室对应急处置费用进行整理汇总，计划财务部给予核销。</w:t>
      </w:r>
    </w:p>
    <w:p>
      <w:pPr>
        <w:ind w:firstLine="480"/>
        <w:rPr>
          <w:rFonts w:cs="Times New Roman"/>
          <w:color w:val="000000"/>
        </w:rPr>
      </w:pPr>
      <w:r>
        <w:rPr>
          <w:rFonts w:cs="Times New Roman"/>
          <w:color w:val="000000"/>
        </w:rPr>
        <w:t>3）物资保障</w:t>
      </w:r>
    </w:p>
    <w:p>
      <w:pPr>
        <w:ind w:firstLine="480"/>
        <w:rPr>
          <w:rFonts w:cs="Times New Roman"/>
          <w:color w:val="000000"/>
        </w:rPr>
      </w:pPr>
      <w:r>
        <w:rPr>
          <w:rFonts w:cs="Times New Roman"/>
          <w:color w:val="000000"/>
        </w:rPr>
        <w:t>分公司应急物资由物资保障部应急物资、应急救援中心应急物资、所属单位应急物资和社会救援物资组成。为满足应急处置的需求，同社会救援物资单位签订协议，在应急状态下，由分公司应急指挥中心统一调配使用。</w:t>
      </w:r>
    </w:p>
    <w:p>
      <w:pPr>
        <w:ind w:firstLine="480"/>
        <w:rPr>
          <w:rFonts w:hint="eastAsia" w:eastAsia="宋体" w:cs="Times New Roman"/>
          <w:color w:val="000000"/>
          <w:lang w:eastAsia="zh-CN"/>
        </w:rPr>
      </w:pPr>
      <w:r>
        <w:rPr>
          <w:rFonts w:cs="Times New Roman"/>
          <w:color w:val="000000"/>
        </w:rPr>
        <w:t>4）</w:t>
      </w:r>
      <w:r>
        <w:rPr>
          <w:rFonts w:hint="eastAsia" w:cs="Times New Roman"/>
          <w:color w:val="000000"/>
          <w:lang w:eastAsia="zh-CN"/>
        </w:rPr>
        <w:t>通信保障</w:t>
      </w:r>
    </w:p>
    <w:p>
      <w:pPr>
        <w:ind w:firstLine="480"/>
        <w:rPr>
          <w:rFonts w:cs="Times New Roman"/>
          <w:color w:val="000000"/>
        </w:rPr>
      </w:pPr>
      <w:r>
        <w:rPr>
          <w:rFonts w:cs="Times New Roman"/>
          <w:color w:val="000000"/>
        </w:rPr>
        <w:t>生产服务中心负责建立、完善应急通讯网络系统，在应急工作中确保应急通信畅通。</w:t>
      </w:r>
    </w:p>
    <w:p>
      <w:pPr>
        <w:ind w:firstLine="480"/>
        <w:rPr>
          <w:rFonts w:cs="Times New Roman"/>
          <w:color w:val="000000"/>
        </w:rPr>
      </w:pPr>
      <w:r>
        <w:rPr>
          <w:rFonts w:cs="Times New Roman"/>
          <w:color w:val="000000"/>
        </w:rPr>
        <w:t>5）技术保障</w:t>
      </w:r>
    </w:p>
    <w:p>
      <w:pPr>
        <w:ind w:firstLine="480"/>
        <w:rPr>
          <w:rFonts w:cs="Times New Roman"/>
          <w:color w:val="000000"/>
        </w:rPr>
      </w:pPr>
      <w:r>
        <w:rPr>
          <w:rFonts w:cs="Times New Roman"/>
          <w:color w:val="000000"/>
        </w:rPr>
        <w:t>天然气技术管理部负责建立由各专业领域技术、经验丰富的人员组成技术专家组，结合事故发生厂所属技术力量，为事故的应急处置提供技术支持。</w:t>
      </w:r>
    </w:p>
    <w:p>
      <w:pPr>
        <w:ind w:firstLine="480"/>
        <w:rPr>
          <w:rFonts w:cs="Times New Roman"/>
          <w:color w:val="000000"/>
        </w:rPr>
      </w:pPr>
      <w:r>
        <w:rPr>
          <w:rFonts w:cs="Times New Roman"/>
          <w:color w:val="000000"/>
        </w:rPr>
        <w:t>6）基本生活保障</w:t>
      </w:r>
    </w:p>
    <w:p>
      <w:pPr>
        <w:ind w:firstLine="480"/>
        <w:rPr>
          <w:rFonts w:cs="Times New Roman"/>
          <w:color w:val="000000"/>
        </w:rPr>
      </w:pPr>
      <w:r>
        <w:rPr>
          <w:rFonts w:cs="Times New Roman"/>
          <w:color w:val="000000"/>
        </w:rPr>
        <w:t>分公司应急指挥中心应会同事发地人民政府做好抢险队伍、受灾员工和疏散群众的基本生活保障工作。</w:t>
      </w:r>
    </w:p>
    <w:p>
      <w:pPr>
        <w:ind w:firstLine="480"/>
        <w:rPr>
          <w:rFonts w:cs="Times New Roman"/>
          <w:color w:val="000000"/>
        </w:rPr>
      </w:pPr>
      <w:r>
        <w:rPr>
          <w:rFonts w:cs="Times New Roman"/>
          <w:color w:val="000000"/>
        </w:rPr>
        <w:t>7）人员防护</w:t>
      </w:r>
    </w:p>
    <w:p>
      <w:pPr>
        <w:ind w:firstLine="480"/>
        <w:rPr>
          <w:rFonts w:cs="Times New Roman"/>
          <w:color w:val="000000"/>
        </w:rPr>
      </w:pPr>
      <w:r>
        <w:rPr>
          <w:rFonts w:cs="Times New Roman"/>
          <w:color w:val="000000"/>
        </w:rPr>
        <w:t>按照国家法律法规、标准、规范的要求，应急救援人员配备安全职业防护装备，严格按照救援程序开展应急救援工作，确保人员安全。在生产区域内岗位人员配备安全职业防护装备，建立紧急集合点。</w:t>
      </w:r>
    </w:p>
    <w:p>
      <w:pPr>
        <w:pStyle w:val="4"/>
        <w:ind w:firstLine="241"/>
      </w:pPr>
      <w:bookmarkStart w:id="363" w:name="_Toc120173206"/>
      <w:r>
        <w:rPr>
          <w:rFonts w:hint="eastAsia"/>
        </w:rPr>
        <w:t>6.6.1</w:t>
      </w:r>
      <w:r>
        <w:t>3本项目环境风险应急预案</w:t>
      </w:r>
      <w:bookmarkEnd w:id="363"/>
    </w:p>
    <w:p>
      <w:pPr>
        <w:ind w:firstLine="482"/>
        <w:rPr>
          <w:rFonts w:cs="Times New Roman"/>
          <w:b/>
          <w:color w:val="000000"/>
        </w:rPr>
      </w:pPr>
      <w:r>
        <w:rPr>
          <w:rFonts w:cs="Times New Roman"/>
          <w:b/>
          <w:color w:val="000000"/>
        </w:rPr>
        <w:t>（1）钻井</w:t>
      </w:r>
      <w:bookmarkStart w:id="364" w:name="OLE_LINK363"/>
      <w:bookmarkStart w:id="365" w:name="OLE_LINK364"/>
      <w:r>
        <w:rPr>
          <w:rFonts w:cs="Times New Roman"/>
          <w:b/>
          <w:color w:val="000000"/>
        </w:rPr>
        <w:t>过程</w:t>
      </w:r>
      <w:bookmarkEnd w:id="364"/>
      <w:bookmarkEnd w:id="365"/>
      <w:r>
        <w:rPr>
          <w:rFonts w:cs="Times New Roman"/>
          <w:b/>
          <w:color w:val="000000"/>
        </w:rPr>
        <w:t>风险应急预案</w:t>
      </w:r>
    </w:p>
    <w:p>
      <w:pPr>
        <w:ind w:firstLine="480"/>
        <w:rPr>
          <w:rFonts w:cs="Times New Roman"/>
          <w:color w:val="000000"/>
        </w:rPr>
      </w:pPr>
      <w:r>
        <w:rPr>
          <w:rFonts w:cs="Times New Roman"/>
          <w:color w:val="000000"/>
        </w:rPr>
        <w:t>根据前述环境风险事故分析，本次评价将针对本项目钻井作业的特点，结合企业制定的应急预案，提出环境风险事故应急预案编制要求，供企业及有关部门参考。同时环评要求建设单位在钻井工程施工前编制钻井工程专项应急预案，并在地方生态环境主管部门进行备案。</w:t>
      </w:r>
    </w:p>
    <w:p>
      <w:pPr>
        <w:ind w:firstLine="482"/>
        <w:rPr>
          <w:rFonts w:cs="Times New Roman"/>
          <w:b/>
          <w:color w:val="000000"/>
        </w:rPr>
      </w:pPr>
      <w:r>
        <w:rPr>
          <w:rFonts w:cs="Times New Roman"/>
          <w:b/>
          <w:color w:val="000000"/>
        </w:rPr>
        <w:t>1）应急预案编制内容及要求</w:t>
      </w:r>
    </w:p>
    <w:p>
      <w:pPr>
        <w:ind w:firstLine="480"/>
        <w:rPr>
          <w:rFonts w:cs="Times New Roman"/>
          <w:color w:val="000000"/>
        </w:rPr>
      </w:pPr>
      <w:r>
        <w:rPr>
          <w:rFonts w:cs="Times New Roman"/>
          <w:color w:val="000000"/>
        </w:rPr>
        <w:t>根据前述环境风险事故分析，本次评价将针对本项目钻井作业及试采作业的特点，结合企业制定的应急预案，提出环境风险事故应急预案编制要求，供企业及有关部门参考。见</w:t>
      </w:r>
      <w:r>
        <w:rPr>
          <w:rFonts w:cs="Times New Roman"/>
          <w:color w:val="000000"/>
        </w:rPr>
        <w:fldChar w:fldCharType="begin"/>
      </w:r>
      <w:r>
        <w:rPr>
          <w:rFonts w:cs="Times New Roman"/>
          <w:color w:val="000000"/>
        </w:rPr>
        <w:instrText xml:space="preserve"> REF _Ref142859473 \h  \* MERGEFORMAT </w:instrText>
      </w:r>
      <w:r>
        <w:rPr>
          <w:rFonts w:cs="Times New Roman"/>
          <w:color w:val="000000"/>
        </w:rPr>
        <w:fldChar w:fldCharType="separate"/>
      </w:r>
      <w:r>
        <w:rPr>
          <w:rFonts w:cs="Times New Roman"/>
          <w:color w:val="000000"/>
        </w:rPr>
        <w:t>表6.6</w:t>
      </w:r>
      <w:r>
        <w:rPr>
          <w:rFonts w:cs="Times New Roman"/>
          <w:color w:val="000000"/>
        </w:rPr>
        <w:noBreakHyphen/>
      </w:r>
      <w:r>
        <w:rPr>
          <w:rFonts w:cs="Times New Roman"/>
          <w:color w:val="000000"/>
        </w:rPr>
        <w:t>1</w:t>
      </w:r>
      <w:r>
        <w:rPr>
          <w:rFonts w:cs="Times New Roman"/>
          <w:color w:val="000000"/>
        </w:rPr>
        <w:fldChar w:fldCharType="end"/>
      </w:r>
      <w:r>
        <w:rPr>
          <w:rFonts w:cs="Times New Roman"/>
          <w:color w:val="000000"/>
        </w:rPr>
        <w:t>。</w:t>
      </w:r>
    </w:p>
    <w:p>
      <w:pPr>
        <w:pStyle w:val="95"/>
      </w:pPr>
      <w:bookmarkStart w:id="366" w:name="_Ref142859473"/>
      <w:r>
        <w:t>表</w:t>
      </w:r>
      <w:r>
        <w:fldChar w:fldCharType="begin"/>
      </w:r>
      <w:r>
        <w:instrText xml:space="preserve"> STYLEREF 2 \s </w:instrText>
      </w:r>
      <w:r>
        <w:fldChar w:fldCharType="separate"/>
      </w:r>
      <w:r>
        <w:t>6.6</w:t>
      </w:r>
      <w:r>
        <w:fldChar w:fldCharType="end"/>
      </w:r>
      <w:r>
        <w:noBreakHyphen/>
      </w:r>
      <w:r>
        <w:fldChar w:fldCharType="begin"/>
      </w:r>
      <w:r>
        <w:instrText xml:space="preserve"> SEQ 表 \* ARABIC \s 2 </w:instrText>
      </w:r>
      <w:r>
        <w:fldChar w:fldCharType="separate"/>
      </w:r>
      <w:r>
        <w:t>1</w:t>
      </w:r>
      <w:r>
        <w:fldChar w:fldCharType="end"/>
      </w:r>
      <w:bookmarkEnd w:id="366"/>
      <w:r>
        <w:t xml:space="preserve"> 应急预案主要内容一览表</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30"/>
        <w:gridCol w:w="1013"/>
        <w:gridCol w:w="678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28" w:type="pc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序号</w:t>
            </w:r>
          </w:p>
        </w:tc>
        <w:tc>
          <w:tcPr>
            <w:tcW w:w="594" w:type="pc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项目</w:t>
            </w:r>
          </w:p>
        </w:tc>
        <w:tc>
          <w:tcPr>
            <w:tcW w:w="3978" w:type="pc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内容及要求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w:t>
            </w:r>
          </w:p>
        </w:tc>
        <w:tc>
          <w:tcPr>
            <w:tcW w:w="594"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应急计划区</w:t>
            </w:r>
          </w:p>
        </w:tc>
        <w:tc>
          <w:tcPr>
            <w:tcW w:w="3978" w:type="pct"/>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危险目标：钻井地层</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环境保护目标：测试放喷时，井口周边0～</w:t>
            </w:r>
            <w:r>
              <w:rPr>
                <w:rFonts w:hint="eastAsia" w:cs="Times New Roman"/>
                <w:color w:val="000000"/>
                <w:sz w:val="21"/>
                <w:szCs w:val="20"/>
              </w:rPr>
              <w:t>22</w:t>
            </w:r>
            <w:r>
              <w:rPr>
                <w:rFonts w:cs="Times New Roman"/>
                <w:color w:val="000000"/>
                <w:sz w:val="21"/>
                <w:szCs w:val="20"/>
              </w:rPr>
              <w:t>00m为紧急撤离范围。当发生井喷失控时，一般撤离范围可根据监测情况决定。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2</w:t>
            </w:r>
          </w:p>
        </w:tc>
        <w:tc>
          <w:tcPr>
            <w:tcW w:w="594"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应急组织机构、人员</w:t>
            </w:r>
          </w:p>
        </w:tc>
        <w:tc>
          <w:tcPr>
            <w:tcW w:w="3978" w:type="pct"/>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组织机构为中原油田普光分公司，钻井队及其管理单位、当地政府。</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关键依靠钻井队、当地政府。</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充分、重点发挥地方镇乡、村级政府的组织能力，纳入应急组织机构中。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3</w:t>
            </w:r>
          </w:p>
        </w:tc>
        <w:tc>
          <w:tcPr>
            <w:tcW w:w="594"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预案分级响应条件</w:t>
            </w:r>
          </w:p>
        </w:tc>
        <w:tc>
          <w:tcPr>
            <w:tcW w:w="3978" w:type="pct"/>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规定预案的级别及分级响应程序：</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把重大环境污染事故定为三级，定性为一般，涉及组织单位为中原油田普光分公司、钻井队和当地环保部门。</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井喷及井喷失控定为一级。涉及组织单位为中原油田普光分公司、钻井队及其管理单位、当地政府。响应程度依次增强。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4</w:t>
            </w:r>
          </w:p>
        </w:tc>
        <w:tc>
          <w:tcPr>
            <w:tcW w:w="594"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应急救援保障</w:t>
            </w:r>
          </w:p>
        </w:tc>
        <w:tc>
          <w:tcPr>
            <w:tcW w:w="3978" w:type="pct"/>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应急设施，设备与器材等：</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井场配备H</w:t>
            </w:r>
            <w:r>
              <w:rPr>
                <w:rFonts w:cs="Times New Roman"/>
                <w:color w:val="000000"/>
                <w:sz w:val="21"/>
                <w:szCs w:val="20"/>
                <w:vertAlign w:val="subscript"/>
              </w:rPr>
              <w:t>2</w:t>
            </w:r>
            <w:r>
              <w:rPr>
                <w:rFonts w:cs="Times New Roman"/>
                <w:color w:val="000000"/>
                <w:sz w:val="21"/>
                <w:szCs w:val="20"/>
              </w:rPr>
              <w:t>S测试、防毒、医疗、消防、疏散等应急设施。</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钻开气层前通知当地医院、消防队等方面救援保障力量以及钻井队主管部门、普光分公司的应急救援单位。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5</w:t>
            </w:r>
          </w:p>
        </w:tc>
        <w:tc>
          <w:tcPr>
            <w:tcW w:w="594"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报警、通讯联络方式</w:t>
            </w:r>
          </w:p>
        </w:tc>
        <w:tc>
          <w:tcPr>
            <w:tcW w:w="3978" w:type="pct"/>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规定应急状态下的报警通讯方式、通知方式和交通保障、管制：</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协调井队通过广播系统和电话通知。至少在1个小组设2个电话联络点。小组通知人员应指定4人负责通知本小组内的居民。并电话通知当地交警队负责交通保障、管制，不允许非救援车辆进入危险井口周边区域。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42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6</w:t>
            </w:r>
          </w:p>
        </w:tc>
        <w:tc>
          <w:tcPr>
            <w:tcW w:w="594"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应急环境监测、抢险、救援及控制措施</w:t>
            </w:r>
          </w:p>
        </w:tc>
        <w:tc>
          <w:tcPr>
            <w:tcW w:w="3978" w:type="pct"/>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环境应急监测可组织协调当地环境监测中心站。</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抢险、救援组织协调当地消防队、医院和钻井主管部门及普光分公司的应急队伍。</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控制措施主要由钻井队和其管理部门、普光分公司等部门共同协商控制。</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井喷失控的关键控制措施：应立即组织撤离井口周边</w:t>
            </w:r>
            <w:r>
              <w:rPr>
                <w:rFonts w:hint="eastAsia" w:cs="Times New Roman"/>
                <w:color w:val="000000"/>
                <w:sz w:val="21"/>
                <w:szCs w:val="20"/>
              </w:rPr>
              <w:t>22</w:t>
            </w:r>
            <w:r>
              <w:rPr>
                <w:rFonts w:cs="Times New Roman"/>
                <w:color w:val="000000"/>
                <w:sz w:val="21"/>
                <w:szCs w:val="20"/>
              </w:rPr>
              <w:t>00m的居民。同时保证井喷失控在15min内点火，燃烧泄漏天然气。</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7</w:t>
            </w:r>
          </w:p>
        </w:tc>
        <w:tc>
          <w:tcPr>
            <w:tcW w:w="594"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应急检测、防护措施、清除泄漏措施和器材</w:t>
            </w:r>
          </w:p>
        </w:tc>
        <w:tc>
          <w:tcPr>
            <w:tcW w:w="3978" w:type="pct"/>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应急检测、防护采用井队配备的设备和消防队伍的设备，必要可增加普光分公司、钻井队主管部门的检测防护设备。清除泄漏必要时可通过消防车喷雾状水溶解将大气污染物转化为地表水污染物。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8</w:t>
            </w:r>
          </w:p>
        </w:tc>
        <w:tc>
          <w:tcPr>
            <w:tcW w:w="594"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人员紧急撤离、疏散，应急剂量控制、撤离组织计划</w:t>
            </w:r>
          </w:p>
        </w:tc>
        <w:tc>
          <w:tcPr>
            <w:tcW w:w="3978" w:type="pct"/>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紧急撤离区：井口外</w:t>
            </w:r>
            <w:r>
              <w:rPr>
                <w:rFonts w:hint="eastAsia" w:cs="Times New Roman"/>
                <w:color w:val="000000"/>
                <w:sz w:val="21"/>
                <w:szCs w:val="20"/>
              </w:rPr>
              <w:t>22</w:t>
            </w:r>
            <w:r>
              <w:rPr>
                <w:rFonts w:cs="Times New Roman"/>
                <w:color w:val="000000"/>
                <w:sz w:val="21"/>
                <w:szCs w:val="20"/>
              </w:rPr>
              <w:t>00m范围为紧急撤离区。撤离路线应根据钻井井场风向标，沿发生事故时的上风向方向或侧风向远离事故源方向撤离。通过高音喇叭、广播、电话及时通知周边各户居民，保证全部及时通知撤离。</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一般撤离区：当发生井喷失控时，一般撤离范围可根据监测情况决定。在发生事故时应自发和在应急组织机构的带领下及时撤离。撤离路线应根据钻井井场风向标，沿发生事故时的上风向或侧风向方向远离事故源方向撤离。由于涉及人员多，应通过应急组织机构负责组织撤离，通过广播系统和电话系统通知。由于远处居民不能看到风向标，在通知撤离时要由专业人员根据风向标说明撤离方向。可通过广播系统和电话系统通知，应通过协调村委会通过电话通知到小组，各组至少设立2个联络点。小组负责人指定4人负责通知小组内的居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9</w:t>
            </w:r>
          </w:p>
        </w:tc>
        <w:tc>
          <w:tcPr>
            <w:tcW w:w="594"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事故应急救援关闭程序与恢复措施</w:t>
            </w:r>
          </w:p>
        </w:tc>
        <w:tc>
          <w:tcPr>
            <w:tcW w:w="3978" w:type="pct"/>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规定应急状态终止程序事故现场善后处理，恢复措施邻近区域解除事故警戒及善后恢复措施</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（1）井喷失控得到控制，伤亡人员得到全部救援和安置，危险区域的居民全部撤离。</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2）恢复措施：对事故伤亡情况进行统计，应做好详细的记录并存档。行政领导组应尽快协调各部做好医疗救护工作，包括医疗经费的提供、受伤人员的住院安排与护理以及善后赔偿等；钻井队主管单位配合相关部门人员对受损设备尽快安排修复并投入生产使用。钻井队主管部门、普光分公司、当地政府成立事故调查小组，调查原因并按“四不放过”的原则进行事故处理；做出事故调查报告，同时总结事件教训，实行安全事故的教育培训，杜绝类似事件的再次发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10</w:t>
            </w:r>
          </w:p>
        </w:tc>
        <w:tc>
          <w:tcPr>
            <w:tcW w:w="594"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应急培训</w:t>
            </w:r>
          </w:p>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计划</w:t>
            </w:r>
          </w:p>
        </w:tc>
        <w:tc>
          <w:tcPr>
            <w:tcW w:w="3978" w:type="pct"/>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应急计划制定后，平时安排人员培训与演练：</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着重在钻含气层前的演练，把井口周边500m范围内居民纳入培训、演练队伍。井队安全监督要对井队全体员工进行应急救援培训，提高员工的应急救援能力。加强对组织人员向井场附近居民宣传H</w:t>
            </w:r>
            <w:r>
              <w:rPr>
                <w:rFonts w:cs="Times New Roman"/>
                <w:color w:val="000000"/>
                <w:sz w:val="21"/>
                <w:szCs w:val="20"/>
                <w:vertAlign w:val="subscript"/>
              </w:rPr>
              <w:t>2</w:t>
            </w:r>
            <w:r>
              <w:rPr>
                <w:rFonts w:cs="Times New Roman"/>
                <w:color w:val="000000"/>
                <w:sz w:val="21"/>
                <w:szCs w:val="20"/>
              </w:rPr>
              <w:t>S和井喷的危害及相关知识。井队队长及安全员负责指定应急培训计划，定期对应急组织机构成员和应急保障系统、应急信息的有关人员进行综合性应急培训并做好培训记录。应急演练应每个月开展一次，进入气层后半个月开展一次，通过演练掌握应急人员在应急抢险中对预案的熟悉程度和能力，二是加强抢险应急设备的维护保养，检查是否备足所需应急材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11</w:t>
            </w:r>
          </w:p>
        </w:tc>
        <w:tc>
          <w:tcPr>
            <w:tcW w:w="594"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公众教育和信息</w:t>
            </w:r>
          </w:p>
        </w:tc>
        <w:tc>
          <w:tcPr>
            <w:tcW w:w="3978" w:type="pct"/>
            <w:vAlign w:val="center"/>
          </w:tcPr>
          <w:p>
            <w:pPr>
              <w:widowControl/>
              <w:spacing w:line="240" w:lineRule="auto"/>
              <w:ind w:firstLine="0" w:firstLineChars="0"/>
              <w:jc w:val="left"/>
              <w:textAlignment w:val="baseline"/>
              <w:rPr>
                <w:rFonts w:cs="Times New Roman"/>
                <w:color w:val="000000"/>
                <w:sz w:val="21"/>
                <w:szCs w:val="20"/>
              </w:rPr>
            </w:pPr>
            <w:bookmarkStart w:id="367" w:name="OLE_LINK417"/>
            <w:bookmarkStart w:id="368" w:name="OLE_LINK418"/>
            <w:r>
              <w:rPr>
                <w:rFonts w:cs="Times New Roman"/>
                <w:color w:val="000000"/>
                <w:sz w:val="21"/>
                <w:szCs w:val="20"/>
              </w:rPr>
              <w:t>对井场邻近地区开展公众教育、培训和发布有关信息：</w:t>
            </w:r>
            <w:bookmarkEnd w:id="367"/>
            <w:bookmarkEnd w:id="368"/>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安全距离内居民进行公众教育，发宣传册。钻井工程前，要向可能危及居民安全范围内进行H</w:t>
            </w:r>
            <w:r>
              <w:rPr>
                <w:rFonts w:cs="Times New Roman"/>
                <w:color w:val="000000"/>
                <w:sz w:val="21"/>
                <w:szCs w:val="20"/>
                <w:vertAlign w:val="subscript"/>
              </w:rPr>
              <w:t>2</w:t>
            </w:r>
            <w:r>
              <w:rPr>
                <w:rFonts w:cs="Times New Roman"/>
                <w:color w:val="000000"/>
                <w:sz w:val="21"/>
                <w:szCs w:val="20"/>
              </w:rPr>
              <w:t>S安全知识和遇紧急情况时的应急预案教育，提出紧急情况下的安全撤离要求。</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施工单位应主动联系当地政府，对紧急撤离区范围内的居民通过发放宣传册普及安全知识，内容应有危害程度、防范应急救护措施。同时应在进入含硫气层前对</w:t>
            </w:r>
            <w:r>
              <w:rPr>
                <w:rFonts w:hint="eastAsia" w:cs="Times New Roman"/>
                <w:color w:val="000000"/>
                <w:sz w:val="21"/>
                <w:szCs w:val="20"/>
              </w:rPr>
              <w:t>22</w:t>
            </w:r>
            <w:r>
              <w:rPr>
                <w:rFonts w:cs="Times New Roman"/>
                <w:color w:val="000000"/>
                <w:sz w:val="21"/>
                <w:szCs w:val="20"/>
              </w:rPr>
              <w:t>00m范围内的居民进行应急演练一次。对一般撤离区范围居民发放宣传册普及安全知识，内容应有危害程度、防范应急救护措施。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12</w:t>
            </w:r>
          </w:p>
        </w:tc>
        <w:tc>
          <w:tcPr>
            <w:tcW w:w="594"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夜间特别管理机制</w:t>
            </w:r>
          </w:p>
        </w:tc>
        <w:tc>
          <w:tcPr>
            <w:tcW w:w="3978" w:type="pct"/>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井场配备高音喇叭、防爆灯具，以便夜间事故及时通知周边较近距离的居民，防爆灯具应布置在井场内风向标处，以便井场人员和周边较近居民可判断风向，带领其他人员撤离。</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井场实行轮班制度，保证夜间各岗位有相应值班人员。对居民进行公众教育、培训中应强调夜间自救内容，要求居民夜间保持通讯设备的畅通，夜间不关手机等教育。强调在钻气层期间夜间保持一定的警惕，提出在夜间事故报警后应立即穿少量衣服，及时保证人员撤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13</w:t>
            </w:r>
          </w:p>
        </w:tc>
        <w:tc>
          <w:tcPr>
            <w:tcW w:w="594"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备案</w:t>
            </w:r>
          </w:p>
        </w:tc>
        <w:tc>
          <w:tcPr>
            <w:tcW w:w="3978" w:type="pct"/>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将本项目钻井工程应急预案报送地方环保部门备案。</w:t>
            </w:r>
          </w:p>
        </w:tc>
      </w:tr>
    </w:tbl>
    <w:p>
      <w:pPr>
        <w:spacing w:before="120" w:beforeLines="50"/>
        <w:ind w:firstLine="482"/>
        <w:rPr>
          <w:rFonts w:cs="Times New Roman"/>
          <w:b/>
          <w:color w:val="000000"/>
        </w:rPr>
      </w:pPr>
      <w:r>
        <w:rPr>
          <w:rFonts w:cs="Times New Roman"/>
          <w:b/>
          <w:color w:val="000000"/>
        </w:rPr>
        <w:t>2）宣传、培训和演习</w:t>
      </w:r>
    </w:p>
    <w:p>
      <w:pPr>
        <w:ind w:firstLine="480"/>
        <w:rPr>
          <w:rFonts w:cs="Times New Roman"/>
          <w:color w:val="000000"/>
        </w:rPr>
      </w:pPr>
      <w:r>
        <w:rPr>
          <w:rFonts w:hint="eastAsia" w:ascii="宋体" w:hAnsi="宋体" w:cs="宋体"/>
          <w:color w:val="000000"/>
        </w:rPr>
        <w:t>①</w:t>
      </w:r>
      <w:r>
        <w:rPr>
          <w:rFonts w:cs="Times New Roman"/>
          <w:color w:val="000000"/>
        </w:rPr>
        <w:t>公众信息交流：各级政府、各陆上石油天然气开采企业要按规定向公众和员工说明陆上石油天然气开采的危险性及发生事故可能造成的危害，广泛宣传应急救援有关法律法规和陆上石油天然气开采事故预防、避险、避灾、自救、互救的常识。</w:t>
      </w:r>
    </w:p>
    <w:p>
      <w:pPr>
        <w:ind w:firstLine="480"/>
        <w:rPr>
          <w:rFonts w:cs="Times New Roman"/>
          <w:color w:val="000000"/>
        </w:rPr>
      </w:pPr>
      <w:r>
        <w:rPr>
          <w:rFonts w:hint="eastAsia" w:ascii="宋体" w:hAnsi="宋体" w:cs="宋体"/>
          <w:color w:val="000000"/>
        </w:rPr>
        <w:t>②</w:t>
      </w:r>
      <w:r>
        <w:rPr>
          <w:rFonts w:cs="Times New Roman"/>
          <w:color w:val="000000"/>
        </w:rPr>
        <w:t>培训：陆上石油天然气开采有关应急救援队伍按照有关规定参加业务培训；陆上石油天然气开采企业按照有关规定对员工进行应急培训；各级安全生产监督管理部门负责对应急救援培训情况进行监督检查。各级应急救援管理机构加强应急管理、救援人员的上岗前培训和常规性培训。</w:t>
      </w:r>
    </w:p>
    <w:p>
      <w:pPr>
        <w:ind w:firstLine="480"/>
        <w:rPr>
          <w:rFonts w:cs="Times New Roman"/>
          <w:color w:val="000000"/>
        </w:rPr>
      </w:pPr>
      <w:bookmarkStart w:id="369" w:name="OLE_LINK185"/>
      <w:bookmarkStart w:id="370" w:name="OLE_LINK186"/>
      <w:r>
        <w:rPr>
          <w:rFonts w:hint="eastAsia" w:ascii="宋体" w:hAnsi="宋体" w:cs="宋体"/>
          <w:color w:val="000000"/>
        </w:rPr>
        <w:t>③</w:t>
      </w:r>
      <w:r>
        <w:rPr>
          <w:rFonts w:cs="Times New Roman"/>
          <w:color w:val="000000"/>
        </w:rPr>
        <w:t>演习：陆上石油天然气开采企业按有关规定定期组织应急救援演习；中石化有关专业应急机构和地方人民政府根据自身实际情况定期组织陆上石油天然气开采事故应急救援演习，并于演习结束后向安全监管总局提交书面总结。应急指挥中心每年会同有关部门和地方政府组织一次应急演习。</w:t>
      </w:r>
    </w:p>
    <w:p>
      <w:pPr>
        <w:ind w:firstLine="480"/>
        <w:rPr>
          <w:rFonts w:cs="Times New Roman"/>
          <w:color w:val="000000"/>
        </w:rPr>
      </w:pPr>
      <w:r>
        <w:rPr>
          <w:rFonts w:cs="Times New Roman"/>
          <w:color w:val="000000"/>
        </w:rPr>
        <w:t>普光分公司及所属单位每年至少组织一次井喷失控事故应急演习，并将演习总结报应急指挥中心办公室。</w:t>
      </w:r>
    </w:p>
    <w:bookmarkEnd w:id="369"/>
    <w:bookmarkEnd w:id="370"/>
    <w:p>
      <w:pPr>
        <w:ind w:firstLine="482"/>
        <w:rPr>
          <w:rFonts w:cs="Times New Roman"/>
          <w:b/>
          <w:color w:val="000000"/>
        </w:rPr>
      </w:pPr>
      <w:r>
        <w:rPr>
          <w:rFonts w:cs="Times New Roman"/>
          <w:b/>
          <w:color w:val="000000"/>
        </w:rPr>
        <w:t>3）放喷池垮塌、污染物外溢的应急预案</w:t>
      </w:r>
    </w:p>
    <w:p>
      <w:pPr>
        <w:ind w:firstLine="480"/>
        <w:rPr>
          <w:rFonts w:cs="Times New Roman"/>
          <w:color w:val="000000"/>
        </w:rPr>
      </w:pPr>
      <w:bookmarkStart w:id="371" w:name="OLE_LINK192"/>
      <w:bookmarkStart w:id="372" w:name="OLE_LINK191"/>
      <w:r>
        <w:rPr>
          <w:rFonts w:cs="Times New Roman"/>
          <w:color w:val="000000"/>
        </w:rPr>
        <w:t>因山洪等发生放喷池垮塌、污染物外溢事故时，现场工作人员应立即向现场应急领导小组组长报告；组长应立即安排人员采取堵塞沟渠或筑隔离带，拦截外溢的泥浆污染物，用泵、人工回收等方法及时清理回收废泥浆，防止污染继续扩大，同时修复放喷池，彻底消除污染事故隐患。</w:t>
      </w:r>
      <w:bookmarkEnd w:id="371"/>
      <w:bookmarkEnd w:id="372"/>
    </w:p>
    <w:p>
      <w:pPr>
        <w:ind w:firstLine="480"/>
        <w:rPr>
          <w:rFonts w:cs="Times New Roman"/>
          <w:color w:val="000000"/>
        </w:rPr>
      </w:pPr>
      <w:r>
        <w:rPr>
          <w:rFonts w:cs="Times New Roman"/>
          <w:color w:val="000000"/>
        </w:rPr>
        <w:t>对于受污染的居民泉点取水口，现场应急领导小组组长安排人员在井口处设置“不准饮用”警示牌。派人通知各饮用水住户，告知井水被污染的情况和不准饮用的信息。用水泵抽尽井内受污染的水源。通知监测机构对新井水取样检测，确认没有污染后，经地方生态环境局确认后，移走“不准饮用”的警示牌，告知当地饮用水住户可饮用的信息。</w:t>
      </w:r>
    </w:p>
    <w:p>
      <w:pPr>
        <w:ind w:firstLine="480"/>
        <w:rPr>
          <w:rFonts w:cs="Times New Roman"/>
          <w:color w:val="000000"/>
        </w:rPr>
      </w:pPr>
      <w:r>
        <w:rPr>
          <w:rFonts w:cs="Times New Roman"/>
          <w:color w:val="000000"/>
        </w:rPr>
        <w:t>如果污染控制措施失败，污染继续扩大，钻井队已无能力继续控制时，则报当地政府及生态环境局，请求立即给予应急救援。同时配合上级有关人员对污染事故进行处理。</w:t>
      </w:r>
    </w:p>
    <w:p>
      <w:pPr>
        <w:ind w:firstLine="482"/>
        <w:rPr>
          <w:rFonts w:cs="Times New Roman"/>
          <w:color w:val="000000"/>
        </w:rPr>
      </w:pPr>
      <w:bookmarkStart w:id="373" w:name="OLE_LINK196"/>
      <w:bookmarkStart w:id="374" w:name="OLE_LINK195"/>
      <w:r>
        <w:rPr>
          <w:rFonts w:cs="Times New Roman"/>
          <w:b/>
          <w:color w:val="000000"/>
        </w:rPr>
        <w:t>4）发生火灾、爆炸的应急预</w:t>
      </w:r>
      <w:bookmarkEnd w:id="373"/>
      <w:bookmarkEnd w:id="374"/>
      <w:r>
        <w:rPr>
          <w:rFonts w:cs="Times New Roman"/>
          <w:b/>
          <w:color w:val="000000"/>
        </w:rPr>
        <w:t>案</w:t>
      </w:r>
    </w:p>
    <w:p>
      <w:pPr>
        <w:ind w:firstLine="480"/>
        <w:rPr>
          <w:rFonts w:cs="Times New Roman"/>
          <w:color w:val="000000"/>
        </w:rPr>
      </w:pPr>
      <w:bookmarkStart w:id="375" w:name="OLE_LINK201"/>
      <w:bookmarkStart w:id="376" w:name="OLE_LINK202"/>
      <w:r>
        <w:rPr>
          <w:rFonts w:cs="Times New Roman"/>
          <w:color w:val="000000"/>
        </w:rPr>
        <w:t>当施工期间发生火灾、爆炸事故时应马上关井转入抢险救援工作。</w:t>
      </w:r>
    </w:p>
    <w:p>
      <w:pPr>
        <w:ind w:firstLine="480"/>
        <w:rPr>
          <w:rFonts w:cs="Times New Roman"/>
          <w:color w:val="000000"/>
        </w:rPr>
      </w:pPr>
      <w:r>
        <w:rPr>
          <w:rFonts w:hint="eastAsia" w:ascii="宋体" w:hAnsi="宋体" w:cs="宋体"/>
          <w:color w:val="000000"/>
        </w:rPr>
        <w:t>①</w:t>
      </w:r>
      <w:r>
        <w:rPr>
          <w:rFonts w:cs="Times New Roman"/>
          <w:color w:val="000000"/>
        </w:rPr>
        <w:t>放喷燃烧筒等设备发生火灾爆炸，设备设施破坏，现场指挥应立即指挥各工段岗位紧急停车，按紧急停车操作规程执行。</w:t>
      </w:r>
    </w:p>
    <w:p>
      <w:pPr>
        <w:ind w:firstLine="480"/>
        <w:rPr>
          <w:rFonts w:cs="Times New Roman"/>
          <w:color w:val="000000"/>
        </w:rPr>
      </w:pPr>
      <w:r>
        <w:rPr>
          <w:rFonts w:hint="eastAsia" w:ascii="宋体" w:hAnsi="宋体" w:cs="宋体"/>
          <w:color w:val="000000"/>
        </w:rPr>
        <w:t>②</w:t>
      </w:r>
      <w:r>
        <w:rPr>
          <w:rFonts w:cs="Times New Roman"/>
          <w:color w:val="000000"/>
        </w:rPr>
        <w:t>因爆炸损坏井场液体装置发生泄漏，当班班长立即组织人员用雾状水喷淋泄漏源，岗位当班操作人员开关设备的相关阀门等措施处理事故。</w:t>
      </w:r>
    </w:p>
    <w:p>
      <w:pPr>
        <w:ind w:firstLine="480"/>
        <w:rPr>
          <w:rFonts w:cs="Times New Roman"/>
          <w:color w:val="000000"/>
        </w:rPr>
      </w:pPr>
      <w:r>
        <w:rPr>
          <w:rFonts w:hint="eastAsia" w:ascii="宋体" w:hAnsi="宋体" w:cs="宋体"/>
          <w:color w:val="000000"/>
        </w:rPr>
        <w:t>③</w:t>
      </w:r>
      <w:r>
        <w:rPr>
          <w:rFonts w:cs="Times New Roman"/>
          <w:color w:val="000000"/>
        </w:rPr>
        <w:t>初期火灾应采取现场灭火器材和消防车结合扑救方式消除，严重火灾、爆炸事故要立即通知地方公安消防部门。</w:t>
      </w:r>
    </w:p>
    <w:p>
      <w:pPr>
        <w:ind w:firstLine="480"/>
        <w:rPr>
          <w:rFonts w:cs="Times New Roman"/>
          <w:color w:val="000000"/>
        </w:rPr>
      </w:pPr>
      <w:r>
        <w:rPr>
          <w:rFonts w:hint="eastAsia" w:ascii="宋体" w:hAnsi="宋体" w:cs="宋体"/>
          <w:color w:val="000000"/>
        </w:rPr>
        <w:t>④</w:t>
      </w:r>
      <w:r>
        <w:rPr>
          <w:rFonts w:cs="Times New Roman"/>
          <w:color w:val="000000"/>
        </w:rPr>
        <w:t>轻症烧、灼伤、机械挫伤、中毒、触电和其他轻伤人员由现场医护人员医治处理、重症人员由专车、专业医护人员陪护送就近县级以上医院医治。</w:t>
      </w:r>
    </w:p>
    <w:bookmarkEnd w:id="375"/>
    <w:bookmarkEnd w:id="376"/>
    <w:p>
      <w:pPr>
        <w:ind w:firstLine="482"/>
        <w:rPr>
          <w:rFonts w:cs="Times New Roman"/>
          <w:b/>
          <w:color w:val="000000"/>
        </w:rPr>
      </w:pPr>
      <w:r>
        <w:rPr>
          <w:rFonts w:cs="Times New Roman"/>
          <w:b/>
          <w:color w:val="000000"/>
        </w:rPr>
        <w:t>5）井喷及井喷失控应急处理预案</w:t>
      </w:r>
    </w:p>
    <w:p>
      <w:pPr>
        <w:ind w:firstLine="480"/>
        <w:rPr>
          <w:rFonts w:cs="Times New Roman"/>
          <w:color w:val="000000"/>
        </w:rPr>
      </w:pPr>
      <w:r>
        <w:rPr>
          <w:rFonts w:cs="Times New Roman"/>
          <w:color w:val="000000"/>
        </w:rPr>
        <w:t>井喷时立即启动应急预案，根据事态发展变化情况，事故现场抢险指挥部根据应急领导小组的指令并充分考虑专家和有关意见的基础上，依法采取紧急措施，并注意做好以下工作：</w:t>
      </w:r>
    </w:p>
    <w:p>
      <w:pPr>
        <w:ind w:firstLine="480"/>
        <w:rPr>
          <w:rFonts w:cs="Times New Roman"/>
          <w:color w:val="000000"/>
        </w:rPr>
      </w:pPr>
      <w:r>
        <w:rPr>
          <w:rFonts w:cs="Times New Roman"/>
          <w:color w:val="000000"/>
        </w:rPr>
        <w:t>a、井喷失控后严防着火和爆炸。应立即停钻机、机房柴油机，切断井架、钻台、机泵房等处全部照明灯和用电设备的电源，熄灭一切火源，需要时打开专用探照灯，并组织警戒。</w:t>
      </w:r>
    </w:p>
    <w:p>
      <w:pPr>
        <w:ind w:firstLine="480"/>
        <w:rPr>
          <w:rFonts w:cs="Times New Roman"/>
          <w:color w:val="000000"/>
        </w:rPr>
      </w:pPr>
      <w:r>
        <w:rPr>
          <w:rFonts w:cs="Times New Roman"/>
          <w:color w:val="000000"/>
        </w:rPr>
        <w:t>b、立即向当地政府报告，协助当地政府作好井口2</w:t>
      </w:r>
      <w:r>
        <w:rPr>
          <w:rFonts w:hint="eastAsia" w:cs="Times New Roman"/>
          <w:color w:val="000000"/>
        </w:rPr>
        <w:t>2</w:t>
      </w:r>
      <w:r>
        <w:rPr>
          <w:rFonts w:cs="Times New Roman"/>
          <w:color w:val="000000"/>
        </w:rPr>
        <w:t>00m范围内居民的疏散工作，同时通报普光分公司应急指挥中心办公室。</w:t>
      </w:r>
    </w:p>
    <w:p>
      <w:pPr>
        <w:ind w:firstLine="480"/>
        <w:rPr>
          <w:rFonts w:cs="Times New Roman"/>
          <w:color w:val="000000"/>
        </w:rPr>
      </w:pPr>
      <w:r>
        <w:rPr>
          <w:rFonts w:cs="Times New Roman"/>
          <w:color w:val="000000"/>
        </w:rPr>
        <w:t>c、设置观察点，定时取样，监测（大气/空气）中的（天然气、H</w:t>
      </w:r>
      <w:r>
        <w:rPr>
          <w:rFonts w:cs="Times New Roman"/>
          <w:color w:val="000000"/>
          <w:vertAlign w:val="subscript"/>
        </w:rPr>
        <w:t>2</w:t>
      </w:r>
      <w:r>
        <w:rPr>
          <w:rFonts w:cs="Times New Roman"/>
          <w:color w:val="000000"/>
        </w:rPr>
        <w:t>S和二氧化碳含量/有毒有害气体（如H</w:t>
      </w:r>
      <w:r>
        <w:rPr>
          <w:rFonts w:cs="Times New Roman"/>
          <w:color w:val="000000"/>
          <w:vertAlign w:val="subscript"/>
        </w:rPr>
        <w:t>2</w:t>
      </w:r>
      <w:r>
        <w:rPr>
          <w:rFonts w:cs="Times New Roman"/>
          <w:color w:val="000000"/>
        </w:rPr>
        <w:t>S）的浓度），划分安全范围。</w:t>
      </w:r>
    </w:p>
    <w:p>
      <w:pPr>
        <w:ind w:firstLine="480"/>
        <w:rPr>
          <w:rFonts w:cs="Times New Roman"/>
          <w:color w:val="000000"/>
        </w:rPr>
      </w:pPr>
      <w:r>
        <w:rPr>
          <w:rFonts w:cs="Times New Roman"/>
          <w:color w:val="000000"/>
        </w:rPr>
        <w:t>d、迅速成立现场抢险领导小组，根据失控状况制定抢险方案，统一指挥、组织和协调抢险工作。抢险方案</w:t>
      </w:r>
      <w:r>
        <w:rPr>
          <w:rFonts w:hint="eastAsia" w:cs="Times New Roman"/>
          <w:color w:val="000000"/>
          <w:lang w:eastAsia="zh-CN"/>
        </w:rPr>
        <w:t>制定</w:t>
      </w:r>
      <w:r>
        <w:rPr>
          <w:rFonts w:cs="Times New Roman"/>
          <w:color w:val="000000"/>
        </w:rPr>
        <w:t>及实施，要把环境保护同时考虑，同时实施，防止出现次生环境事故。</w:t>
      </w:r>
    </w:p>
    <w:p>
      <w:pPr>
        <w:ind w:firstLine="480"/>
        <w:rPr>
          <w:rFonts w:cs="Times New Roman"/>
          <w:color w:val="000000"/>
        </w:rPr>
      </w:pPr>
      <w:r>
        <w:rPr>
          <w:rFonts w:cs="Times New Roman"/>
          <w:color w:val="000000"/>
        </w:rPr>
        <w:t>e、继续监测污染区有毒有害气体的浓度，根据监测情况决定是否扩大撤离范围。</w:t>
      </w:r>
    </w:p>
    <w:p>
      <w:pPr>
        <w:ind w:firstLine="480"/>
        <w:rPr>
          <w:rFonts w:cs="Times New Roman"/>
          <w:color w:val="000000"/>
        </w:rPr>
      </w:pPr>
      <w:r>
        <w:rPr>
          <w:rFonts w:cs="Times New Roman"/>
          <w:color w:val="000000"/>
        </w:rPr>
        <w:t>f、当空气中H</w:t>
      </w:r>
      <w:r>
        <w:rPr>
          <w:rFonts w:cs="Times New Roman"/>
          <w:color w:val="000000"/>
          <w:vertAlign w:val="subscript"/>
        </w:rPr>
        <w:t>2</w:t>
      </w:r>
      <w:r>
        <w:rPr>
          <w:rFonts w:cs="Times New Roman"/>
          <w:color w:val="000000"/>
        </w:rPr>
        <w:t>S浓度达到15mg/m</w:t>
      </w:r>
      <w:r>
        <w:rPr>
          <w:rFonts w:cs="Times New Roman"/>
          <w:color w:val="000000"/>
          <w:vertAlign w:val="superscript"/>
        </w:rPr>
        <w:t>3</w:t>
      </w:r>
      <w:r>
        <w:rPr>
          <w:rFonts w:cs="Times New Roman"/>
          <w:color w:val="000000"/>
        </w:rPr>
        <w:t>（10ppm）的阈限值时，现场应：</w:t>
      </w:r>
    </w:p>
    <w:p>
      <w:pPr>
        <w:ind w:firstLine="480"/>
        <w:rPr>
          <w:rFonts w:cs="Times New Roman"/>
          <w:color w:val="000000"/>
        </w:rPr>
      </w:pPr>
      <w:r>
        <w:rPr>
          <w:rFonts w:hint="eastAsia" w:ascii="宋体" w:hAnsi="宋体" w:cs="宋体"/>
          <w:color w:val="000000"/>
        </w:rPr>
        <w:t>①</w:t>
      </w:r>
      <w:r>
        <w:rPr>
          <w:rFonts w:cs="Times New Roman"/>
          <w:color w:val="000000"/>
        </w:rPr>
        <w:t>安排专人观察风向、风速确定危险区。</w:t>
      </w:r>
    </w:p>
    <w:p>
      <w:pPr>
        <w:ind w:firstLine="480"/>
        <w:rPr>
          <w:rFonts w:cs="Times New Roman"/>
          <w:color w:val="000000"/>
        </w:rPr>
      </w:pPr>
      <w:r>
        <w:rPr>
          <w:rFonts w:hint="eastAsia" w:ascii="宋体" w:hAnsi="宋体" w:cs="宋体"/>
          <w:color w:val="000000"/>
        </w:rPr>
        <w:t>②</w:t>
      </w:r>
      <w:r>
        <w:rPr>
          <w:rFonts w:cs="Times New Roman"/>
          <w:color w:val="000000"/>
        </w:rPr>
        <w:t>切断危险区不防爆电器的电源。</w:t>
      </w:r>
    </w:p>
    <w:p>
      <w:pPr>
        <w:ind w:firstLine="480"/>
        <w:rPr>
          <w:rFonts w:cs="Times New Roman"/>
          <w:color w:val="000000"/>
        </w:rPr>
      </w:pPr>
      <w:r>
        <w:rPr>
          <w:rFonts w:hint="eastAsia" w:ascii="宋体" w:hAnsi="宋体" w:cs="宋体"/>
          <w:color w:val="000000"/>
        </w:rPr>
        <w:t>③</w:t>
      </w:r>
      <w:r>
        <w:rPr>
          <w:rFonts w:cs="Times New Roman"/>
          <w:color w:val="000000"/>
        </w:rPr>
        <w:t>安排专人佩戴正压式空气呼吸器到危险区检测泄漏点。</w:t>
      </w:r>
    </w:p>
    <w:p>
      <w:pPr>
        <w:ind w:firstLine="480"/>
        <w:rPr>
          <w:rFonts w:cs="Times New Roman"/>
          <w:color w:val="000000"/>
        </w:rPr>
      </w:pPr>
      <w:r>
        <w:rPr>
          <w:rFonts w:hint="eastAsia" w:ascii="宋体" w:hAnsi="宋体" w:cs="宋体"/>
          <w:color w:val="000000"/>
        </w:rPr>
        <w:t>④</w:t>
      </w:r>
      <w:r>
        <w:rPr>
          <w:rFonts w:cs="Times New Roman"/>
          <w:color w:val="000000"/>
        </w:rPr>
        <w:t>非作业人员撤入安全区。</w:t>
      </w:r>
    </w:p>
    <w:p>
      <w:pPr>
        <w:ind w:firstLine="480"/>
        <w:rPr>
          <w:rFonts w:cs="Times New Roman"/>
          <w:color w:val="000000"/>
        </w:rPr>
      </w:pPr>
      <w:r>
        <w:rPr>
          <w:rFonts w:hint="eastAsia" w:ascii="宋体" w:hAnsi="宋体" w:cs="宋体"/>
          <w:color w:val="000000"/>
        </w:rPr>
        <w:t>⑤</w:t>
      </w:r>
      <w:r>
        <w:rPr>
          <w:rFonts w:cs="Times New Roman"/>
          <w:color w:val="000000"/>
        </w:rPr>
        <w:t>继续监测空气中H</w:t>
      </w:r>
      <w:r>
        <w:rPr>
          <w:rFonts w:cs="Times New Roman"/>
          <w:color w:val="000000"/>
          <w:vertAlign w:val="subscript"/>
        </w:rPr>
        <w:t>2</w:t>
      </w:r>
      <w:r>
        <w:rPr>
          <w:rFonts w:cs="Times New Roman"/>
          <w:color w:val="000000"/>
        </w:rPr>
        <w:t>S浓度（进行监测）。</w:t>
      </w:r>
    </w:p>
    <w:p>
      <w:pPr>
        <w:ind w:firstLine="480"/>
        <w:rPr>
          <w:rFonts w:cs="Times New Roman"/>
          <w:color w:val="000000"/>
        </w:rPr>
      </w:pPr>
      <w:r>
        <w:rPr>
          <w:rFonts w:cs="Times New Roman"/>
          <w:color w:val="000000"/>
        </w:rPr>
        <w:t>g、当空气中H</w:t>
      </w:r>
      <w:r>
        <w:rPr>
          <w:rFonts w:cs="Times New Roman"/>
          <w:color w:val="000000"/>
          <w:vertAlign w:val="subscript"/>
        </w:rPr>
        <w:t>2</w:t>
      </w:r>
      <w:r>
        <w:rPr>
          <w:rFonts w:cs="Times New Roman"/>
          <w:color w:val="000000"/>
        </w:rPr>
        <w:t>S浓度达到30mg/m</w:t>
      </w:r>
      <w:r>
        <w:rPr>
          <w:rFonts w:cs="Times New Roman"/>
          <w:color w:val="000000"/>
          <w:vertAlign w:val="superscript"/>
        </w:rPr>
        <w:t>3</w:t>
      </w:r>
      <w:r>
        <w:rPr>
          <w:rFonts w:cs="Times New Roman"/>
          <w:color w:val="000000"/>
        </w:rPr>
        <w:t>（20ppm）的安全临界浓度时，应：</w:t>
      </w:r>
    </w:p>
    <w:p>
      <w:pPr>
        <w:ind w:firstLine="480"/>
        <w:rPr>
          <w:rFonts w:cs="Times New Roman"/>
          <w:color w:val="000000"/>
        </w:rPr>
      </w:pPr>
      <w:r>
        <w:rPr>
          <w:rFonts w:hint="eastAsia" w:ascii="宋体" w:hAnsi="宋体" w:cs="宋体"/>
          <w:color w:val="000000"/>
        </w:rPr>
        <w:t>①</w:t>
      </w:r>
      <w:r>
        <w:rPr>
          <w:rFonts w:cs="Times New Roman"/>
          <w:color w:val="000000"/>
        </w:rPr>
        <w:t>启动报警音响，戴上正压式空气呼吸器。</w:t>
      </w:r>
    </w:p>
    <w:p>
      <w:pPr>
        <w:ind w:firstLine="480"/>
        <w:rPr>
          <w:rFonts w:cs="Times New Roman"/>
          <w:color w:val="000000"/>
        </w:rPr>
      </w:pPr>
      <w:r>
        <w:rPr>
          <w:rFonts w:hint="eastAsia" w:ascii="宋体" w:hAnsi="宋体" w:cs="宋体"/>
          <w:color w:val="000000"/>
        </w:rPr>
        <w:t>②</w:t>
      </w:r>
      <w:r>
        <w:rPr>
          <w:rFonts w:cs="Times New Roman"/>
          <w:color w:val="000000"/>
        </w:rPr>
        <w:t>实施井控程序，控制H</w:t>
      </w:r>
      <w:r>
        <w:rPr>
          <w:rFonts w:cs="Times New Roman"/>
          <w:color w:val="000000"/>
          <w:vertAlign w:val="subscript"/>
        </w:rPr>
        <w:t>2</w:t>
      </w:r>
      <w:r>
        <w:rPr>
          <w:rFonts w:cs="Times New Roman"/>
          <w:color w:val="000000"/>
        </w:rPr>
        <w:t>S泄漏源。</w:t>
      </w:r>
    </w:p>
    <w:p>
      <w:pPr>
        <w:ind w:firstLine="480"/>
        <w:rPr>
          <w:rFonts w:cs="Times New Roman"/>
          <w:color w:val="000000"/>
        </w:rPr>
      </w:pPr>
      <w:r>
        <w:rPr>
          <w:rFonts w:hint="eastAsia" w:ascii="宋体" w:hAnsi="宋体" w:cs="宋体"/>
          <w:color w:val="000000"/>
        </w:rPr>
        <w:t>③</w:t>
      </w:r>
      <w:r>
        <w:rPr>
          <w:rFonts w:cs="Times New Roman"/>
          <w:color w:val="000000"/>
        </w:rPr>
        <w:t>切断作业现场所有可能的着火源。</w:t>
      </w:r>
    </w:p>
    <w:p>
      <w:pPr>
        <w:ind w:firstLine="480"/>
        <w:rPr>
          <w:rFonts w:cs="Times New Roman"/>
          <w:color w:val="000000"/>
        </w:rPr>
      </w:pPr>
      <w:r>
        <w:rPr>
          <w:rFonts w:hint="eastAsia" w:ascii="宋体" w:hAnsi="宋体" w:cs="宋体"/>
          <w:color w:val="000000"/>
        </w:rPr>
        <w:t>④</w:t>
      </w:r>
      <w:r>
        <w:rPr>
          <w:rFonts w:cs="Times New Roman"/>
          <w:color w:val="000000"/>
        </w:rPr>
        <w:t>立即向上级部门报告。</w:t>
      </w:r>
    </w:p>
    <w:p>
      <w:pPr>
        <w:ind w:firstLine="480"/>
        <w:rPr>
          <w:rFonts w:cs="Times New Roman"/>
          <w:color w:val="000000"/>
        </w:rPr>
      </w:pPr>
      <w:r>
        <w:rPr>
          <w:rFonts w:hint="eastAsia" w:ascii="宋体" w:hAnsi="宋体" w:cs="宋体"/>
          <w:color w:val="000000"/>
        </w:rPr>
        <w:t>⑤</w:t>
      </w:r>
      <w:r>
        <w:rPr>
          <w:rFonts w:cs="Times New Roman"/>
          <w:color w:val="000000"/>
        </w:rPr>
        <w:t>指派专人在井口100m、500m、1000m、2000m和5000m处进行H</w:t>
      </w:r>
      <w:r>
        <w:rPr>
          <w:rFonts w:cs="Times New Roman"/>
          <w:color w:val="000000"/>
          <w:vertAlign w:val="subscript"/>
        </w:rPr>
        <w:t>2</w:t>
      </w:r>
      <w:r>
        <w:rPr>
          <w:rFonts w:cs="Times New Roman"/>
          <w:color w:val="000000"/>
        </w:rPr>
        <w:t>S监测，需要时监测点可适当加密。</w:t>
      </w:r>
    </w:p>
    <w:p>
      <w:pPr>
        <w:ind w:firstLine="480"/>
        <w:rPr>
          <w:rFonts w:cs="Times New Roman"/>
          <w:color w:val="000000"/>
        </w:rPr>
      </w:pPr>
      <w:r>
        <w:rPr>
          <w:rFonts w:hint="eastAsia" w:ascii="宋体" w:hAnsi="宋体" w:cs="宋体"/>
          <w:color w:val="000000"/>
        </w:rPr>
        <w:t>⑥</w:t>
      </w:r>
      <w:r>
        <w:rPr>
          <w:rFonts w:cs="Times New Roman"/>
          <w:color w:val="000000"/>
        </w:rPr>
        <w:t>设立警戒区，任何人未经许可不得入内。</w:t>
      </w:r>
    </w:p>
    <w:p>
      <w:pPr>
        <w:ind w:firstLine="480"/>
        <w:rPr>
          <w:rFonts w:cs="Times New Roman"/>
          <w:color w:val="000000"/>
        </w:rPr>
      </w:pPr>
      <w:r>
        <w:rPr>
          <w:rFonts w:hint="eastAsia" w:ascii="宋体" w:hAnsi="宋体" w:cs="宋体"/>
          <w:color w:val="000000"/>
        </w:rPr>
        <w:t>⑦</w:t>
      </w:r>
      <w:r>
        <w:rPr>
          <w:rFonts w:cs="Times New Roman"/>
          <w:color w:val="000000"/>
        </w:rPr>
        <w:t>撤离现场的非应急处置人员。</w:t>
      </w:r>
    </w:p>
    <w:p>
      <w:pPr>
        <w:ind w:firstLine="480"/>
        <w:rPr>
          <w:rFonts w:cs="Times New Roman"/>
          <w:color w:val="000000"/>
        </w:rPr>
      </w:pPr>
      <w:r>
        <w:rPr>
          <w:rFonts w:hint="eastAsia" w:ascii="宋体" w:hAnsi="宋体" w:cs="宋体"/>
          <w:color w:val="000000"/>
        </w:rPr>
        <w:t>⑧</w:t>
      </w:r>
      <w:r>
        <w:rPr>
          <w:rFonts w:cs="Times New Roman"/>
          <w:color w:val="000000"/>
        </w:rPr>
        <w:t>清点现场人员。</w:t>
      </w:r>
    </w:p>
    <w:p>
      <w:pPr>
        <w:ind w:firstLine="480"/>
        <w:rPr>
          <w:rFonts w:cs="Times New Roman"/>
          <w:color w:val="000000"/>
        </w:rPr>
      </w:pPr>
      <w:r>
        <w:rPr>
          <w:rFonts w:hint="eastAsia" w:ascii="宋体" w:hAnsi="宋体" w:cs="宋体"/>
          <w:color w:val="000000"/>
        </w:rPr>
        <w:t>⑨</w:t>
      </w:r>
      <w:r>
        <w:rPr>
          <w:rFonts w:cs="Times New Roman"/>
          <w:color w:val="000000"/>
        </w:rPr>
        <w:t>通知救援机构，救护人员进入戒备状态。</w:t>
      </w:r>
    </w:p>
    <w:p>
      <w:pPr>
        <w:ind w:firstLine="480"/>
        <w:rPr>
          <w:rFonts w:cs="Times New Roman"/>
          <w:color w:val="000000"/>
        </w:rPr>
      </w:pPr>
      <w:r>
        <w:rPr>
          <w:rFonts w:cs="Times New Roman"/>
          <w:color w:val="000000"/>
        </w:rPr>
        <w:t>h、当井喷失控时，应采取如下措施：</w:t>
      </w:r>
    </w:p>
    <w:p>
      <w:pPr>
        <w:ind w:firstLine="480"/>
        <w:rPr>
          <w:rFonts w:cs="Times New Roman"/>
          <w:color w:val="000000"/>
        </w:rPr>
      </w:pPr>
      <w:r>
        <w:rPr>
          <w:rFonts w:hint="eastAsia" w:ascii="宋体" w:hAnsi="宋体" w:cs="宋体"/>
          <w:color w:val="000000"/>
        </w:rPr>
        <w:t>①</w:t>
      </w:r>
      <w:r>
        <w:rPr>
          <w:rFonts w:cs="Times New Roman"/>
          <w:color w:val="000000"/>
        </w:rPr>
        <w:t>立即通知并协助当地政府疏散井口</w:t>
      </w:r>
      <w:r>
        <w:rPr>
          <w:rFonts w:hint="eastAsia" w:cs="Times New Roman"/>
          <w:color w:val="000000"/>
        </w:rPr>
        <w:t>22</w:t>
      </w:r>
      <w:r>
        <w:rPr>
          <w:rFonts w:cs="Times New Roman"/>
          <w:color w:val="000000"/>
        </w:rPr>
        <w:t>00m范围内的居民和其他人员，根据监测情况，考虑风向、地形、人口密度、受污染程度等情况及时作出风险和危害程度评估，决定是否扩大撤离范围。</w:t>
      </w:r>
    </w:p>
    <w:p>
      <w:pPr>
        <w:ind w:firstLine="480"/>
        <w:rPr>
          <w:rFonts w:cs="Times New Roman"/>
          <w:color w:val="000000"/>
        </w:rPr>
      </w:pPr>
      <w:r>
        <w:rPr>
          <w:rFonts w:hint="eastAsia" w:ascii="宋体" w:hAnsi="宋体" w:cs="宋体"/>
          <w:color w:val="000000"/>
        </w:rPr>
        <w:t>②</w:t>
      </w:r>
      <w:r>
        <w:rPr>
          <w:rFonts w:cs="Times New Roman"/>
          <w:color w:val="000000"/>
        </w:rPr>
        <w:t>关停生产设施。</w:t>
      </w:r>
    </w:p>
    <w:p>
      <w:pPr>
        <w:ind w:firstLine="480"/>
        <w:rPr>
          <w:rFonts w:cs="Times New Roman"/>
          <w:color w:val="000000"/>
        </w:rPr>
      </w:pPr>
      <w:r>
        <w:rPr>
          <w:rFonts w:hint="eastAsia" w:ascii="宋体" w:hAnsi="宋体" w:cs="宋体"/>
          <w:color w:val="000000"/>
        </w:rPr>
        <w:t>③</w:t>
      </w:r>
      <w:r>
        <w:rPr>
          <w:rFonts w:cs="Times New Roman"/>
          <w:color w:val="000000"/>
        </w:rPr>
        <w:t>请求援助。</w:t>
      </w:r>
    </w:p>
    <w:p>
      <w:pPr>
        <w:ind w:firstLine="480"/>
        <w:rPr>
          <w:rFonts w:cs="Times New Roman"/>
          <w:color w:val="000000"/>
        </w:rPr>
      </w:pPr>
      <w:r>
        <w:rPr>
          <w:rFonts w:cs="Times New Roman"/>
          <w:color w:val="000000"/>
        </w:rPr>
        <w:t>i、当井喷失控、空气中H</w:t>
      </w:r>
      <w:r>
        <w:rPr>
          <w:rFonts w:cs="Times New Roman"/>
          <w:color w:val="000000"/>
          <w:vertAlign w:val="subscript"/>
        </w:rPr>
        <w:t>2</w:t>
      </w:r>
      <w:r>
        <w:rPr>
          <w:rFonts w:cs="Times New Roman"/>
          <w:color w:val="000000"/>
        </w:rPr>
        <w:t>S浓度达到150mg/m</w:t>
      </w:r>
      <w:r>
        <w:rPr>
          <w:rFonts w:cs="Times New Roman"/>
          <w:color w:val="000000"/>
          <w:vertAlign w:val="superscript"/>
        </w:rPr>
        <w:t>3</w:t>
      </w:r>
      <w:r>
        <w:rPr>
          <w:rFonts w:cs="Times New Roman"/>
          <w:color w:val="000000"/>
        </w:rPr>
        <w:t>（100ppm）的危险临界浓度时，现场作业人员应按预案立即撤离井场，通知当地政府和其他有关机构，同时向上级主管部门报告。</w:t>
      </w:r>
    </w:p>
    <w:p>
      <w:pPr>
        <w:ind w:firstLine="480"/>
        <w:rPr>
          <w:rFonts w:cs="Times New Roman"/>
          <w:color w:val="000000"/>
        </w:rPr>
      </w:pPr>
      <w:r>
        <w:rPr>
          <w:rFonts w:cs="Times New Roman"/>
          <w:color w:val="000000"/>
        </w:rPr>
        <w:t>j、在确保人员安全前提下，将氧气瓶、油罐等易燃易爆物品撤离危险区。</w:t>
      </w:r>
    </w:p>
    <w:p>
      <w:pPr>
        <w:ind w:firstLine="480"/>
        <w:rPr>
          <w:rFonts w:cs="Times New Roman"/>
          <w:color w:val="000000"/>
        </w:rPr>
      </w:pPr>
      <w:r>
        <w:rPr>
          <w:rFonts w:cs="Times New Roman"/>
          <w:color w:val="000000"/>
        </w:rPr>
        <w:t>k、点火条件及点火时间</w:t>
      </w:r>
    </w:p>
    <w:p>
      <w:pPr>
        <w:ind w:firstLine="480"/>
        <w:rPr>
          <w:rFonts w:cs="Times New Roman"/>
          <w:color w:val="000000"/>
        </w:rPr>
      </w:pPr>
      <w:r>
        <w:rPr>
          <w:rFonts w:hint="eastAsia" w:ascii="宋体" w:hAnsi="宋体" w:cs="宋体"/>
          <w:color w:val="000000"/>
        </w:rPr>
        <w:t>①</w:t>
      </w:r>
      <w:r>
        <w:rPr>
          <w:rFonts w:cs="Times New Roman"/>
          <w:color w:val="000000"/>
        </w:rPr>
        <w:t>含硫化氢天然气井出现井喷事故征兆时，现场作业人员应立即进行点火准备工作；</w:t>
      </w:r>
    </w:p>
    <w:p>
      <w:pPr>
        <w:ind w:firstLine="480"/>
        <w:rPr>
          <w:rFonts w:cs="Times New Roman"/>
          <w:color w:val="000000"/>
        </w:rPr>
      </w:pPr>
      <w:r>
        <w:rPr>
          <w:rFonts w:hint="eastAsia" w:ascii="宋体" w:hAnsi="宋体" w:cs="宋体"/>
          <w:color w:val="000000"/>
        </w:rPr>
        <w:t>②</w:t>
      </w:r>
      <w:r>
        <w:rPr>
          <w:rFonts w:cs="Times New Roman"/>
          <w:color w:val="000000"/>
        </w:rPr>
        <w:t>井喷失控后，在5min内完成井口点火燃烧泄漏天然气，将H</w:t>
      </w:r>
      <w:r>
        <w:rPr>
          <w:rFonts w:cs="Times New Roman"/>
          <w:color w:val="000000"/>
          <w:vertAlign w:val="subscript"/>
        </w:rPr>
        <w:t>2</w:t>
      </w:r>
      <w:r>
        <w:rPr>
          <w:rFonts w:cs="Times New Roman"/>
          <w:color w:val="000000"/>
        </w:rPr>
        <w:t>S燃烧转化为SO</w:t>
      </w:r>
      <w:r>
        <w:rPr>
          <w:rFonts w:cs="Times New Roman"/>
          <w:color w:val="000000"/>
          <w:vertAlign w:val="subscript"/>
        </w:rPr>
        <w:t>2</w:t>
      </w:r>
      <w:r>
        <w:rPr>
          <w:rFonts w:cs="Times New Roman"/>
          <w:color w:val="000000"/>
        </w:rPr>
        <w:t>和H</w:t>
      </w:r>
      <w:r>
        <w:rPr>
          <w:rFonts w:cs="Times New Roman"/>
          <w:color w:val="000000"/>
          <w:vertAlign w:val="subscript"/>
        </w:rPr>
        <w:t>2</w:t>
      </w:r>
      <w:r>
        <w:rPr>
          <w:rFonts w:cs="Times New Roman"/>
          <w:color w:val="000000"/>
        </w:rPr>
        <w:t>O。</w:t>
      </w:r>
    </w:p>
    <w:p>
      <w:pPr>
        <w:ind w:firstLine="480"/>
        <w:rPr>
          <w:rFonts w:cs="Times New Roman"/>
          <w:color w:val="000000"/>
        </w:rPr>
      </w:pPr>
      <w:r>
        <w:rPr>
          <w:rFonts w:cs="Times New Roman"/>
          <w:color w:val="000000"/>
        </w:rPr>
        <w:t>l、含硫气井井口点火程序：</w:t>
      </w:r>
    </w:p>
    <w:p>
      <w:pPr>
        <w:ind w:firstLine="480"/>
        <w:rPr>
          <w:rFonts w:cs="Times New Roman"/>
          <w:color w:val="000000"/>
        </w:rPr>
      </w:pPr>
      <w:r>
        <w:rPr>
          <w:rFonts w:hint="eastAsia" w:ascii="宋体" w:hAnsi="宋体" w:cs="宋体"/>
          <w:color w:val="000000"/>
        </w:rPr>
        <w:t>①</w:t>
      </w:r>
      <w:r>
        <w:rPr>
          <w:rFonts w:cs="Times New Roman"/>
          <w:color w:val="000000"/>
        </w:rPr>
        <w:t>含硫气井井喷或井喷失控事故发生后，应防止着火和爆炸。</w:t>
      </w:r>
    </w:p>
    <w:p>
      <w:pPr>
        <w:ind w:firstLine="480"/>
        <w:rPr>
          <w:rFonts w:cs="Times New Roman"/>
          <w:color w:val="000000"/>
        </w:rPr>
      </w:pPr>
      <w:bookmarkStart w:id="377" w:name="OLE_LINK207"/>
      <w:bookmarkStart w:id="378" w:name="OLE_LINK206"/>
      <w:r>
        <w:rPr>
          <w:rFonts w:hint="eastAsia" w:ascii="宋体" w:hAnsi="宋体" w:cs="宋体"/>
          <w:color w:val="000000"/>
        </w:rPr>
        <w:t>②</w:t>
      </w:r>
      <w:r>
        <w:rPr>
          <w:rFonts w:cs="Times New Roman"/>
          <w:color w:val="000000"/>
        </w:rPr>
        <w:t>发</w:t>
      </w:r>
      <w:bookmarkEnd w:id="377"/>
      <w:bookmarkEnd w:id="378"/>
      <w:r>
        <w:rPr>
          <w:rFonts w:cs="Times New Roman"/>
          <w:color w:val="000000"/>
        </w:rPr>
        <w:t>生井喷后应采取措施控制井喷，若井口压力有可能超过允许关井压力，需点火放喷时，井场应先点火后放喷。</w:t>
      </w:r>
    </w:p>
    <w:p>
      <w:pPr>
        <w:ind w:firstLine="480"/>
        <w:rPr>
          <w:rFonts w:cs="Times New Roman"/>
          <w:color w:val="000000"/>
        </w:rPr>
      </w:pPr>
      <w:r>
        <w:rPr>
          <w:rFonts w:hint="eastAsia" w:ascii="宋体" w:hAnsi="宋体" w:cs="宋体"/>
          <w:color w:val="000000"/>
        </w:rPr>
        <w:t>③</w:t>
      </w:r>
      <w:r>
        <w:rPr>
          <w:rFonts w:cs="Times New Roman"/>
          <w:color w:val="000000"/>
        </w:rPr>
        <w:t>井喷失控后，在人员的生命受到巨大威胁、人员撤离无望、失控井无希望得到控制的情况下，作为最后手段应按抢险作业程序对油气井井口实施点火。</w:t>
      </w:r>
    </w:p>
    <w:p>
      <w:pPr>
        <w:ind w:firstLine="480"/>
        <w:rPr>
          <w:rFonts w:cs="Times New Roman"/>
          <w:color w:val="000000"/>
        </w:rPr>
      </w:pPr>
      <w:r>
        <w:rPr>
          <w:rFonts w:hint="eastAsia" w:ascii="宋体" w:hAnsi="宋体" w:cs="宋体"/>
          <w:color w:val="000000"/>
        </w:rPr>
        <w:t>④</w:t>
      </w:r>
      <w:r>
        <w:rPr>
          <w:rFonts w:cs="Times New Roman"/>
          <w:color w:val="000000"/>
        </w:rPr>
        <w:t>气井点火程序的相关内容应在应急预案中予以明确。油气井点火决策人宜由建设单位代表或其授权的现场负责人来担任，并列入应急预案中。</w:t>
      </w:r>
    </w:p>
    <w:p>
      <w:pPr>
        <w:ind w:firstLine="480"/>
        <w:rPr>
          <w:rFonts w:cs="Times New Roman"/>
          <w:color w:val="000000"/>
        </w:rPr>
      </w:pPr>
      <w:r>
        <w:rPr>
          <w:rFonts w:hint="eastAsia" w:ascii="宋体" w:hAnsi="宋体" w:cs="宋体"/>
          <w:color w:val="000000"/>
        </w:rPr>
        <w:t>⑤</w:t>
      </w:r>
      <w:r>
        <w:rPr>
          <w:rFonts w:cs="Times New Roman"/>
          <w:color w:val="000000"/>
        </w:rPr>
        <w:t>井场应配备自动点火装置，并备用手动点火器具。点火人员佩戴防护器具，在上风方向，尽量远离井口使用移动点火器具点火；其他人员集中到上风方向的安全区。</w:t>
      </w:r>
    </w:p>
    <w:p>
      <w:pPr>
        <w:ind w:firstLine="480"/>
        <w:rPr>
          <w:rFonts w:cs="Times New Roman"/>
          <w:color w:val="000000"/>
        </w:rPr>
      </w:pPr>
      <w:r>
        <w:rPr>
          <w:rFonts w:hint="eastAsia" w:ascii="宋体" w:hAnsi="宋体" w:cs="宋体"/>
          <w:color w:val="000000"/>
        </w:rPr>
        <w:t>⑥</w:t>
      </w:r>
      <w:r>
        <w:rPr>
          <w:rFonts w:cs="Times New Roman"/>
          <w:color w:val="000000"/>
        </w:rPr>
        <w:t>点火后应对下风方向尤其是井场生活区、周围集中居住区、医院、学校等人员聚集场所的二氧化硫的浓度进行监测。</w:t>
      </w:r>
    </w:p>
    <w:p>
      <w:pPr>
        <w:ind w:firstLine="480"/>
        <w:rPr>
          <w:rFonts w:cs="Times New Roman"/>
          <w:color w:val="000000"/>
        </w:rPr>
      </w:pPr>
      <w:r>
        <w:rPr>
          <w:rFonts w:hint="eastAsia" w:ascii="宋体" w:hAnsi="宋体" w:cs="宋体"/>
          <w:color w:val="000000"/>
        </w:rPr>
        <w:t>⑦</w:t>
      </w:r>
      <w:r>
        <w:rPr>
          <w:rFonts w:cs="Times New Roman"/>
          <w:color w:val="000000"/>
        </w:rPr>
        <w:t>、井喷发生后，及时安排消防车、救护车、医护人员和技安人员到现场。</w:t>
      </w:r>
    </w:p>
    <w:p>
      <w:pPr>
        <w:ind w:firstLine="480"/>
        <w:rPr>
          <w:rFonts w:cs="Times New Roman"/>
          <w:color w:val="000000"/>
        </w:rPr>
      </w:pPr>
      <w:r>
        <w:rPr>
          <w:rFonts w:hint="eastAsia" w:ascii="宋体" w:hAnsi="宋体" w:cs="宋体"/>
          <w:color w:val="000000"/>
        </w:rPr>
        <w:t>⑧</w:t>
      </w:r>
      <w:r>
        <w:rPr>
          <w:rFonts w:cs="Times New Roman"/>
          <w:color w:val="000000"/>
        </w:rPr>
        <w:t>、在邻近江河、湖泊、环境敏感区以及交通干线等地区，要在进行处置井喷事故的同时，充分考虑到事故和次生事故对环境可能造成的威胁，要严密制定并采取对环境敏感区和易受损资源的保护措施，防止事态扩大和引发次生灾害。</w:t>
      </w:r>
    </w:p>
    <w:p>
      <w:pPr>
        <w:ind w:firstLine="480"/>
        <w:rPr>
          <w:rFonts w:cs="Times New Roman"/>
          <w:color w:val="000000"/>
        </w:rPr>
      </w:pPr>
      <w:r>
        <w:rPr>
          <w:rFonts w:hint="eastAsia" w:ascii="宋体" w:hAnsi="宋体" w:cs="宋体"/>
          <w:color w:val="000000"/>
        </w:rPr>
        <w:t>⑨</w:t>
      </w:r>
      <w:r>
        <w:rPr>
          <w:rFonts w:cs="Times New Roman"/>
          <w:color w:val="000000"/>
        </w:rPr>
        <w:t>、在事故处理结束后，确认作业现场及其周边环境安全的情况下，和地方政府商定撤离群众的返回时间。</w:t>
      </w:r>
    </w:p>
    <w:p>
      <w:pPr>
        <w:ind w:firstLine="482"/>
        <w:rPr>
          <w:rFonts w:cs="Times New Roman"/>
          <w:b/>
          <w:color w:val="000000"/>
        </w:rPr>
      </w:pPr>
      <w:r>
        <w:rPr>
          <w:rFonts w:cs="Times New Roman"/>
          <w:b/>
          <w:color w:val="000000"/>
        </w:rPr>
        <w:t>6）H</w:t>
      </w:r>
      <w:r>
        <w:rPr>
          <w:rFonts w:cs="Times New Roman"/>
          <w:b/>
          <w:color w:val="000000"/>
          <w:vertAlign w:val="subscript"/>
        </w:rPr>
        <w:t>2</w:t>
      </w:r>
      <w:r>
        <w:rPr>
          <w:rFonts w:cs="Times New Roman"/>
          <w:b/>
          <w:color w:val="000000"/>
        </w:rPr>
        <w:t>S中毒应急救援预案</w:t>
      </w:r>
    </w:p>
    <w:p>
      <w:pPr>
        <w:ind w:firstLine="480"/>
        <w:rPr>
          <w:rFonts w:cs="Times New Roman"/>
          <w:color w:val="000000"/>
        </w:rPr>
      </w:pPr>
      <w:r>
        <w:rPr>
          <w:rFonts w:hint="eastAsia" w:ascii="宋体" w:hAnsi="宋体" w:cs="宋体"/>
          <w:color w:val="000000"/>
        </w:rPr>
        <w:t>①</w:t>
      </w:r>
      <w:r>
        <w:rPr>
          <w:rFonts w:cs="Times New Roman"/>
          <w:color w:val="000000"/>
        </w:rPr>
        <w:t>在钻井作业中严格执行《硫化氢环境钻井场所作业安全规范》（SY/T 5087-2017）的规定；在可能存在H</w:t>
      </w:r>
      <w:r>
        <w:rPr>
          <w:rFonts w:cs="Times New Roman"/>
          <w:color w:val="000000"/>
          <w:vertAlign w:val="subscript"/>
        </w:rPr>
        <w:t>2</w:t>
      </w:r>
      <w:r>
        <w:rPr>
          <w:rFonts w:cs="Times New Roman"/>
          <w:color w:val="000000"/>
        </w:rPr>
        <w:t>S的场所设立H</w:t>
      </w:r>
      <w:r>
        <w:rPr>
          <w:rFonts w:cs="Times New Roman"/>
          <w:color w:val="000000"/>
          <w:vertAlign w:val="subscript"/>
        </w:rPr>
        <w:t>2</w:t>
      </w:r>
      <w:r>
        <w:rPr>
          <w:rFonts w:cs="Times New Roman"/>
          <w:color w:val="000000"/>
        </w:rPr>
        <w:t>S中毒的警示标志和风向标，作业人员尽可能在上风口位置作业；为避免H</w:t>
      </w:r>
      <w:r>
        <w:rPr>
          <w:rFonts w:cs="Times New Roman"/>
          <w:color w:val="000000"/>
          <w:vertAlign w:val="subscript"/>
        </w:rPr>
        <w:t>2</w:t>
      </w:r>
      <w:r>
        <w:rPr>
          <w:rFonts w:cs="Times New Roman"/>
          <w:color w:val="000000"/>
        </w:rPr>
        <w:t>S外溢造成人、牲畜伤亡，在即将钻入含H</w:t>
      </w:r>
      <w:r>
        <w:rPr>
          <w:rFonts w:cs="Times New Roman"/>
          <w:color w:val="000000"/>
          <w:vertAlign w:val="subscript"/>
        </w:rPr>
        <w:t>2</w:t>
      </w:r>
      <w:r>
        <w:rPr>
          <w:rFonts w:cs="Times New Roman"/>
          <w:color w:val="000000"/>
        </w:rPr>
        <w:t>S地层时，实施现场警戒施工当天应提前疏散村民及牲口，疏散的范围由应急领导小组确定，提前24小时通知当地村社干部。</w:t>
      </w:r>
    </w:p>
    <w:p>
      <w:pPr>
        <w:ind w:firstLine="480"/>
        <w:rPr>
          <w:rFonts w:cs="Times New Roman"/>
          <w:color w:val="000000"/>
        </w:rPr>
      </w:pPr>
      <w:r>
        <w:rPr>
          <w:rFonts w:hint="eastAsia" w:ascii="宋体" w:hAnsi="宋体" w:cs="宋体"/>
          <w:color w:val="000000"/>
        </w:rPr>
        <w:t>②</w:t>
      </w:r>
      <w:r>
        <w:rPr>
          <w:rFonts w:cs="Times New Roman"/>
          <w:color w:val="000000"/>
        </w:rPr>
        <w:t>在井场按规定配置H</w:t>
      </w:r>
      <w:r>
        <w:rPr>
          <w:rFonts w:cs="Times New Roman"/>
          <w:color w:val="000000"/>
          <w:vertAlign w:val="subscript"/>
        </w:rPr>
        <w:t>2</w:t>
      </w:r>
      <w:r>
        <w:rPr>
          <w:rFonts w:cs="Times New Roman"/>
          <w:color w:val="000000"/>
        </w:rPr>
        <w:t>S检测仪，并保证其灵敏可靠；在可能产生H</w:t>
      </w:r>
      <w:r>
        <w:rPr>
          <w:rFonts w:cs="Times New Roman"/>
          <w:color w:val="000000"/>
          <w:vertAlign w:val="subscript"/>
        </w:rPr>
        <w:t>2</w:t>
      </w:r>
      <w:r>
        <w:rPr>
          <w:rFonts w:cs="Times New Roman"/>
          <w:color w:val="000000"/>
        </w:rPr>
        <w:t>S的场所工作的员工每人配备防毒面具和空（氧）气呼吸器，并保证有效使用；</w:t>
      </w:r>
    </w:p>
    <w:p>
      <w:pPr>
        <w:ind w:firstLine="480"/>
        <w:rPr>
          <w:rFonts w:cs="Times New Roman"/>
          <w:color w:val="000000"/>
        </w:rPr>
      </w:pPr>
      <w:r>
        <w:rPr>
          <w:rFonts w:hint="eastAsia" w:ascii="宋体" w:hAnsi="宋体" w:cs="宋体"/>
          <w:color w:val="000000"/>
        </w:rPr>
        <w:t>③</w:t>
      </w:r>
      <w:r>
        <w:rPr>
          <w:rFonts w:cs="Times New Roman"/>
          <w:color w:val="000000"/>
        </w:rPr>
        <w:t>向周围居民进行井喷和防H</w:t>
      </w:r>
      <w:r>
        <w:rPr>
          <w:rFonts w:cs="Times New Roman"/>
          <w:color w:val="000000"/>
          <w:vertAlign w:val="subscript"/>
        </w:rPr>
        <w:t>2</w:t>
      </w:r>
      <w:r>
        <w:rPr>
          <w:rFonts w:cs="Times New Roman"/>
          <w:color w:val="000000"/>
        </w:rPr>
        <w:t>S中毒的防护知识的宣传，并调查了解附近居民的分布情况，掌握其最有效的联系方式；</w:t>
      </w:r>
    </w:p>
    <w:p>
      <w:pPr>
        <w:ind w:firstLine="480"/>
        <w:rPr>
          <w:rFonts w:cs="Times New Roman"/>
          <w:color w:val="000000"/>
        </w:rPr>
      </w:pPr>
      <w:r>
        <w:rPr>
          <w:rFonts w:hint="eastAsia" w:ascii="宋体" w:hAnsi="宋体" w:cs="宋体"/>
          <w:color w:val="000000"/>
        </w:rPr>
        <w:t>④</w:t>
      </w:r>
      <w:r>
        <w:rPr>
          <w:rFonts w:cs="Times New Roman"/>
          <w:color w:val="000000"/>
        </w:rPr>
        <w:t>听到H</w:t>
      </w:r>
      <w:r>
        <w:rPr>
          <w:rFonts w:cs="Times New Roman"/>
          <w:color w:val="000000"/>
          <w:vertAlign w:val="subscript"/>
        </w:rPr>
        <w:t>2</w:t>
      </w:r>
      <w:r>
        <w:rPr>
          <w:rFonts w:cs="Times New Roman"/>
          <w:color w:val="000000"/>
        </w:rPr>
        <w:t>S报警信号后立即戴上防毒面具或氧气呼吸器；</w:t>
      </w:r>
    </w:p>
    <w:p>
      <w:pPr>
        <w:ind w:firstLine="480"/>
        <w:rPr>
          <w:rFonts w:cs="Times New Roman"/>
          <w:color w:val="000000"/>
        </w:rPr>
      </w:pPr>
      <w:r>
        <w:rPr>
          <w:rFonts w:hint="eastAsia" w:ascii="宋体" w:hAnsi="宋体" w:cs="宋体"/>
          <w:color w:val="000000"/>
        </w:rPr>
        <w:t>⑤</w:t>
      </w:r>
      <w:r>
        <w:rPr>
          <w:rFonts w:cs="Times New Roman"/>
          <w:color w:val="000000"/>
        </w:rPr>
        <w:t>发出警报信号（鸣喇叭），全队处于应急状态；当班人员按“四七”动作控制井口；非当班人员立即赶到井场作救护准备；卫生员准备担架、氧气袋和急救箱到井场；HSE监督（安全员）检查空气呼吸器并搬出备用；</w:t>
      </w:r>
    </w:p>
    <w:p>
      <w:pPr>
        <w:ind w:firstLine="480"/>
        <w:rPr>
          <w:rFonts w:cs="Times New Roman"/>
          <w:color w:val="000000"/>
        </w:rPr>
      </w:pPr>
      <w:r>
        <w:rPr>
          <w:rFonts w:hint="eastAsia" w:ascii="宋体" w:hAnsi="宋体" w:cs="宋体"/>
          <w:color w:val="000000"/>
        </w:rPr>
        <w:t>⑥</w:t>
      </w:r>
      <w:r>
        <w:rPr>
          <w:rFonts w:cs="Times New Roman"/>
          <w:color w:val="000000"/>
        </w:rPr>
        <w:t>救护人员戴好空气呼吸器到岗位检查井口是否控制住，有无人员中毒；若发现有人员中毒立即抬至空气流通处施行现场急救，同时与挂钩医院联系；</w:t>
      </w:r>
    </w:p>
    <w:p>
      <w:pPr>
        <w:ind w:firstLine="480"/>
        <w:rPr>
          <w:rFonts w:cs="Times New Roman"/>
          <w:color w:val="000000"/>
        </w:rPr>
      </w:pPr>
      <w:r>
        <w:rPr>
          <w:rFonts w:hint="eastAsia" w:ascii="宋体" w:hAnsi="宋体" w:cs="宋体"/>
          <w:color w:val="000000"/>
        </w:rPr>
        <w:t>⑦</w:t>
      </w:r>
      <w:r>
        <w:rPr>
          <w:rFonts w:cs="Times New Roman"/>
          <w:color w:val="000000"/>
        </w:rPr>
        <w:t>由队长和钻井技术员组织处理消除井内的H</w:t>
      </w:r>
      <w:r>
        <w:rPr>
          <w:rFonts w:cs="Times New Roman"/>
          <w:color w:val="000000"/>
          <w:vertAlign w:val="subscript"/>
        </w:rPr>
        <w:t>2</w:t>
      </w:r>
      <w:r>
        <w:rPr>
          <w:rFonts w:cs="Times New Roman"/>
          <w:color w:val="000000"/>
        </w:rPr>
        <w:t>S外逸工作。</w:t>
      </w:r>
    </w:p>
    <w:p>
      <w:pPr>
        <w:ind w:firstLine="482"/>
        <w:rPr>
          <w:rFonts w:cs="Times New Roman"/>
          <w:b/>
          <w:color w:val="000000"/>
        </w:rPr>
      </w:pPr>
      <w:r>
        <w:rPr>
          <w:rFonts w:cs="Times New Roman"/>
          <w:b/>
          <w:color w:val="000000"/>
        </w:rPr>
        <w:t>7）应急疏散预案</w:t>
      </w:r>
    </w:p>
    <w:p>
      <w:pPr>
        <w:ind w:firstLine="480"/>
        <w:rPr>
          <w:rFonts w:cs="Times New Roman"/>
          <w:color w:val="000000"/>
        </w:rPr>
      </w:pPr>
      <w:r>
        <w:rPr>
          <w:rFonts w:cs="Times New Roman"/>
          <w:color w:val="000000"/>
        </w:rPr>
        <w:t>当井喷失控时，应立即通知并协助当地政府疏散井口</w:t>
      </w:r>
      <w:r>
        <w:rPr>
          <w:rFonts w:hint="eastAsia" w:cs="Times New Roman"/>
          <w:color w:val="000000"/>
        </w:rPr>
        <w:t>22</w:t>
      </w:r>
      <w:r>
        <w:rPr>
          <w:rFonts w:cs="Times New Roman"/>
          <w:color w:val="000000"/>
        </w:rPr>
        <w:t>00m范围内的居民和其他人员，根据监测情况，考虑风向、地形、人口密度、受污染程度等情况及时作出风险和危害程度评估，决定是否扩大撤离范围。</w:t>
      </w:r>
    </w:p>
    <w:p>
      <w:pPr>
        <w:ind w:firstLine="480"/>
        <w:rPr>
          <w:rFonts w:cs="Times New Roman"/>
          <w:color w:val="000000"/>
        </w:rPr>
      </w:pPr>
      <w:r>
        <w:rPr>
          <w:rFonts w:cs="Times New Roman"/>
          <w:color w:val="000000"/>
        </w:rPr>
        <w:t>a、疏散方向原则</w:t>
      </w:r>
    </w:p>
    <w:p>
      <w:pPr>
        <w:ind w:firstLine="480"/>
        <w:rPr>
          <w:rFonts w:cs="Times New Roman"/>
          <w:color w:val="000000"/>
        </w:rPr>
      </w:pPr>
      <w:r>
        <w:rPr>
          <w:rFonts w:cs="Times New Roman"/>
          <w:color w:val="000000"/>
        </w:rPr>
        <w:t>总体原则为远离泄漏源。</w:t>
      </w:r>
      <w:r>
        <w:rPr>
          <w:rFonts w:hint="eastAsia" w:ascii="宋体" w:hAnsi="宋体" w:cs="宋体"/>
          <w:color w:val="000000"/>
        </w:rPr>
        <w:t>①</w:t>
      </w:r>
      <w:r>
        <w:rPr>
          <w:rFonts w:cs="Times New Roman"/>
          <w:color w:val="000000"/>
        </w:rPr>
        <w:t>首先向远离泄漏源的方向撤离；</w:t>
      </w:r>
      <w:r>
        <w:rPr>
          <w:rFonts w:hint="eastAsia" w:ascii="宋体" w:hAnsi="宋体" w:cs="宋体"/>
          <w:color w:val="000000"/>
        </w:rPr>
        <w:t>②</w:t>
      </w:r>
      <w:r>
        <w:rPr>
          <w:rFonts w:cs="Times New Roman"/>
          <w:color w:val="000000"/>
        </w:rPr>
        <w:t>其次向上风向或侧风向撤离；</w:t>
      </w:r>
      <w:r>
        <w:rPr>
          <w:rFonts w:hint="eastAsia" w:ascii="宋体" w:hAnsi="宋体" w:cs="宋体"/>
          <w:color w:val="000000"/>
        </w:rPr>
        <w:t>③</w:t>
      </w:r>
      <w:r>
        <w:rPr>
          <w:rFonts w:cs="Times New Roman"/>
          <w:color w:val="000000"/>
        </w:rPr>
        <w:t>向高处撤离；</w:t>
      </w:r>
      <w:r>
        <w:rPr>
          <w:rFonts w:hint="eastAsia" w:ascii="宋体" w:hAnsi="宋体" w:cs="宋体"/>
          <w:color w:val="000000"/>
        </w:rPr>
        <w:t>④</w:t>
      </w:r>
      <w:r>
        <w:rPr>
          <w:rFonts w:cs="Times New Roman"/>
          <w:color w:val="000000"/>
        </w:rPr>
        <w:t>向交通方便处撤离。</w:t>
      </w:r>
    </w:p>
    <w:p>
      <w:pPr>
        <w:ind w:firstLine="480"/>
        <w:rPr>
          <w:rFonts w:cs="Times New Roman"/>
          <w:color w:val="000000"/>
        </w:rPr>
      </w:pPr>
      <w:r>
        <w:rPr>
          <w:rFonts w:cs="Times New Roman"/>
          <w:color w:val="000000"/>
        </w:rPr>
        <w:t>b、考虑高程情况下应急撤离路径选择原则</w:t>
      </w:r>
    </w:p>
    <w:p>
      <w:pPr>
        <w:ind w:firstLine="480"/>
        <w:rPr>
          <w:rFonts w:cs="Times New Roman"/>
          <w:color w:val="000000"/>
        </w:rPr>
      </w:pPr>
      <w:r>
        <w:rPr>
          <w:rFonts w:hint="eastAsia" w:ascii="宋体" w:hAnsi="宋体" w:cs="宋体"/>
          <w:color w:val="000000"/>
        </w:rPr>
        <w:t>①</w:t>
      </w:r>
      <w:r>
        <w:rPr>
          <w:rFonts w:cs="Times New Roman"/>
          <w:color w:val="000000"/>
        </w:rPr>
        <w:t>首先确保应急撤离路径为远离泄漏源的路径；</w:t>
      </w:r>
      <w:r>
        <w:rPr>
          <w:rFonts w:hint="eastAsia" w:ascii="宋体" w:hAnsi="宋体" w:cs="宋体"/>
          <w:color w:val="000000"/>
        </w:rPr>
        <w:t>②</w:t>
      </w:r>
      <w:r>
        <w:rPr>
          <w:rFonts w:cs="Times New Roman"/>
          <w:color w:val="000000"/>
        </w:rPr>
        <w:t>选择与泄漏源同一高程或高程增加的应急撤离路径；</w:t>
      </w:r>
      <w:r>
        <w:rPr>
          <w:rFonts w:hint="eastAsia" w:ascii="宋体" w:hAnsi="宋体" w:cs="宋体"/>
          <w:color w:val="000000"/>
        </w:rPr>
        <w:t>③</w:t>
      </w:r>
      <w:r>
        <w:rPr>
          <w:rFonts w:cs="Times New Roman"/>
          <w:color w:val="000000"/>
        </w:rPr>
        <w:t>选择交通方便的主要应急撤离路径。</w:t>
      </w:r>
    </w:p>
    <w:p>
      <w:pPr>
        <w:ind w:firstLine="480"/>
        <w:rPr>
          <w:rFonts w:cs="Times New Roman"/>
          <w:color w:val="000000"/>
        </w:rPr>
      </w:pPr>
      <w:r>
        <w:rPr>
          <w:rFonts w:cs="Times New Roman"/>
          <w:color w:val="000000"/>
        </w:rPr>
        <w:t>c、井场人员撤离方式方法</w:t>
      </w:r>
    </w:p>
    <w:p>
      <w:pPr>
        <w:ind w:firstLine="480"/>
        <w:rPr>
          <w:rFonts w:cs="Times New Roman"/>
          <w:color w:val="000000"/>
        </w:rPr>
      </w:pPr>
      <w:r>
        <w:rPr>
          <w:rFonts w:cs="Times New Roman"/>
          <w:color w:val="000000"/>
        </w:rPr>
        <w:t>指挥小组根据对事故发展的预测，撤离警报发出后，调度组将井场两处出口通道开至最大，指挥井场内人员及车辆离开，并禁止再次进入，同时指挥外部救援车辆有序进入场区进行事故抢险。</w:t>
      </w:r>
    </w:p>
    <w:p>
      <w:pPr>
        <w:ind w:firstLine="480"/>
        <w:rPr>
          <w:rFonts w:cs="Times New Roman"/>
          <w:color w:val="000000"/>
        </w:rPr>
      </w:pPr>
      <w:r>
        <w:rPr>
          <w:rFonts w:cs="Times New Roman"/>
          <w:color w:val="000000"/>
        </w:rPr>
        <w:t>岗位操作人员，根据当班调度的指令，采取控制事故扩大的措施进行紧急工艺处理（含紧急停车）。非事故岗位人员按照要求关闭电器设备后，并根据当时风向撤离井场前后两集合点。并根据毒物扩散情况，适时撤离到安全地点。撤离时全体人员带上应急自救器材，发现有人受伤时，应先判断环境的安全性再进行救助。人员清点，由后勤保障组长或安全环保组组长指定人员统计应到人数，并及时报告领导小组，以便及时了解是否存在员工滞留在事故区。全体人员在指定的安全点停留，直到警报解除。</w:t>
      </w:r>
    </w:p>
    <w:p>
      <w:pPr>
        <w:ind w:firstLine="480"/>
        <w:rPr>
          <w:rFonts w:cs="Times New Roman"/>
          <w:color w:val="000000"/>
        </w:rPr>
      </w:pPr>
      <w:r>
        <w:rPr>
          <w:rFonts w:cs="Times New Roman"/>
          <w:color w:val="000000"/>
        </w:rPr>
        <w:t>d、周边区域的单位、村居人员的疏散方式方法</w:t>
      </w:r>
    </w:p>
    <w:p>
      <w:pPr>
        <w:ind w:firstLine="480"/>
        <w:rPr>
          <w:rFonts w:cs="Times New Roman"/>
          <w:color w:val="000000"/>
        </w:rPr>
      </w:pPr>
      <w:r>
        <w:rPr>
          <w:rFonts w:cs="Times New Roman"/>
          <w:color w:val="000000"/>
        </w:rPr>
        <w:t>指挥小组根据事故发展趋势的预测，通过警报器向周边单位、村居民发出疏散警报，警报一声表示井场发生严重事故；连续警报不停，告知周边单位、村居人员要进行疏散。对外联系组立即通过电话报告</w:t>
      </w:r>
      <w:r>
        <w:rPr>
          <w:rFonts w:hint="eastAsia" w:cs="Times New Roman"/>
          <w:color w:val="000000"/>
        </w:rPr>
        <w:t>普光镇</w:t>
      </w:r>
      <w:r>
        <w:rPr>
          <w:rFonts w:cs="Times New Roman"/>
          <w:color w:val="000000"/>
        </w:rPr>
        <w:t>镇、宣汉县政府等行政主管部门，申请联动应急救援，同时通知周边单位，村居负责人。周边单位、村居负责人立即组织本单位、村居人员，根据自己所处的位置，徒步有序地疏散到乡镇设定的安全集合点。疏散人员要带上湿毛巾衣物，当闻到臭鸡蛋气味时将口鼻捂住。疏散时HSE管理组、后勤保障组、对外关系组应全力配</w:t>
      </w:r>
      <w:bookmarkStart w:id="379" w:name="OLE_LINK216"/>
      <w:bookmarkStart w:id="380" w:name="OLE_LINK210"/>
      <w:r>
        <w:rPr>
          <w:rFonts w:cs="Times New Roman"/>
          <w:color w:val="000000"/>
        </w:rPr>
        <w:t>合</w:t>
      </w:r>
      <w:bookmarkEnd w:id="379"/>
      <w:bookmarkEnd w:id="380"/>
      <w:r>
        <w:rPr>
          <w:rFonts w:cs="Times New Roman"/>
          <w:color w:val="000000"/>
        </w:rPr>
        <w:t>乡镇政府的疏散工作。</w:t>
      </w:r>
    </w:p>
    <w:p>
      <w:pPr>
        <w:ind w:firstLine="480"/>
        <w:rPr>
          <w:rFonts w:cs="Times New Roman"/>
          <w:color w:val="000000"/>
        </w:rPr>
      </w:pPr>
      <w:r>
        <w:rPr>
          <w:rFonts w:cs="Times New Roman"/>
          <w:color w:val="000000"/>
        </w:rPr>
        <w:t>周边居民安全须知和硫化氢泄漏逃生方向示意图见</w:t>
      </w:r>
      <w:r>
        <w:rPr>
          <w:rFonts w:cs="Times New Roman"/>
          <w:color w:val="000000"/>
        </w:rPr>
        <w:fldChar w:fldCharType="begin"/>
      </w:r>
      <w:r>
        <w:rPr>
          <w:rFonts w:cs="Times New Roman"/>
          <w:color w:val="000000"/>
        </w:rPr>
        <w:instrText xml:space="preserve"> REF _Ref142924083 \h  \* MERGEFORMAT </w:instrText>
      </w:r>
      <w:r>
        <w:rPr>
          <w:rFonts w:cs="Times New Roman"/>
          <w:color w:val="000000"/>
        </w:rPr>
        <w:fldChar w:fldCharType="separate"/>
      </w:r>
      <w:r>
        <w:rPr>
          <w:rFonts w:cs="Times New Roman"/>
          <w:color w:val="000000"/>
        </w:rPr>
        <w:t>图6.6</w:t>
      </w:r>
      <w:r>
        <w:rPr>
          <w:rFonts w:cs="Times New Roman"/>
          <w:color w:val="000000"/>
        </w:rPr>
        <w:noBreakHyphen/>
      </w:r>
      <w:r>
        <w:rPr>
          <w:rFonts w:cs="Times New Roman"/>
          <w:color w:val="000000"/>
        </w:rPr>
        <w:t>6</w:t>
      </w:r>
      <w:r>
        <w:rPr>
          <w:rFonts w:cs="Times New Roman"/>
          <w:color w:val="000000"/>
        </w:rPr>
        <w:fldChar w:fldCharType="end"/>
      </w:r>
      <w:r>
        <w:rPr>
          <w:rFonts w:cs="Times New Roman"/>
          <w:color w:val="000000"/>
        </w:rPr>
        <w:t>，静风条件下硫化氢泄漏逃生方向示意图见</w:t>
      </w:r>
      <w:r>
        <w:rPr>
          <w:rFonts w:cs="Times New Roman"/>
          <w:color w:val="000000"/>
        </w:rPr>
        <w:fldChar w:fldCharType="begin"/>
      </w:r>
      <w:r>
        <w:rPr>
          <w:rFonts w:cs="Times New Roman"/>
          <w:color w:val="000000"/>
        </w:rPr>
        <w:instrText xml:space="preserve"> REF _Ref142924088 \h  \* MERGEFORMAT </w:instrText>
      </w:r>
      <w:r>
        <w:rPr>
          <w:rFonts w:cs="Times New Roman"/>
          <w:color w:val="000000"/>
        </w:rPr>
        <w:fldChar w:fldCharType="separate"/>
      </w:r>
      <w:r>
        <w:rPr>
          <w:rFonts w:cs="Times New Roman"/>
          <w:color w:val="000000"/>
        </w:rPr>
        <w:t>图6.6</w:t>
      </w:r>
      <w:r>
        <w:rPr>
          <w:rFonts w:cs="Times New Roman"/>
          <w:color w:val="000000"/>
        </w:rPr>
        <w:noBreakHyphen/>
      </w:r>
      <w:r>
        <w:rPr>
          <w:rFonts w:cs="Times New Roman"/>
          <w:color w:val="000000"/>
        </w:rPr>
        <w:t>7</w:t>
      </w:r>
      <w:r>
        <w:rPr>
          <w:rFonts w:cs="Times New Roman"/>
          <w:color w:val="000000"/>
        </w:rPr>
        <w:fldChar w:fldCharType="end"/>
      </w:r>
      <w:r>
        <w:rPr>
          <w:rFonts w:cs="Times New Roman"/>
          <w:color w:val="000000"/>
        </w:rPr>
        <w:t>。</w:t>
      </w:r>
    </w:p>
    <w:p>
      <w:pPr>
        <w:ind w:firstLine="480"/>
        <w:rPr>
          <w:rFonts w:cs="Times New Roman"/>
          <w:color w:val="000000"/>
        </w:rPr>
        <w:sectPr>
          <w:pgSz w:w="11910" w:h="16840"/>
          <w:pgMar w:top="1440" w:right="1800" w:bottom="1440" w:left="1800" w:header="964" w:footer="964" w:gutter="0"/>
          <w:cols w:space="720" w:num="1"/>
          <w:docGrid w:linePitch="326" w:charSpace="0"/>
        </w:sectPr>
      </w:pPr>
    </w:p>
    <w:p>
      <w:pPr>
        <w:widowControl/>
        <w:spacing w:line="240" w:lineRule="auto"/>
        <w:ind w:firstLine="0" w:firstLineChars="0"/>
        <w:jc w:val="center"/>
        <w:rPr>
          <w:rFonts w:cs="Times New Roman"/>
          <w:color w:val="000000"/>
          <w:kern w:val="0"/>
          <w:sz w:val="29"/>
          <w:szCs w:val="29"/>
          <w:lang w:eastAsia="en-US"/>
        </w:rPr>
      </w:pPr>
      <w:r>
        <w:rPr>
          <w:rFonts w:cs="Times New Roman"/>
          <w:color w:val="000000"/>
          <w:kern w:val="0"/>
          <w:sz w:val="29"/>
          <w:szCs w:val="29"/>
        </w:rPr>
        <w:drawing>
          <wp:inline distT="0" distB="0" distL="0" distR="0">
            <wp:extent cx="8740140" cy="4572000"/>
            <wp:effectExtent l="0" t="0" r="381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8740140" cy="4572000"/>
                    </a:xfrm>
                    <a:prstGeom prst="rect">
                      <a:avLst/>
                    </a:prstGeom>
                    <a:noFill/>
                    <a:ln>
                      <a:noFill/>
                    </a:ln>
                  </pic:spPr>
                </pic:pic>
              </a:graphicData>
            </a:graphic>
          </wp:inline>
        </w:drawing>
      </w:r>
    </w:p>
    <w:p>
      <w:pPr>
        <w:ind w:firstLine="0" w:firstLineChars="0"/>
        <w:jc w:val="center"/>
        <w:rPr>
          <w:rFonts w:cs="Times New Roman"/>
          <w:color w:val="000000"/>
          <w:sz w:val="21"/>
          <w:szCs w:val="28"/>
        </w:rPr>
      </w:pPr>
      <w:bookmarkStart w:id="381" w:name="_Ref142924083"/>
      <w:r>
        <w:rPr>
          <w:rFonts w:cs="Times New Roman"/>
          <w:color w:val="000000"/>
          <w:sz w:val="21"/>
          <w:szCs w:val="28"/>
        </w:rPr>
        <w:t>图</w:t>
      </w:r>
      <w:r>
        <w:rPr>
          <w:rFonts w:cs="Times New Roman"/>
          <w:color w:val="000000"/>
          <w:sz w:val="21"/>
          <w:szCs w:val="28"/>
        </w:rPr>
        <w:fldChar w:fldCharType="begin"/>
      </w:r>
      <w:r>
        <w:rPr>
          <w:rFonts w:cs="Times New Roman"/>
          <w:color w:val="000000"/>
          <w:sz w:val="21"/>
          <w:szCs w:val="28"/>
        </w:rPr>
        <w:instrText xml:space="preserve"> STYLEREF 2 \s </w:instrText>
      </w:r>
      <w:r>
        <w:rPr>
          <w:rFonts w:cs="Times New Roman"/>
          <w:color w:val="000000"/>
          <w:sz w:val="21"/>
          <w:szCs w:val="28"/>
        </w:rPr>
        <w:fldChar w:fldCharType="separate"/>
      </w:r>
      <w:r>
        <w:rPr>
          <w:rFonts w:cs="Times New Roman"/>
          <w:color w:val="000000"/>
          <w:sz w:val="21"/>
          <w:szCs w:val="28"/>
        </w:rPr>
        <w:t>6.6</w:t>
      </w:r>
      <w:r>
        <w:rPr>
          <w:rFonts w:cs="Times New Roman"/>
          <w:color w:val="000000"/>
          <w:sz w:val="21"/>
          <w:szCs w:val="28"/>
        </w:rPr>
        <w:fldChar w:fldCharType="end"/>
      </w:r>
      <w:r>
        <w:rPr>
          <w:rFonts w:cs="Times New Roman"/>
          <w:color w:val="000000"/>
          <w:sz w:val="21"/>
          <w:szCs w:val="28"/>
        </w:rPr>
        <w:noBreakHyphen/>
      </w:r>
      <w:r>
        <w:rPr>
          <w:rFonts w:cs="Times New Roman"/>
          <w:color w:val="000000"/>
          <w:sz w:val="21"/>
          <w:szCs w:val="28"/>
        </w:rPr>
        <w:fldChar w:fldCharType="begin"/>
      </w:r>
      <w:r>
        <w:rPr>
          <w:rFonts w:cs="Times New Roman"/>
          <w:color w:val="000000"/>
          <w:sz w:val="21"/>
          <w:szCs w:val="28"/>
        </w:rPr>
        <w:instrText xml:space="preserve"> SEQ 图 \* ARABIC \s 2 </w:instrText>
      </w:r>
      <w:r>
        <w:rPr>
          <w:rFonts w:cs="Times New Roman"/>
          <w:color w:val="000000"/>
          <w:sz w:val="21"/>
          <w:szCs w:val="28"/>
        </w:rPr>
        <w:fldChar w:fldCharType="separate"/>
      </w:r>
      <w:r>
        <w:rPr>
          <w:rFonts w:cs="Times New Roman"/>
          <w:color w:val="000000"/>
          <w:sz w:val="21"/>
          <w:szCs w:val="28"/>
        </w:rPr>
        <w:t>6</w:t>
      </w:r>
      <w:r>
        <w:rPr>
          <w:rFonts w:cs="Times New Roman"/>
          <w:color w:val="000000"/>
          <w:sz w:val="21"/>
          <w:szCs w:val="28"/>
        </w:rPr>
        <w:fldChar w:fldCharType="end"/>
      </w:r>
      <w:bookmarkEnd w:id="381"/>
      <w:r>
        <w:rPr>
          <w:rFonts w:cs="Times New Roman"/>
          <w:color w:val="000000"/>
          <w:sz w:val="21"/>
          <w:szCs w:val="28"/>
        </w:rPr>
        <w:t xml:space="preserve"> 周边居民安全须知和硫化氢泄漏逃生方向示意图</w:t>
      </w:r>
    </w:p>
    <w:p>
      <w:pPr>
        <w:ind w:firstLine="480"/>
        <w:rPr>
          <w:rFonts w:cs="Times New Roman"/>
          <w:color w:val="000000"/>
        </w:rPr>
      </w:pPr>
    </w:p>
    <w:p>
      <w:pPr>
        <w:ind w:firstLine="480"/>
        <w:rPr>
          <w:rFonts w:cs="Times New Roman"/>
          <w:color w:val="000000"/>
        </w:rPr>
        <w:sectPr>
          <w:pgSz w:w="16840" w:h="11910" w:orient="landscape"/>
          <w:pgMar w:top="1800" w:right="1440" w:bottom="1800" w:left="1440" w:header="964" w:footer="964" w:gutter="0"/>
          <w:cols w:space="720" w:num="1"/>
          <w:docGrid w:linePitch="326" w:charSpace="0"/>
        </w:sectPr>
      </w:pPr>
    </w:p>
    <w:p>
      <w:pPr>
        <w:widowControl/>
        <w:spacing w:line="240" w:lineRule="auto"/>
        <w:ind w:firstLine="0" w:firstLineChars="0"/>
        <w:jc w:val="center"/>
        <w:rPr>
          <w:rFonts w:cs="Times New Roman"/>
          <w:color w:val="000000"/>
          <w:kern w:val="0"/>
          <w:sz w:val="29"/>
          <w:szCs w:val="29"/>
          <w:lang w:eastAsia="en-US"/>
        </w:rPr>
      </w:pPr>
      <w:r>
        <w:rPr>
          <w:rFonts w:cs="Times New Roman"/>
          <w:color w:val="000000"/>
          <w:kern w:val="0"/>
          <w:sz w:val="29"/>
          <w:szCs w:val="29"/>
        </w:rPr>
        <w:drawing>
          <wp:inline distT="0" distB="0" distL="0" distR="0">
            <wp:extent cx="5250180" cy="3634740"/>
            <wp:effectExtent l="0" t="0" r="7620" b="3810"/>
            <wp:docPr id="39" name="图片 39" descr="不同风向撤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不同风向撤离图"/>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5250180" cy="3634740"/>
                    </a:xfrm>
                    <a:prstGeom prst="rect">
                      <a:avLst/>
                    </a:prstGeom>
                    <a:noFill/>
                    <a:ln>
                      <a:noFill/>
                    </a:ln>
                  </pic:spPr>
                </pic:pic>
              </a:graphicData>
            </a:graphic>
          </wp:inline>
        </w:drawing>
      </w:r>
    </w:p>
    <w:p>
      <w:pPr>
        <w:ind w:firstLine="0" w:firstLineChars="0"/>
        <w:jc w:val="center"/>
        <w:rPr>
          <w:rFonts w:cs="Times New Roman"/>
          <w:color w:val="000000"/>
          <w:sz w:val="21"/>
          <w:szCs w:val="28"/>
        </w:rPr>
      </w:pPr>
      <w:bookmarkStart w:id="382" w:name="_Ref142924088"/>
      <w:r>
        <w:rPr>
          <w:rFonts w:cs="Times New Roman"/>
          <w:color w:val="000000"/>
          <w:sz w:val="21"/>
          <w:szCs w:val="28"/>
        </w:rPr>
        <w:t>图</w:t>
      </w:r>
      <w:r>
        <w:rPr>
          <w:rFonts w:cs="Times New Roman"/>
          <w:color w:val="000000"/>
          <w:sz w:val="21"/>
          <w:szCs w:val="28"/>
        </w:rPr>
        <w:fldChar w:fldCharType="begin"/>
      </w:r>
      <w:r>
        <w:rPr>
          <w:rFonts w:cs="Times New Roman"/>
          <w:color w:val="000000"/>
          <w:sz w:val="21"/>
          <w:szCs w:val="28"/>
        </w:rPr>
        <w:instrText xml:space="preserve"> STYLEREF 2 \s </w:instrText>
      </w:r>
      <w:r>
        <w:rPr>
          <w:rFonts w:cs="Times New Roman"/>
          <w:color w:val="000000"/>
          <w:sz w:val="21"/>
          <w:szCs w:val="28"/>
        </w:rPr>
        <w:fldChar w:fldCharType="separate"/>
      </w:r>
      <w:r>
        <w:rPr>
          <w:rFonts w:cs="Times New Roman"/>
          <w:color w:val="000000"/>
          <w:sz w:val="21"/>
          <w:szCs w:val="28"/>
        </w:rPr>
        <w:t>6.6</w:t>
      </w:r>
      <w:r>
        <w:rPr>
          <w:rFonts w:cs="Times New Roman"/>
          <w:color w:val="000000"/>
          <w:sz w:val="21"/>
          <w:szCs w:val="28"/>
        </w:rPr>
        <w:fldChar w:fldCharType="end"/>
      </w:r>
      <w:r>
        <w:rPr>
          <w:rFonts w:cs="Times New Roman"/>
          <w:color w:val="000000"/>
          <w:sz w:val="21"/>
          <w:szCs w:val="28"/>
        </w:rPr>
        <w:noBreakHyphen/>
      </w:r>
      <w:r>
        <w:rPr>
          <w:rFonts w:cs="Times New Roman"/>
          <w:color w:val="000000"/>
          <w:sz w:val="21"/>
          <w:szCs w:val="28"/>
        </w:rPr>
        <w:fldChar w:fldCharType="begin"/>
      </w:r>
      <w:r>
        <w:rPr>
          <w:rFonts w:cs="Times New Roman"/>
          <w:color w:val="000000"/>
          <w:sz w:val="21"/>
          <w:szCs w:val="28"/>
        </w:rPr>
        <w:instrText xml:space="preserve"> SEQ 图 \* ARABIC \s 2 </w:instrText>
      </w:r>
      <w:r>
        <w:rPr>
          <w:rFonts w:cs="Times New Roman"/>
          <w:color w:val="000000"/>
          <w:sz w:val="21"/>
          <w:szCs w:val="28"/>
        </w:rPr>
        <w:fldChar w:fldCharType="separate"/>
      </w:r>
      <w:r>
        <w:rPr>
          <w:rFonts w:cs="Times New Roman"/>
          <w:color w:val="000000"/>
          <w:sz w:val="21"/>
          <w:szCs w:val="28"/>
        </w:rPr>
        <w:t>7</w:t>
      </w:r>
      <w:r>
        <w:rPr>
          <w:rFonts w:cs="Times New Roman"/>
          <w:color w:val="000000"/>
          <w:sz w:val="21"/>
          <w:szCs w:val="28"/>
        </w:rPr>
        <w:fldChar w:fldCharType="end"/>
      </w:r>
      <w:bookmarkEnd w:id="382"/>
      <w:r>
        <w:rPr>
          <w:rFonts w:cs="Times New Roman"/>
          <w:color w:val="000000"/>
          <w:sz w:val="21"/>
          <w:szCs w:val="28"/>
        </w:rPr>
        <w:t xml:space="preserve"> 静风条件下硫化氢泄漏逃生方向示意图</w:t>
      </w:r>
    </w:p>
    <w:p>
      <w:pPr>
        <w:ind w:firstLine="482"/>
        <w:rPr>
          <w:rFonts w:cs="Times New Roman"/>
          <w:b/>
          <w:color w:val="000000"/>
        </w:rPr>
      </w:pPr>
      <w:r>
        <w:rPr>
          <w:rFonts w:cs="Times New Roman"/>
          <w:b/>
          <w:color w:val="000000"/>
        </w:rPr>
        <w:t>8）废水转运事故应急预案</w:t>
      </w:r>
    </w:p>
    <w:p>
      <w:pPr>
        <w:ind w:firstLine="480"/>
        <w:rPr>
          <w:rFonts w:cs="Times New Roman"/>
          <w:color w:val="000000"/>
        </w:rPr>
      </w:pPr>
      <w:r>
        <w:rPr>
          <w:rFonts w:cs="Times New Roman"/>
          <w:color w:val="000000"/>
        </w:rPr>
        <w:t>为防止环境污染，建设单位应制定废水转运事故应急预案。</w:t>
      </w:r>
    </w:p>
    <w:p>
      <w:pPr>
        <w:ind w:firstLine="480"/>
        <w:rPr>
          <w:rFonts w:cs="Times New Roman"/>
          <w:color w:val="000000"/>
        </w:rPr>
      </w:pPr>
      <w:r>
        <w:rPr>
          <w:rFonts w:hint="eastAsia" w:ascii="宋体" w:hAnsi="宋体" w:cs="宋体"/>
          <w:color w:val="000000"/>
        </w:rPr>
        <w:t>①</w:t>
      </w:r>
      <w:r>
        <w:rPr>
          <w:rFonts w:cs="Times New Roman"/>
          <w:color w:val="000000"/>
        </w:rPr>
        <w:t>发生废水泄漏或者交通事故等导致废水外泄时，现场拉运工作人员和驾驶员在向主管部门报告的同时，应立即采取有效措施，切断废水与河流、农田等之间的泄漏途径，防止废水进入河流或者农田，阻止事态扩大。</w:t>
      </w:r>
    </w:p>
    <w:p>
      <w:pPr>
        <w:ind w:firstLine="480"/>
        <w:rPr>
          <w:rFonts w:cs="Times New Roman"/>
          <w:color w:val="000000"/>
        </w:rPr>
      </w:pPr>
      <w:r>
        <w:rPr>
          <w:rFonts w:hint="eastAsia" w:ascii="宋体" w:hAnsi="宋体" w:cs="宋体"/>
          <w:color w:val="000000"/>
        </w:rPr>
        <w:t>②</w:t>
      </w:r>
      <w:r>
        <w:rPr>
          <w:rFonts w:cs="Times New Roman"/>
          <w:color w:val="000000"/>
        </w:rPr>
        <w:t>建设单位应立即组织人员赶赴现场指挥应急抢险，了解掌握事故动态，采取有效措施，组织实施抢救，防止事态扩大；严格保护事故现场，维护现场秩序，收集相关证据；及时将污染情况和应急工作情况上报。</w:t>
      </w:r>
    </w:p>
    <w:p>
      <w:pPr>
        <w:ind w:firstLine="480"/>
        <w:rPr>
          <w:rFonts w:cs="Times New Roman"/>
          <w:color w:val="000000"/>
        </w:rPr>
      </w:pPr>
      <w:r>
        <w:rPr>
          <w:rFonts w:hint="eastAsia" w:ascii="宋体" w:hAnsi="宋体" w:cs="宋体"/>
          <w:color w:val="000000"/>
        </w:rPr>
        <w:t>③</w:t>
      </w:r>
      <w:r>
        <w:rPr>
          <w:rFonts w:cs="Times New Roman"/>
          <w:color w:val="000000"/>
        </w:rPr>
        <w:t>结合废水转运应急预案，建设单位定期组织进行应急预案演习和培训，提高废水罐车司机和拉运工作人员对突发环境事件的应急处置能力。</w:t>
      </w:r>
    </w:p>
    <w:p>
      <w:pPr>
        <w:ind w:firstLine="480"/>
        <w:rPr>
          <w:rFonts w:cs="Times New Roman"/>
          <w:color w:val="000000"/>
        </w:rPr>
      </w:pPr>
      <w:r>
        <w:rPr>
          <w:rFonts w:hint="eastAsia" w:ascii="宋体" w:hAnsi="宋体" w:cs="宋体"/>
          <w:color w:val="000000"/>
        </w:rPr>
        <w:t>④</w:t>
      </w:r>
      <w:r>
        <w:rPr>
          <w:rFonts w:cs="Times New Roman"/>
          <w:color w:val="000000"/>
        </w:rPr>
        <w:t>发生事故后，应由当地专业环境监测队伍负责对事故现场进行环境监测，对事故性质、参数与后果进行评估。监测方案可参照《突发环境事件应急监测技术规范》（HJ 589-2010）制定。</w:t>
      </w:r>
    </w:p>
    <w:p>
      <w:pPr>
        <w:ind w:firstLine="482"/>
        <w:rPr>
          <w:rFonts w:cs="Times New Roman"/>
          <w:b/>
          <w:color w:val="000000"/>
        </w:rPr>
      </w:pPr>
      <w:r>
        <w:rPr>
          <w:rFonts w:cs="Times New Roman"/>
          <w:b/>
          <w:color w:val="000000"/>
        </w:rPr>
        <w:t>（2）试采过程风险应急预案</w:t>
      </w:r>
    </w:p>
    <w:p>
      <w:pPr>
        <w:ind w:firstLine="480"/>
        <w:rPr>
          <w:rFonts w:cs="Times New Roman"/>
          <w:color w:val="000000"/>
        </w:rPr>
      </w:pPr>
      <w:r>
        <w:rPr>
          <w:rFonts w:cs="Times New Roman"/>
          <w:color w:val="000000"/>
        </w:rPr>
        <w:t>根据前述环境风险事故分析，本次评价将针对本项目试采作业的特点，结合企业制定的应急预案，提出试采期环境风险事故应急预案编制要求，供企业及有关部门参考。</w:t>
      </w:r>
    </w:p>
    <w:p>
      <w:pPr>
        <w:ind w:firstLine="482"/>
        <w:rPr>
          <w:rFonts w:cs="Times New Roman"/>
          <w:b/>
          <w:color w:val="000000"/>
        </w:rPr>
      </w:pPr>
      <w:r>
        <w:rPr>
          <w:rFonts w:cs="Times New Roman"/>
          <w:b/>
          <w:color w:val="000000"/>
        </w:rPr>
        <w:t>1）通讯联络方式</w:t>
      </w:r>
    </w:p>
    <w:p>
      <w:pPr>
        <w:ind w:firstLine="480"/>
        <w:rPr>
          <w:rFonts w:cs="Times New Roman"/>
          <w:color w:val="000000"/>
        </w:rPr>
      </w:pPr>
      <w:r>
        <w:rPr>
          <w:rFonts w:hint="eastAsia" w:ascii="宋体" w:hAnsi="宋体" w:cs="宋体"/>
          <w:color w:val="000000"/>
        </w:rPr>
        <w:t>①</w:t>
      </w:r>
      <w:r>
        <w:rPr>
          <w:rFonts w:cs="Times New Roman"/>
          <w:color w:val="000000"/>
        </w:rPr>
        <w:t>报告方式</w:t>
      </w:r>
    </w:p>
    <w:p>
      <w:pPr>
        <w:ind w:firstLine="480"/>
        <w:rPr>
          <w:rFonts w:cs="Times New Roman"/>
          <w:color w:val="000000"/>
        </w:rPr>
      </w:pPr>
      <w:r>
        <w:rPr>
          <w:rFonts w:cs="Times New Roman"/>
          <w:color w:val="000000"/>
        </w:rPr>
        <w:t>通常方式有：捎口信、固定电话、移动电话、传真和网络。</w:t>
      </w:r>
    </w:p>
    <w:p>
      <w:pPr>
        <w:ind w:firstLine="480"/>
        <w:rPr>
          <w:rFonts w:cs="Times New Roman"/>
          <w:color w:val="000000"/>
        </w:rPr>
      </w:pPr>
      <w:r>
        <w:rPr>
          <w:rFonts w:cs="Times New Roman"/>
          <w:color w:val="000000"/>
        </w:rPr>
        <w:t>作业区向分公司报告，除非特别紧急的情况采用电话报告外，其它一律书面报告（电传）。</w:t>
      </w:r>
    </w:p>
    <w:p>
      <w:pPr>
        <w:ind w:firstLine="480"/>
        <w:rPr>
          <w:rFonts w:cs="Times New Roman"/>
          <w:color w:val="000000"/>
        </w:rPr>
      </w:pPr>
      <w:r>
        <w:rPr>
          <w:rFonts w:cs="Times New Roman"/>
          <w:color w:val="000000"/>
        </w:rPr>
        <w:t>作业区向当地镇、县、市级政府及其职能部门报告事故时，采用先电话告之，后附书面报告。</w:t>
      </w:r>
    </w:p>
    <w:p>
      <w:pPr>
        <w:ind w:firstLine="480"/>
        <w:rPr>
          <w:rFonts w:cs="Times New Roman"/>
          <w:color w:val="000000"/>
        </w:rPr>
      </w:pPr>
      <w:r>
        <w:rPr>
          <w:rFonts w:cs="Times New Roman"/>
          <w:color w:val="000000"/>
        </w:rPr>
        <w:t>作业区向村社报告事故时，采用电话或口头报告形式。</w:t>
      </w:r>
    </w:p>
    <w:p>
      <w:pPr>
        <w:ind w:firstLine="480"/>
        <w:rPr>
          <w:rFonts w:cs="Times New Roman"/>
          <w:color w:val="000000"/>
        </w:rPr>
      </w:pPr>
      <w:r>
        <w:rPr>
          <w:rFonts w:hint="eastAsia" w:ascii="宋体" w:hAnsi="宋体" w:cs="宋体"/>
          <w:color w:val="000000"/>
        </w:rPr>
        <w:t>②</w:t>
      </w:r>
      <w:r>
        <w:rPr>
          <w:rFonts w:cs="Times New Roman"/>
          <w:color w:val="000000"/>
        </w:rPr>
        <w:t>报警方式，作业区确认事故后，对社会公众报警的方式为：电告当地市、区、镇人民政府和所属村社。</w:t>
      </w:r>
    </w:p>
    <w:p>
      <w:pPr>
        <w:ind w:firstLine="480"/>
        <w:rPr>
          <w:rFonts w:cs="Times New Roman"/>
          <w:color w:val="000000"/>
        </w:rPr>
      </w:pPr>
      <w:r>
        <w:rPr>
          <w:rFonts w:cs="Times New Roman"/>
          <w:color w:val="000000"/>
        </w:rPr>
        <w:t>电告110、119。</w:t>
      </w:r>
    </w:p>
    <w:p>
      <w:pPr>
        <w:ind w:firstLine="480"/>
        <w:rPr>
          <w:rFonts w:cs="Times New Roman"/>
          <w:color w:val="000000"/>
        </w:rPr>
      </w:pPr>
      <w:r>
        <w:rPr>
          <w:rFonts w:cs="Times New Roman"/>
          <w:color w:val="000000"/>
        </w:rPr>
        <w:t>电告社会团体或企事业单位。</w:t>
      </w:r>
    </w:p>
    <w:p>
      <w:pPr>
        <w:ind w:firstLine="480"/>
        <w:rPr>
          <w:rFonts w:cs="Times New Roman"/>
          <w:color w:val="000000"/>
        </w:rPr>
      </w:pPr>
      <w:r>
        <w:rPr>
          <w:rFonts w:cs="Times New Roman"/>
          <w:color w:val="000000"/>
        </w:rPr>
        <w:t>用高音喇叭通知社会居民或采用口信，一传十，十传百的方式。借助天然气救险车的扩音设备，巡回告之。</w:t>
      </w:r>
    </w:p>
    <w:p>
      <w:pPr>
        <w:ind w:firstLine="482"/>
        <w:rPr>
          <w:rFonts w:cs="Times New Roman"/>
          <w:b/>
          <w:bCs/>
          <w:color w:val="000000"/>
        </w:rPr>
      </w:pPr>
      <w:r>
        <w:rPr>
          <w:rFonts w:cs="Times New Roman"/>
          <w:b/>
          <w:bCs/>
          <w:color w:val="000000"/>
        </w:rPr>
        <w:t>2）应急响应</w:t>
      </w:r>
    </w:p>
    <w:p>
      <w:pPr>
        <w:ind w:firstLine="480"/>
        <w:rPr>
          <w:rFonts w:cs="Times New Roman"/>
          <w:color w:val="000000"/>
        </w:rPr>
      </w:pPr>
      <w:r>
        <w:rPr>
          <w:rFonts w:hint="eastAsia" w:ascii="宋体" w:hAnsi="宋体" w:cs="宋体"/>
          <w:color w:val="000000"/>
        </w:rPr>
        <w:t>①</w:t>
      </w:r>
      <w:r>
        <w:rPr>
          <w:rFonts w:cs="Times New Roman"/>
          <w:color w:val="000000"/>
        </w:rPr>
        <w:t>险情发生后，应急指挥启动应急预案；</w:t>
      </w:r>
    </w:p>
    <w:p>
      <w:pPr>
        <w:ind w:firstLine="480"/>
        <w:rPr>
          <w:rFonts w:cs="Times New Roman"/>
          <w:color w:val="000000"/>
        </w:rPr>
      </w:pPr>
      <w:r>
        <w:rPr>
          <w:rFonts w:hint="eastAsia" w:ascii="宋体" w:hAnsi="宋体" w:cs="宋体"/>
          <w:color w:val="000000"/>
        </w:rPr>
        <w:t>②</w:t>
      </w:r>
      <w:r>
        <w:rPr>
          <w:rFonts w:cs="Times New Roman"/>
          <w:color w:val="000000"/>
        </w:rPr>
        <w:t>应急小组立即形成，由应急指挥组组长统一发布应急指挥命令；</w:t>
      </w:r>
    </w:p>
    <w:p>
      <w:pPr>
        <w:ind w:firstLine="480"/>
        <w:rPr>
          <w:rFonts w:cs="Times New Roman"/>
          <w:color w:val="000000"/>
        </w:rPr>
      </w:pPr>
      <w:r>
        <w:rPr>
          <w:rFonts w:hint="eastAsia" w:ascii="宋体" w:hAnsi="宋体" w:cs="宋体"/>
          <w:color w:val="000000"/>
        </w:rPr>
        <w:t>③</w:t>
      </w:r>
      <w:r>
        <w:rPr>
          <w:rFonts w:cs="Times New Roman"/>
          <w:color w:val="000000"/>
        </w:rPr>
        <w:t>生产抢修组负责现场流程的切换，协调、配合抢险单位实施应急抢险工作，以及在应急情况下现场人员的疏散（考虑该工程距离居民房屋近的特点，还应组织附近居民的疏散）；</w:t>
      </w:r>
    </w:p>
    <w:p>
      <w:pPr>
        <w:ind w:firstLine="480"/>
        <w:rPr>
          <w:rFonts w:cs="Times New Roman"/>
          <w:color w:val="000000"/>
        </w:rPr>
      </w:pPr>
      <w:r>
        <w:rPr>
          <w:rFonts w:hint="eastAsia" w:ascii="宋体" w:hAnsi="宋体" w:cs="宋体"/>
          <w:color w:val="000000"/>
        </w:rPr>
        <w:t>④</w:t>
      </w:r>
      <w:r>
        <w:rPr>
          <w:rFonts w:cs="Times New Roman"/>
          <w:color w:val="000000"/>
        </w:rPr>
        <w:t>安全监护组负责现场可燃气体的检测，安全警戒线的设置，并配合相关单位实施应急救援；</w:t>
      </w:r>
    </w:p>
    <w:p>
      <w:pPr>
        <w:ind w:firstLine="480"/>
        <w:rPr>
          <w:rFonts w:cs="Times New Roman"/>
          <w:color w:val="000000"/>
        </w:rPr>
      </w:pPr>
      <w:r>
        <w:rPr>
          <w:rFonts w:hint="eastAsia" w:ascii="宋体" w:hAnsi="宋体" w:cs="宋体"/>
          <w:color w:val="000000"/>
        </w:rPr>
        <w:t>⑤</w:t>
      </w:r>
      <w:r>
        <w:rPr>
          <w:rFonts w:cs="Times New Roman"/>
          <w:color w:val="000000"/>
        </w:rPr>
        <w:t>通讯联络组负责建立抢险单位、救援单位及地方政府有关部门的联络；</w:t>
      </w:r>
    </w:p>
    <w:p>
      <w:pPr>
        <w:ind w:firstLine="480"/>
        <w:rPr>
          <w:rFonts w:cs="Times New Roman"/>
          <w:color w:val="000000"/>
        </w:rPr>
      </w:pPr>
      <w:r>
        <w:rPr>
          <w:rFonts w:hint="eastAsia" w:ascii="宋体" w:hAnsi="宋体" w:cs="宋体"/>
          <w:color w:val="000000"/>
        </w:rPr>
        <w:t>⑥</w:t>
      </w:r>
      <w:r>
        <w:rPr>
          <w:rFonts w:cs="Times New Roman"/>
          <w:color w:val="000000"/>
        </w:rPr>
        <w:t>后勤保障组负责抢险物资组织，后勤、车辆的保障；</w:t>
      </w:r>
    </w:p>
    <w:p>
      <w:pPr>
        <w:ind w:firstLine="480"/>
        <w:rPr>
          <w:rFonts w:cs="Times New Roman"/>
          <w:color w:val="000000"/>
        </w:rPr>
      </w:pPr>
      <w:r>
        <w:rPr>
          <w:rFonts w:hint="eastAsia" w:ascii="宋体" w:hAnsi="宋体" w:cs="宋体"/>
          <w:color w:val="000000"/>
        </w:rPr>
        <w:t>⑦</w:t>
      </w:r>
      <w:r>
        <w:rPr>
          <w:rFonts w:cs="Times New Roman"/>
          <w:color w:val="000000"/>
        </w:rPr>
        <w:t>站场发生异常情况（大面积泄漏、火灾、爆炸）；</w:t>
      </w:r>
    </w:p>
    <w:p>
      <w:pPr>
        <w:ind w:firstLine="480"/>
        <w:rPr>
          <w:rFonts w:cs="Times New Roman"/>
          <w:color w:val="000000"/>
        </w:rPr>
      </w:pPr>
      <w:r>
        <w:rPr>
          <w:rFonts w:hint="eastAsia" w:ascii="宋体" w:hAnsi="宋体" w:cs="宋体"/>
          <w:color w:val="000000"/>
        </w:rPr>
        <w:t>⑧</w:t>
      </w:r>
      <w:r>
        <w:rPr>
          <w:rFonts w:cs="Times New Roman"/>
          <w:color w:val="000000"/>
        </w:rPr>
        <w:t>集气站值班人员在站控室按下装置ESD按钮，实行全站ESD紧急关断，生产系统闭式放空，同时即向应急指挥汇报起火部位、情况；</w:t>
      </w:r>
    </w:p>
    <w:p>
      <w:pPr>
        <w:ind w:firstLine="480"/>
        <w:rPr>
          <w:rFonts w:cs="Times New Roman"/>
          <w:color w:val="000000"/>
        </w:rPr>
      </w:pPr>
      <w:r>
        <w:rPr>
          <w:rFonts w:hint="eastAsia" w:ascii="宋体" w:hAnsi="宋体" w:cs="宋体"/>
          <w:color w:val="000000"/>
        </w:rPr>
        <w:t>⑨</w:t>
      </w:r>
      <w:r>
        <w:rPr>
          <w:rFonts w:cs="Times New Roman"/>
          <w:color w:val="000000"/>
        </w:rPr>
        <w:t>应急指挥下令启动事故应急预案，在控制室向现场下达应急指令；</w:t>
      </w:r>
    </w:p>
    <w:p>
      <w:pPr>
        <w:ind w:firstLine="480"/>
        <w:rPr>
          <w:rFonts w:cs="Times New Roman"/>
          <w:color w:val="000000"/>
        </w:rPr>
      </w:pPr>
      <w:r>
        <w:rPr>
          <w:rFonts w:hint="eastAsia" w:ascii="宋体" w:hAnsi="宋体" w:cs="宋体"/>
          <w:color w:val="000000"/>
        </w:rPr>
        <w:t>⑩</w:t>
      </w:r>
      <w:r>
        <w:rPr>
          <w:rFonts w:cs="Times New Roman"/>
          <w:color w:val="000000"/>
        </w:rPr>
        <w:t>通讯联络组迅速打电话报警，向中原油田普光分公司、中国石油化工股份有限公司汇报现场情况，并联系抢险单位实施紧急抢险工作，同时向有关地方政府机构通报情况，请求救援；</w:t>
      </w:r>
    </w:p>
    <w:p>
      <w:pPr>
        <w:ind w:firstLine="480"/>
        <w:rPr>
          <w:rFonts w:cs="Times New Roman"/>
          <w:color w:val="000000"/>
        </w:rPr>
      </w:pPr>
      <w:r>
        <w:rPr>
          <w:rFonts w:ascii="Cambria Math" w:hAnsi="Cambria Math" w:cs="Cambria Math"/>
          <w:color w:val="000000"/>
        </w:rPr>
        <w:t>⑪</w:t>
      </w:r>
      <w:r>
        <w:rPr>
          <w:rFonts w:cs="Times New Roman"/>
          <w:color w:val="000000"/>
        </w:rPr>
        <w:t>生产抢修组人员立即切断生产现场电源，并对现场流程切断情况进行确认；</w:t>
      </w:r>
    </w:p>
    <w:p>
      <w:pPr>
        <w:ind w:firstLine="480"/>
        <w:rPr>
          <w:rFonts w:cs="Times New Roman"/>
          <w:color w:val="000000"/>
        </w:rPr>
      </w:pPr>
      <w:r>
        <w:rPr>
          <w:rFonts w:ascii="Cambria Math" w:hAnsi="Cambria Math" w:cs="Cambria Math"/>
          <w:color w:val="000000"/>
        </w:rPr>
        <w:t>⑫</w:t>
      </w:r>
      <w:r>
        <w:rPr>
          <w:rFonts w:cs="Times New Roman"/>
          <w:color w:val="000000"/>
        </w:rPr>
        <w:t>如现场存在火情，现场抢修组使用固定式消防系统和移动式灭火器进行灭火；</w:t>
      </w:r>
    </w:p>
    <w:p>
      <w:pPr>
        <w:ind w:firstLine="480"/>
        <w:rPr>
          <w:rFonts w:cs="Times New Roman"/>
          <w:color w:val="000000"/>
        </w:rPr>
      </w:pPr>
      <w:r>
        <w:rPr>
          <w:rFonts w:ascii="Cambria Math" w:hAnsi="Cambria Math" w:cs="Cambria Math"/>
          <w:color w:val="000000"/>
        </w:rPr>
        <w:t>⑬</w:t>
      </w:r>
      <w:r>
        <w:rPr>
          <w:rFonts w:cs="Times New Roman"/>
          <w:color w:val="000000"/>
        </w:rPr>
        <w:t>安全监护组负责在现场进行检测，在影响距离外设置警戒线，进行安全监护；</w:t>
      </w:r>
    </w:p>
    <w:p>
      <w:pPr>
        <w:ind w:firstLine="480"/>
        <w:rPr>
          <w:rFonts w:cs="Times New Roman"/>
          <w:color w:val="000000"/>
        </w:rPr>
      </w:pPr>
      <w:r>
        <w:rPr>
          <w:rFonts w:ascii="Cambria Math" w:hAnsi="Cambria Math" w:cs="Cambria Math"/>
          <w:color w:val="000000"/>
        </w:rPr>
        <w:t>⑭</w:t>
      </w:r>
      <w:r>
        <w:rPr>
          <w:rFonts w:cs="Times New Roman"/>
          <w:color w:val="000000"/>
        </w:rPr>
        <w:t>抢修现场严禁使用非防爆用具，车辆一律熄火站外停放，确因工作需要进入现场的车辆必须佩带防火帽，经安全监护组确认安全后，按指定路线行进；</w:t>
      </w:r>
    </w:p>
    <w:p>
      <w:pPr>
        <w:ind w:firstLine="480"/>
        <w:rPr>
          <w:rFonts w:cs="Times New Roman"/>
          <w:color w:val="000000"/>
        </w:rPr>
      </w:pPr>
      <w:r>
        <w:rPr>
          <w:rFonts w:ascii="Cambria Math" w:hAnsi="Cambria Math" w:cs="Cambria Math"/>
          <w:color w:val="000000"/>
        </w:rPr>
        <w:t>⑮</w:t>
      </w:r>
      <w:r>
        <w:rPr>
          <w:rFonts w:cs="Times New Roman"/>
          <w:color w:val="000000"/>
        </w:rPr>
        <w:t>后勤保障组负责组织相关的应急抢险物资；</w:t>
      </w:r>
    </w:p>
    <w:p>
      <w:pPr>
        <w:ind w:firstLine="480"/>
        <w:rPr>
          <w:rFonts w:cs="Times New Roman"/>
          <w:color w:val="000000"/>
        </w:rPr>
      </w:pPr>
      <w:r>
        <w:rPr>
          <w:rFonts w:ascii="Cambria Math" w:hAnsi="Cambria Math" w:cs="Cambria Math"/>
          <w:color w:val="000000"/>
        </w:rPr>
        <w:t>⑯</w:t>
      </w:r>
      <w:r>
        <w:rPr>
          <w:rFonts w:cs="Times New Roman"/>
          <w:color w:val="000000"/>
        </w:rPr>
        <w:t>若现场情况无法控制，现场抢修组组织现场人员进行撤离。</w:t>
      </w:r>
    </w:p>
    <w:p>
      <w:pPr>
        <w:ind w:firstLine="482"/>
        <w:rPr>
          <w:rFonts w:cs="Times New Roman"/>
          <w:b/>
          <w:bCs/>
          <w:color w:val="000000"/>
        </w:rPr>
      </w:pPr>
      <w:r>
        <w:rPr>
          <w:rFonts w:cs="Times New Roman"/>
          <w:b/>
          <w:bCs/>
          <w:color w:val="000000"/>
        </w:rPr>
        <w:t>3）事故应急处理措施</w:t>
      </w:r>
    </w:p>
    <w:p>
      <w:pPr>
        <w:ind w:firstLine="480"/>
        <w:rPr>
          <w:rFonts w:cs="Times New Roman"/>
          <w:color w:val="000000"/>
        </w:rPr>
      </w:pPr>
      <w:r>
        <w:rPr>
          <w:rFonts w:cs="Times New Roman"/>
          <w:color w:val="000000"/>
        </w:rPr>
        <w:t>当项目天然气发生泄漏时，项目总负责人或其指定人员应向当地政府报告，协助当地政府立即疏散管线周围的居民，并立即组织对项目周边社会关注点的撤离。</w:t>
      </w:r>
    </w:p>
    <w:p>
      <w:pPr>
        <w:ind w:firstLine="482"/>
        <w:rPr>
          <w:rFonts w:cs="Times New Roman"/>
          <w:b/>
          <w:color w:val="000000"/>
        </w:rPr>
      </w:pPr>
      <w:r>
        <w:rPr>
          <w:rFonts w:cs="Times New Roman"/>
          <w:b/>
          <w:color w:val="000000"/>
        </w:rPr>
        <w:t>a、硫化氢泄漏应急疏散预案</w:t>
      </w:r>
    </w:p>
    <w:p>
      <w:pPr>
        <w:ind w:firstLine="480"/>
        <w:rPr>
          <w:rFonts w:cs="Times New Roman"/>
          <w:color w:val="000000"/>
        </w:rPr>
      </w:pPr>
      <w:r>
        <w:rPr>
          <w:rFonts w:cs="Times New Roman"/>
          <w:color w:val="000000"/>
        </w:rPr>
        <w:t>当硫化氢气体泄漏时，必须立即向当地政府报告，同时通知事故影响范围内的厂矿企业和居民立即撤离，并组织和协助当地政府作好事故影响范围内居民的疏散工作。根据当地情况，应立即组织周边居民向管道上风向方向进行撤离。考虑风向、地形、人口密度、受影响程度等情况及时作出风险和危害程度评估，决定是否扩大撤离范围。</w:t>
      </w:r>
    </w:p>
    <w:p>
      <w:pPr>
        <w:ind w:firstLine="480"/>
        <w:rPr>
          <w:rFonts w:cs="Times New Roman"/>
          <w:color w:val="000000"/>
        </w:rPr>
      </w:pPr>
      <w:r>
        <w:rPr>
          <w:rFonts w:cs="Times New Roman"/>
          <w:color w:val="000000"/>
        </w:rPr>
        <w:t>为了在紧急突发事件情况下防止H</w:t>
      </w:r>
      <w:r>
        <w:rPr>
          <w:rFonts w:cs="Times New Roman"/>
          <w:color w:val="000000"/>
          <w:vertAlign w:val="subscript"/>
        </w:rPr>
        <w:t>2</w:t>
      </w:r>
      <w:r>
        <w:rPr>
          <w:rFonts w:cs="Times New Roman"/>
          <w:color w:val="000000"/>
        </w:rPr>
        <w:t>S中毒，保障每位员工和站场周围群众的生命安全，应按正确的方法和方向撤离，每位接到撤离通知的员工和群众应按下列程序撤离：</w:t>
      </w:r>
    </w:p>
    <w:p>
      <w:pPr>
        <w:ind w:firstLine="480"/>
        <w:rPr>
          <w:rFonts w:cs="Times New Roman"/>
          <w:color w:val="000000"/>
        </w:rPr>
      </w:pPr>
      <w:r>
        <w:rPr>
          <w:rFonts w:hint="eastAsia" w:ascii="宋体" w:hAnsi="宋体" w:cs="宋体"/>
          <w:color w:val="000000"/>
        </w:rPr>
        <w:t>①</w:t>
      </w:r>
      <w:r>
        <w:rPr>
          <w:rFonts w:cs="Times New Roman"/>
          <w:color w:val="000000"/>
        </w:rPr>
        <w:t>群众由当地政府组织撤离，</w:t>
      </w:r>
      <w:r>
        <w:rPr>
          <w:rFonts w:cs="Times New Roman"/>
          <w:color w:val="000000"/>
          <w:lang w:val="en-GB"/>
        </w:rPr>
        <w:t>集气站员工由集气站</w:t>
      </w:r>
      <w:r>
        <w:rPr>
          <w:rFonts w:cs="Times New Roman"/>
          <w:color w:val="000000"/>
        </w:rPr>
        <w:t>组织撤离；</w:t>
      </w:r>
    </w:p>
    <w:p>
      <w:pPr>
        <w:ind w:firstLine="480"/>
        <w:rPr>
          <w:rFonts w:cs="Times New Roman"/>
          <w:color w:val="000000"/>
        </w:rPr>
      </w:pPr>
      <w:r>
        <w:rPr>
          <w:rFonts w:hint="eastAsia" w:ascii="宋体" w:hAnsi="宋体" w:cs="宋体"/>
          <w:color w:val="000000"/>
        </w:rPr>
        <w:t>②</w:t>
      </w:r>
      <w:r>
        <w:rPr>
          <w:rFonts w:cs="Times New Roman"/>
          <w:color w:val="000000"/>
          <w:lang w:val="en-GB"/>
        </w:rPr>
        <w:t>集气站</w:t>
      </w:r>
      <w:r>
        <w:rPr>
          <w:rFonts w:cs="Times New Roman"/>
          <w:color w:val="000000"/>
        </w:rPr>
        <w:t>操作人员戴上正压式空气呼吸器撤离逃生；</w:t>
      </w:r>
    </w:p>
    <w:p>
      <w:pPr>
        <w:ind w:firstLine="480"/>
        <w:rPr>
          <w:rFonts w:cs="Times New Roman"/>
          <w:color w:val="000000"/>
        </w:rPr>
      </w:pPr>
      <w:r>
        <w:rPr>
          <w:rFonts w:hint="eastAsia" w:ascii="宋体" w:hAnsi="宋体" w:cs="宋体"/>
          <w:color w:val="000000"/>
        </w:rPr>
        <w:t>③</w:t>
      </w:r>
      <w:r>
        <w:rPr>
          <w:rFonts w:cs="Times New Roman"/>
          <w:color w:val="000000"/>
        </w:rPr>
        <w:t>无正压式空气呼吸器者用干净湿毛巾捂住口鼻逃生；</w:t>
      </w:r>
    </w:p>
    <w:p>
      <w:pPr>
        <w:ind w:firstLine="480"/>
        <w:rPr>
          <w:rFonts w:cs="Times New Roman"/>
          <w:color w:val="000000"/>
        </w:rPr>
      </w:pPr>
      <w:r>
        <w:rPr>
          <w:rFonts w:hint="eastAsia" w:ascii="宋体" w:hAnsi="宋体" w:cs="宋体"/>
          <w:color w:val="000000"/>
        </w:rPr>
        <w:t>④</w:t>
      </w:r>
      <w:r>
        <w:rPr>
          <w:rFonts w:cs="Times New Roman"/>
          <w:color w:val="000000"/>
        </w:rPr>
        <w:t>逃生时要注意风向，一要沿上风（逆风）方向逃生，二要沿着地面上的高处跑，不要接触低凹处的水源。若所处位置沿上风方向逃生时的近道要经过H</w:t>
      </w:r>
      <w:r>
        <w:rPr>
          <w:rFonts w:cs="Times New Roman"/>
          <w:color w:val="000000"/>
          <w:vertAlign w:val="subscript"/>
        </w:rPr>
        <w:t>2</w:t>
      </w:r>
      <w:r>
        <w:rPr>
          <w:rFonts w:cs="Times New Roman"/>
          <w:color w:val="000000"/>
        </w:rPr>
        <w:t>S严重污染区，则横向绕道避开站场吹来的下风，到达非污染区后，再沿上风方向逃生（离站场越远越好）；若所处位置在站场下风方向的较远处，且风速较小，不能沿上风方向逃生而又无横向逃生小道时，可以最快捷的方式顺风逃生到有横向绕道的地方，再横向逃生避开污染区后向上风方向及沿着地面上的高点方向逃生；</w:t>
      </w:r>
    </w:p>
    <w:p>
      <w:pPr>
        <w:ind w:firstLine="480"/>
        <w:rPr>
          <w:rFonts w:cs="Times New Roman"/>
          <w:color w:val="000000"/>
        </w:rPr>
      </w:pPr>
      <w:r>
        <w:rPr>
          <w:rFonts w:hint="eastAsia" w:ascii="宋体" w:hAnsi="宋体" w:cs="宋体"/>
          <w:color w:val="000000"/>
        </w:rPr>
        <w:t>⑤</w:t>
      </w:r>
      <w:r>
        <w:rPr>
          <w:rFonts w:cs="Times New Roman"/>
          <w:color w:val="000000"/>
        </w:rPr>
        <w:t>时间就是生命，紧急逃生时，不要因收贵重物品等事宜延误时间，并且要轻装撤离逃生；</w:t>
      </w:r>
    </w:p>
    <w:p>
      <w:pPr>
        <w:ind w:firstLine="480"/>
        <w:rPr>
          <w:rFonts w:cs="Times New Roman"/>
          <w:color w:val="000000"/>
        </w:rPr>
      </w:pPr>
      <w:r>
        <w:rPr>
          <w:rFonts w:hint="eastAsia" w:ascii="宋体" w:hAnsi="宋体" w:cs="宋体"/>
          <w:color w:val="000000"/>
        </w:rPr>
        <w:t>⑥</w:t>
      </w:r>
      <w:r>
        <w:rPr>
          <w:rFonts w:cs="Times New Roman"/>
          <w:color w:val="000000"/>
        </w:rPr>
        <w:t>当所处位置离站场很远时，则只要偏离风向往离站场越来越远的方向逃生即可。</w:t>
      </w:r>
    </w:p>
    <w:p>
      <w:pPr>
        <w:ind w:firstLine="482"/>
        <w:rPr>
          <w:rFonts w:cs="Times New Roman"/>
          <w:b/>
          <w:color w:val="000000"/>
        </w:rPr>
      </w:pPr>
      <w:r>
        <w:rPr>
          <w:rFonts w:cs="Times New Roman"/>
          <w:b/>
          <w:color w:val="000000"/>
        </w:rPr>
        <w:t>b、硫化氢中毒应急救援预案</w:t>
      </w:r>
    </w:p>
    <w:p>
      <w:pPr>
        <w:ind w:firstLine="480"/>
        <w:rPr>
          <w:rFonts w:cs="Times New Roman"/>
          <w:bCs/>
          <w:color w:val="000000"/>
        </w:rPr>
      </w:pPr>
      <w:r>
        <w:rPr>
          <w:rFonts w:hint="eastAsia" w:ascii="宋体" w:hAnsi="宋体" w:cs="宋体"/>
          <w:bCs/>
          <w:color w:val="000000"/>
        </w:rPr>
        <w:t>①</w:t>
      </w:r>
      <w:r>
        <w:rPr>
          <w:rFonts w:cs="Times New Roman"/>
          <w:color w:val="000000"/>
        </w:rPr>
        <w:t>场站内需设置硫化氢气体泄漏检测报警系统，对站场天然气泄漏进行检测及报警。硫化氢气体检测报警系统由现场探测器、控制器及配套报警喇叭等设备组成。工艺设备区及井口安装固定式硫化氢探测器，现场探测器的检测信号采用铠装控制电缆敷设至控制器，控制器接收到超标信号，传送至配套喇叭进行报警。RTU的数据上传至集气站控制室、脱硫净化厂中控室。硫化氢气体检测报警1级报警值10mg，2级报警值20mg，工作人员应根据报警值采取相应处理措施。同时在站内设置便携式硫化氢气体检测报警仪1套，对天然气泄漏进行定期巡检。</w:t>
      </w:r>
      <w:r>
        <w:rPr>
          <w:rFonts w:cs="Times New Roman"/>
          <w:bCs/>
          <w:color w:val="000000"/>
        </w:rPr>
        <w:t>在可能产生硫化氢的场所工作的员工每人配备防毒面具和空（氧）气呼吸器，并保证有效使用；</w:t>
      </w:r>
    </w:p>
    <w:p>
      <w:pPr>
        <w:ind w:firstLine="480"/>
        <w:rPr>
          <w:rFonts w:cs="Times New Roman"/>
          <w:bCs/>
          <w:color w:val="000000"/>
        </w:rPr>
      </w:pPr>
      <w:r>
        <w:rPr>
          <w:rFonts w:hint="eastAsia" w:ascii="宋体" w:hAnsi="宋体" w:cs="宋体"/>
          <w:bCs/>
          <w:color w:val="000000"/>
        </w:rPr>
        <w:t>②</w:t>
      </w:r>
      <w:r>
        <w:rPr>
          <w:rFonts w:cs="Times New Roman"/>
          <w:bCs/>
          <w:color w:val="000000"/>
        </w:rPr>
        <w:t>向周围居民进行防硫化氢中毒的防护知识的宣传，并调查了解附近居民的分布情况，掌握其最有效的联系方式；</w:t>
      </w:r>
    </w:p>
    <w:p>
      <w:pPr>
        <w:ind w:firstLine="480"/>
        <w:rPr>
          <w:rFonts w:cs="Times New Roman"/>
          <w:bCs/>
          <w:color w:val="000000"/>
        </w:rPr>
      </w:pPr>
      <w:r>
        <w:rPr>
          <w:rFonts w:hint="eastAsia" w:ascii="宋体" w:hAnsi="宋体" w:cs="宋体"/>
          <w:bCs/>
          <w:color w:val="000000"/>
        </w:rPr>
        <w:t>③</w:t>
      </w:r>
      <w:r>
        <w:rPr>
          <w:rFonts w:cs="Times New Roman"/>
          <w:bCs/>
          <w:color w:val="000000"/>
        </w:rPr>
        <w:t>听到硫化氢报警信号后立即戴上防毒面具或氧气呼吸器；</w:t>
      </w:r>
    </w:p>
    <w:p>
      <w:pPr>
        <w:ind w:firstLine="480"/>
        <w:rPr>
          <w:rFonts w:cs="Times New Roman"/>
          <w:bCs/>
          <w:color w:val="000000"/>
        </w:rPr>
      </w:pPr>
      <w:r>
        <w:rPr>
          <w:rFonts w:hint="eastAsia" w:ascii="宋体" w:hAnsi="宋体" w:cs="宋体"/>
          <w:bCs/>
          <w:color w:val="000000"/>
        </w:rPr>
        <w:t>④</w:t>
      </w:r>
      <w:r>
        <w:rPr>
          <w:rFonts w:cs="Times New Roman"/>
          <w:bCs/>
          <w:color w:val="000000"/>
        </w:rPr>
        <w:t>发出警报信号（鸣喇叭），全队处于应急状态；工作人员需立即赶往现场，按“四七”动作控制井口至脱硫塔前区域；做好站场救护准备；卫生员准备担架、氧气袋和急救箱到站场；HSE监督（安全员）检查空气呼吸器并搬出备用；</w:t>
      </w:r>
    </w:p>
    <w:p>
      <w:pPr>
        <w:ind w:firstLine="480"/>
        <w:rPr>
          <w:rFonts w:cs="Times New Roman"/>
          <w:bCs/>
          <w:color w:val="000000"/>
        </w:rPr>
      </w:pPr>
      <w:r>
        <w:rPr>
          <w:rFonts w:hint="eastAsia" w:ascii="宋体" w:hAnsi="宋体" w:cs="宋体"/>
          <w:bCs/>
          <w:color w:val="000000"/>
        </w:rPr>
        <w:t>⑤</w:t>
      </w:r>
      <w:r>
        <w:rPr>
          <w:rFonts w:cs="Times New Roman"/>
          <w:bCs/>
          <w:color w:val="000000"/>
        </w:rPr>
        <w:t>救护人员戴好空气呼吸器到岗位检查井口区域是否控制住，有无人员中毒；若发现有人员中毒立即抬至空气流通处施行现场急救，同时与挂钩医院联系；</w:t>
      </w:r>
    </w:p>
    <w:p>
      <w:pPr>
        <w:ind w:firstLine="480"/>
        <w:rPr>
          <w:rFonts w:cs="Times New Roman"/>
          <w:bCs/>
          <w:color w:val="000000"/>
        </w:rPr>
      </w:pPr>
      <w:r>
        <w:rPr>
          <w:rFonts w:hint="eastAsia" w:ascii="宋体" w:hAnsi="宋体" w:cs="宋体"/>
          <w:bCs/>
          <w:color w:val="000000"/>
        </w:rPr>
        <w:t>⑥</w:t>
      </w:r>
      <w:r>
        <w:rPr>
          <w:rFonts w:cs="Times New Roman"/>
          <w:bCs/>
          <w:color w:val="000000"/>
        </w:rPr>
        <w:t>由技术员组织处理消除井内的H</w:t>
      </w:r>
      <w:r>
        <w:rPr>
          <w:rFonts w:cs="Times New Roman"/>
          <w:bCs/>
          <w:color w:val="000000"/>
          <w:vertAlign w:val="subscript"/>
        </w:rPr>
        <w:t>2</w:t>
      </w:r>
      <w:r>
        <w:rPr>
          <w:rFonts w:cs="Times New Roman"/>
          <w:bCs/>
          <w:color w:val="000000"/>
        </w:rPr>
        <w:t>S外逸工作。</w:t>
      </w:r>
    </w:p>
    <w:p>
      <w:pPr>
        <w:ind w:firstLine="482"/>
        <w:rPr>
          <w:rFonts w:cs="Times New Roman"/>
          <w:b/>
          <w:bCs/>
          <w:color w:val="000000"/>
        </w:rPr>
      </w:pPr>
      <w:r>
        <w:rPr>
          <w:rFonts w:cs="Times New Roman"/>
          <w:b/>
          <w:bCs/>
          <w:color w:val="000000"/>
        </w:rPr>
        <w:t>4）应急监测</w:t>
      </w:r>
    </w:p>
    <w:p>
      <w:pPr>
        <w:ind w:firstLine="480"/>
        <w:rPr>
          <w:rFonts w:cs="Times New Roman"/>
          <w:color w:val="000000"/>
        </w:rPr>
      </w:pPr>
      <w:r>
        <w:rPr>
          <w:rFonts w:cs="Times New Roman"/>
          <w:color w:val="000000"/>
        </w:rPr>
        <w:t>按照《中国石油化工股份有限公司中原油田普光分公司环境突发环境事故应急预案》要求开展应急监测。</w:t>
      </w:r>
    </w:p>
    <w:p>
      <w:pPr>
        <w:ind w:firstLine="482"/>
        <w:rPr>
          <w:rFonts w:cs="Times New Roman"/>
          <w:b/>
          <w:bCs/>
          <w:color w:val="000000"/>
        </w:rPr>
      </w:pPr>
      <w:r>
        <w:rPr>
          <w:rFonts w:cs="Times New Roman"/>
          <w:b/>
          <w:bCs/>
          <w:color w:val="000000"/>
        </w:rPr>
        <w:t>5）事故后的恢复程序</w:t>
      </w:r>
    </w:p>
    <w:p>
      <w:pPr>
        <w:ind w:firstLine="480"/>
        <w:rPr>
          <w:rFonts w:cs="Times New Roman"/>
          <w:color w:val="000000"/>
        </w:rPr>
      </w:pPr>
      <w:r>
        <w:rPr>
          <w:rFonts w:cs="Times New Roman"/>
          <w:color w:val="000000"/>
        </w:rPr>
        <w:t>当恢复生产后，善后工作由现场人员负责具体落实，主要包括以下内容：</w:t>
      </w:r>
    </w:p>
    <w:p>
      <w:pPr>
        <w:ind w:firstLine="480"/>
        <w:rPr>
          <w:rFonts w:cs="Times New Roman"/>
          <w:color w:val="000000"/>
        </w:rPr>
      </w:pPr>
      <w:r>
        <w:rPr>
          <w:rFonts w:hint="eastAsia" w:ascii="宋体" w:hAnsi="宋体" w:cs="宋体"/>
          <w:color w:val="000000"/>
        </w:rPr>
        <w:t>①</w:t>
      </w:r>
      <w:r>
        <w:rPr>
          <w:rFonts w:cs="Times New Roman"/>
          <w:color w:val="000000"/>
        </w:rPr>
        <w:t>对现场进行清理，撤除所有的机具设备。</w:t>
      </w:r>
    </w:p>
    <w:p>
      <w:pPr>
        <w:ind w:firstLine="480"/>
        <w:rPr>
          <w:rFonts w:cs="Times New Roman"/>
          <w:color w:val="000000"/>
        </w:rPr>
      </w:pPr>
      <w:r>
        <w:rPr>
          <w:rFonts w:hint="eastAsia" w:ascii="宋体" w:hAnsi="宋体" w:cs="宋体"/>
          <w:color w:val="000000"/>
        </w:rPr>
        <w:t>②</w:t>
      </w:r>
      <w:r>
        <w:rPr>
          <w:rFonts w:cs="Times New Roman"/>
          <w:color w:val="000000"/>
        </w:rPr>
        <w:t>恢复地貌、植被；疏通河道、交通。</w:t>
      </w:r>
    </w:p>
    <w:p>
      <w:pPr>
        <w:ind w:firstLine="480"/>
        <w:rPr>
          <w:rFonts w:cs="Times New Roman"/>
          <w:color w:val="000000"/>
        </w:rPr>
      </w:pPr>
      <w:r>
        <w:rPr>
          <w:rFonts w:hint="eastAsia" w:ascii="宋体" w:hAnsi="宋体" w:cs="宋体"/>
          <w:color w:val="000000"/>
        </w:rPr>
        <w:t>③</w:t>
      </w:r>
      <w:r>
        <w:rPr>
          <w:rFonts w:cs="Times New Roman"/>
          <w:color w:val="000000"/>
        </w:rPr>
        <w:t>根据事故破坏情况，进行评估，按照相关法律，进行赔偿。</w:t>
      </w:r>
    </w:p>
    <w:p>
      <w:pPr>
        <w:ind w:firstLine="480"/>
        <w:rPr>
          <w:rFonts w:cs="Times New Roman"/>
          <w:color w:val="000000"/>
        </w:rPr>
      </w:pPr>
      <w:r>
        <w:rPr>
          <w:rFonts w:hint="eastAsia" w:ascii="宋体" w:hAnsi="宋体" w:cs="宋体"/>
          <w:color w:val="000000"/>
        </w:rPr>
        <w:t>④</w:t>
      </w:r>
      <w:r>
        <w:rPr>
          <w:rFonts w:cs="Times New Roman"/>
          <w:color w:val="000000"/>
        </w:rPr>
        <w:t>做好各项记录，进行归档整理。</w:t>
      </w:r>
    </w:p>
    <w:p>
      <w:pPr>
        <w:ind w:firstLine="482"/>
        <w:rPr>
          <w:rFonts w:cs="Times New Roman"/>
          <w:b/>
          <w:bCs/>
          <w:color w:val="000000"/>
        </w:rPr>
      </w:pPr>
      <w:r>
        <w:rPr>
          <w:rFonts w:cs="Times New Roman"/>
          <w:b/>
          <w:bCs/>
          <w:color w:val="000000"/>
        </w:rPr>
        <w:t>6）应急培训与演练</w:t>
      </w:r>
    </w:p>
    <w:p>
      <w:pPr>
        <w:ind w:firstLine="480"/>
        <w:rPr>
          <w:rFonts w:cs="Times New Roman"/>
          <w:color w:val="000000"/>
        </w:rPr>
      </w:pPr>
      <w:r>
        <w:rPr>
          <w:rFonts w:cs="Times New Roman"/>
          <w:color w:val="000000"/>
        </w:rPr>
        <w:t>应急培训和演练是培养和提高各岗位操作人员以及其他人员的日常应急处理能力的重要手段。按照《中国石油化工股份有限公司中原油田普光分公司环境突发环境事故应急预案》要求执行应急培训与演练。</w:t>
      </w:r>
    </w:p>
    <w:p>
      <w:pPr>
        <w:pStyle w:val="3"/>
      </w:pPr>
      <w:bookmarkStart w:id="383" w:name="5.3.7分析结论"/>
      <w:bookmarkEnd w:id="383"/>
      <w:bookmarkStart w:id="384" w:name="_Toc164667035"/>
      <w:r>
        <w:rPr>
          <w:rFonts w:hint="eastAsia"/>
        </w:rPr>
        <w:t>6.7</w:t>
      </w:r>
      <w:r>
        <w:t>分析结论</w:t>
      </w:r>
      <w:bookmarkEnd w:id="384"/>
    </w:p>
    <w:p>
      <w:pPr>
        <w:ind w:firstLine="480"/>
        <w:rPr>
          <w:rFonts w:cs="Times New Roman"/>
          <w:color w:val="000000"/>
          <w:szCs w:val="26"/>
        </w:rPr>
      </w:pPr>
      <w:r>
        <w:rPr>
          <w:rFonts w:cs="Times New Roman"/>
          <w:color w:val="000000"/>
          <w:szCs w:val="26"/>
        </w:rPr>
        <w:t>本工程地质条件、钻井深度、地层压力、天然气含量等综合试采条件在行业的试采井中属于中等不利，环境风险大小处于“引入风险削减措施”级别，与工程地层情况类似的相邻井在钻井中未发生井喷失控事故，发生可能诱发井喷失控的不良现象很少，仅表现为井漏，未出现井喷情况。废水、固废、油类物质等设置于罐内或池内，井场分区分级防渗，发生泄露可能性低且有完善应急处置措施。项目发生风险事故的机率小，风险事故对人身安全、健康、环境的后果影响小，但是要尽量采取风险防范措施尽量避免事故发生，同时完善环境风险应急措施，组织编制、学习、演练应急预案以便在事故发生后将影响降低到最小程度，在采取以上措施后，可将工程环境风险控制在可接受范围内，本项目环境风险可接受。</w:t>
      </w:r>
    </w:p>
    <w:p>
      <w:pPr>
        <w:pStyle w:val="95"/>
      </w:pPr>
      <w:r>
        <w:t>表</w:t>
      </w:r>
      <w:r>
        <w:fldChar w:fldCharType="begin"/>
      </w:r>
      <w:r>
        <w:instrText xml:space="preserve"> STYLEREF 2 \s </w:instrText>
      </w:r>
      <w:r>
        <w:fldChar w:fldCharType="separate"/>
      </w:r>
      <w:r>
        <w:t>6.7</w:t>
      </w:r>
      <w:r>
        <w:fldChar w:fldCharType="end"/>
      </w:r>
      <w:r>
        <w:noBreakHyphen/>
      </w:r>
      <w:r>
        <w:fldChar w:fldCharType="begin"/>
      </w:r>
      <w:r>
        <w:instrText xml:space="preserve"> SEQ 表 \* ARABIC \s 2 </w:instrText>
      </w:r>
      <w:r>
        <w:fldChar w:fldCharType="separate"/>
      </w:r>
      <w:r>
        <w:t>1</w:t>
      </w:r>
      <w:r>
        <w:fldChar w:fldCharType="end"/>
      </w:r>
      <w:r>
        <w:t xml:space="preserve"> 建设项目环境风险简单分析内容表</w:t>
      </w:r>
    </w:p>
    <w:tbl>
      <w:tblPr>
        <w:tblStyle w:val="52"/>
        <w:tblW w:w="4998"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895"/>
        <w:gridCol w:w="1265"/>
        <w:gridCol w:w="2291"/>
        <w:gridCol w:w="1079"/>
        <w:gridCol w:w="199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12" w:type="pct"/>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建设项目名称</w:t>
            </w:r>
          </w:p>
        </w:tc>
        <w:tc>
          <w:tcPr>
            <w:tcW w:w="3888" w:type="pct"/>
            <w:gridSpan w:val="4"/>
            <w:vAlign w:val="center"/>
          </w:tcPr>
          <w:p>
            <w:pPr>
              <w:widowControl/>
              <w:spacing w:line="240" w:lineRule="auto"/>
              <w:ind w:firstLine="0" w:firstLineChars="0"/>
              <w:jc w:val="center"/>
              <w:textAlignment w:val="baseline"/>
              <w:rPr>
                <w:rFonts w:cs="Times New Roman"/>
                <w:b/>
                <w:bCs/>
                <w:color w:val="000000"/>
                <w:sz w:val="21"/>
                <w:szCs w:val="20"/>
              </w:rPr>
            </w:pPr>
            <w:r>
              <w:rPr>
                <w:rFonts w:cs="Times New Roman"/>
                <w:b/>
                <w:bCs/>
                <w:color w:val="000000"/>
                <w:sz w:val="21"/>
                <w:szCs w:val="20"/>
              </w:rPr>
              <w:t>普光3011-6井钻井及试采工程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1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建设地点</w:t>
            </w:r>
          </w:p>
        </w:tc>
        <w:tc>
          <w:tcPr>
            <w:tcW w:w="3888" w:type="pct"/>
            <w:gridSpan w:val="4"/>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宣汉县普光镇陡梯村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111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地理坐标</w:t>
            </w:r>
          </w:p>
        </w:tc>
        <w:tc>
          <w:tcPr>
            <w:tcW w:w="74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经度</w:t>
            </w:r>
          </w:p>
        </w:tc>
        <w:tc>
          <w:tcPr>
            <w:tcW w:w="1344"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107.761469°东</w:t>
            </w:r>
          </w:p>
        </w:tc>
        <w:tc>
          <w:tcPr>
            <w:tcW w:w="633"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纬度</w:t>
            </w:r>
          </w:p>
        </w:tc>
        <w:tc>
          <w:tcPr>
            <w:tcW w:w="1169"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31.528000°北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2" w:hRule="atLeast"/>
        </w:trPr>
        <w:tc>
          <w:tcPr>
            <w:tcW w:w="111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主要危险物质及分布</w:t>
            </w:r>
          </w:p>
        </w:tc>
        <w:tc>
          <w:tcPr>
            <w:tcW w:w="3888" w:type="pct"/>
            <w:gridSpan w:val="4"/>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1、施工期：柴油及废油，总存在量16.7t，油罐暂存井场防渗区内，废油设置废油桶集中收集暂存于泥浆不落地装置区临时堆放区内，钻井队综合利用或交由有资质的单位处理；甲烷，井喷失控泄露量为0.81t；硫化氢，井喷失控泄露量为0.36t。</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2、试采期：甲烷设备在线量为0.29t，硫化氢设备在线量为0.13t。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14" w:hRule="atLeast"/>
        </w:trPr>
        <w:tc>
          <w:tcPr>
            <w:tcW w:w="111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环境影响途径及危害后果</w:t>
            </w:r>
          </w:p>
        </w:tc>
        <w:tc>
          <w:tcPr>
            <w:tcW w:w="3888" w:type="pct"/>
            <w:gridSpan w:val="4"/>
            <w:vAlign w:val="center"/>
          </w:tcPr>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油类危害途径及危害后果为：柴油在使用、储运过程中的风险主要来自于柴油罐自身缺陷、人员误操作、老化等造成的泄漏以及外部破坏产生的事故以及柴油拉运至井场过程中出现交通事故可能引起柴油泄漏污染水体、土壤；</w:t>
            </w:r>
          </w:p>
          <w:p>
            <w:pPr>
              <w:widowControl/>
              <w:spacing w:line="240" w:lineRule="auto"/>
              <w:ind w:firstLine="0" w:firstLineChars="0"/>
              <w:jc w:val="left"/>
              <w:textAlignment w:val="baseline"/>
              <w:rPr>
                <w:rFonts w:cs="Times New Roman"/>
                <w:color w:val="000000"/>
                <w:sz w:val="21"/>
                <w:szCs w:val="20"/>
              </w:rPr>
            </w:pPr>
            <w:r>
              <w:rPr>
                <w:rFonts w:cs="Times New Roman"/>
                <w:color w:val="000000"/>
                <w:sz w:val="21"/>
                <w:szCs w:val="20"/>
              </w:rPr>
              <w:t>甲烷、硫化氢危害途径及危害后果为：当钻进气层后，遇到高压气流，因各种原因使井内压力不能平衡地层压力时而造成井喷和井喷失控事故；其中可能造成最大危害的是井喷失控喷射出的天然气扩散中毒影响环境空气及破坏植被，天然气遇火燃烧爆炸造成冲击波和热辐射伤人、伤亡事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9" w:hRule="atLeast"/>
        </w:trPr>
        <w:tc>
          <w:tcPr>
            <w:tcW w:w="1112" w:type="pct"/>
            <w:vAlign w:val="center"/>
          </w:tcPr>
          <w:p>
            <w:pPr>
              <w:widowControl/>
              <w:spacing w:line="240" w:lineRule="auto"/>
              <w:ind w:firstLine="0" w:firstLineChars="0"/>
              <w:jc w:val="center"/>
              <w:textAlignment w:val="baseline"/>
              <w:rPr>
                <w:rFonts w:cs="Times New Roman"/>
                <w:color w:val="000000"/>
                <w:sz w:val="21"/>
                <w:szCs w:val="20"/>
              </w:rPr>
            </w:pPr>
            <w:r>
              <w:rPr>
                <w:rFonts w:cs="Times New Roman"/>
                <w:color w:val="000000"/>
                <w:sz w:val="21"/>
                <w:szCs w:val="20"/>
              </w:rPr>
              <w:t>风险防范措施要求</w:t>
            </w:r>
          </w:p>
        </w:tc>
        <w:tc>
          <w:tcPr>
            <w:tcW w:w="3888" w:type="pct"/>
            <w:gridSpan w:val="4"/>
            <w:vAlign w:val="center"/>
          </w:tcPr>
          <w:p>
            <w:pPr>
              <w:widowControl/>
              <w:spacing w:line="240" w:lineRule="auto"/>
              <w:ind w:firstLine="0" w:firstLineChars="0"/>
              <w:jc w:val="left"/>
              <w:textAlignment w:val="baseline"/>
              <w:rPr>
                <w:rFonts w:cs="Times New Roman"/>
                <w:color w:val="000000"/>
                <w:sz w:val="21"/>
                <w:szCs w:val="20"/>
              </w:rPr>
            </w:pPr>
            <w:r>
              <w:rPr>
                <w:rFonts w:hint="eastAsia" w:ascii="宋体" w:hAnsi="宋体" w:cs="宋体"/>
                <w:color w:val="000000"/>
                <w:sz w:val="21"/>
                <w:szCs w:val="20"/>
              </w:rPr>
              <w:t>①</w:t>
            </w:r>
            <w:r>
              <w:rPr>
                <w:rFonts w:cs="Times New Roman"/>
                <w:color w:val="000000"/>
                <w:sz w:val="21"/>
                <w:szCs w:val="20"/>
              </w:rPr>
              <w:t>制定应急救援预案并定期演练；</w:t>
            </w:r>
          </w:p>
          <w:p>
            <w:pPr>
              <w:widowControl/>
              <w:spacing w:line="240" w:lineRule="auto"/>
              <w:ind w:firstLine="0" w:firstLineChars="0"/>
              <w:jc w:val="left"/>
              <w:textAlignment w:val="baseline"/>
              <w:rPr>
                <w:rFonts w:cs="Times New Roman"/>
                <w:color w:val="000000"/>
                <w:sz w:val="21"/>
                <w:szCs w:val="20"/>
              </w:rPr>
            </w:pPr>
            <w:r>
              <w:rPr>
                <w:rFonts w:hint="eastAsia" w:ascii="宋体" w:hAnsi="宋体" w:cs="宋体"/>
                <w:color w:val="000000"/>
                <w:sz w:val="21"/>
                <w:szCs w:val="20"/>
              </w:rPr>
              <w:t>②</w:t>
            </w:r>
            <w:r>
              <w:rPr>
                <w:rFonts w:cs="Times New Roman"/>
                <w:color w:val="000000"/>
                <w:sz w:val="21"/>
                <w:szCs w:val="20"/>
              </w:rPr>
              <w:t>配备完善的放空系统、安全截断系统、可燃气体报警系统；</w:t>
            </w:r>
          </w:p>
          <w:p>
            <w:pPr>
              <w:widowControl/>
              <w:spacing w:line="240" w:lineRule="auto"/>
              <w:ind w:firstLine="0" w:firstLineChars="0"/>
              <w:jc w:val="left"/>
              <w:textAlignment w:val="baseline"/>
              <w:rPr>
                <w:rFonts w:cs="Times New Roman"/>
                <w:color w:val="000000"/>
                <w:sz w:val="21"/>
                <w:szCs w:val="20"/>
              </w:rPr>
            </w:pPr>
            <w:r>
              <w:rPr>
                <w:rFonts w:hint="eastAsia" w:ascii="宋体" w:hAnsi="宋体" w:cs="宋体"/>
                <w:color w:val="000000"/>
                <w:sz w:val="21"/>
                <w:szCs w:val="20"/>
              </w:rPr>
              <w:t>③</w:t>
            </w:r>
            <w:r>
              <w:rPr>
                <w:rFonts w:cs="Times New Roman"/>
                <w:color w:val="000000"/>
                <w:sz w:val="21"/>
                <w:szCs w:val="20"/>
              </w:rPr>
              <w:t>按照相关规范进行了防爆、防雷、防静电设计；</w:t>
            </w:r>
          </w:p>
          <w:p>
            <w:pPr>
              <w:widowControl/>
              <w:spacing w:line="240" w:lineRule="auto"/>
              <w:ind w:firstLine="0" w:firstLineChars="0"/>
              <w:jc w:val="left"/>
              <w:textAlignment w:val="baseline"/>
              <w:rPr>
                <w:rFonts w:cs="Times New Roman"/>
                <w:color w:val="000000"/>
                <w:sz w:val="21"/>
                <w:szCs w:val="20"/>
              </w:rPr>
            </w:pPr>
            <w:r>
              <w:rPr>
                <w:rFonts w:hint="eastAsia" w:ascii="宋体" w:hAnsi="宋体" w:cs="宋体"/>
                <w:color w:val="000000"/>
                <w:sz w:val="21"/>
                <w:szCs w:val="20"/>
              </w:rPr>
              <w:t>④</w:t>
            </w:r>
            <w:r>
              <w:rPr>
                <w:rFonts w:cs="Times New Roman"/>
                <w:color w:val="000000"/>
                <w:sz w:val="21"/>
                <w:szCs w:val="20"/>
              </w:rPr>
              <w:t>与站场周边的居民和当地村委会建立联络沟通机制，完善应急监控能力；</w:t>
            </w:r>
          </w:p>
          <w:p>
            <w:pPr>
              <w:widowControl/>
              <w:spacing w:line="240" w:lineRule="auto"/>
              <w:ind w:firstLine="0" w:firstLineChars="0"/>
              <w:jc w:val="left"/>
              <w:textAlignment w:val="baseline"/>
              <w:rPr>
                <w:rFonts w:cs="Times New Roman"/>
                <w:color w:val="000000"/>
                <w:sz w:val="21"/>
                <w:szCs w:val="20"/>
              </w:rPr>
            </w:pPr>
            <w:r>
              <w:rPr>
                <w:rFonts w:hint="eastAsia" w:ascii="宋体" w:hAnsi="宋体" w:cs="宋体"/>
                <w:color w:val="000000"/>
                <w:sz w:val="21"/>
                <w:szCs w:val="20"/>
              </w:rPr>
              <w:t>⑤</w:t>
            </w:r>
            <w:r>
              <w:rPr>
                <w:rFonts w:cs="Times New Roman"/>
                <w:color w:val="000000"/>
                <w:sz w:val="21"/>
                <w:szCs w:val="20"/>
              </w:rPr>
              <w:t>定期对站场设备及管线进行巡检，检查设备及管线有无漏点，确保其设备完好，无泄漏发生；</w:t>
            </w:r>
          </w:p>
          <w:p>
            <w:pPr>
              <w:widowControl/>
              <w:spacing w:line="240" w:lineRule="auto"/>
              <w:ind w:firstLine="0" w:firstLineChars="0"/>
              <w:jc w:val="left"/>
              <w:textAlignment w:val="baseline"/>
              <w:rPr>
                <w:rFonts w:cs="Times New Roman"/>
                <w:color w:val="000000"/>
                <w:sz w:val="21"/>
                <w:szCs w:val="20"/>
              </w:rPr>
            </w:pPr>
            <w:r>
              <w:rPr>
                <w:rFonts w:hint="eastAsia" w:ascii="宋体" w:hAnsi="宋体" w:cs="宋体"/>
                <w:color w:val="000000"/>
                <w:sz w:val="21"/>
                <w:szCs w:val="20"/>
              </w:rPr>
              <w:t>⑥</w:t>
            </w:r>
            <w:r>
              <w:rPr>
                <w:rFonts w:cs="Times New Roman"/>
                <w:color w:val="000000"/>
                <w:sz w:val="21"/>
                <w:szCs w:val="20"/>
              </w:rPr>
              <w:t>钻井期做好分区分级防渗，设置围堰，试采期对火炬分液罐等进行地面硬化、防渗，做好防雨、防晒措施；修建围堰，防止油类泄漏进入周围环境。</w:t>
            </w:r>
          </w:p>
        </w:tc>
      </w:tr>
    </w:tbl>
    <w:p>
      <w:pPr>
        <w:ind w:firstLine="480"/>
        <w:jc w:val="center"/>
        <w:rPr>
          <w:rFonts w:cs="Times New Roman"/>
          <w:color w:val="000000"/>
          <w:szCs w:val="24"/>
        </w:rPr>
      </w:pPr>
    </w:p>
    <w:p>
      <w:pPr>
        <w:ind w:firstLine="480"/>
        <w:jc w:val="center"/>
        <w:rPr>
          <w:rFonts w:cs="Times New Roman"/>
          <w:color w:val="000000" w:themeColor="text1"/>
          <w:szCs w:val="24"/>
          <w14:textFill>
            <w14:solidFill>
              <w14:schemeClr w14:val="tx1"/>
            </w14:solidFill>
          </w14:textFill>
        </w:rPr>
      </w:pP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br w:type="page"/>
      </w:r>
    </w:p>
    <w:p>
      <w:pPr>
        <w:pStyle w:val="2"/>
      </w:pPr>
      <w:bookmarkStart w:id="385" w:name="_Toc164667036"/>
      <w:r>
        <w:rPr>
          <w:rFonts w:hint="eastAsia"/>
        </w:rPr>
        <w:t xml:space="preserve">7 </w:t>
      </w:r>
      <w:r>
        <w:t>环境保护措施及其可行性论证</w:t>
      </w:r>
      <w:bookmarkEnd w:id="385"/>
    </w:p>
    <w:p>
      <w:pPr>
        <w:pStyle w:val="3"/>
      </w:pPr>
      <w:bookmarkStart w:id="386" w:name="6.1施工期环境保护措施及可行性分析"/>
      <w:bookmarkEnd w:id="386"/>
      <w:bookmarkStart w:id="387" w:name="_bookmark32"/>
      <w:bookmarkEnd w:id="387"/>
      <w:bookmarkStart w:id="388" w:name="_Toc164667037"/>
      <w:r>
        <w:rPr>
          <w:rFonts w:hint="eastAsia"/>
        </w:rPr>
        <w:t>7.1</w:t>
      </w:r>
      <w:r>
        <w:t>施工期环境保护措施及可行性分析</w:t>
      </w:r>
      <w:bookmarkEnd w:id="388"/>
    </w:p>
    <w:p>
      <w:pPr>
        <w:pStyle w:val="4"/>
        <w:ind w:firstLine="241"/>
        <w:rPr>
          <w:b w:val="0"/>
        </w:rPr>
      </w:pPr>
      <w:bookmarkStart w:id="389" w:name="6.1.1施工废气防治措施及可行性分析"/>
      <w:bookmarkEnd w:id="389"/>
      <w:bookmarkStart w:id="390" w:name="_Toc120173210"/>
      <w:r>
        <w:t>7.1.2施工期生态环境保护措施及可行性分析</w:t>
      </w:r>
      <w:bookmarkEnd w:id="390"/>
    </w:p>
    <w:p>
      <w:pPr>
        <w:ind w:firstLine="480"/>
        <w:rPr>
          <w:rFonts w:cs="Times New Roman"/>
          <w:color w:val="000000" w:themeColor="text1"/>
          <w14:textFill>
            <w14:solidFill>
              <w14:schemeClr w14:val="tx1"/>
            </w14:solidFill>
          </w14:textFill>
        </w:rPr>
      </w:pPr>
      <w:r>
        <w:rPr>
          <w:rFonts w:cs="Times New Roman"/>
          <w:color w:val="000000" w:themeColor="text1"/>
          <w:lang w:bidi="ar"/>
          <w14:textFill>
            <w14:solidFill>
              <w14:schemeClr w14:val="tx1"/>
            </w14:solidFill>
          </w14:textFill>
        </w:rPr>
        <w:t>坚持尊重自然、顺应自然、保护自然的理念，采取自然的恢复措施或绿色修复工艺，避免生态保护措施自身的不利影响。</w:t>
      </w:r>
    </w:p>
    <w:p>
      <w:pPr>
        <w:ind w:firstLine="480"/>
        <w:rPr>
          <w:rFonts w:cs="Times New Roman"/>
          <w:color w:val="000000" w:themeColor="text1"/>
          <w:lang w:bidi="ar"/>
          <w14:textFill>
            <w14:solidFill>
              <w14:schemeClr w14:val="tx1"/>
            </w14:solidFill>
          </w14:textFill>
        </w:rPr>
      </w:pPr>
      <w:r>
        <w:rPr>
          <w:rFonts w:cs="Times New Roman"/>
          <w:color w:val="000000" w:themeColor="text1"/>
          <w14:textFill>
            <w14:solidFill>
              <w14:schemeClr w14:val="tx1"/>
            </w14:solidFill>
          </w14:textFill>
        </w:rPr>
        <w:t>本工程建设过程中，将不可避免地对施工区的植被、动植物、景观和周围环境产生一定影响。这些影响是暂时性的，可通过采取自然或人工辅助措施的方法加以恢复，通过采取人工措施的方法提高占地区植被覆盖率，使区域生态系统的结构和功能整体得到逐步改善，完全恢复，乃至更</w:t>
      </w:r>
      <w:r>
        <w:rPr>
          <w:rFonts w:cs="Times New Roman"/>
          <w:color w:val="000000" w:themeColor="text1"/>
          <w:lang w:bidi="ar"/>
          <w14:textFill>
            <w14:solidFill>
              <w14:schemeClr w14:val="tx1"/>
            </w14:solidFill>
          </w14:textFill>
        </w:rPr>
        <w:t>为高效。</w:t>
      </w:r>
    </w:p>
    <w:p>
      <w:pPr>
        <w:pStyle w:val="5"/>
        <w:rPr>
          <w:lang w:bidi="ar"/>
        </w:rPr>
      </w:pPr>
      <w:r>
        <w:rPr>
          <w:rFonts w:hint="eastAsia"/>
          <w:lang w:bidi="ar"/>
        </w:rPr>
        <w:t>7.</w:t>
      </w:r>
      <w:r>
        <w:rPr>
          <w:lang w:bidi="ar"/>
        </w:rPr>
        <w:t>1.</w:t>
      </w:r>
      <w:r>
        <w:rPr>
          <w:rFonts w:hint="eastAsia"/>
          <w:lang w:bidi="ar"/>
        </w:rPr>
        <w:t>2.1</w:t>
      </w:r>
      <w:r>
        <w:rPr>
          <w:lang w:bidi="ar"/>
        </w:rPr>
        <w:t>生态保护的宣传</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建设单位在施工期需认真做好生态保护的宣传和监督工作，如印发宣传册、制作宣传栏、定期开展宣传活动等。绝不能超计划占用耕地、林地、草地及其他用地；施工过程中，注意加强对施工人员的管理和宣传教育，提高他们保护环境、保护野生动物的意识和觉悟，严令禁止偷猎和捕杀野生动物，禁止乱砍滥伐，做到文明施工。施工期间若遇到野生动物，应注意对其即刻采取适当的保护措施，必要时进行临时人工饲养或上报上级部门处理，不使其受到捕杀和伤害等在内的各种威胁。</w:t>
      </w:r>
    </w:p>
    <w:p>
      <w:pPr>
        <w:pStyle w:val="5"/>
        <w:rPr>
          <w:lang w:bidi="ar"/>
        </w:rPr>
      </w:pPr>
      <w:r>
        <w:rPr>
          <w:rFonts w:hint="eastAsia"/>
          <w:lang w:bidi="ar"/>
        </w:rPr>
        <w:t>7.</w:t>
      </w:r>
      <w:r>
        <w:rPr>
          <w:lang w:bidi="ar"/>
        </w:rPr>
        <w:t>1.</w:t>
      </w:r>
      <w:r>
        <w:rPr>
          <w:rFonts w:hint="eastAsia"/>
          <w:lang w:bidi="ar"/>
        </w:rPr>
        <w:t>2.2</w:t>
      </w:r>
      <w:r>
        <w:rPr>
          <w:lang w:bidi="ar"/>
        </w:rPr>
        <w:t>避让、减缓措施</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（1）土地与植被保护措施</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施工期间为充分的保护评价范围现有土地和植被，可采取如下保护措施：</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cs="Times New Roman"/>
          <w:color w:val="000000" w:themeColor="text1"/>
          <w14:textFill>
            <w14:solidFill>
              <w14:schemeClr w14:val="tx1"/>
            </w14:solidFill>
          </w14:textFill>
        </w:rPr>
        <w:t>优先采用生态友好的工程建设技术、工艺及材料。</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rFonts w:cs="Times New Roman"/>
          <w:color w:val="000000" w:themeColor="text1"/>
          <w14:textFill>
            <w14:solidFill>
              <w14:schemeClr w14:val="tx1"/>
            </w14:solidFill>
          </w14:textFill>
        </w:rPr>
        <w:t>根据施工总体平面布置，严格规范施工范围，确定施工用地范围，进行标桩划界，禁止施工人员进入非施工占地区，严禁任意越界破坏周围植被。</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rFonts w:cs="Times New Roman"/>
          <w:color w:val="000000" w:themeColor="text1"/>
          <w14:textFill>
            <w14:solidFill>
              <w14:schemeClr w14:val="tx1"/>
            </w14:solidFill>
          </w14:textFill>
        </w:rPr>
        <w:t xml:space="preserve">做好环卫工作，废弃物应合理堆放，及时处置，禁止乱丢垃圾和废弃物，严禁场内污水进入外环沟，确保周边环境不被污染。 </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rFonts w:cs="Times New Roman"/>
          <w:color w:val="000000" w:themeColor="text1"/>
          <w14:textFill>
            <w14:solidFill>
              <w14:schemeClr w14:val="tx1"/>
            </w14:solidFill>
          </w14:textFill>
        </w:rPr>
        <w:t>在项目建设过程中，强化临时占地的及时复耕复垦，对可以恢复的临时占地及时进行植被恢复。</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（2）水土流失的防治对策措施</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cs="Times New Roman"/>
          <w:color w:val="000000" w:themeColor="text1"/>
          <w14:textFill>
            <w14:solidFill>
              <w14:schemeClr w14:val="tx1"/>
            </w14:solidFill>
          </w14:textFill>
        </w:rPr>
        <w:t>在施工过程中合理安排施工进度，施工尽量避开雨天和大风天；分段施工，减少风蚀导致的水土流失。</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rFonts w:cs="Times New Roman"/>
          <w:color w:val="000000" w:themeColor="text1"/>
          <w14:textFill>
            <w14:solidFill>
              <w14:schemeClr w14:val="tx1"/>
            </w14:solidFill>
          </w14:textFill>
        </w:rPr>
        <w:t>严格按照有关项目施工规范进行施工，划定施工作业范围和路线，不得扩大施工作业范围，尽可能减少对土壤和植被的破坏以及由此引发的水土流失。</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rFonts w:cs="Times New Roman"/>
          <w:color w:val="000000" w:themeColor="text1"/>
          <w14:textFill>
            <w14:solidFill>
              <w14:schemeClr w14:val="tx1"/>
            </w14:solidFill>
          </w14:textFill>
        </w:rPr>
        <w:t>在井场站场施工，设置一定围挡，减少施工过程中水土流失量。</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rFonts w:cs="Times New Roman"/>
          <w:color w:val="000000" w:themeColor="text1"/>
          <w14:textFill>
            <w14:solidFill>
              <w14:schemeClr w14:val="tx1"/>
            </w14:solidFill>
          </w14:textFill>
        </w:rPr>
        <w:t>施工中合理安排施项目顺序，分段施工，在先期施工完成后必须立即做好护坡、护脚、边沟、排水沟等防护项目及排水设施建设，做好坡面水保和植被恢复措施，对于坡面项目应及时采取临时防护措施或植物措施加以防护以减少水土流失。</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⑤</w:t>
      </w:r>
      <w:r>
        <w:rPr>
          <w:rFonts w:cs="Times New Roman"/>
          <w:color w:val="000000" w:themeColor="text1"/>
          <w14:textFill>
            <w14:solidFill>
              <w14:schemeClr w14:val="tx1"/>
            </w14:solidFill>
          </w14:textFill>
        </w:rPr>
        <w:t>在降雨排水相对困难的区域，应加大边沟，将排水集中于边沟排除或蒸发，有条件的施工区域将降雨排水引至附近河道或排水渠中。</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⑥</w:t>
      </w:r>
      <w:r>
        <w:rPr>
          <w:rFonts w:cs="Times New Roman"/>
          <w:color w:val="000000" w:themeColor="text1"/>
          <w14:textFill>
            <w14:solidFill>
              <w14:schemeClr w14:val="tx1"/>
            </w14:solidFill>
          </w14:textFill>
        </w:rPr>
        <w:t>妥善处理施工中产生的废弃物及清洗设备的废水及生活污水，严禁直接排入周边，对于施工过程中产生的不能利用的废弃土石不得将任意裸露弃置，做到随挖随填，以免遇强降雨引起严重的水土流失。</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⑦</w:t>
      </w:r>
      <w:r>
        <w:rPr>
          <w:rFonts w:cs="Times New Roman"/>
          <w:color w:val="000000" w:themeColor="text1"/>
          <w14:textFill>
            <w14:solidFill>
              <w14:schemeClr w14:val="tx1"/>
            </w14:solidFill>
          </w14:textFill>
        </w:rPr>
        <w:t>在所有工作面完工后，应立即进行裸露区的植被恢复，包括开挖的坡面。恢复时根据其实际情况，因地制宜地对各类施工迹地进行绿化恢复，尽量减少项目区内的施工痕迹。施工迹地的绿化恢复过程中尽量采用当地树种、草种，最好是利用原自然植被的建群种进行恢复。建群种在整个植被中盖度最大，生物量最大，占有空间也最大，并在建造群落、改造环境以及物质与能量交换中作用最突出。具体可采取人工栽植幼苗的方式，遵循夹杂混合种植、密度适宜、杜绝纯林的原则。</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（3）对陆生野生动物保护措施</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cs="Times New Roman"/>
          <w:color w:val="000000" w:themeColor="text1"/>
          <w14:textFill>
            <w14:solidFill>
              <w14:schemeClr w14:val="tx1"/>
            </w14:solidFill>
          </w14:textFill>
        </w:rPr>
        <w:t>加强宣传野生动物保护法规，打击捕杀野生动物的行为</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提高施工人员的保护意识，施工人员必须遵守《中华人民共和国野生动物保护法》，严禁捕猎保护动物，特别是重点保护野生动物。</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rFonts w:cs="Times New Roman"/>
          <w:color w:val="000000" w:themeColor="text1"/>
          <w14:textFill>
            <w14:solidFill>
              <w14:schemeClr w14:val="tx1"/>
            </w14:solidFill>
          </w14:textFill>
        </w:rPr>
        <w:t>防止动物生境污染</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人类活动的增加，会给环境污染带来新的隐患。从保护生态与环境的角度出发，建议本工程开工之前，尽量做好施工规划前期工作，做好工程完工后生态环境的恢复工作，以尽量减少植被破坏对动物栖息地的不利影响，以保证自然生态系统和野生动物栖息地的稳定。</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rFonts w:cs="Times New Roman"/>
          <w:color w:val="000000" w:themeColor="text1"/>
          <w14:textFill>
            <w14:solidFill>
              <w14:schemeClr w14:val="tx1"/>
            </w14:solidFill>
          </w14:textFill>
        </w:rPr>
        <w:t>对野生动物具体保护方案</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鸟类：尽量减少施工对植被的破坏，保证施工后植被的恢复。增强人们的环境保护意识，加强对重点保护野生动物的保护，严禁非法猎捕保护鸟类及对人类有益的鸟类。</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兽类：保护好现有的植被，使兽类有一个稳定的栖息地。为将项目建设对兽类栖息地的影响减少到最低限度，应在所有可能的地区采用可能的方法恢复植被；对工程废物和施工人员的生活垃圾进行快速处理，尽量避免废物为鼠类等疫源性兽类提供生活环境，同时也可减少工程对动物栖息地的破坏。</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（4）对重点保护野生动物保护措施</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评价区人类活动较为频繁，未分布适宜的重点保护野生动物雀鹰、画眉栖息地及生境，其主要为过境取食及活动。同时，雀鹰、画眉飞翔能力和自主迁徙能力较强，捕食范围很广，施工活动对其影响很小，在施工期，要加强在施工人员中的宣传教育，如发现上述保护动物过境，要加强保护，严禁捕捉，同时，要文明施工，将人为影响降至最低。</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（5）外来入侵植物防范措施</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目前防止外来物种入侵的方法主要有植物检疫、人工方法防治、化学方法防治、生物防治等。结合工程特点，要求加大宣传力度，对外来物种的危害以及传播途径向施工人员进行宣传；对现有的外来种，利用工程施工的机会，对有种子的植物要现场烧毁，以防种子扩散，在临时占地的地方要及时绿化等。</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在施工占地区或裸地绿化应采取相应的防范措施，在选择绿化树种和水土保持植物中不使用外来入侵植物，尽可能使用</w:t>
      </w:r>
      <w:r>
        <w:rPr>
          <w:rFonts w:hint="eastAsia" w:cs="Times New Roman"/>
          <w:color w:val="000000" w:themeColor="text1"/>
          <w14:textFill>
            <w14:solidFill>
              <w14:schemeClr w14:val="tx1"/>
            </w14:solidFill>
          </w14:textFill>
        </w:rPr>
        <w:t>当地</w:t>
      </w:r>
      <w:r>
        <w:rPr>
          <w:rFonts w:cs="Times New Roman"/>
          <w:color w:val="000000" w:themeColor="text1"/>
          <w14:textFill>
            <w14:solidFill>
              <w14:schemeClr w14:val="tx1"/>
            </w14:solidFill>
          </w14:textFill>
        </w:rPr>
        <w:t>乡土树种。</w:t>
      </w:r>
    </w:p>
    <w:p>
      <w:pPr>
        <w:pStyle w:val="5"/>
      </w:pPr>
      <w:r>
        <w:rPr>
          <w:rFonts w:hint="eastAsia"/>
        </w:rPr>
        <w:t>7.</w:t>
      </w:r>
      <w:r>
        <w:t>1.</w:t>
      </w:r>
      <w:r>
        <w:rPr>
          <w:rFonts w:hint="eastAsia"/>
        </w:rPr>
        <w:t>2.3</w:t>
      </w:r>
      <w:r>
        <w:t>恢复和补偿措施</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陆生植物</w:t>
      </w:r>
      <w:r>
        <w:rPr>
          <w:rFonts w:cs="Times New Roman"/>
          <w:color w:val="000000" w:themeColor="text1"/>
          <w:lang w:bidi="ar"/>
          <w14:textFill>
            <w14:solidFill>
              <w14:schemeClr w14:val="tx1"/>
            </w14:solidFill>
          </w14:textFill>
        </w:rPr>
        <w:t>恢复原则是优先使用原生表土和选用乡土物种，防止外来生物入侵，构建与周边生态环境相协调的植物群落，最终形成可自我维持的生态系统。生态修复的目标主要包括：恢复植被和土壤，保证一定的植被覆盖度和土壤肥力；维持物种种类和组成，保护生物多样性；实现生物群落的恢复，提高生态系统的生产力和自我维持力；维持生境的连通性等。</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（1）表土剥离及堆存</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工程建设过程伴随着土石方开挖、回填活动，不可避免地对林地和草地造成破坏，毁坏地表植被、挖损和埋压土地、破坏地表土壤等，不仅降低了土壤抗蚀能力，加剧了评价区水土流失。根据区域环境的特点，需针对性</w:t>
      </w:r>
      <w:r>
        <w:rPr>
          <w:rFonts w:hint="eastAsia" w:cs="Times New Roman"/>
          <w:color w:val="000000" w:themeColor="text1"/>
          <w:lang w:eastAsia="zh-CN"/>
          <w14:textFill>
            <w14:solidFill>
              <w14:schemeClr w14:val="tx1"/>
            </w14:solidFill>
          </w14:textFill>
        </w:rPr>
        <w:t>地</w:t>
      </w:r>
      <w:r>
        <w:rPr>
          <w:rFonts w:cs="Times New Roman"/>
          <w:color w:val="000000" w:themeColor="text1"/>
          <w14:textFill>
            <w14:solidFill>
              <w14:schemeClr w14:val="tx1"/>
            </w14:solidFill>
          </w14:textFill>
        </w:rPr>
        <w:t>开展表土剥离和堆存，尽可能的减少水土流失。</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cs="Times New Roman"/>
          <w:color w:val="000000" w:themeColor="text1"/>
          <w14:textFill>
            <w14:solidFill>
              <w14:schemeClr w14:val="tx1"/>
            </w14:solidFill>
          </w14:textFill>
        </w:rPr>
        <w:t>剥离区域</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施工结束后需要复绿的区域都应列为表土剥离区域，但在实际设计中应根据具体情况分析确定，如根据施工区域土层厚度、肥沃程度及后续植物措施搭配等确定。</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对于新增占地区，在开工前，应首先剥离表层土，将其暂时堆放在表土堆存场，用塑料薄膜或草席覆盖，以防止雨水冲刷和风扬，作为项目完工后覆土造地或绿化的回填表土之用。</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rFonts w:cs="Times New Roman"/>
          <w:color w:val="000000" w:themeColor="text1"/>
          <w14:textFill>
            <w14:solidFill>
              <w14:schemeClr w14:val="tx1"/>
            </w14:solidFill>
          </w14:textFill>
        </w:rPr>
        <w:t>剥离厚度</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调查，剥离区表层土的厚度平均为20cm，厚的可达30cm，但在具体的设计中应根据剥离区域土壤耕植层厚度及后期复绿所需回填量来确定剥离厚度。由于区域内表土厚度存在差异，对土层深厚、肥沃的地方可适当深剥，对土层较薄、肥力不高的地方可适当浅剥，在总量控制（用多少剥多少）的前提下应尽量将剥离区域内最肥沃的部分土壤剥离出来。</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占地区的草地表土厚度一般在30cm以内，表土剥离中应控制剥离厚度，剥离厚度过大，否则给保存带来不便，下部生土如混进表土，致使土地生产力下降。</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rFonts w:cs="Times New Roman"/>
          <w:color w:val="000000" w:themeColor="text1"/>
          <w14:textFill>
            <w14:solidFill>
              <w14:schemeClr w14:val="tx1"/>
            </w14:solidFill>
          </w14:textFill>
        </w:rPr>
        <w:t>保存及保护</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a）表土临时堆存应尽量占用场内空闲地，如场内无适合堆处则应另行征地，表土保存过程中应设有临时防护措施。</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b）根据剥离量和堆放条件，先用塑料彩条布或薄膜覆盖即可，四周用编制土袋临时挡护，编织袋外0.5m~1.0m处设临时排水沟，堆积形成后可利用铲车或推土机对顶部和边坡稍作压实，顶部应向外侧做成一定坡度，便于排水。</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c）如保存期较长，超过1个生长季，可撒播草籽临时绿化，草种应该选择有培肥地力的（豆科）牧草。如堆放在渣场，一般应集中堆放在渣场下游或者两侧地势平缓处，避开低洼及水流汇集处。</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rFonts w:cs="Times New Roman"/>
          <w:color w:val="000000" w:themeColor="text1"/>
          <w14:textFill>
            <w14:solidFill>
              <w14:schemeClr w14:val="tx1"/>
            </w14:solidFill>
          </w14:textFill>
        </w:rPr>
        <w:t>回填利用</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a）为提高草皮成活率，植草皮前应先覆土，覆土应控制厚度，一般为3cm~5cm，覆土时应适当压实，增加与边坡粘合力，避免剥落或因含水量增加与草皮一起顺坡向下滑移，如采用框格植草护坡，也应在框格内覆土。</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b）表土回填及整地过程中应地面与周边地形相协调，应避免出现中间低四周高，以避免雨天造成洼地积水。</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c）临时占地利用完毕后应先铲除地表泥结石层，然后回填表土进行全面整地，全面整地后地面高度应与周边相一致，以利于复绿。</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（2）恢复措施与技术</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cs="Times New Roman"/>
          <w:color w:val="000000" w:themeColor="text1"/>
          <w14:textFill>
            <w14:solidFill>
              <w14:schemeClr w14:val="tx1"/>
            </w14:solidFill>
          </w14:textFill>
        </w:rPr>
        <w:t>植被恢复措施与技术</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a）对因施工期间破坏的草地植被和生境、临时占用的草地植被及各种施工迹地，工程结束后应该尽量通过实施生态恢复措施使其逐步得到恢复。</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b）在植被恢复或其他生态恢复活动中，应该依照适地适树、原生性、特有性、实用性的基本科学原则，种植当地生态系统中原有的重要的各种植物种类，乔、灌、草植物有机搭配。</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c）在采集种子或繁殖体时，要根据不同树种和植物，注意选择具有生长正常、健壮、结实率高等优良性状的种源。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d）不能营造单一树种的单优群落，要营造为混交林，以最大限度保证群落丰富及生物多样性。</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e）尽量利用自然更新的方式恢复植被，并且注意恢复过程中的环境保护，同时加强管护，要通过围栏等措施防止人、畜破坏。</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rFonts w:cs="Times New Roman"/>
          <w:color w:val="000000" w:themeColor="text1"/>
          <w14:textFill>
            <w14:solidFill>
              <w14:schemeClr w14:val="tx1"/>
            </w14:solidFill>
          </w14:textFill>
        </w:rPr>
        <w:t>植物资源恢复措施及技术</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a）对各施工区发现的重要植物要认真清查登记、备案。以便在今后植物资源的恢复中作为选择植物种类的依据。</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b）种植原生种，杜绝外来种。在植被恢复或其他生态恢复活动中，避免外来种可能对当地的生态系统造成无可挽回的破坏。</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c）多种植当地的特有植物。</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d）注意采种时间、种源选择，以及造林时间。造林时，严格执行苗木检验，做好苗木保护，提高造林质量，保证成活率。加强抚育管理和管护，使植被尽快恢复。</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e）植物种类选择</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在进行植被恢复时，根据适地适树、原生性、特有性、观赏性等原则，应该采用有生态价值或经济价值的当地特有的原生植物，尤其是那些被项目建设破坏的重要物种。第一，可以恢复和增加当地植物多样性；第二，可以使植被恢复和绿化具有地方特色；第三，就地取材，可以降低绿化成本；第四，选择有一定经济价值的原生种类，可以增加一定的经济收入。</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（3）资金保障</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设立生态补偿专项经费，将野生动植物的保护和监测费用、工程地形地貌恢复费用纳入生态补偿费，确保生态恢复资金足额到位。</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（4）项目占地恢复及复垦要求</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施工期占地内容为井场、井场边坡、进场道路、放喷池、放喷管线、施工便道、表土堆场、生活营地，总面积12593m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，占地主要以</w:t>
      </w:r>
      <w:r>
        <w:rPr>
          <w:rFonts w:cs="Times New Roman"/>
          <w:color w:val="000000" w:themeColor="text1"/>
          <w:kern w:val="0"/>
          <w14:textFill>
            <w14:solidFill>
              <w14:schemeClr w14:val="tx1"/>
            </w14:solidFill>
          </w14:textFill>
        </w:rPr>
        <w:t>新建井场（含边坡）</w:t>
      </w:r>
      <w:r>
        <w:rPr>
          <w:rFonts w:cs="Times New Roman"/>
          <w:color w:val="000000" w:themeColor="text1"/>
          <w14:textFill>
            <w14:solidFill>
              <w14:schemeClr w14:val="tx1"/>
            </w14:solidFill>
          </w14:textFill>
        </w:rPr>
        <w:t>为主，面积6576m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；占地类型以</w:t>
      </w:r>
      <w:r>
        <w:rPr>
          <w:rFonts w:hint="eastAsia" w:cs="Times New Roman"/>
          <w:color w:val="000000" w:themeColor="text1"/>
          <w14:textFill>
            <w14:solidFill>
              <w14:schemeClr w14:val="tx1"/>
            </w14:solidFill>
          </w14:textFill>
        </w:rPr>
        <w:t>耕地</w:t>
      </w:r>
      <w:r>
        <w:rPr>
          <w:rFonts w:cs="Times New Roman"/>
          <w:color w:val="000000" w:themeColor="text1"/>
          <w14:textFill>
            <w14:solidFill>
              <w14:schemeClr w14:val="tx1"/>
            </w14:solidFill>
          </w14:textFill>
        </w:rPr>
        <w:t>为主，面积5643m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退役，在相关设施拆除后，需在占地区进行植被复绿，复绿采用乔、灌、草植物有机搭配方式，择具有生长正常、健壮、结实率高等优良性状的种源，树种主要采用本地马尾松、青冈、麻栎、栓皮栎为主的乔木树种，严控外来物种的入侵，对复绿植被做好生态监测，加强管护，保证成效，使植被尽快恢复。</w:t>
      </w:r>
    </w:p>
    <w:p>
      <w:pPr>
        <w:pStyle w:val="4"/>
        <w:ind w:firstLine="241"/>
        <w:rPr>
          <w:b w:val="0"/>
        </w:rPr>
      </w:pPr>
      <w:r>
        <w:rPr>
          <w:rFonts w:hint="eastAsia"/>
        </w:rPr>
        <w:t>7.</w:t>
      </w:r>
      <w:r>
        <w:t>1.2施工期大气污染防治措施及可行性分析</w:t>
      </w:r>
    </w:p>
    <w:p>
      <w:pPr>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1、备用柴油发电机废气减缓措施</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钻井过程中备用柴油机燃油废气，可以通过采用节能环保型柴油动力系统设备（自带消烟除尘装置），并适当提高排气筒高度（6m以上），减少污染物排放量与大气环境影响，其影响为临时性，将随网电的正常使用和钻井工程的结束而消除，污染减缓措施可行。</w:t>
      </w:r>
    </w:p>
    <w:p>
      <w:pPr>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2、无组织挥发性废气减缓措施</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为天然气钻井及试采工程，除燃油机械使用过程中产生的少量织挥发性有机物无组排放外，还有少量钻井施工过程中无组织排放源。本项目无组织挥发性有机物排放量小，通过自然扩散可有效降低其影响，污染减缓措施可行。</w:t>
      </w:r>
    </w:p>
    <w:p>
      <w:pPr>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3、压裂测试机械、车辆尾气减缓措施</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为减缓压裂期间机械、车辆尾气造成的环境空气污染，施工单位应定期对运输车辆进行维护和保养，尽量使用清洁燃料，保证发动机正常运行，使汽车燃料充分燃烧，能有效减少尾气中污染物排放，污染减缓措施可行。</w:t>
      </w:r>
    </w:p>
    <w:p>
      <w:pPr>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4、完井测试废气减缓措施</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测试放喷的天然气经专用放喷管线引至放喷池后点火燃烧，放喷管口高为1m，采用短火焰灼烧器，修建放喷池及挡墙减低辐射影响。正对燃烧筒的墙高5.3m，下部厚0.5m，上部墙厚0.24m，两侧墙高4.3m，厚0.5m；内层均采用耐火砖修建。放喷池地势较为空旷，并清除周边25m范围内的杂草、杂树，放喷池内储存约1.0m深的清水，有利于燃烧废气的扩散和减少热辐射污染。其燃烧主要产物为SO</w:t>
      </w:r>
      <w:r>
        <w:rPr>
          <w:rFonts w:cs="Times New Roman"/>
          <w:color w:val="000000" w:themeColor="text1"/>
          <w:szCs w:val="24"/>
          <w:vertAlign w:val="subscript"/>
          <w14:textFill>
            <w14:solidFill>
              <w14:schemeClr w14:val="tx1"/>
            </w14:solidFill>
          </w14:textFill>
        </w:rPr>
        <w:t>2</w:t>
      </w:r>
      <w:r>
        <w:rPr>
          <w:rFonts w:cs="Times New Roman"/>
          <w:color w:val="000000" w:themeColor="text1"/>
          <w:szCs w:val="24"/>
          <w14:textFill>
            <w14:solidFill>
              <w14:schemeClr w14:val="tx1"/>
            </w14:solidFill>
          </w14:textFill>
        </w:rPr>
        <w:t>、CO</w:t>
      </w:r>
      <w:r>
        <w:rPr>
          <w:rFonts w:cs="Times New Roman"/>
          <w:color w:val="000000" w:themeColor="text1"/>
          <w:szCs w:val="24"/>
          <w:vertAlign w:val="subscript"/>
          <w14:textFill>
            <w14:solidFill>
              <w14:schemeClr w14:val="tx1"/>
            </w14:solidFill>
          </w14:textFill>
        </w:rPr>
        <w:t>2</w:t>
      </w:r>
      <w:r>
        <w:rPr>
          <w:rFonts w:cs="Times New Roman"/>
          <w:color w:val="000000" w:themeColor="text1"/>
          <w:szCs w:val="24"/>
          <w14:textFill>
            <w14:solidFill>
              <w14:schemeClr w14:val="tx1"/>
            </w14:solidFill>
          </w14:textFill>
        </w:rPr>
        <w:t>、水蒸气、NOx、颗粒物等。针对测试放喷废气主要采用地面灼烧处理，同时应对测试放喷时周边居民进行临时疏散。除了必要的放喷测试放空外，建议建设单位采取先建内外部集输管网的方式及时将井下天然气接管外输，减少天然气放空量。该措施满足《陆上石油天然气开采工业大气污染物排放标准》（GB39728-2020）相关要求，措施有效可行。</w:t>
      </w:r>
    </w:p>
    <w:p>
      <w:pPr>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5、空气钻粉尘</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在空气钻阶段，压缩气体将井底岩屑等带出地面过程中，会产生一定的粉尘。根据工艺设计，在压缩空气将携带的岩屑带入污水池前，通过向排砂管内加水洗涤，废水和岩屑进入污水池，极少量粉尘由压缩空气带入环境中，</w:t>
      </w:r>
      <w:r>
        <w:rPr>
          <w:rFonts w:cs="Times New Roman"/>
          <w:color w:val="000000" w:themeColor="text1"/>
          <w:szCs w:val="24"/>
          <w14:textFill>
            <w14:solidFill>
              <w14:schemeClr w14:val="tx1"/>
            </w14:solidFill>
          </w14:textFill>
        </w:rPr>
        <w:t>空气钻产生的粉尘采用水雾喷嘴进行降尘处理后对外环境影响可接受。</w:t>
      </w:r>
    </w:p>
    <w:p>
      <w:pPr>
        <w:ind w:firstLine="480"/>
        <w:rPr>
          <w:rFonts w:cs="Times New Roman"/>
          <w:color w:val="000000" w:themeColor="text1"/>
          <w14:textFill>
            <w14:solidFill>
              <w14:schemeClr w14:val="tx1"/>
            </w14:solidFill>
          </w14:textFill>
        </w:rPr>
      </w:pPr>
      <w:r>
        <w:rPr>
          <w:rFonts w:cs="Times New Roman"/>
          <w:color w:val="000000" w:themeColor="text1"/>
          <w:szCs w:val="24"/>
          <w14:textFill>
            <w14:solidFill>
              <w14:schemeClr w14:val="tx1"/>
            </w14:solidFill>
          </w14:textFill>
        </w:rPr>
        <w:t>综上所述，本项目施工期各类废气处置措施在川东北地区钻采工程中已实施多年，具有较好的借鉴经验。根据已经完钻其他中石化川东北地区钻采工程采用相同废气处理措施，到目前为止，中原油田普光分公司未收到废气污染的环保投诉。因此，本项目施工期废气治理措施从经济和环保角度分析是合理、可行的。</w:t>
      </w:r>
    </w:p>
    <w:p>
      <w:pPr>
        <w:pStyle w:val="4"/>
        <w:ind w:firstLine="241"/>
        <w:rPr>
          <w:b w:val="0"/>
        </w:rPr>
      </w:pPr>
      <w:bookmarkStart w:id="391" w:name="_Toc120173212"/>
      <w:r>
        <w:rPr>
          <w:rFonts w:hint="eastAsia"/>
        </w:rPr>
        <w:t>7.1.3</w:t>
      </w:r>
      <w:r>
        <w:t>施工期废水污染防治措施及可行性分析</w:t>
      </w:r>
      <w:bookmarkEnd w:id="391"/>
    </w:p>
    <w:p>
      <w:pPr>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1、治理措施</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（1）钻井废水、洗井废水</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钻井泥浆大多数回用于项目本身，先经固控设备固液分离后，合格泥浆直接进入泥浆循环罐回用，不合格泥浆和设备冲洗废水、洗井废水等经泥浆不落地处理后的钻井废水约90%回用于钻井过程，约10%暂存于泥浆不落地装置内，定期用密闭罐车拉运至赵家坝污水处理站达标后管输至普光11井回注站回注，不外排；钻井固废用密闭罐车及时转运至</w:t>
      </w:r>
      <w:r>
        <w:rPr>
          <w:color w:val="000000" w:themeColor="text1"/>
          <w:szCs w:val="24"/>
          <w14:textFill>
            <w14:solidFill>
              <w14:schemeClr w14:val="tx1"/>
            </w14:solidFill>
          </w14:textFill>
        </w:rPr>
        <w:t>达州地区环保手续齐全、环保设施稳定运行固废烧结厂进行烧结后综合利用</w:t>
      </w:r>
      <w:r>
        <w:rPr>
          <w:rFonts w:cs="Times New Roman"/>
          <w:color w:val="000000" w:themeColor="text1"/>
          <w:szCs w:val="24"/>
          <w14:textFill>
            <w14:solidFill>
              <w14:schemeClr w14:val="tx1"/>
            </w14:solidFill>
          </w14:textFill>
        </w:rPr>
        <w:t>。</w:t>
      </w:r>
      <w:r>
        <w:rPr>
          <w:rFonts w:cs="Times New Roman"/>
          <w:color w:val="000000" w:themeColor="text1"/>
          <w14:textFill>
            <w14:solidFill>
              <w14:schemeClr w14:val="tx1"/>
            </w14:solidFill>
          </w14:textFill>
        </w:rPr>
        <w:t>项目钻井期间钻井废水、洗井废水回收及处置措施工艺流程如下。</w:t>
      </w:r>
      <w:bookmarkStart w:id="392" w:name="_Hlk107247128"/>
    </w:p>
    <w:p>
      <w:pPr>
        <w:pStyle w:val="92"/>
        <w:rPr>
          <w:color w:val="000000" w:themeColor="text1"/>
          <w:lang w:eastAsia="zh-CN"/>
          <w14:textFill>
            <w14:solidFill>
              <w14:schemeClr w14:val="tx1"/>
            </w14:solidFill>
          </w14:textFill>
        </w:rPr>
      </w:pPr>
      <w:r>
        <w:rPr>
          <w:color w:val="000000" w:themeColor="text1"/>
          <w:lang w:eastAsia="zh-CN"/>
          <w14:textFill>
            <w14:solidFill>
              <w14:schemeClr w14:val="tx1"/>
            </w14:solidFill>
          </w14:textFill>
        </w:rPr>
        <w:drawing>
          <wp:inline distT="0" distB="0" distL="0" distR="0">
            <wp:extent cx="5276850" cy="1936750"/>
            <wp:effectExtent l="0" t="0" r="0" b="6350"/>
            <wp:docPr id="11468217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821783" name="图片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5276850" cy="1937273"/>
                    </a:xfrm>
                    <a:prstGeom prst="rect">
                      <a:avLst/>
                    </a:prstGeom>
                    <a:noFill/>
                    <a:ln>
                      <a:noFill/>
                    </a:ln>
                  </pic:spPr>
                </pic:pic>
              </a:graphicData>
            </a:graphic>
          </wp:inline>
        </w:drawing>
      </w:r>
    </w:p>
    <w:p>
      <w:pPr>
        <w:pStyle w:val="161"/>
        <w:rPr>
          <w:rFonts w:eastAsia="宋体"/>
          <w:color w:val="000000" w:themeColor="text1"/>
          <w:sz w:val="24"/>
          <w14:textFill>
            <w14:solidFill>
              <w14:schemeClr w14:val="tx1"/>
            </w14:solidFill>
          </w14:textFill>
        </w:rPr>
      </w:pPr>
      <w:r>
        <w:rPr>
          <w:rFonts w:eastAsia="宋体"/>
          <w:color w:val="000000" w:themeColor="text1"/>
          <w:sz w:val="24"/>
          <w14:textFill>
            <w14:solidFill>
              <w14:schemeClr w14:val="tx1"/>
            </w14:solidFill>
          </w14:textFill>
        </w:rPr>
        <w:t>图</w:t>
      </w:r>
      <w:r>
        <w:rPr>
          <w:rFonts w:eastAsia="宋体"/>
          <w:color w:val="000000" w:themeColor="text1"/>
          <w:sz w:val="24"/>
          <w14:textFill>
            <w14:solidFill>
              <w14:schemeClr w14:val="tx1"/>
            </w14:solidFill>
          </w14:textFill>
        </w:rPr>
        <w:fldChar w:fldCharType="begin"/>
      </w:r>
      <w:r>
        <w:rPr>
          <w:rFonts w:eastAsia="宋体"/>
          <w:color w:val="000000" w:themeColor="text1"/>
          <w:sz w:val="24"/>
          <w14:textFill>
            <w14:solidFill>
              <w14:schemeClr w14:val="tx1"/>
            </w14:solidFill>
          </w14:textFill>
        </w:rPr>
        <w:instrText xml:space="preserve"> STYLEREF 2 \s </w:instrText>
      </w:r>
      <w:r>
        <w:rPr>
          <w:rFonts w:eastAsia="宋体"/>
          <w:color w:val="000000" w:themeColor="text1"/>
          <w:sz w:val="24"/>
          <w14:textFill>
            <w14:solidFill>
              <w14:schemeClr w14:val="tx1"/>
            </w14:solidFill>
          </w14:textFill>
        </w:rPr>
        <w:fldChar w:fldCharType="separate"/>
      </w:r>
      <w:r>
        <w:rPr>
          <w:rFonts w:eastAsia="宋体"/>
          <w:color w:val="000000" w:themeColor="text1"/>
          <w:sz w:val="24"/>
          <w14:textFill>
            <w14:solidFill>
              <w14:schemeClr w14:val="tx1"/>
            </w14:solidFill>
          </w14:textFill>
        </w:rPr>
        <w:t>7.1</w:t>
      </w:r>
      <w:r>
        <w:rPr>
          <w:rFonts w:eastAsia="宋体"/>
          <w:color w:val="000000" w:themeColor="text1"/>
          <w:sz w:val="24"/>
          <w14:textFill>
            <w14:solidFill>
              <w14:schemeClr w14:val="tx1"/>
            </w14:solidFill>
          </w14:textFill>
        </w:rPr>
        <w:fldChar w:fldCharType="end"/>
      </w:r>
      <w:r>
        <w:rPr>
          <w:rFonts w:eastAsia="宋体"/>
          <w:color w:val="000000" w:themeColor="text1"/>
          <w:sz w:val="24"/>
          <w14:textFill>
            <w14:solidFill>
              <w14:schemeClr w14:val="tx1"/>
            </w14:solidFill>
          </w14:textFill>
        </w:rPr>
        <w:noBreakHyphen/>
      </w:r>
      <w:r>
        <w:rPr>
          <w:rFonts w:eastAsia="宋体"/>
          <w:color w:val="000000" w:themeColor="text1"/>
          <w:sz w:val="24"/>
          <w14:textFill>
            <w14:solidFill>
              <w14:schemeClr w14:val="tx1"/>
            </w14:solidFill>
          </w14:textFill>
        </w:rPr>
        <w:fldChar w:fldCharType="begin"/>
      </w:r>
      <w:r>
        <w:rPr>
          <w:rFonts w:eastAsia="宋体"/>
          <w:color w:val="000000" w:themeColor="text1"/>
          <w:sz w:val="24"/>
          <w14:textFill>
            <w14:solidFill>
              <w14:schemeClr w14:val="tx1"/>
            </w14:solidFill>
          </w14:textFill>
        </w:rPr>
        <w:instrText xml:space="preserve"> SEQ 图 \* ARABIC \s 2 </w:instrText>
      </w:r>
      <w:r>
        <w:rPr>
          <w:rFonts w:eastAsia="宋体"/>
          <w:color w:val="000000" w:themeColor="text1"/>
          <w:sz w:val="24"/>
          <w14:textFill>
            <w14:solidFill>
              <w14:schemeClr w14:val="tx1"/>
            </w14:solidFill>
          </w14:textFill>
        </w:rPr>
        <w:fldChar w:fldCharType="separate"/>
      </w:r>
      <w:r>
        <w:rPr>
          <w:rFonts w:eastAsia="宋体"/>
          <w:color w:val="000000" w:themeColor="text1"/>
          <w:sz w:val="24"/>
          <w14:textFill>
            <w14:solidFill>
              <w14:schemeClr w14:val="tx1"/>
            </w14:solidFill>
          </w14:textFill>
        </w:rPr>
        <w:t>1</w:t>
      </w:r>
      <w:r>
        <w:rPr>
          <w:rFonts w:eastAsia="宋体"/>
          <w:color w:val="000000" w:themeColor="text1"/>
          <w:sz w:val="24"/>
          <w14:textFill>
            <w14:solidFill>
              <w14:schemeClr w14:val="tx1"/>
            </w14:solidFill>
          </w14:textFill>
        </w:rPr>
        <w:fldChar w:fldCharType="end"/>
      </w:r>
      <w:r>
        <w:rPr>
          <w:rFonts w:eastAsia="宋体"/>
          <w:color w:val="000000" w:themeColor="text1"/>
          <w:sz w:val="24"/>
          <w14:textFill>
            <w14:solidFill>
              <w14:schemeClr w14:val="tx1"/>
            </w14:solidFill>
          </w14:textFill>
        </w:rPr>
        <w:t xml:space="preserve"> 项目钻井废水与洗井废水回收利用工艺流程图</w:t>
      </w:r>
    </w:p>
    <w:bookmarkEnd w:id="392"/>
    <w:p>
      <w:pPr>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（2）压裂返排液</w:t>
      </w:r>
    </w:p>
    <w:p>
      <w:pPr>
        <w:ind w:firstLine="480"/>
        <w:rPr>
          <w:rFonts w:cs="Times New Roman"/>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加砂压裂返排液放喷时由放喷管排入压裂液储罐或放喷池，放喷池中压裂返排液全部通过泵抽入至压裂液储罐</w:t>
      </w:r>
      <w:r>
        <w:rPr>
          <w:rFonts w:cs="Times New Roman"/>
          <w:color w:val="000000" w:themeColor="text1"/>
          <w:szCs w:val="24"/>
          <w14:textFill>
            <w14:solidFill>
              <w14:schemeClr w14:val="tx1"/>
            </w14:solidFill>
          </w14:textFill>
        </w:rPr>
        <w:t>，多余废水用密闭罐车拉运至赵家坝污水处理站达标后管输至普光11井回注站回注，不外排。</w:t>
      </w:r>
    </w:p>
    <w:p>
      <w:pPr>
        <w:pStyle w:val="92"/>
        <w:rPr>
          <w:color w:val="000000" w:themeColor="text1"/>
          <w:lang w:eastAsia="zh-CN"/>
          <w14:textFill>
            <w14:solidFill>
              <w14:schemeClr w14:val="tx1"/>
            </w14:solidFill>
          </w14:textFill>
        </w:rPr>
      </w:pPr>
      <w:r>
        <w:rPr>
          <w:color w:val="000000" w:themeColor="text1"/>
          <w:lang w:eastAsia="zh-CN"/>
          <w14:textFill>
            <w14:solidFill>
              <w14:schemeClr w14:val="tx1"/>
            </w14:solidFill>
          </w14:textFill>
        </w:rPr>
        <w:drawing>
          <wp:inline distT="0" distB="0" distL="0" distR="0">
            <wp:extent cx="5071745" cy="791210"/>
            <wp:effectExtent l="0" t="0" r="0" b="8890"/>
            <wp:docPr id="1218262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62087" name="图片 1"/>
                    <pic:cNvPicPr>
                      <a:picLocks noChangeAspect="1" noChangeArrowheads="1"/>
                    </pic:cNvPicPr>
                  </pic:nvPicPr>
                  <pic:blipFill>
                    <a:blip r:embed="rId110">
                      <a:extLst>
                        <a:ext uri="{28A0092B-C50C-407E-A947-70E740481C1C}">
                          <a14:useLocalDpi xmlns:a14="http://schemas.microsoft.com/office/drawing/2010/main" val="0"/>
                        </a:ext>
                      </a:extLst>
                    </a:blip>
                    <a:srcRect l="6318"/>
                    <a:stretch>
                      <a:fillRect/>
                    </a:stretch>
                  </pic:blipFill>
                  <pic:spPr>
                    <a:xfrm>
                      <a:off x="0" y="0"/>
                      <a:ext cx="5124850" cy="799832"/>
                    </a:xfrm>
                    <a:prstGeom prst="rect">
                      <a:avLst/>
                    </a:prstGeom>
                    <a:noFill/>
                    <a:ln>
                      <a:noFill/>
                    </a:ln>
                  </pic:spPr>
                </pic:pic>
              </a:graphicData>
            </a:graphic>
          </wp:inline>
        </w:drawing>
      </w:r>
    </w:p>
    <w:p>
      <w:pPr>
        <w:pStyle w:val="161"/>
        <w:rPr>
          <w:rFonts w:eastAsia="宋体"/>
          <w:color w:val="000000" w:themeColor="text1"/>
          <w:sz w:val="24"/>
          <w14:textFill>
            <w14:solidFill>
              <w14:schemeClr w14:val="tx1"/>
            </w14:solidFill>
          </w14:textFill>
        </w:rPr>
      </w:pPr>
      <w:r>
        <w:rPr>
          <w:rFonts w:eastAsia="宋体"/>
          <w:color w:val="000000" w:themeColor="text1"/>
          <w:sz w:val="24"/>
          <w14:textFill>
            <w14:solidFill>
              <w14:schemeClr w14:val="tx1"/>
            </w14:solidFill>
          </w14:textFill>
        </w:rPr>
        <w:t>图</w:t>
      </w:r>
      <w:r>
        <w:rPr>
          <w:rFonts w:eastAsia="宋体"/>
          <w:color w:val="000000" w:themeColor="text1"/>
          <w:sz w:val="24"/>
          <w14:textFill>
            <w14:solidFill>
              <w14:schemeClr w14:val="tx1"/>
            </w14:solidFill>
          </w14:textFill>
        </w:rPr>
        <w:fldChar w:fldCharType="begin"/>
      </w:r>
      <w:r>
        <w:rPr>
          <w:rFonts w:eastAsia="宋体"/>
          <w:color w:val="000000" w:themeColor="text1"/>
          <w:sz w:val="24"/>
          <w14:textFill>
            <w14:solidFill>
              <w14:schemeClr w14:val="tx1"/>
            </w14:solidFill>
          </w14:textFill>
        </w:rPr>
        <w:instrText xml:space="preserve"> STYLEREF 2 \s </w:instrText>
      </w:r>
      <w:r>
        <w:rPr>
          <w:rFonts w:eastAsia="宋体"/>
          <w:color w:val="000000" w:themeColor="text1"/>
          <w:sz w:val="24"/>
          <w14:textFill>
            <w14:solidFill>
              <w14:schemeClr w14:val="tx1"/>
            </w14:solidFill>
          </w14:textFill>
        </w:rPr>
        <w:fldChar w:fldCharType="separate"/>
      </w:r>
      <w:r>
        <w:rPr>
          <w:rFonts w:eastAsia="宋体"/>
          <w:color w:val="000000" w:themeColor="text1"/>
          <w:sz w:val="24"/>
          <w14:textFill>
            <w14:solidFill>
              <w14:schemeClr w14:val="tx1"/>
            </w14:solidFill>
          </w14:textFill>
        </w:rPr>
        <w:t>7.1</w:t>
      </w:r>
      <w:r>
        <w:rPr>
          <w:rFonts w:eastAsia="宋体"/>
          <w:color w:val="000000" w:themeColor="text1"/>
          <w:sz w:val="24"/>
          <w14:textFill>
            <w14:solidFill>
              <w14:schemeClr w14:val="tx1"/>
            </w14:solidFill>
          </w14:textFill>
        </w:rPr>
        <w:fldChar w:fldCharType="end"/>
      </w:r>
      <w:r>
        <w:rPr>
          <w:rFonts w:eastAsia="宋体"/>
          <w:color w:val="000000" w:themeColor="text1"/>
          <w:sz w:val="24"/>
          <w14:textFill>
            <w14:solidFill>
              <w14:schemeClr w14:val="tx1"/>
            </w14:solidFill>
          </w14:textFill>
        </w:rPr>
        <w:noBreakHyphen/>
      </w:r>
      <w:r>
        <w:rPr>
          <w:rFonts w:eastAsia="宋体"/>
          <w:color w:val="000000" w:themeColor="text1"/>
          <w:sz w:val="24"/>
          <w14:textFill>
            <w14:solidFill>
              <w14:schemeClr w14:val="tx1"/>
            </w14:solidFill>
          </w14:textFill>
        </w:rPr>
        <w:fldChar w:fldCharType="begin"/>
      </w:r>
      <w:r>
        <w:rPr>
          <w:rFonts w:eastAsia="宋体"/>
          <w:color w:val="000000" w:themeColor="text1"/>
          <w:sz w:val="24"/>
          <w14:textFill>
            <w14:solidFill>
              <w14:schemeClr w14:val="tx1"/>
            </w14:solidFill>
          </w14:textFill>
        </w:rPr>
        <w:instrText xml:space="preserve"> SEQ 图 \* ARABIC \s 2 </w:instrText>
      </w:r>
      <w:r>
        <w:rPr>
          <w:rFonts w:eastAsia="宋体"/>
          <w:color w:val="000000" w:themeColor="text1"/>
          <w:sz w:val="24"/>
          <w14:textFill>
            <w14:solidFill>
              <w14:schemeClr w14:val="tx1"/>
            </w14:solidFill>
          </w14:textFill>
        </w:rPr>
        <w:fldChar w:fldCharType="separate"/>
      </w:r>
      <w:r>
        <w:rPr>
          <w:rFonts w:eastAsia="宋体"/>
          <w:color w:val="000000" w:themeColor="text1"/>
          <w:sz w:val="24"/>
          <w14:textFill>
            <w14:solidFill>
              <w14:schemeClr w14:val="tx1"/>
            </w14:solidFill>
          </w14:textFill>
        </w:rPr>
        <w:t>2</w:t>
      </w:r>
      <w:r>
        <w:rPr>
          <w:rFonts w:eastAsia="宋体"/>
          <w:color w:val="000000" w:themeColor="text1"/>
          <w:sz w:val="24"/>
          <w14:textFill>
            <w14:solidFill>
              <w14:schemeClr w14:val="tx1"/>
            </w14:solidFill>
          </w14:textFill>
        </w:rPr>
        <w:fldChar w:fldCharType="end"/>
      </w:r>
      <w:r>
        <w:rPr>
          <w:rFonts w:eastAsia="宋体"/>
          <w:color w:val="000000" w:themeColor="text1"/>
          <w:sz w:val="24"/>
          <w14:textFill>
            <w14:solidFill>
              <w14:schemeClr w14:val="tx1"/>
            </w14:solidFill>
          </w14:textFill>
        </w:rPr>
        <w:t xml:space="preserve"> 项目压裂返排液回收利用工艺流程图</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（3）生活污水</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钻井期间</w:t>
      </w:r>
      <w:r>
        <w:rPr>
          <w:rFonts w:cs="Times New Roman"/>
          <w:bCs/>
          <w:color w:val="000000" w:themeColor="text1"/>
          <w:szCs w:val="24"/>
          <w14:textFill>
            <w14:solidFill>
              <w14:schemeClr w14:val="tx1"/>
            </w14:solidFill>
          </w14:textFill>
        </w:rPr>
        <w:t>钻井期生活污水</w:t>
      </w:r>
      <w:r>
        <w:rPr>
          <w:rFonts w:cs="Times New Roman"/>
          <w:color w:val="000000" w:themeColor="text1"/>
          <w:szCs w:val="24"/>
          <w14:textFill>
            <w14:solidFill>
              <w14:schemeClr w14:val="tx1"/>
            </w14:solidFill>
          </w14:textFill>
        </w:rPr>
        <w:t>经P301集气站卫生间收集后定期由密闭罐车拉运至周边生活污水处理厂处理。</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（4）初期雨水</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采用清污分流，井场四周设置排水沟，并设置集水坑，初期雨水收集进入泥浆不落地装置区与钻井废水合并处理，后期雨水依靠井站设置的地面坡度和内外环沟的阀门控制，就地散排至排水沟，排出场外。若场内雨水被污染流入外环沟，则需封闭外环沟由作业队伍从集水坑抽汲至泥浆不落地装置区或放喷池。</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泥浆不落地装置和放喷池均比地面高且有遮雨篷遮盖，可防止周边雨水汇入；井场周围设置雨水沟，井场周边雨水均不会进入井场内，井场内的雨水则顺着地势而排入四周的雨水沟；泥浆不落地装置上方配备了防雨棚，这样可避免因雨水进入泥浆不落地装置而增加废水量。</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项目拟建地周围有冲沟与河流，为了进一步做好对附近冲沟、河流的保护工作，建议建设单位做好以下应急环保工作：</w:t>
      </w:r>
    </w:p>
    <w:p>
      <w:pPr>
        <w:ind w:firstLine="480"/>
        <w:rPr>
          <w:rFonts w:cs="Times New Roman"/>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①</w:t>
      </w:r>
      <w:r>
        <w:rPr>
          <w:rFonts w:cs="Times New Roman"/>
          <w:bCs/>
          <w:color w:val="000000" w:themeColor="text1"/>
          <w:szCs w:val="24"/>
          <w14:textFill>
            <w14:solidFill>
              <w14:schemeClr w14:val="tx1"/>
            </w14:solidFill>
          </w14:textFill>
        </w:rPr>
        <w:t>在钻井过程中应加强废水管理，尤其雨季时加强监管内外排水沟，确保污水不流出井场。</w:t>
      </w:r>
    </w:p>
    <w:p>
      <w:pPr>
        <w:ind w:firstLine="480"/>
        <w:rPr>
          <w:rFonts w:cs="Times New Roman"/>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②</w:t>
      </w:r>
      <w:r>
        <w:rPr>
          <w:rFonts w:cs="Times New Roman"/>
          <w:bCs/>
          <w:color w:val="000000" w:themeColor="text1"/>
          <w:szCs w:val="24"/>
          <w14:textFill>
            <w14:solidFill>
              <w14:schemeClr w14:val="tx1"/>
            </w14:solidFill>
          </w14:textFill>
        </w:rPr>
        <w:t>在做好泥浆不落地装置区水罐和放喷池的清运工作同时，对集水坑进行及时清掏，做好防渗。</w:t>
      </w:r>
    </w:p>
    <w:p>
      <w:pPr>
        <w:ind w:firstLine="480"/>
        <w:rPr>
          <w:rFonts w:cs="Times New Roman"/>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③</w:t>
      </w:r>
      <w:r>
        <w:rPr>
          <w:rFonts w:cs="Times New Roman"/>
          <w:bCs/>
          <w:color w:val="000000" w:themeColor="text1"/>
          <w:szCs w:val="24"/>
          <w14:textFill>
            <w14:solidFill>
              <w14:schemeClr w14:val="tx1"/>
            </w14:solidFill>
          </w14:textFill>
        </w:rPr>
        <w:t>废水在拉运过程中经过河渠与冲沟附近时，应减缓车速，平稳通过。</w:t>
      </w:r>
    </w:p>
    <w:p>
      <w:pPr>
        <w:ind w:firstLine="480"/>
        <w:rPr>
          <w:rFonts w:cs="Times New Roman"/>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④</w:t>
      </w:r>
      <w:r>
        <w:rPr>
          <w:rFonts w:cs="Times New Roman"/>
          <w:color w:val="000000" w:themeColor="text1"/>
          <w:szCs w:val="24"/>
          <w14:textFill>
            <w14:solidFill>
              <w14:schemeClr w14:val="tx1"/>
            </w14:solidFill>
          </w14:textFill>
        </w:rPr>
        <w:t>本次环评要求构建的地表水“三级”防控体系：具体如下：</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第一级防控措施是对存放废水和原料的罐、池定期检查，确认罐、池容量不超过设计容量，并及时清空，确保废水暂存容量足够；</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第二级防控措施是通过对可能发生废水泄露的罐、池区以及作业区等区域修建围堰，避免泄露废水散排进入井场其他区域；</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第三级防控措施是内环沟集污坑、方井、井场四周集水坑等废水汇集处低进高出，同时设置水泵，将废水抽至泥浆不落地系统废水罐或放喷池，拦截可能流出井场外的废水，保持内环沟、集污坑、方井、放喷池等常空，有足够容积。</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在废水外溢事故发生，集水坑拦截失效时，在集水坑附近等低洼区域以及外溢口处采用沙包、装土编织袋等拦截措施阻止废水进入外环境，同时保持放喷池常空，放喷池有足够容积，在沙包、装土编织袋等拦截措施失效时，通过泵将井场场内外溢废水引流至泥浆不落地区废水罐、放喷池并及时处理转运。</w:t>
      </w:r>
    </w:p>
    <w:p>
      <w:pPr>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2、污水收集处理设施可行性分析</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钻井过程中废水由泥浆不落地装置收集，泥浆不落地装置内放置有现场配备40m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废水罐4个（位于清洁化操作平台废水处理区，分为1个隔油罐、2个沉淀罐、1个回用罐），本项目废水临时存放能力达到760m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（4个废水罐共计160m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，2个放喷池共计600m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）。本项目钻井期间污水经固控设备固液分离后，钻井废水1141.53m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，井站设立污水定期拉运机制，通过定期拉运，能使现场废水最大存量保持在始终低于760m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的水平，井场的泥浆不落地装置与放喷池的容量能满足井场整个钻井期的生产需求。</w:t>
      </w:r>
    </w:p>
    <w:p>
      <w:pPr>
        <w:ind w:firstLine="480"/>
        <w:rPr>
          <w:rFonts w:cs="Times New Roman"/>
          <w:color w:val="000000" w:themeColor="text1"/>
          <w:szCs w:val="24"/>
          <w14:textFill>
            <w14:solidFill>
              <w14:schemeClr w14:val="tx1"/>
            </w14:solidFill>
          </w14:textFill>
        </w:rPr>
      </w:pPr>
      <w:bookmarkStart w:id="393" w:name="_Hlk89361389"/>
      <w:r>
        <w:rPr>
          <w:rFonts w:cs="Times New Roman"/>
          <w:color w:val="000000" w:themeColor="text1"/>
          <w:szCs w:val="24"/>
          <w14:textFill>
            <w14:solidFill>
              <w14:schemeClr w14:val="tx1"/>
            </w14:solidFill>
          </w14:textFill>
        </w:rPr>
        <w:t>经固控设备固液分离后洗井废水产生量单井最大为100m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，本项目1口井最大产生量为100m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，洗井废水边处理边拉运回用，井场的泥浆不落地装置与放喷池的容量能满足井场洗井期的生产需求。</w:t>
      </w:r>
      <w:bookmarkEnd w:id="393"/>
    </w:p>
    <w:p>
      <w:pPr>
        <w:ind w:firstLine="480"/>
        <w:rPr>
          <w:rFonts w:cs="Times New Roman"/>
          <w:color w:val="000000" w:themeColor="text1"/>
          <w:szCs w:val="24"/>
          <w14:textFill>
            <w14:solidFill>
              <w14:schemeClr w14:val="tx1"/>
            </w14:solidFill>
          </w14:textFill>
        </w:rPr>
      </w:pPr>
      <w:bookmarkStart w:id="394" w:name="_Hlk92200258"/>
      <w:r>
        <w:rPr>
          <w:rFonts w:cs="Times New Roman"/>
          <w:color w:val="000000" w:themeColor="text1"/>
          <w:szCs w:val="24"/>
          <w14:textFill>
            <w14:solidFill>
              <w14:schemeClr w14:val="tx1"/>
            </w14:solidFill>
          </w14:textFill>
        </w:rPr>
        <w:t>完井测试分段压裂产生的加砂压裂返排液大部分进入压裂液储罐，少量进入放喷池，进入放喷池内的返排液全部泵入压裂液储罐。返排过程中压裂返排液及时用密闭罐车拉运至赵家坝污水处理站达标后管输至普光11井回注站回注，不外排，现场需要暂存的压裂返排液量相对较小，压裂液返排前期可由已空置的压裂液储罐进行收集储存，由于地层吸收损耗及放喷蒸发，返排液量远小于入井液量，压裂液罐总容积大于压裂返排液返排量，</w:t>
      </w:r>
      <w:bookmarkStart w:id="395" w:name="_Hlk92200417"/>
      <w:r>
        <w:rPr>
          <w:rFonts w:cs="Times New Roman"/>
          <w:color w:val="000000" w:themeColor="text1"/>
          <w:szCs w:val="24"/>
          <w14:textFill>
            <w14:solidFill>
              <w14:schemeClr w14:val="tx1"/>
            </w14:solidFill>
          </w14:textFill>
        </w:rPr>
        <w:t>满足储存要求。</w:t>
      </w:r>
      <w:bookmarkEnd w:id="395"/>
      <w:r>
        <w:rPr>
          <w:rFonts w:cs="Times New Roman"/>
          <w:color w:val="000000" w:themeColor="text1"/>
          <w:szCs w:val="24"/>
          <w14:textFill>
            <w14:solidFill>
              <w14:schemeClr w14:val="tx1"/>
            </w14:solidFill>
          </w14:textFill>
        </w:rPr>
        <w:t>项目在井场周围设置了放喷池2座，单个放喷池容积为300m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由于放喷池主要起接收中转压裂返排液作用，压裂返排液暂存在空置的压裂液储罐，因此只要及时对放喷池废水及时抽吸至压裂液储罐，井场的放喷池的容量就能满足井场整个压裂期的生产需求。放喷池底部及四周铺设复合防水卷材（聚乙烯丙纶复合卷材）作防渗漏处理，防水卷材搭接长度不小于150mm，阴角处做处理，防止卷材折断。</w:t>
      </w:r>
    </w:p>
    <w:bookmarkEnd w:id="394"/>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为防止在暴雨或连续降雨等极端天气条件下发生废水泄露，对初期雨水进行收集，</w:t>
      </w:r>
      <w:bookmarkStart w:id="396" w:name="_Hlk89363083"/>
      <w:r>
        <w:rPr>
          <w:rFonts w:cs="Times New Roman"/>
          <w:color w:val="000000" w:themeColor="text1"/>
          <w:szCs w:val="24"/>
          <w14:textFill>
            <w14:solidFill>
              <w14:schemeClr w14:val="tx1"/>
            </w14:solidFill>
          </w14:textFill>
        </w:rPr>
        <w:t>本项目“不落地”处理装置与放喷池有效容积达到760m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w:t>
      </w:r>
      <w:bookmarkEnd w:id="396"/>
      <w:r>
        <w:rPr>
          <w:rFonts w:cs="Times New Roman"/>
          <w:color w:val="000000" w:themeColor="text1"/>
          <w:szCs w:val="24"/>
          <w14:textFill>
            <w14:solidFill>
              <w14:schemeClr w14:val="tx1"/>
            </w14:solidFill>
          </w14:textFill>
        </w:rPr>
        <w:t>能满足本项目应对暴雨或连续降雨等极端天气条件下初期雨水的收集需要（初期雨水量195.5m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），杜绝废水外溢污染事故。</w:t>
      </w:r>
    </w:p>
    <w:p>
      <w:pPr>
        <w:ind w:firstLine="480"/>
        <w:rPr>
          <w:rFonts w:cs="Times New Roman"/>
          <w:color w:val="000000" w:themeColor="text1"/>
          <w:szCs w:val="24"/>
          <w14:textFill>
            <w14:solidFill>
              <w14:schemeClr w14:val="tx1"/>
            </w14:solidFill>
          </w14:textFill>
        </w:rPr>
      </w:pPr>
      <w:r>
        <w:rPr>
          <w:rFonts w:cs="Times New Roman"/>
          <w:bCs/>
          <w:color w:val="000000" w:themeColor="text1"/>
          <w14:textFill>
            <w14:solidFill>
              <w14:schemeClr w14:val="tx1"/>
            </w14:solidFill>
          </w14:textFill>
        </w:rPr>
        <w:t>钻井期生活污水经集气站卫生间收集后定期由密闭罐车拉运至周边生活污水处理厂处理</w:t>
      </w:r>
      <w:r>
        <w:rPr>
          <w:rFonts w:cs="Times New Roman"/>
          <w:color w:val="000000" w:themeColor="text1"/>
          <w:szCs w:val="24"/>
          <w14:textFill>
            <w14:solidFill>
              <w14:schemeClr w14:val="tx1"/>
            </w14:solidFill>
          </w14:textFill>
        </w:rPr>
        <w:t>，本项目钻井期最多人员为45人，定期拉运后，</w:t>
      </w:r>
      <w:r>
        <w:rPr>
          <w:rFonts w:cs="Times New Roman"/>
          <w:bCs/>
          <w:color w:val="000000" w:themeColor="text1"/>
          <w14:textFill>
            <w14:solidFill>
              <w14:schemeClr w14:val="tx1"/>
            </w14:solidFill>
          </w14:textFill>
        </w:rPr>
        <w:t>集气站卫生间</w:t>
      </w:r>
      <w:r>
        <w:rPr>
          <w:rFonts w:cs="Times New Roman"/>
          <w:color w:val="000000" w:themeColor="text1"/>
          <w:szCs w:val="24"/>
          <w14:textFill>
            <w14:solidFill>
              <w14:schemeClr w14:val="tx1"/>
            </w14:solidFill>
          </w14:textFill>
        </w:rPr>
        <w:t>满足使用需求。</w:t>
      </w:r>
    </w:p>
    <w:p>
      <w:pPr>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3、泥浆不落地工艺可行性分析</w:t>
      </w:r>
    </w:p>
    <w:p>
      <w:pPr>
        <w:ind w:firstLine="480"/>
        <w:rPr>
          <w:rFonts w:cs="Times New Roman"/>
          <w:color w:val="000000" w:themeColor="text1"/>
          <w:szCs w:val="24"/>
          <w14:textFill>
            <w14:solidFill>
              <w14:schemeClr w14:val="tx1"/>
            </w14:solidFill>
          </w14:textFill>
        </w:rPr>
      </w:pPr>
      <w:bookmarkStart w:id="397" w:name="_Hlk89363132"/>
      <w:r>
        <w:rPr>
          <w:rFonts w:cs="Times New Roman"/>
          <w:color w:val="000000" w:themeColor="text1"/>
          <w:szCs w:val="24"/>
          <w14:textFill>
            <w14:solidFill>
              <w14:schemeClr w14:val="tx1"/>
            </w14:solidFill>
          </w14:textFill>
        </w:rPr>
        <w:t>随钻泥浆能做到泥浆、岩屑“不落地”，对钻井过程中产生的污染物实行随钻处理，增大了废水利用率，同时降低道路运输风险。随钻处理污染物技术成熟、可靠，资源化处置得到的泥饼体积减小，固化后泥饼含水率约60%，运输方便，分离出液体大部分能回用钻井作业，在减少废物排放的同时节约了成本。尤为重要的是项目对污染物实现了综合利用，符合当前环保管理减量化、无害化、资源化的要求，泥浆不落地工艺的实施，将大大提高废水回用率和降低固废产生量，降低环保风险，确保中原油田普光分公司清洁生产、绿色开发和可持续发展。根据川东北地区配套的泥浆不落地系统处理经验，系统内正常运行设置1个清洁生产操作平台，操作平台设置40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废水罐4个，20m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岩屑固化罐4个，3m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岩屑收集罐8个，化学品存放区1处和1套固废处理设备就能满足川东北地区单井泥浆不落地处理能力要求。本项目按照上述进行设置，泥浆不落地装置处理能力满足本项目需求。因此，本项目采用随钻泥浆不落地工艺是可行的。</w:t>
      </w:r>
    </w:p>
    <w:bookmarkEnd w:id="397"/>
    <w:p>
      <w:pPr>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4、钻井废水、洗井废水、压裂返排液回用可行性分析</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用于配置压裂液的液体经去除杂质、添加药剂等简单处理后即可重复使用，经泥浆不落地处理后的钻井废水、经固液分离后的洗井废水和压返液水质简单，悬浮物和油含量低，在配置压裂液前经简单预处理即符合压裂液配置要求。将钻井废水、洗井废水和压返液重复配置压裂液，已经属成熟工艺，在压裂施工中广泛使用。因此将钻井废水、洗井废水和压返液重复配置压裂液是可行的。</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压裂返排液使用指标及回用要求如下：降阻水：固相含量≤1000mg/L、氯根含量≤50000mg/L、铁细菌TGB≤2.5×10</w:t>
      </w:r>
      <w:r>
        <w:rPr>
          <w:rFonts w:cs="Times New Roman"/>
          <w:color w:val="000000" w:themeColor="text1"/>
          <w:szCs w:val="24"/>
          <w:vertAlign w:val="superscript"/>
          <w14:textFill>
            <w14:solidFill>
              <w14:schemeClr w14:val="tx1"/>
            </w14:solidFill>
          </w14:textFill>
        </w:rPr>
        <w:t>4</w:t>
      </w:r>
      <w:r>
        <w:rPr>
          <w:rFonts w:cs="Times New Roman"/>
          <w:color w:val="000000" w:themeColor="text1"/>
          <w:szCs w:val="24"/>
          <w14:textFill>
            <w14:solidFill>
              <w14:schemeClr w14:val="tx1"/>
            </w14:solidFill>
          </w14:textFill>
        </w:rPr>
        <w:t>个/mg、腐生菌≤2.5×10</w:t>
      </w:r>
      <w:r>
        <w:rPr>
          <w:rFonts w:cs="Times New Roman"/>
          <w:color w:val="000000" w:themeColor="text1"/>
          <w:szCs w:val="24"/>
          <w:vertAlign w:val="superscript"/>
          <w14:textFill>
            <w14:solidFill>
              <w14:schemeClr w14:val="tx1"/>
            </w14:solidFill>
          </w14:textFill>
        </w:rPr>
        <w:t>4</w:t>
      </w:r>
      <w:r>
        <w:rPr>
          <w:rFonts w:cs="Times New Roman"/>
          <w:color w:val="000000" w:themeColor="text1"/>
          <w:szCs w:val="24"/>
          <w14:textFill>
            <w14:solidFill>
              <w14:schemeClr w14:val="tx1"/>
            </w14:solidFill>
          </w14:textFill>
        </w:rPr>
        <w:t>个/mg，瓜胶压裂返排液除上述指标外，增加以钙离子计算的总硬度≤800mg/L。本项目钻井废水、洗井废水和压裂返排液中固相含量＜500mg/L、氯根含量≤4000mg/L、总硬度≤800mg/L，铁细菌TGB和腐生菌含量也符合要求，因此将钻井废水、洗井废水和压返液重复配置压裂液是可行的。根据统计，同一口井可回用废水产生量远小于单井需要配置压裂返排液新水使用量，因此钻井、洗井废水量能全部用于区域内压裂液配置。将钻井废水、洗井废水和单井废弃的压返液返排液重复配置压裂液，用于重复压裂，可以满足钻井作业废水的处置需求，符合《石油天然气开采业污染防治技术政策》中“在钻井和井下作业过程中，鼓励污油、污水进入生产流程循环利用”的要求，属清洁生产措施，已在钻井工程中得到广泛采用，技术较成熟，该措施技术有效、可行。</w:t>
      </w:r>
    </w:p>
    <w:p>
      <w:pPr>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5、不可回用钻井废水、洗井废水、压裂返排液转运预处理和回注可行性分析</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不可回用钻井废水、洗井废水、压裂返排液用密闭罐车拉运至赵家坝污水处理站达标后管输至普光11井回注站回注，不外排。</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（1）赵家坝污水处理站依托可行性分析</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赵家坝污水处理站位于天然气净化厂内，属于普光主体工程，赵家坝污水处理站设计处理能力800m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/d，目前实际处理污水量为350m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/d，处理后的污水进入普光11井回注，污水处理系统采用“氧化除硫+混凝沉降+过滤”工艺，出水水质能够满足《气田水回注方法》（SY/T6596-2004）表1中标准。</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赵家坝污水处理站目前剩余处理能力为450m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/d，本项目未能回用的作业废水根据产生量定期运输，根据周边钻井经验和采气期气田水产生情况，钻井期日运输量不超过50m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/d，同时在建项目处理量按照100m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/d计算，试采期该项目日产水量约为10m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/d（最大量，将随着开采逐渐减少），故赵家坝污水处理站也完全有能力处理本项目钻井期未能回用的作业废水和试采期产生的气田水。</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（2）普光11井污水回注站</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本项目经赵家坝污水处理站处理后的作业废水经处理达标后均通过普光11井回注地层。普光11井位于达州市宣汉县普光镇，天然气净化厂东1.6km处，属于普光主体工程，普光11井主要接收赵家坝污水站来水，约为350m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/d。该井站回注层位为飞仙关组（井段5552m～5716m），回注水量储集空间为132×10</w:t>
      </w:r>
      <w:r>
        <w:rPr>
          <w:rFonts w:cs="Times New Roman"/>
          <w:bCs/>
          <w:color w:val="000000" w:themeColor="text1"/>
          <w:szCs w:val="24"/>
          <w:vertAlign w:val="superscript"/>
          <w14:textFill>
            <w14:solidFill>
              <w14:schemeClr w14:val="tx1"/>
            </w14:solidFill>
          </w14:textFill>
        </w:rPr>
        <w:t>4</w:t>
      </w:r>
      <w:r>
        <w:rPr>
          <w:rFonts w:cs="Times New Roman"/>
          <w:bCs/>
          <w:color w:val="000000" w:themeColor="text1"/>
          <w:szCs w:val="24"/>
          <w14:textFill>
            <w14:solidFill>
              <w14:schemeClr w14:val="tx1"/>
            </w14:solidFill>
          </w14:textFill>
        </w:rPr>
        <w:t>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，井口高压管线设计压力为35MPa，目前回注压力4.5MPa，污水回注设计规模为800m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/d，目前回注量为350m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/d。累计注水65×10</w:t>
      </w:r>
      <w:r>
        <w:rPr>
          <w:rFonts w:cs="Times New Roman"/>
          <w:bCs/>
          <w:color w:val="000000" w:themeColor="text1"/>
          <w:szCs w:val="24"/>
          <w:vertAlign w:val="superscript"/>
          <w14:textFill>
            <w14:solidFill>
              <w14:schemeClr w14:val="tx1"/>
            </w14:solidFill>
          </w14:textFill>
        </w:rPr>
        <w:t>4</w:t>
      </w:r>
      <w:r>
        <w:rPr>
          <w:rFonts w:cs="Times New Roman"/>
          <w:bCs/>
          <w:color w:val="000000" w:themeColor="text1"/>
          <w:szCs w:val="24"/>
          <w14:textFill>
            <w14:solidFill>
              <w14:schemeClr w14:val="tx1"/>
            </w14:solidFill>
          </w14:textFill>
        </w:rPr>
        <w:t>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，剩余回注空间67×10</w:t>
      </w:r>
      <w:r>
        <w:rPr>
          <w:rFonts w:cs="Times New Roman"/>
          <w:bCs/>
          <w:color w:val="000000" w:themeColor="text1"/>
          <w:szCs w:val="24"/>
          <w:vertAlign w:val="superscript"/>
          <w14:textFill>
            <w14:solidFill>
              <w14:schemeClr w14:val="tx1"/>
            </w14:solidFill>
          </w14:textFill>
        </w:rPr>
        <w:t>4</w:t>
      </w:r>
      <w:r>
        <w:rPr>
          <w:rFonts w:cs="Times New Roman"/>
          <w:bCs/>
          <w:color w:val="000000" w:themeColor="text1"/>
          <w:szCs w:val="24"/>
          <w14:textFill>
            <w14:solidFill>
              <w14:schemeClr w14:val="tx1"/>
            </w14:solidFill>
          </w14:textFill>
        </w:rPr>
        <w:t>m</w:t>
      </w:r>
      <w:r>
        <w:rPr>
          <w:rFonts w:cs="Times New Roman"/>
          <w:bCs/>
          <w:color w:val="000000" w:themeColor="text1"/>
          <w:szCs w:val="24"/>
          <w:vertAlign w:val="superscript"/>
          <w14:textFill>
            <w14:solidFill>
              <w14:schemeClr w14:val="tx1"/>
            </w14:solidFill>
          </w14:textFill>
        </w:rPr>
        <w:t>3</w:t>
      </w:r>
      <w:r>
        <w:rPr>
          <w:rFonts w:cs="Times New Roman"/>
          <w:bCs/>
          <w:color w:val="000000" w:themeColor="text1"/>
          <w:szCs w:val="24"/>
          <w14:textFill>
            <w14:solidFill>
              <w14:schemeClr w14:val="tx1"/>
            </w14:solidFill>
          </w14:textFill>
        </w:rPr>
        <w:t>，本项目钻井期间普光11井有相应的回注能力及空间。本项目未能回用完的作业废水和气田水可由赵家坝污水处理站通过“氧化除硫+混凝沉降+过滤”工艺处理，处理后能够满足《气田水回注方法》（SY/T6596-2004）表1中标准，处理后通过普光11井回注地层</w:t>
      </w:r>
      <w:r>
        <w:rPr>
          <w:rFonts w:hint="eastAsia" w:cs="Times New Roman"/>
          <w:bCs/>
          <w:color w:val="000000" w:themeColor="text1"/>
          <w:szCs w:val="24"/>
          <w14:textFill>
            <w14:solidFill>
              <w14:schemeClr w14:val="tx1"/>
            </w14:solidFill>
          </w14:textFill>
        </w:rPr>
        <w:t>；</w:t>
      </w:r>
      <w:r>
        <w:rPr>
          <w:rFonts w:cs="Times New Roman"/>
          <w:bCs/>
          <w:color w:val="000000" w:themeColor="text1"/>
          <w:szCs w:val="24"/>
          <w14:textFill>
            <w14:solidFill>
              <w14:schemeClr w14:val="tx1"/>
            </w14:solidFill>
          </w14:textFill>
        </w:rPr>
        <w:t>普光11井已稳定运行10年，地下空间结构稳定，运行期间未检测到地下空间发生结构变化，剩余日回注量远大于本项目日气田水产生量，剩余储集空间较大，满足回注要求。</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根据现场调查，普光3011-6井建成后所采天然气脱水分离产生的气田水暂存于火炬分液罐中，然后通过密闭罐车拉运至赵家坝污水处理站达到《气田水回注方法》（SY/T 6596-2016）中注入水基本要求后管输至普光11井回注站回注处理，不外排，能得到妥善处置，因此本气田水处置模式有效可行。</w:t>
      </w:r>
    </w:p>
    <w:p>
      <w:pPr>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6、施工期生活污水处置的可行性分析</w:t>
      </w:r>
    </w:p>
    <w:p>
      <w:pPr>
        <w:ind w:firstLine="480"/>
        <w:rPr>
          <w:rFonts w:cs="Times New Roman"/>
          <w:bCs/>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项目钻前工程</w:t>
      </w:r>
      <w:r>
        <w:rPr>
          <w:rFonts w:cs="Times New Roman"/>
          <w:bCs/>
          <w:color w:val="000000" w:themeColor="text1"/>
          <w:szCs w:val="24"/>
          <w14:textFill>
            <w14:solidFill>
              <w14:schemeClr w14:val="tx1"/>
            </w14:solidFill>
          </w14:textFill>
        </w:rPr>
        <w:t>施工、钻井期和试采期井队人员生活污水</w:t>
      </w:r>
      <w:r>
        <w:rPr>
          <w:rFonts w:cs="Times New Roman"/>
          <w:color w:val="000000" w:themeColor="text1"/>
          <w14:textFill>
            <w14:solidFill>
              <w14:schemeClr w14:val="tx1"/>
            </w14:solidFill>
          </w14:textFill>
        </w:rPr>
        <w:t>经集气站现有卫生间收集后定期由密闭罐车拉运至周边生活污水处理厂处理</w:t>
      </w:r>
      <w:r>
        <w:rPr>
          <w:rFonts w:cs="Times New Roman"/>
          <w:bCs/>
          <w:color w:val="000000" w:themeColor="text1"/>
          <w:szCs w:val="24"/>
          <w14:textFill>
            <w14:solidFill>
              <w14:schemeClr w14:val="tx1"/>
            </w14:solidFill>
          </w14:textFill>
        </w:rPr>
        <w:t>，本项目所在地周边有较多的生活污水处理厂，本项目生活污水产生量较小，且主要施工人员均为该区域已有工作人员，所产生的少量生活污水用密闭罐车拉运至周边有富余处理能力的生活污水处理厂处理有效可行。</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综上所述，本项目施工期各类废水处置措施在川东北地区钻采工程中已实施多年，具有较好的借鉴经验。项目附近的中石化川东北地区钻采工程采用相同污水处理措施，到目前为止，中原油田普光分公司未收到钻井废水、洗井废水、压裂返排液等乱排乱放的环保投诉。因此，本项目施工期废水治理措施从经济和环保角度分析是合理、可行的。</w:t>
      </w:r>
    </w:p>
    <w:p>
      <w:pPr>
        <w:pStyle w:val="4"/>
        <w:ind w:firstLine="241"/>
        <w:rPr>
          <w:b w:val="0"/>
        </w:rPr>
      </w:pPr>
      <w:bookmarkStart w:id="398" w:name="_Toc120173213"/>
      <w:r>
        <w:rPr>
          <w:rFonts w:hint="eastAsia"/>
        </w:rPr>
        <w:t>7.1.4</w:t>
      </w:r>
      <w:r>
        <w:t>施工期地下水防治措施及可行性分析</w:t>
      </w:r>
      <w:bookmarkEnd w:id="398"/>
    </w:p>
    <w:p>
      <w:pPr>
        <w:ind w:firstLine="480"/>
        <w:rPr>
          <w:rFonts w:eastAsia="黑体" w:cs="Times New Roman"/>
          <w:color w:val="000000" w:themeColor="text1"/>
          <w:szCs w:val="24"/>
          <w14:textFill>
            <w14:solidFill>
              <w14:schemeClr w14:val="tx1"/>
            </w14:solidFill>
          </w14:textFill>
        </w:rPr>
      </w:pPr>
      <w:bookmarkStart w:id="399" w:name="_Toc1224"/>
      <w:bookmarkStart w:id="400" w:name="_Toc14702842"/>
      <w:r>
        <w:rPr>
          <w:rFonts w:eastAsia="黑体" w:cs="Times New Roman"/>
          <w:color w:val="000000" w:themeColor="text1"/>
          <w:szCs w:val="24"/>
          <w14:textFill>
            <w14:solidFill>
              <w14:schemeClr w14:val="tx1"/>
            </w14:solidFill>
          </w14:textFill>
        </w:rPr>
        <w:t>1、钻井工艺选择</w:t>
      </w:r>
      <w:bookmarkEnd w:id="399"/>
      <w:bookmarkEnd w:id="400"/>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项目钻井选用全井段套管保护+水泥固井工艺。导管段选用清水钻进，</w:t>
      </w:r>
      <w:r>
        <w:rPr>
          <w:rFonts w:cs="Times New Roman"/>
          <w:color w:val="000000" w:themeColor="text1"/>
          <w:kern w:val="0"/>
          <w:szCs w:val="20"/>
          <w14:textFill>
            <w14:solidFill>
              <w14:schemeClr w14:val="tx1"/>
            </w14:solidFill>
          </w14:textFill>
        </w:rPr>
        <w:t>一开采用气体钻井/氯化钾聚合物钻井液体系</w:t>
      </w:r>
      <w:r>
        <w:rPr>
          <w:rFonts w:cs="Times New Roman"/>
          <w:color w:val="000000" w:themeColor="text1"/>
          <w14:textFill>
            <w14:solidFill>
              <w14:schemeClr w14:val="tx1"/>
            </w14:solidFill>
          </w14:textFill>
        </w:rPr>
        <w:t>，二开采用</w:t>
      </w:r>
      <w:r>
        <w:rPr>
          <w:rFonts w:cs="Times New Roman"/>
          <w:color w:val="000000" w:themeColor="text1"/>
          <w:kern w:val="0"/>
          <w:szCs w:val="20"/>
          <w14:textFill>
            <w14:solidFill>
              <w14:schemeClr w14:val="tx1"/>
            </w14:solidFill>
          </w14:textFill>
        </w:rPr>
        <w:t>气体钻井/氯化钾</w:t>
      </w:r>
      <w:r>
        <w:rPr>
          <w:rFonts w:cs="Times New Roman"/>
          <w:color w:val="000000" w:themeColor="text1"/>
          <w14:textFill>
            <w14:solidFill>
              <w14:schemeClr w14:val="tx1"/>
            </w14:solidFill>
          </w14:textFill>
        </w:rPr>
        <w:t>聚合物防塌钻井液体系，三开采用有机盐无黏土相钻井液体系（若遇特殊地层情况，三开段可能会转为油基钻井）</w:t>
      </w:r>
      <w:r>
        <w:rPr>
          <w:rFonts w:cs="Times New Roman"/>
          <w:color w:val="000000" w:themeColor="text1"/>
          <w:szCs w:val="24"/>
          <w14:textFill>
            <w14:solidFill>
              <w14:schemeClr w14:val="tx1"/>
            </w14:solidFill>
          </w14:textFill>
        </w:rPr>
        <w:t>，同时采用套管和水泥固井防止地下水污染，并在设计中做好及时堵漏准备，水基钻井液难以返回地面污染浅层含水层，能有效防止泥浆流失进入地下水。上述工艺广泛应用于川渝地区气田开发，能有效保护井下地质环境，能进一步减少对浅层地下水环境的影响。</w:t>
      </w:r>
    </w:p>
    <w:p>
      <w:pPr>
        <w:ind w:firstLine="480"/>
        <w:rPr>
          <w:rFonts w:eastAsia="黑体" w:cs="Times New Roman"/>
          <w:color w:val="000000" w:themeColor="text1"/>
          <w:szCs w:val="24"/>
          <w14:textFill>
            <w14:solidFill>
              <w14:schemeClr w14:val="tx1"/>
            </w14:solidFill>
          </w14:textFill>
        </w:rPr>
      </w:pPr>
      <w:bookmarkStart w:id="401" w:name="_Toc3215"/>
      <w:bookmarkStart w:id="402" w:name="_Toc14702843"/>
      <w:r>
        <w:rPr>
          <w:rFonts w:eastAsia="黑体" w:cs="Times New Roman"/>
          <w:color w:val="000000" w:themeColor="text1"/>
          <w:szCs w:val="24"/>
          <w14:textFill>
            <w14:solidFill>
              <w14:schemeClr w14:val="tx1"/>
            </w14:solidFill>
          </w14:textFill>
        </w:rPr>
        <w:t>2、钻井过程其他防护措施</w:t>
      </w:r>
      <w:bookmarkEnd w:id="401"/>
      <w:bookmarkEnd w:id="402"/>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1）项目在施工建设前，应充分研究地质设计资料和钻井设计资料等，进行充分的地下水水文地质勘察工作，在了解项目所在地地下水分布、埋藏深度及岩溶发育等基本情况并在此基础上优化钻井施工工艺、泥浆体系等。在钻井、压裂过程中应加强监控，防止泥浆、压裂液的扩散污染等。</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2）每开钻井结束后的固井作业可有效封隔底层和套管之间的环空，防止污染地下水。固井作业应提高固井质量，有效防止因为井漏事故造成的地下水环境污染。每开钻井结束后下套管并在套管及地层间注入水泥浆进行固井，待固井质量达标后，再进行下一开钻井作业。</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3）加强钻井的完整性管理，确保固井质量。本项目完井作业采用酸化压裂作业的方式进行，在压裂作业前对固井质量等进行有效评估，并在压裂过程数值模拟期间要评估压裂液运移到含水层特别是泉点取水口的可能性；</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（4）项目井场建设时设置了雨污分流系统，实现了钻井废水和雨水的有效分流，可有效降低因暴雨等自然灾害而导致废水外溢污染浅层地下水风险。</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（5）项目实施过程中，应定期检查各防渗基础是否出现裂缝、防渗膜是否完好，并及时对出现破损的部位进行修复。</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（6）平衡操作，避免因压力剂动和开泵过猛使泥浆憋入地层。</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7）钻井过程中密切注意钻井液的漏失情况，一旦出现漏失，立即采取堵漏措施，减少漏失量，防止钻井液的漏失污染地下水。堵漏剂的选取应考虑清洁、无毒、对人体无害，环境污染轻的种类，建议采用水泥堵漏。</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（8）采用符合《废矿物油回收利用污染控制技术规范》（HJ607-2011）和《危险废物收集贮存运输技术规范》（HJ2025-2012）的废油桶，并置于泥浆不落地装置区，做好“防风、防雨、防晒、防渗漏”的四防措施。</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（9）钻井过程中及时对钻井废水、压裂返排液、泥浆岩屑等进行及时转运处理，尽量缩短在现场放置时间。建议泥浆循环系统、固控系统、放喷池等均设置临时雨棚，采取各种措施防止废水外溢。</w:t>
      </w:r>
    </w:p>
    <w:p>
      <w:pPr>
        <w:ind w:firstLine="480"/>
        <w:rPr>
          <w:rFonts w:eastAsia="黑体" w:cs="Times New Roman"/>
          <w:color w:val="000000" w:themeColor="text1"/>
          <w:szCs w:val="24"/>
          <w14:textFill>
            <w14:solidFill>
              <w14:schemeClr w14:val="tx1"/>
            </w14:solidFill>
          </w14:textFill>
        </w:rPr>
      </w:pPr>
      <w:bookmarkStart w:id="403" w:name="_Toc14702844"/>
      <w:r>
        <w:rPr>
          <w:rFonts w:eastAsia="黑体" w:cs="Times New Roman"/>
          <w:color w:val="000000" w:themeColor="text1"/>
          <w:szCs w:val="24"/>
          <w14:textFill>
            <w14:solidFill>
              <w14:schemeClr w14:val="tx1"/>
            </w14:solidFill>
          </w14:textFill>
        </w:rPr>
        <w:t>3、清污分流</w:t>
      </w:r>
      <w:bookmarkEnd w:id="403"/>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本项目在井场施工中使用清污分流设计，其具体做法是井场设置内外环沟，将其生产装置运行中产生的废水进行集中收集、排放在泥浆不落地装置区和放喷池中，井场内设置内环沟，配建集污坑，</w:t>
      </w:r>
      <w:r>
        <w:rPr>
          <w:rFonts w:cs="Times New Roman"/>
          <w:bCs/>
          <w:color w:val="000000" w:themeColor="text1"/>
          <w:szCs w:val="24"/>
          <w14:textFill>
            <w14:solidFill>
              <w14:schemeClr w14:val="tx1"/>
            </w14:solidFill>
          </w14:textFill>
        </w:rPr>
        <w:t>井场外设置外环沟，并设置集水坑，初期雨水经内环沟收集后与钻井废水合并处理，后期雨水依靠井站设置的地面坡度和内外环沟的阀门控制，就地散排至外环沟，排出场外。若场内雨水被污染流入外环沟，则需封闭外环沟由作业队伍从集水坑抽汲至泥浆不落地装置、放喷池，</w:t>
      </w:r>
      <w:r>
        <w:rPr>
          <w:rFonts w:cs="Times New Roman"/>
          <w:color w:val="000000" w:themeColor="text1"/>
          <w:szCs w:val="24"/>
          <w14:textFill>
            <w14:solidFill>
              <w14:schemeClr w14:val="tx1"/>
            </w14:solidFill>
          </w14:textFill>
        </w:rPr>
        <w:t>可以有效降低因暴雨等自然灾害而导致废水外溢的危险；另一方面，针对高危的柴油储油罐、泥浆循环系统、泥浆不落地装置区等，在罐体下方修建收集区，设置围堰，收集区该做好防渗处理，以防止意外情况下，柴油、泥浆等泄漏造成地下水、土壤污染。</w:t>
      </w:r>
    </w:p>
    <w:p>
      <w:pPr>
        <w:ind w:firstLine="480"/>
        <w:rPr>
          <w:rFonts w:eastAsia="黑体" w:cs="Times New Roman"/>
          <w:color w:val="000000" w:themeColor="text1"/>
          <w:szCs w:val="24"/>
          <w14:textFill>
            <w14:solidFill>
              <w14:schemeClr w14:val="tx1"/>
            </w14:solidFill>
          </w14:textFill>
        </w:rPr>
      </w:pPr>
      <w:bookmarkStart w:id="404" w:name="_Toc24527"/>
      <w:bookmarkStart w:id="405" w:name="_Toc14702845"/>
      <w:r>
        <w:rPr>
          <w:rFonts w:eastAsia="黑体" w:cs="Times New Roman"/>
          <w:color w:val="000000" w:themeColor="text1"/>
          <w:szCs w:val="24"/>
          <w14:textFill>
            <w14:solidFill>
              <w14:schemeClr w14:val="tx1"/>
            </w14:solidFill>
          </w14:textFill>
        </w:rPr>
        <w:t>4、分区防渗措施</w:t>
      </w:r>
      <w:bookmarkEnd w:id="404"/>
      <w:bookmarkEnd w:id="405"/>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根据《环境影响评价技术导则 地下水环境》（HJ610-2016）的建议，本工程充分参考《石油化工工程防渗技术规范》（GB/T50934-2013）中的相关要求，实施地下水污染防渗措施。本项目以水平防渗为主，项目所在地岩（土）层单层厚度Mb大于1.0m，渗透系数1×10</w:t>
      </w:r>
      <w:r>
        <w:rPr>
          <w:rFonts w:cs="Times New Roman"/>
          <w:color w:val="000000" w:themeColor="text1"/>
          <w:szCs w:val="24"/>
          <w:vertAlign w:val="superscript"/>
          <w14:textFill>
            <w14:solidFill>
              <w14:schemeClr w14:val="tx1"/>
            </w14:solidFill>
          </w14:textFill>
        </w:rPr>
        <w:t>-6</w:t>
      </w:r>
      <w:r>
        <w:rPr>
          <w:rFonts w:cs="Times New Roman"/>
          <w:color w:val="000000" w:themeColor="text1"/>
          <w:szCs w:val="24"/>
          <w14:textFill>
            <w14:solidFill>
              <w14:schemeClr w14:val="tx1"/>
            </w14:solidFill>
          </w14:textFill>
        </w:rPr>
        <w:t>cm/s＜K≤1×10</w:t>
      </w:r>
      <w:r>
        <w:rPr>
          <w:rFonts w:cs="Times New Roman"/>
          <w:color w:val="000000" w:themeColor="text1"/>
          <w:szCs w:val="24"/>
          <w:vertAlign w:val="superscript"/>
          <w14:textFill>
            <w14:solidFill>
              <w14:schemeClr w14:val="tx1"/>
            </w14:solidFill>
          </w14:textFill>
        </w:rPr>
        <w:t>-4</w:t>
      </w:r>
      <w:r>
        <w:rPr>
          <w:rFonts w:cs="Times New Roman"/>
          <w:color w:val="000000" w:themeColor="text1"/>
          <w:szCs w:val="24"/>
          <w14:textFill>
            <w14:solidFill>
              <w14:schemeClr w14:val="tx1"/>
            </w14:solidFill>
          </w14:textFill>
        </w:rPr>
        <w:t>cm/s，且分布连续、稳定，故天然包气带防污性能为中，项目可能泄露的废水中含有部分钻井液中使用的增粘剂等有机污染物。场地内场地内方井、泥浆循环系统区域、泥浆不落地系统区域（含油桶堆放区）、泥浆储备罐区、循环罐区、柴油罐区、放喷池、埋地管道等采取重点防渗措施；井架基础、发电机房、钻井固废暂存区、气源房、材料棚、雨、污分流区域以及厕所等区域采取一般防渗措施；其他区域等采取简单防渗措施。</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本项目分区防渗布设情况及防渗系数要求见</w:t>
      </w:r>
      <w:r>
        <w:rPr>
          <w:rFonts w:cs="Times New Roman"/>
          <w:color w:val="000000" w:themeColor="text1"/>
          <w:szCs w:val="24"/>
          <w14:textFill>
            <w14:solidFill>
              <w14:schemeClr w14:val="tx1"/>
            </w14:solidFill>
          </w14:textFill>
        </w:rPr>
        <w:fldChar w:fldCharType="begin"/>
      </w:r>
      <w:r>
        <w:rPr>
          <w:rFonts w:cs="Times New Roman"/>
          <w:color w:val="000000" w:themeColor="text1"/>
          <w:szCs w:val="24"/>
          <w14:textFill>
            <w14:solidFill>
              <w14:schemeClr w14:val="tx1"/>
            </w14:solidFill>
          </w14:textFill>
        </w:rPr>
        <w:instrText xml:space="preserve"> REF _Ref142859666 \h  \* MERGEFORMAT </w:instrText>
      </w:r>
      <w:r>
        <w:rPr>
          <w:rFonts w:cs="Times New Roman"/>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表7.1</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1</w:t>
      </w:r>
      <w:r>
        <w:rPr>
          <w:rFonts w:cs="Times New Roman"/>
          <w:color w:val="000000" w:themeColor="text1"/>
          <w:szCs w:val="24"/>
          <w14:textFill>
            <w14:solidFill>
              <w14:schemeClr w14:val="tx1"/>
            </w14:solidFill>
          </w14:textFill>
        </w:rPr>
        <w:fldChar w:fldCharType="end"/>
      </w:r>
      <w:r>
        <w:rPr>
          <w:rFonts w:cs="Times New Roman"/>
          <w:color w:val="000000" w:themeColor="text1"/>
          <w:szCs w:val="24"/>
          <w14:textFill>
            <w14:solidFill>
              <w14:schemeClr w14:val="tx1"/>
            </w14:solidFill>
          </w14:textFill>
        </w:rPr>
        <w:t>所示。</w:t>
      </w:r>
    </w:p>
    <w:p>
      <w:pPr>
        <w:pStyle w:val="95"/>
      </w:pPr>
      <w:bookmarkStart w:id="406" w:name="_Ref142859666"/>
      <w:bookmarkStart w:id="407" w:name="_Toc26241"/>
      <w:bookmarkStart w:id="408" w:name="_Toc14702846"/>
      <w:r>
        <w:t>表</w:t>
      </w:r>
      <w:r>
        <w:fldChar w:fldCharType="begin"/>
      </w:r>
      <w:r>
        <w:instrText xml:space="preserve"> STYLEREF 2 \s </w:instrText>
      </w:r>
      <w:r>
        <w:fldChar w:fldCharType="separate"/>
      </w:r>
      <w:r>
        <w:t>7.1</w:t>
      </w:r>
      <w:r>
        <w:fldChar w:fldCharType="end"/>
      </w:r>
      <w:r>
        <w:noBreakHyphen/>
      </w:r>
      <w:r>
        <w:fldChar w:fldCharType="begin"/>
      </w:r>
      <w:r>
        <w:instrText xml:space="preserve"> SEQ 表 \* ARABIC \s 2 </w:instrText>
      </w:r>
      <w:r>
        <w:fldChar w:fldCharType="separate"/>
      </w:r>
      <w:r>
        <w:t>1</w:t>
      </w:r>
      <w:r>
        <w:fldChar w:fldCharType="end"/>
      </w:r>
      <w:bookmarkEnd w:id="406"/>
      <w:r>
        <w:t xml:space="preserve"> 分区防渗布设情况及防渗技术要求表</w:t>
      </w:r>
    </w:p>
    <w:tbl>
      <w:tblPr>
        <w:tblStyle w:val="52"/>
        <w:tblW w:w="88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27"/>
        <w:gridCol w:w="2223"/>
        <w:gridCol w:w="1165"/>
        <w:gridCol w:w="2002"/>
        <w:gridCol w:w="216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4"/>
            </w:pPr>
            <w:r>
              <w:t>名称</w:t>
            </w:r>
          </w:p>
        </w:tc>
        <w:tc>
          <w:tcPr>
            <w:tcW w:w="2223" w:type="dxa"/>
            <w:vAlign w:val="center"/>
          </w:tcPr>
          <w:p>
            <w:pPr>
              <w:pStyle w:val="294"/>
            </w:pPr>
            <w:r>
              <w:t>防渗区域及部位</w:t>
            </w:r>
          </w:p>
        </w:tc>
        <w:tc>
          <w:tcPr>
            <w:tcW w:w="1165" w:type="dxa"/>
            <w:vAlign w:val="center"/>
          </w:tcPr>
          <w:p>
            <w:pPr>
              <w:pStyle w:val="294"/>
            </w:pPr>
            <w:r>
              <w:t>防渗分区</w:t>
            </w:r>
          </w:p>
        </w:tc>
        <w:tc>
          <w:tcPr>
            <w:tcW w:w="2002" w:type="dxa"/>
            <w:vAlign w:val="center"/>
          </w:tcPr>
          <w:p>
            <w:pPr>
              <w:pStyle w:val="294"/>
            </w:pPr>
            <w:r>
              <w:t>防渗技术要求</w:t>
            </w:r>
          </w:p>
        </w:tc>
        <w:tc>
          <w:tcPr>
            <w:tcW w:w="2167" w:type="dxa"/>
            <w:vAlign w:val="center"/>
          </w:tcPr>
          <w:p>
            <w:pPr>
              <w:pStyle w:val="294"/>
            </w:pPr>
            <w:r>
              <w:t>采取的防渗措施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4"/>
            </w:pPr>
            <w:r>
              <w:t>放喷池</w:t>
            </w:r>
          </w:p>
        </w:tc>
        <w:tc>
          <w:tcPr>
            <w:tcW w:w="2223" w:type="dxa"/>
            <w:vAlign w:val="center"/>
          </w:tcPr>
          <w:p>
            <w:pPr>
              <w:pStyle w:val="294"/>
            </w:pPr>
            <w:r>
              <w:t>放喷池的池底及池壁</w:t>
            </w:r>
          </w:p>
        </w:tc>
        <w:tc>
          <w:tcPr>
            <w:tcW w:w="1165" w:type="dxa"/>
            <w:vMerge w:val="restart"/>
            <w:vAlign w:val="center"/>
          </w:tcPr>
          <w:p>
            <w:pPr>
              <w:pStyle w:val="294"/>
            </w:pPr>
            <w:r>
              <w:t>重点防渗分区/部位</w:t>
            </w:r>
          </w:p>
        </w:tc>
        <w:tc>
          <w:tcPr>
            <w:tcW w:w="2002" w:type="dxa"/>
            <w:vMerge w:val="restart"/>
            <w:vAlign w:val="center"/>
          </w:tcPr>
          <w:p>
            <w:pPr>
              <w:pStyle w:val="294"/>
            </w:pPr>
            <w:r>
              <w:t>等效黏土防渗层Mb≥6.0m，防渗系数1.0×10</w:t>
            </w:r>
            <w:r>
              <w:rPr>
                <w:vertAlign w:val="superscript"/>
              </w:rPr>
              <w:t>-7</w:t>
            </w:r>
            <w:r>
              <w:t>cm/s，或参照GB18598执行</w:t>
            </w:r>
          </w:p>
        </w:tc>
        <w:tc>
          <w:tcPr>
            <w:tcW w:w="2167" w:type="dxa"/>
            <w:vMerge w:val="restart"/>
            <w:vAlign w:val="center"/>
          </w:tcPr>
          <w:p>
            <w:pPr>
              <w:pStyle w:val="294"/>
            </w:pPr>
            <w:r>
              <w:t>混凝土+2mm厚高密度聚乙烯膜处理或防渗系数达到1.0×10</w:t>
            </w:r>
            <w:r>
              <w:rPr>
                <w:vertAlign w:val="superscript"/>
              </w:rPr>
              <w:t>-10</w:t>
            </w:r>
            <w:r>
              <w:t>cm/s的防渗材料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4"/>
            </w:pPr>
            <w:r>
              <w:t>方井</w:t>
            </w:r>
          </w:p>
        </w:tc>
        <w:tc>
          <w:tcPr>
            <w:tcW w:w="2223" w:type="dxa"/>
            <w:vAlign w:val="center"/>
          </w:tcPr>
          <w:p>
            <w:pPr>
              <w:pStyle w:val="294"/>
            </w:pPr>
            <w:r>
              <w:t>方井池壁和池底</w:t>
            </w:r>
          </w:p>
        </w:tc>
        <w:tc>
          <w:tcPr>
            <w:tcW w:w="1165" w:type="dxa"/>
            <w:vMerge w:val="continue"/>
            <w:vAlign w:val="center"/>
          </w:tcPr>
          <w:p>
            <w:pPr>
              <w:pStyle w:val="294"/>
            </w:pPr>
          </w:p>
        </w:tc>
        <w:tc>
          <w:tcPr>
            <w:tcW w:w="2002" w:type="dxa"/>
            <w:vMerge w:val="continue"/>
            <w:vAlign w:val="center"/>
          </w:tcPr>
          <w:p>
            <w:pPr>
              <w:pStyle w:val="294"/>
            </w:pPr>
          </w:p>
        </w:tc>
        <w:tc>
          <w:tcPr>
            <w:tcW w:w="2167"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4"/>
            </w:pPr>
            <w:r>
              <w:t>油罐区、油桶堆放区</w:t>
            </w:r>
          </w:p>
        </w:tc>
        <w:tc>
          <w:tcPr>
            <w:tcW w:w="2223" w:type="dxa"/>
            <w:vAlign w:val="center"/>
          </w:tcPr>
          <w:p>
            <w:pPr>
              <w:pStyle w:val="294"/>
            </w:pPr>
            <w:r>
              <w:t>油罐区的池底及围堰、油桶区域及围堰</w:t>
            </w:r>
          </w:p>
        </w:tc>
        <w:tc>
          <w:tcPr>
            <w:tcW w:w="1165" w:type="dxa"/>
            <w:vMerge w:val="continue"/>
            <w:vAlign w:val="center"/>
          </w:tcPr>
          <w:p>
            <w:pPr>
              <w:pStyle w:val="294"/>
            </w:pPr>
          </w:p>
        </w:tc>
        <w:tc>
          <w:tcPr>
            <w:tcW w:w="2002" w:type="dxa"/>
            <w:vMerge w:val="continue"/>
            <w:vAlign w:val="center"/>
          </w:tcPr>
          <w:p>
            <w:pPr>
              <w:pStyle w:val="294"/>
            </w:pPr>
          </w:p>
        </w:tc>
        <w:tc>
          <w:tcPr>
            <w:tcW w:w="2167"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4"/>
            </w:pPr>
            <w:r>
              <w:t>危险废物暂存场所（若使用油基钻井液时设置）</w:t>
            </w:r>
          </w:p>
        </w:tc>
        <w:tc>
          <w:tcPr>
            <w:tcW w:w="2223" w:type="dxa"/>
            <w:vAlign w:val="center"/>
          </w:tcPr>
          <w:p>
            <w:pPr>
              <w:pStyle w:val="294"/>
            </w:pPr>
            <w:r>
              <w:t>底部及四周</w:t>
            </w:r>
          </w:p>
        </w:tc>
        <w:tc>
          <w:tcPr>
            <w:tcW w:w="1165" w:type="dxa"/>
            <w:vMerge w:val="continue"/>
            <w:vAlign w:val="center"/>
          </w:tcPr>
          <w:p>
            <w:pPr>
              <w:pStyle w:val="294"/>
            </w:pPr>
          </w:p>
        </w:tc>
        <w:tc>
          <w:tcPr>
            <w:tcW w:w="2002" w:type="dxa"/>
            <w:vMerge w:val="continue"/>
            <w:vAlign w:val="center"/>
          </w:tcPr>
          <w:p>
            <w:pPr>
              <w:pStyle w:val="294"/>
            </w:pPr>
          </w:p>
        </w:tc>
        <w:tc>
          <w:tcPr>
            <w:tcW w:w="2167"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4"/>
            </w:pPr>
            <w:r>
              <w:t>泥浆循环系统</w:t>
            </w:r>
          </w:p>
        </w:tc>
        <w:tc>
          <w:tcPr>
            <w:tcW w:w="2223" w:type="dxa"/>
            <w:vAlign w:val="center"/>
          </w:tcPr>
          <w:p>
            <w:pPr>
              <w:pStyle w:val="294"/>
            </w:pPr>
            <w:r>
              <w:t>重浆罐的池底、池壁围堰及泥浆泵基础</w:t>
            </w:r>
          </w:p>
        </w:tc>
        <w:tc>
          <w:tcPr>
            <w:tcW w:w="1165" w:type="dxa"/>
            <w:vMerge w:val="continue"/>
            <w:vAlign w:val="center"/>
          </w:tcPr>
          <w:p>
            <w:pPr>
              <w:pStyle w:val="294"/>
            </w:pPr>
          </w:p>
        </w:tc>
        <w:tc>
          <w:tcPr>
            <w:tcW w:w="2002" w:type="dxa"/>
            <w:vMerge w:val="continue"/>
            <w:vAlign w:val="center"/>
          </w:tcPr>
          <w:p>
            <w:pPr>
              <w:pStyle w:val="294"/>
            </w:pPr>
          </w:p>
        </w:tc>
        <w:tc>
          <w:tcPr>
            <w:tcW w:w="2167"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4"/>
            </w:pPr>
            <w:r>
              <w:t>泥浆不落地系统</w:t>
            </w:r>
          </w:p>
        </w:tc>
        <w:tc>
          <w:tcPr>
            <w:tcW w:w="2223" w:type="dxa"/>
            <w:vAlign w:val="center"/>
          </w:tcPr>
          <w:p>
            <w:pPr>
              <w:pStyle w:val="294"/>
            </w:pPr>
            <w:r>
              <w:t>整体基础</w:t>
            </w:r>
          </w:p>
        </w:tc>
        <w:tc>
          <w:tcPr>
            <w:tcW w:w="1165" w:type="dxa"/>
            <w:vMerge w:val="continue"/>
            <w:vAlign w:val="center"/>
          </w:tcPr>
          <w:p>
            <w:pPr>
              <w:pStyle w:val="294"/>
            </w:pPr>
          </w:p>
        </w:tc>
        <w:tc>
          <w:tcPr>
            <w:tcW w:w="2002" w:type="dxa"/>
            <w:vMerge w:val="continue"/>
            <w:vAlign w:val="center"/>
          </w:tcPr>
          <w:p>
            <w:pPr>
              <w:pStyle w:val="294"/>
            </w:pPr>
          </w:p>
        </w:tc>
        <w:tc>
          <w:tcPr>
            <w:tcW w:w="2167"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4"/>
            </w:pPr>
            <w:r>
              <w:t>循环罐、储备罐</w:t>
            </w:r>
          </w:p>
        </w:tc>
        <w:tc>
          <w:tcPr>
            <w:tcW w:w="2223" w:type="dxa"/>
            <w:vAlign w:val="center"/>
          </w:tcPr>
          <w:p>
            <w:pPr>
              <w:pStyle w:val="294"/>
            </w:pPr>
            <w:r>
              <w:t>循环罐、储备罐的池底及围堰</w:t>
            </w:r>
          </w:p>
        </w:tc>
        <w:tc>
          <w:tcPr>
            <w:tcW w:w="1165" w:type="dxa"/>
            <w:vMerge w:val="continue"/>
            <w:vAlign w:val="center"/>
          </w:tcPr>
          <w:p>
            <w:pPr>
              <w:pStyle w:val="294"/>
            </w:pPr>
          </w:p>
        </w:tc>
        <w:tc>
          <w:tcPr>
            <w:tcW w:w="2002" w:type="dxa"/>
            <w:vMerge w:val="continue"/>
            <w:vAlign w:val="center"/>
          </w:tcPr>
          <w:p>
            <w:pPr>
              <w:pStyle w:val="294"/>
            </w:pPr>
          </w:p>
        </w:tc>
        <w:tc>
          <w:tcPr>
            <w:tcW w:w="2167"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4"/>
            </w:pPr>
            <w:r>
              <w:t>埋地管道</w:t>
            </w:r>
          </w:p>
        </w:tc>
        <w:tc>
          <w:tcPr>
            <w:tcW w:w="2223" w:type="dxa"/>
            <w:vAlign w:val="center"/>
          </w:tcPr>
          <w:p>
            <w:pPr>
              <w:pStyle w:val="294"/>
            </w:pPr>
            <w:r>
              <w:t>管道本身</w:t>
            </w:r>
          </w:p>
        </w:tc>
        <w:tc>
          <w:tcPr>
            <w:tcW w:w="1165" w:type="dxa"/>
            <w:vMerge w:val="continue"/>
            <w:vAlign w:val="center"/>
          </w:tcPr>
          <w:p>
            <w:pPr>
              <w:pStyle w:val="294"/>
            </w:pPr>
          </w:p>
        </w:tc>
        <w:tc>
          <w:tcPr>
            <w:tcW w:w="2002" w:type="dxa"/>
            <w:vMerge w:val="continue"/>
            <w:vAlign w:val="center"/>
          </w:tcPr>
          <w:p>
            <w:pPr>
              <w:pStyle w:val="294"/>
            </w:pPr>
          </w:p>
        </w:tc>
        <w:tc>
          <w:tcPr>
            <w:tcW w:w="2167" w:type="dxa"/>
            <w:vAlign w:val="center"/>
          </w:tcPr>
          <w:p>
            <w:pPr>
              <w:pStyle w:val="294"/>
            </w:pPr>
            <w:r>
              <w:t>选用符合重点防渗要求的管材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4"/>
            </w:pPr>
            <w:r>
              <w:t>发电机房及电传系统</w:t>
            </w:r>
          </w:p>
        </w:tc>
        <w:tc>
          <w:tcPr>
            <w:tcW w:w="2223" w:type="dxa"/>
            <w:vAlign w:val="center"/>
          </w:tcPr>
          <w:p>
            <w:pPr>
              <w:pStyle w:val="294"/>
            </w:pPr>
            <w:r>
              <w:t>发电机房基础</w:t>
            </w:r>
          </w:p>
        </w:tc>
        <w:tc>
          <w:tcPr>
            <w:tcW w:w="1165" w:type="dxa"/>
            <w:vMerge w:val="restart"/>
            <w:vAlign w:val="center"/>
          </w:tcPr>
          <w:p>
            <w:pPr>
              <w:pStyle w:val="294"/>
            </w:pPr>
            <w:r>
              <w:t>一般防渗分区/部位</w:t>
            </w:r>
          </w:p>
        </w:tc>
        <w:tc>
          <w:tcPr>
            <w:tcW w:w="2002" w:type="dxa"/>
            <w:vMerge w:val="restart"/>
            <w:vAlign w:val="center"/>
          </w:tcPr>
          <w:p>
            <w:pPr>
              <w:pStyle w:val="294"/>
            </w:pPr>
            <w:r>
              <w:t>等效黏土防渗层Mb≥1m，防渗系数1.0×10</w:t>
            </w:r>
            <w:r>
              <w:rPr>
                <w:vertAlign w:val="superscript"/>
              </w:rPr>
              <w:t>-7</w:t>
            </w:r>
            <w:r>
              <w:t>cm/s，或参照GB16889执行</w:t>
            </w:r>
          </w:p>
        </w:tc>
        <w:tc>
          <w:tcPr>
            <w:tcW w:w="2167" w:type="dxa"/>
            <w:vMerge w:val="restart"/>
            <w:vAlign w:val="center"/>
          </w:tcPr>
          <w:p>
            <w:pPr>
              <w:pStyle w:val="294"/>
            </w:pPr>
            <w:bookmarkStart w:id="409" w:name="OLE_LINK7"/>
            <w:bookmarkStart w:id="410" w:name="OLE_LINK8"/>
            <w:r>
              <w:t>混凝土+防渗系数</w:t>
            </w:r>
          </w:p>
          <w:p>
            <w:pPr>
              <w:pStyle w:val="294"/>
            </w:pPr>
            <w:r>
              <w:t>达到1.0×10</w:t>
            </w:r>
            <w:r>
              <w:rPr>
                <w:vertAlign w:val="superscript"/>
              </w:rPr>
              <w:t>-7</w:t>
            </w:r>
            <w:r>
              <w:t>cm/s的防渗材料</w:t>
            </w:r>
            <w:bookmarkEnd w:id="409"/>
            <w:bookmarkEnd w:id="410"/>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4"/>
            </w:pPr>
            <w:r>
              <w:t>清水池</w:t>
            </w:r>
          </w:p>
        </w:tc>
        <w:tc>
          <w:tcPr>
            <w:tcW w:w="2223" w:type="dxa"/>
            <w:vAlign w:val="center"/>
          </w:tcPr>
          <w:p>
            <w:pPr>
              <w:pStyle w:val="294"/>
            </w:pPr>
            <w:r>
              <w:t>清水池壁和池底</w:t>
            </w:r>
          </w:p>
        </w:tc>
        <w:tc>
          <w:tcPr>
            <w:tcW w:w="1165" w:type="dxa"/>
            <w:vMerge w:val="continue"/>
            <w:vAlign w:val="center"/>
          </w:tcPr>
          <w:p>
            <w:pPr>
              <w:pStyle w:val="294"/>
            </w:pPr>
          </w:p>
        </w:tc>
        <w:tc>
          <w:tcPr>
            <w:tcW w:w="2002" w:type="dxa"/>
            <w:vMerge w:val="continue"/>
            <w:vAlign w:val="center"/>
          </w:tcPr>
          <w:p>
            <w:pPr>
              <w:pStyle w:val="294"/>
            </w:pPr>
          </w:p>
        </w:tc>
        <w:tc>
          <w:tcPr>
            <w:tcW w:w="2167"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4"/>
            </w:pPr>
            <w:r>
              <w:t>井架基础</w:t>
            </w:r>
          </w:p>
        </w:tc>
        <w:tc>
          <w:tcPr>
            <w:tcW w:w="2223" w:type="dxa"/>
            <w:vAlign w:val="center"/>
          </w:tcPr>
          <w:p>
            <w:pPr>
              <w:pStyle w:val="294"/>
            </w:pPr>
            <w:r>
              <w:t>钻井平台基础</w:t>
            </w:r>
          </w:p>
        </w:tc>
        <w:tc>
          <w:tcPr>
            <w:tcW w:w="1165" w:type="dxa"/>
            <w:vMerge w:val="continue"/>
            <w:vAlign w:val="center"/>
          </w:tcPr>
          <w:p>
            <w:pPr>
              <w:pStyle w:val="294"/>
            </w:pPr>
          </w:p>
        </w:tc>
        <w:tc>
          <w:tcPr>
            <w:tcW w:w="2002" w:type="dxa"/>
            <w:vMerge w:val="continue"/>
            <w:vAlign w:val="center"/>
          </w:tcPr>
          <w:p>
            <w:pPr>
              <w:pStyle w:val="294"/>
            </w:pPr>
          </w:p>
        </w:tc>
        <w:tc>
          <w:tcPr>
            <w:tcW w:w="2167"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4"/>
            </w:pPr>
            <w:r>
              <w:t>钻井固废暂存区</w:t>
            </w:r>
          </w:p>
        </w:tc>
        <w:tc>
          <w:tcPr>
            <w:tcW w:w="2223" w:type="dxa"/>
            <w:vAlign w:val="center"/>
          </w:tcPr>
          <w:p>
            <w:pPr>
              <w:pStyle w:val="294"/>
            </w:pPr>
            <w:r>
              <w:t>整体基础</w:t>
            </w:r>
          </w:p>
        </w:tc>
        <w:tc>
          <w:tcPr>
            <w:tcW w:w="1165" w:type="dxa"/>
            <w:vMerge w:val="continue"/>
            <w:vAlign w:val="center"/>
          </w:tcPr>
          <w:p>
            <w:pPr>
              <w:pStyle w:val="294"/>
            </w:pPr>
          </w:p>
        </w:tc>
        <w:tc>
          <w:tcPr>
            <w:tcW w:w="2002" w:type="dxa"/>
            <w:vMerge w:val="continue"/>
            <w:vAlign w:val="center"/>
          </w:tcPr>
          <w:p>
            <w:pPr>
              <w:pStyle w:val="294"/>
            </w:pPr>
          </w:p>
        </w:tc>
        <w:tc>
          <w:tcPr>
            <w:tcW w:w="2167"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4"/>
            </w:pPr>
            <w:r>
              <w:t>气源房、材料棚、雨、污分流区域</w:t>
            </w:r>
          </w:p>
        </w:tc>
        <w:tc>
          <w:tcPr>
            <w:tcW w:w="2223" w:type="dxa"/>
            <w:vAlign w:val="center"/>
          </w:tcPr>
          <w:p>
            <w:pPr>
              <w:pStyle w:val="294"/>
            </w:pPr>
            <w:r>
              <w:t>基础</w:t>
            </w:r>
          </w:p>
        </w:tc>
        <w:tc>
          <w:tcPr>
            <w:tcW w:w="1165" w:type="dxa"/>
            <w:vMerge w:val="continue"/>
            <w:vAlign w:val="center"/>
          </w:tcPr>
          <w:p>
            <w:pPr>
              <w:pStyle w:val="294"/>
            </w:pPr>
          </w:p>
        </w:tc>
        <w:tc>
          <w:tcPr>
            <w:tcW w:w="2002" w:type="dxa"/>
            <w:vMerge w:val="continue"/>
            <w:vAlign w:val="center"/>
          </w:tcPr>
          <w:p>
            <w:pPr>
              <w:pStyle w:val="294"/>
            </w:pPr>
          </w:p>
        </w:tc>
        <w:tc>
          <w:tcPr>
            <w:tcW w:w="2167"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4"/>
            </w:pPr>
            <w:r>
              <w:t>环保厕所</w:t>
            </w:r>
          </w:p>
        </w:tc>
        <w:tc>
          <w:tcPr>
            <w:tcW w:w="2223" w:type="dxa"/>
            <w:vAlign w:val="center"/>
          </w:tcPr>
          <w:p>
            <w:pPr>
              <w:pStyle w:val="294"/>
            </w:pPr>
            <w:r>
              <w:t>池底及池壁</w:t>
            </w:r>
          </w:p>
        </w:tc>
        <w:tc>
          <w:tcPr>
            <w:tcW w:w="1165" w:type="dxa"/>
            <w:vMerge w:val="continue"/>
            <w:vAlign w:val="center"/>
          </w:tcPr>
          <w:p>
            <w:pPr>
              <w:pStyle w:val="294"/>
            </w:pPr>
          </w:p>
        </w:tc>
        <w:tc>
          <w:tcPr>
            <w:tcW w:w="2002" w:type="dxa"/>
            <w:vMerge w:val="continue"/>
            <w:vAlign w:val="center"/>
          </w:tcPr>
          <w:p>
            <w:pPr>
              <w:pStyle w:val="294"/>
            </w:pPr>
          </w:p>
        </w:tc>
        <w:tc>
          <w:tcPr>
            <w:tcW w:w="2167"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shd w:val="clear" w:color="auto" w:fill="auto"/>
            <w:vAlign w:val="center"/>
          </w:tcPr>
          <w:p>
            <w:pPr>
              <w:pStyle w:val="294"/>
            </w:pPr>
            <w:r>
              <w:t>水罐</w:t>
            </w:r>
          </w:p>
        </w:tc>
        <w:tc>
          <w:tcPr>
            <w:tcW w:w="2223" w:type="dxa"/>
            <w:shd w:val="clear" w:color="auto" w:fill="auto"/>
            <w:vAlign w:val="center"/>
          </w:tcPr>
          <w:p>
            <w:pPr>
              <w:pStyle w:val="294"/>
            </w:pPr>
            <w:r>
              <w:t>水罐周围地面</w:t>
            </w:r>
          </w:p>
        </w:tc>
        <w:tc>
          <w:tcPr>
            <w:tcW w:w="1165" w:type="dxa"/>
            <w:vMerge w:val="restart"/>
            <w:shd w:val="clear" w:color="auto" w:fill="auto"/>
            <w:vAlign w:val="center"/>
          </w:tcPr>
          <w:p>
            <w:pPr>
              <w:pStyle w:val="294"/>
            </w:pPr>
            <w:r>
              <w:t>简单防渗区/部位</w:t>
            </w:r>
          </w:p>
        </w:tc>
        <w:tc>
          <w:tcPr>
            <w:tcW w:w="2002" w:type="dxa"/>
            <w:vMerge w:val="restart"/>
            <w:shd w:val="clear" w:color="auto" w:fill="auto"/>
            <w:vAlign w:val="center"/>
          </w:tcPr>
          <w:p>
            <w:pPr>
              <w:pStyle w:val="294"/>
            </w:pPr>
            <w:r>
              <w:t>一般地面硬化</w:t>
            </w:r>
          </w:p>
        </w:tc>
        <w:tc>
          <w:tcPr>
            <w:tcW w:w="2167" w:type="dxa"/>
            <w:vMerge w:val="restart"/>
            <w:shd w:val="clear" w:color="auto" w:fill="auto"/>
            <w:vAlign w:val="center"/>
          </w:tcPr>
          <w:p>
            <w:pPr>
              <w:pStyle w:val="294"/>
            </w:pPr>
            <w:r>
              <w:t>水泥地面硬化或砂石黏土碾压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shd w:val="clear" w:color="auto" w:fill="auto"/>
            <w:vAlign w:val="center"/>
          </w:tcPr>
          <w:p>
            <w:pPr>
              <w:pStyle w:val="294"/>
            </w:pPr>
            <w:r>
              <w:t>其他区域</w:t>
            </w:r>
          </w:p>
        </w:tc>
        <w:tc>
          <w:tcPr>
            <w:tcW w:w="2223" w:type="dxa"/>
            <w:shd w:val="clear" w:color="auto" w:fill="auto"/>
            <w:vAlign w:val="center"/>
          </w:tcPr>
          <w:p>
            <w:pPr>
              <w:pStyle w:val="294"/>
            </w:pPr>
            <w:r>
              <w:t>/</w:t>
            </w:r>
          </w:p>
        </w:tc>
        <w:tc>
          <w:tcPr>
            <w:tcW w:w="1165" w:type="dxa"/>
            <w:vMerge w:val="continue"/>
            <w:shd w:val="clear" w:color="auto" w:fill="auto"/>
            <w:vAlign w:val="center"/>
          </w:tcPr>
          <w:p>
            <w:pPr>
              <w:pStyle w:val="294"/>
            </w:pPr>
          </w:p>
        </w:tc>
        <w:tc>
          <w:tcPr>
            <w:tcW w:w="2002" w:type="dxa"/>
            <w:vMerge w:val="continue"/>
            <w:shd w:val="clear" w:color="auto" w:fill="auto"/>
            <w:vAlign w:val="center"/>
          </w:tcPr>
          <w:p>
            <w:pPr>
              <w:pStyle w:val="294"/>
            </w:pPr>
          </w:p>
        </w:tc>
        <w:tc>
          <w:tcPr>
            <w:tcW w:w="2167" w:type="dxa"/>
            <w:vMerge w:val="continue"/>
            <w:shd w:val="clear" w:color="auto" w:fill="auto"/>
            <w:vAlign w:val="center"/>
          </w:tcPr>
          <w:p>
            <w:pPr>
              <w:pStyle w:val="294"/>
            </w:pPr>
          </w:p>
        </w:tc>
      </w:tr>
    </w:tbl>
    <w:p>
      <w:pPr>
        <w:spacing w:before="120" w:beforeLines="50"/>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5、地下水环境监控</w:t>
      </w:r>
      <w:bookmarkEnd w:id="407"/>
      <w:bookmarkEnd w:id="408"/>
    </w:p>
    <w:p>
      <w:pPr>
        <w:ind w:firstLine="482"/>
        <w:rPr>
          <w:rFonts w:cs="Times New Roman"/>
          <w:b/>
          <w:bCs/>
          <w:color w:val="000000" w:themeColor="text1"/>
          <w:szCs w:val="24"/>
          <w14:textFill>
            <w14:solidFill>
              <w14:schemeClr w14:val="tx1"/>
            </w14:solidFill>
          </w14:textFill>
        </w:rPr>
      </w:pPr>
      <w:bookmarkStart w:id="411" w:name="_Toc14702847"/>
      <w:r>
        <w:rPr>
          <w:rFonts w:cs="Times New Roman"/>
          <w:b/>
          <w:bCs/>
          <w:color w:val="000000" w:themeColor="text1"/>
          <w:szCs w:val="24"/>
          <w14:textFill>
            <w14:solidFill>
              <w14:schemeClr w14:val="tx1"/>
            </w14:solidFill>
          </w14:textFill>
        </w:rPr>
        <w:t>（1）地下水监控原则</w:t>
      </w:r>
      <w:bookmarkEnd w:id="411"/>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按照地下水环评导则及地下水监测技术规范等相关要求，地下水监测应按以下要求进行：</w:t>
      </w:r>
    </w:p>
    <w:p>
      <w:pPr>
        <w:ind w:firstLine="480"/>
        <w:rPr>
          <w:rFonts w:cs="Times New Roman"/>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①</w:t>
      </w:r>
      <w:r>
        <w:rPr>
          <w:rFonts w:cs="Times New Roman"/>
          <w:bCs/>
          <w:color w:val="000000" w:themeColor="text1"/>
          <w:szCs w:val="24"/>
          <w14:textFill>
            <w14:solidFill>
              <w14:schemeClr w14:val="tx1"/>
            </w14:solidFill>
          </w14:textFill>
        </w:rPr>
        <w:t>在地下水水流上游方向应设不少于1眼地下水背景（或对照）监控井；</w:t>
      </w:r>
    </w:p>
    <w:p>
      <w:pPr>
        <w:ind w:firstLine="480"/>
        <w:rPr>
          <w:rFonts w:cs="Times New Roman"/>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②</w:t>
      </w:r>
      <w:r>
        <w:rPr>
          <w:rFonts w:cs="Times New Roman"/>
          <w:bCs/>
          <w:color w:val="000000" w:themeColor="text1"/>
          <w:szCs w:val="24"/>
          <w14:textFill>
            <w14:solidFill>
              <w14:schemeClr w14:val="tx1"/>
            </w14:solidFill>
          </w14:textFill>
        </w:rPr>
        <w:t>在项目场地外可能受到影响的地下水环境敏感目标的上游应至少布设1眼地下水污染监控井；</w:t>
      </w:r>
    </w:p>
    <w:p>
      <w:pPr>
        <w:ind w:firstLine="480"/>
        <w:rPr>
          <w:rFonts w:cs="Times New Roman"/>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③</w:t>
      </w:r>
      <w:r>
        <w:rPr>
          <w:rFonts w:cs="Times New Roman"/>
          <w:bCs/>
          <w:color w:val="000000" w:themeColor="text1"/>
          <w:szCs w:val="24"/>
          <w14:textFill>
            <w14:solidFill>
              <w14:schemeClr w14:val="tx1"/>
            </w14:solidFill>
          </w14:textFill>
        </w:rPr>
        <w:t>以取水层为监测目的层，以浅层潜水含水层为主，并应考虑可能受影响的承压含水层；</w:t>
      </w:r>
    </w:p>
    <w:p>
      <w:pPr>
        <w:ind w:firstLine="480"/>
        <w:rPr>
          <w:rFonts w:cs="Times New Roman"/>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④</w:t>
      </w:r>
      <w:r>
        <w:rPr>
          <w:rFonts w:cs="Times New Roman"/>
          <w:bCs/>
          <w:color w:val="000000" w:themeColor="text1"/>
          <w:szCs w:val="24"/>
          <w14:textFill>
            <w14:solidFill>
              <w14:schemeClr w14:val="tx1"/>
            </w14:solidFill>
          </w14:textFill>
        </w:rPr>
        <w:t>在重点污染防治区加密监测；</w:t>
      </w:r>
    </w:p>
    <w:p>
      <w:pPr>
        <w:ind w:firstLine="480"/>
        <w:rPr>
          <w:rFonts w:cs="Times New Roman"/>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⑤</w:t>
      </w:r>
      <w:r>
        <w:rPr>
          <w:rFonts w:cs="Times New Roman"/>
          <w:bCs/>
          <w:color w:val="000000" w:themeColor="text1"/>
          <w:szCs w:val="24"/>
          <w14:textFill>
            <w14:solidFill>
              <w14:schemeClr w14:val="tx1"/>
            </w14:solidFill>
          </w14:textFill>
        </w:rPr>
        <w:t>根据各区块地下水环境影响预测与评价结果有针对性地布设监测井。</w:t>
      </w:r>
    </w:p>
    <w:p>
      <w:pPr>
        <w:ind w:firstLine="480"/>
        <w:rPr>
          <w:rFonts w:cs="Times New Roman"/>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⑥</w:t>
      </w:r>
      <w:r>
        <w:rPr>
          <w:rFonts w:cs="Times New Roman"/>
          <w:bCs/>
          <w:color w:val="000000" w:themeColor="text1"/>
          <w:szCs w:val="24"/>
          <w14:textFill>
            <w14:solidFill>
              <w14:schemeClr w14:val="tx1"/>
            </w14:solidFill>
          </w14:textFill>
        </w:rPr>
        <w:t>充分利用现有民井、监测井，污染事件发生后监测井可以作为地下水污染事故应急处置的抽水井；</w:t>
      </w:r>
    </w:p>
    <w:p>
      <w:pPr>
        <w:ind w:firstLine="480"/>
        <w:rPr>
          <w:rFonts w:cs="Times New Roman"/>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⑦</w:t>
      </w:r>
      <w:r>
        <w:rPr>
          <w:rFonts w:cs="Times New Roman"/>
          <w:bCs/>
          <w:color w:val="000000" w:themeColor="text1"/>
          <w:szCs w:val="24"/>
          <w14:textFill>
            <w14:solidFill>
              <w14:schemeClr w14:val="tx1"/>
            </w14:solidFill>
          </w14:textFill>
        </w:rPr>
        <w:t>水质监测项目参照《地下水质量标准》（GB/T 14848-2017）相关要求和潜在污染源特征污染因子确定，各监测井可依据监测目的不同适当增加和减少监测项目。建设单位安全环保部门设立地下水动态监测小组，专人负责监测或者委托专业的机构分析</w:t>
      </w:r>
      <w:r>
        <w:rPr>
          <w:rFonts w:cs="Times New Roman"/>
          <w:color w:val="000000" w:themeColor="text1"/>
          <w:szCs w:val="24"/>
          <w14:textFill>
            <w14:solidFill>
              <w14:schemeClr w14:val="tx1"/>
            </w14:solidFill>
          </w14:textFill>
        </w:rPr>
        <w:t>。</w:t>
      </w:r>
    </w:p>
    <w:p>
      <w:pPr>
        <w:ind w:firstLine="482"/>
        <w:rPr>
          <w:rFonts w:cs="Times New Roman"/>
          <w:b/>
          <w:bCs/>
          <w:color w:val="000000" w:themeColor="text1"/>
          <w:szCs w:val="24"/>
          <w14:textFill>
            <w14:solidFill>
              <w14:schemeClr w14:val="tx1"/>
            </w14:solidFill>
          </w14:textFill>
        </w:rPr>
      </w:pPr>
      <w:bookmarkStart w:id="412" w:name="_Toc14702848"/>
      <w:r>
        <w:rPr>
          <w:rFonts w:cs="Times New Roman"/>
          <w:b/>
          <w:bCs/>
          <w:color w:val="000000" w:themeColor="text1"/>
          <w:szCs w:val="24"/>
          <w14:textFill>
            <w14:solidFill>
              <w14:schemeClr w14:val="tx1"/>
            </w14:solidFill>
          </w14:textFill>
        </w:rPr>
        <w:t>（2）监控井布置</w:t>
      </w:r>
      <w:bookmarkEnd w:id="412"/>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根据项目所在地区域地下水埋深、地下水走向、补径排关系以及监控井布设的难易程度，结合地形及位置关系，本项目布置1个泉点作为地下水例行监测点，监测方案见</w:t>
      </w:r>
      <w:r>
        <w:rPr>
          <w:rFonts w:cs="Times New Roman"/>
          <w:color w:val="000000" w:themeColor="text1"/>
          <w:szCs w:val="24"/>
          <w14:textFill>
            <w14:solidFill>
              <w14:schemeClr w14:val="tx1"/>
            </w14:solidFill>
          </w14:textFill>
        </w:rPr>
        <w:fldChar w:fldCharType="begin"/>
      </w:r>
      <w:r>
        <w:rPr>
          <w:rFonts w:cs="Times New Roman"/>
          <w:color w:val="000000" w:themeColor="text1"/>
          <w:szCs w:val="24"/>
          <w14:textFill>
            <w14:solidFill>
              <w14:schemeClr w14:val="tx1"/>
            </w14:solidFill>
          </w14:textFill>
        </w:rPr>
        <w:instrText xml:space="preserve"> REF _Ref142859680 \h  \* MERGEFORMAT </w:instrText>
      </w:r>
      <w:r>
        <w:rPr>
          <w:rFonts w:cs="Times New Roman"/>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表7.1</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2</w:t>
      </w:r>
      <w:r>
        <w:rPr>
          <w:rFonts w:cs="Times New Roman"/>
          <w:color w:val="000000" w:themeColor="text1"/>
          <w:szCs w:val="24"/>
          <w14:textFill>
            <w14:solidFill>
              <w14:schemeClr w14:val="tx1"/>
            </w14:solidFill>
          </w14:textFill>
        </w:rPr>
        <w:fldChar w:fldCharType="end"/>
      </w:r>
      <w:r>
        <w:rPr>
          <w:rFonts w:cs="Times New Roman"/>
          <w:color w:val="000000" w:themeColor="text1"/>
          <w:szCs w:val="24"/>
          <w14:textFill>
            <w14:solidFill>
              <w14:schemeClr w14:val="tx1"/>
            </w14:solidFill>
          </w14:textFill>
        </w:rPr>
        <w:t>。环评建议施工期间加强对上述监测控制点的监控，若监测结果表明项目实施导致地下水污染，应采取临时供水措施（配送桶装水等）以保障居民的饮用水源安全。</w:t>
      </w:r>
    </w:p>
    <w:p>
      <w:pPr>
        <w:pStyle w:val="95"/>
      </w:pPr>
      <w:bookmarkStart w:id="413" w:name="_Ref142859680"/>
      <w:r>
        <w:t>表</w:t>
      </w:r>
      <w:r>
        <w:fldChar w:fldCharType="begin"/>
      </w:r>
      <w:r>
        <w:instrText xml:space="preserve"> STYLEREF 2 \s </w:instrText>
      </w:r>
      <w:r>
        <w:fldChar w:fldCharType="separate"/>
      </w:r>
      <w:r>
        <w:t>7.1</w:t>
      </w:r>
      <w:r>
        <w:fldChar w:fldCharType="end"/>
      </w:r>
      <w:r>
        <w:noBreakHyphen/>
      </w:r>
      <w:r>
        <w:fldChar w:fldCharType="begin"/>
      </w:r>
      <w:r>
        <w:instrText xml:space="preserve"> SEQ 表 \* ARABIC \s 2 </w:instrText>
      </w:r>
      <w:r>
        <w:fldChar w:fldCharType="separate"/>
      </w:r>
      <w:r>
        <w:t>2</w:t>
      </w:r>
      <w:r>
        <w:fldChar w:fldCharType="end"/>
      </w:r>
      <w:bookmarkEnd w:id="413"/>
      <w:r>
        <w:t xml:space="preserve"> 施工期间地下水水质监测方案</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120"/>
        <w:gridCol w:w="854"/>
        <w:gridCol w:w="995"/>
        <w:gridCol w:w="1138"/>
        <w:gridCol w:w="22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1875" w:type="pct"/>
            <w:vMerge w:val="restart"/>
            <w:vAlign w:val="center"/>
          </w:tcPr>
          <w:p>
            <w:pPr>
              <w:pStyle w:val="294"/>
            </w:pPr>
            <w:r>
              <w:t>监测井位与建设项目的位置关系</w:t>
            </w:r>
          </w:p>
        </w:tc>
        <w:tc>
          <w:tcPr>
            <w:tcW w:w="513" w:type="pct"/>
            <w:vMerge w:val="restart"/>
            <w:vAlign w:val="center"/>
          </w:tcPr>
          <w:p>
            <w:pPr>
              <w:pStyle w:val="294"/>
            </w:pPr>
            <w:r>
              <w:t>含水层</w:t>
            </w:r>
          </w:p>
        </w:tc>
        <w:tc>
          <w:tcPr>
            <w:tcW w:w="1282" w:type="pct"/>
            <w:gridSpan w:val="2"/>
            <w:vAlign w:val="center"/>
          </w:tcPr>
          <w:p>
            <w:pPr>
              <w:pStyle w:val="294"/>
            </w:pPr>
            <w:r>
              <w:t>监测项目</w:t>
            </w:r>
          </w:p>
        </w:tc>
        <w:tc>
          <w:tcPr>
            <w:tcW w:w="1330" w:type="pct"/>
            <w:vMerge w:val="restart"/>
            <w:vAlign w:val="center"/>
          </w:tcPr>
          <w:p>
            <w:pPr>
              <w:pStyle w:val="294"/>
            </w:pPr>
            <w: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1875" w:type="pct"/>
            <w:vMerge w:val="continue"/>
            <w:vAlign w:val="center"/>
          </w:tcPr>
          <w:p>
            <w:pPr>
              <w:pStyle w:val="294"/>
            </w:pPr>
          </w:p>
        </w:tc>
        <w:tc>
          <w:tcPr>
            <w:tcW w:w="513" w:type="pct"/>
            <w:vMerge w:val="continue"/>
            <w:vAlign w:val="center"/>
          </w:tcPr>
          <w:p>
            <w:pPr>
              <w:pStyle w:val="294"/>
            </w:pPr>
          </w:p>
        </w:tc>
        <w:tc>
          <w:tcPr>
            <w:tcW w:w="598" w:type="pct"/>
            <w:vAlign w:val="center"/>
          </w:tcPr>
          <w:p>
            <w:pPr>
              <w:pStyle w:val="294"/>
            </w:pPr>
            <w:r>
              <w:t>常规因子</w:t>
            </w:r>
          </w:p>
        </w:tc>
        <w:tc>
          <w:tcPr>
            <w:tcW w:w="684" w:type="pct"/>
            <w:vAlign w:val="center"/>
          </w:tcPr>
          <w:p>
            <w:pPr>
              <w:pStyle w:val="294"/>
            </w:pPr>
            <w:r>
              <w:t>特征因子</w:t>
            </w:r>
          </w:p>
        </w:tc>
        <w:tc>
          <w:tcPr>
            <w:tcW w:w="1330" w:type="pct"/>
            <w:vMerge w:val="continue"/>
            <w:vAlign w:val="center"/>
          </w:tcPr>
          <w:p>
            <w:pPr>
              <w:pStyle w:val="29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1" w:hRule="atLeast"/>
          <w:jc w:val="center"/>
        </w:trPr>
        <w:tc>
          <w:tcPr>
            <w:tcW w:w="1875" w:type="pct"/>
            <w:shd w:val="clear" w:color="auto" w:fill="FFFFFF"/>
            <w:vAlign w:val="center"/>
          </w:tcPr>
          <w:p>
            <w:pPr>
              <w:pStyle w:val="294"/>
            </w:pPr>
            <w:r>
              <w:t>普光3011-6井场</w:t>
            </w:r>
            <w:r>
              <w:rPr>
                <w:rFonts w:hint="eastAsia"/>
              </w:rPr>
              <w:t>东北</w:t>
            </w:r>
            <w:r>
              <w:t>侧300</w:t>
            </w:r>
            <w:r>
              <w:rPr>
                <w:kern w:val="0"/>
              </w:rPr>
              <w:t>m井泉点</w:t>
            </w:r>
          </w:p>
        </w:tc>
        <w:tc>
          <w:tcPr>
            <w:tcW w:w="513" w:type="pct"/>
            <w:vAlign w:val="center"/>
          </w:tcPr>
          <w:p>
            <w:pPr>
              <w:pStyle w:val="294"/>
            </w:pPr>
            <w:r>
              <w:t>潜水层</w:t>
            </w:r>
          </w:p>
        </w:tc>
        <w:tc>
          <w:tcPr>
            <w:tcW w:w="598" w:type="pct"/>
            <w:vAlign w:val="center"/>
          </w:tcPr>
          <w:p>
            <w:pPr>
              <w:pStyle w:val="294"/>
            </w:pPr>
            <w:r>
              <w:t>pH值、总硬度、六价铬、铁、锰、耗氧量</w:t>
            </w:r>
          </w:p>
        </w:tc>
        <w:tc>
          <w:tcPr>
            <w:tcW w:w="684" w:type="pct"/>
            <w:vAlign w:val="center"/>
          </w:tcPr>
          <w:p>
            <w:pPr>
              <w:pStyle w:val="294"/>
            </w:pPr>
            <w:r>
              <w:t>TDS、COD、石油类、氯化物（Cl-）</w:t>
            </w:r>
          </w:p>
        </w:tc>
        <w:tc>
          <w:tcPr>
            <w:tcW w:w="1330" w:type="pct"/>
            <w:vAlign w:val="center"/>
          </w:tcPr>
          <w:p>
            <w:pPr>
              <w:pStyle w:val="294"/>
            </w:pPr>
            <w:r>
              <w:t>开工前1次，完钻后1次，发生事故时加密监测；试采期每年对</w:t>
            </w:r>
            <w:r>
              <w:rPr>
                <w:rFonts w:hint="eastAsia"/>
              </w:rPr>
              <w:t>该</w:t>
            </w:r>
            <w:r>
              <w:t>点位例行监测一次，事故时加密监测</w:t>
            </w:r>
          </w:p>
        </w:tc>
      </w:tr>
    </w:tbl>
    <w:p>
      <w:pPr>
        <w:pStyle w:val="92"/>
        <w:rPr>
          <w:color w:val="000000" w:themeColor="text1"/>
          <w:sz w:val="10"/>
          <w:szCs w:val="10"/>
          <w:lang w:eastAsia="zh-CN"/>
          <w14:textFill>
            <w14:solidFill>
              <w14:schemeClr w14:val="tx1"/>
            </w14:solidFill>
          </w14:textFill>
        </w:rPr>
      </w:pPr>
    </w:p>
    <w:p>
      <w:pPr>
        <w:pStyle w:val="92"/>
        <w:rPr>
          <w:color w:val="000000" w:themeColor="text1"/>
          <w:lang w:eastAsia="zh-CN"/>
          <w14:textFill>
            <w14:solidFill>
              <w14:schemeClr w14:val="tx1"/>
            </w14:solidFill>
          </w14:textFill>
        </w:rPr>
      </w:pPr>
      <w:r>
        <w:rPr>
          <w:lang w:eastAsia="zh-CN"/>
        </w:rPr>
        <w:drawing>
          <wp:inline distT="0" distB="0" distL="0" distR="0">
            <wp:extent cx="5276850" cy="341947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1"/>
                    <a:stretch>
                      <a:fillRect/>
                    </a:stretch>
                  </pic:blipFill>
                  <pic:spPr>
                    <a:xfrm>
                      <a:off x="0" y="0"/>
                      <a:ext cx="5276850" cy="3419475"/>
                    </a:xfrm>
                    <a:prstGeom prst="rect">
                      <a:avLst/>
                    </a:prstGeom>
                  </pic:spPr>
                </pic:pic>
              </a:graphicData>
            </a:graphic>
          </wp:inline>
        </w:drawing>
      </w:r>
    </w:p>
    <w:p>
      <w:pPr>
        <w:pStyle w:val="95"/>
      </w:pPr>
      <w:r>
        <w:t>图</w:t>
      </w:r>
      <w:r>
        <w:fldChar w:fldCharType="begin"/>
      </w:r>
      <w:r>
        <w:instrText xml:space="preserve"> STYLEREF 2 \s </w:instrText>
      </w:r>
      <w:r>
        <w:fldChar w:fldCharType="separate"/>
      </w:r>
      <w:r>
        <w:t>7.1</w:t>
      </w:r>
      <w:r>
        <w:fldChar w:fldCharType="end"/>
      </w:r>
      <w:r>
        <w:noBreakHyphen/>
      </w:r>
      <w:r>
        <w:fldChar w:fldCharType="begin"/>
      </w:r>
      <w:r>
        <w:instrText xml:space="preserve"> SEQ 图 \* ARABIC \s 2 </w:instrText>
      </w:r>
      <w:r>
        <w:fldChar w:fldCharType="separate"/>
      </w:r>
      <w:r>
        <w:t>3</w:t>
      </w:r>
      <w:r>
        <w:fldChar w:fldCharType="end"/>
      </w:r>
      <w:r>
        <w:t xml:space="preserve"> 地下水监控点位置图</w:t>
      </w:r>
    </w:p>
    <w:p>
      <w:pPr>
        <w:spacing w:before="120" w:beforeLines="50"/>
        <w:ind w:firstLine="480"/>
        <w:rPr>
          <w:rFonts w:eastAsia="黑体" w:cs="Times New Roman"/>
          <w:color w:val="000000" w:themeColor="text1"/>
          <w:szCs w:val="24"/>
          <w14:textFill>
            <w14:solidFill>
              <w14:schemeClr w14:val="tx1"/>
            </w14:solidFill>
          </w14:textFill>
        </w:rPr>
      </w:pPr>
      <w:r>
        <w:rPr>
          <w:rFonts w:eastAsia="黑体" w:cs="Times New Roman"/>
          <w:color w:val="000000" w:themeColor="text1"/>
          <w:szCs w:val="24"/>
          <w14:textFill>
            <w14:solidFill>
              <w14:schemeClr w14:val="tx1"/>
            </w14:solidFill>
          </w14:textFill>
        </w:rPr>
        <w:t>6应急响应</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无论预防工作如何周密，地下水污染事故总是难以根本杜绝，制定地下水污染应急响应是要迅速而有效的将事故损失减至最小，应急响应如</w:t>
      </w:r>
      <w:r>
        <w:rPr>
          <w:rFonts w:cs="Times New Roman"/>
          <w:color w:val="000000" w:themeColor="text1"/>
          <w:szCs w:val="24"/>
          <w14:textFill>
            <w14:solidFill>
              <w14:schemeClr w14:val="tx1"/>
            </w14:solidFill>
          </w14:textFill>
        </w:rPr>
        <w:fldChar w:fldCharType="begin"/>
      </w:r>
      <w:r>
        <w:rPr>
          <w:rFonts w:cs="Times New Roman"/>
          <w:color w:val="000000" w:themeColor="text1"/>
          <w:szCs w:val="24"/>
          <w14:textFill>
            <w14:solidFill>
              <w14:schemeClr w14:val="tx1"/>
            </w14:solidFill>
          </w14:textFill>
        </w:rPr>
        <w:instrText xml:space="preserve"> REF _Ref142925147 \h  \* MERGEFORMAT </w:instrText>
      </w:r>
      <w:r>
        <w:rPr>
          <w:rFonts w:cs="Times New Roman"/>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图7.1</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4</w:t>
      </w:r>
      <w:r>
        <w:rPr>
          <w:rFonts w:cs="Times New Roman"/>
          <w:color w:val="000000" w:themeColor="text1"/>
          <w:szCs w:val="24"/>
          <w14:textFill>
            <w14:solidFill>
              <w14:schemeClr w14:val="tx1"/>
            </w14:solidFill>
          </w14:textFill>
        </w:rPr>
        <w:fldChar w:fldCharType="end"/>
      </w:r>
      <w:r>
        <w:rPr>
          <w:rFonts w:cs="Times New Roman"/>
          <w:color w:val="000000" w:themeColor="text1"/>
          <w:szCs w:val="24"/>
          <w14:textFill>
            <w14:solidFill>
              <w14:schemeClr w14:val="tx1"/>
            </w14:solidFill>
          </w14:textFill>
        </w:rPr>
        <w:t>。</w:t>
      </w:r>
    </w:p>
    <w:p>
      <w:pPr>
        <w:pStyle w:val="95"/>
      </w:pPr>
      <w:r>
        <w:drawing>
          <wp:inline distT="0" distB="0" distL="0" distR="0">
            <wp:extent cx="3823970" cy="4311015"/>
            <wp:effectExtent l="0" t="0" r="5080" b="0"/>
            <wp:docPr id="1587" name="图片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图片 158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3823970" cy="4311015"/>
                    </a:xfrm>
                    <a:prstGeom prst="rect">
                      <a:avLst/>
                    </a:prstGeom>
                    <a:noFill/>
                    <a:ln>
                      <a:noFill/>
                    </a:ln>
                  </pic:spPr>
                </pic:pic>
              </a:graphicData>
            </a:graphic>
          </wp:inline>
        </w:drawing>
      </w:r>
    </w:p>
    <w:p>
      <w:pPr>
        <w:pStyle w:val="95"/>
      </w:pPr>
      <w:bookmarkStart w:id="414" w:name="_Ref142925147"/>
      <w:r>
        <w:t>图</w:t>
      </w:r>
      <w:r>
        <w:fldChar w:fldCharType="begin"/>
      </w:r>
      <w:r>
        <w:instrText xml:space="preserve"> STYLEREF 2 \s </w:instrText>
      </w:r>
      <w:r>
        <w:fldChar w:fldCharType="separate"/>
      </w:r>
      <w:r>
        <w:t>7.1</w:t>
      </w:r>
      <w:r>
        <w:fldChar w:fldCharType="end"/>
      </w:r>
      <w:r>
        <w:noBreakHyphen/>
      </w:r>
      <w:r>
        <w:fldChar w:fldCharType="begin"/>
      </w:r>
      <w:r>
        <w:instrText xml:space="preserve"> SEQ 图 \* ARABIC \s 2 </w:instrText>
      </w:r>
      <w:r>
        <w:fldChar w:fldCharType="separate"/>
      </w:r>
      <w:r>
        <w:t>4</w:t>
      </w:r>
      <w:r>
        <w:fldChar w:fldCharType="end"/>
      </w:r>
      <w:bookmarkEnd w:id="414"/>
      <w:r>
        <w:t xml:space="preserve"> 地下水污染应急响应程序图</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（1）风险应急预案</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建设单位应根据《中华人民共和国水污染防治法》编制相应的应急方案，并按照《关于印发&lt;企业突发环境事件风险评估指南（试行）的通知&gt;》（环办〔2014〕34号），将地下水风险纳入建设单位环境风险事故评估中，防止对周围地下水环境造成污染。</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（2）成立事故应急对策指挥中心</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成立由多个部门组成的事故应急对策指挥中心，负责发生事故后进行统一指挥、协调处理好抢险工作。</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（3）建立事故应急通报网络</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发生事故后，现场操作人员应立即向负责人报警，第一时间通知相关部门协作，采取应急防护措施。负责人在接报后立即确认事故位置及大小，及时向事故应急对策指挥中心报警，事故应急对策指挥中心在接报后，按照应急指挥程序，立即向环保部门、卫生部门、消防部门等请示，进行抢险工作。应急响应的过程可分为接警、判断响应级别、应急启动、控制及救援行动、扩大应急、应急终止和后期处置等步骤。应针对应急响应分布制定应急程序，并按事先制定程序指导事故应急响应。</w:t>
      </w:r>
    </w:p>
    <w:p>
      <w:pPr>
        <w:ind w:firstLine="482"/>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（4）应急措施</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一旦发生井漏等地下水污染事故，应立即启动应急预案，迅速控制项目污染现场，切断污染源，划定污染可能波及的范围，在划定圈内的群众在井中取水的，要求立即停止使用，严禁人畜饮用，对水源进行监控，防止水污染中毒，并随时准备启动供水替代方案。同时根据本项目下伏含水层地下水水质进行跟踪监测，一旦发现地下水受到污染，应及时采取必要的水动力阻隔措施。</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综上所述，本项目施工期针对地下水环境采取的措施符合《环境影响评价技术导则 地下水环境》（HJ610-2016），在川东北地区钻采工程中已实施多年，具有较好的借鉴经验。根据本井场周边其他中石化川东北地区钻采工程采用相同地下水污染防治措施，到目前为止，</w:t>
      </w:r>
      <w:r>
        <w:rPr>
          <w:rFonts w:cs="Times New Roman"/>
          <w:color w:val="000000" w:themeColor="text1"/>
          <w14:textFill>
            <w14:solidFill>
              <w14:schemeClr w14:val="tx1"/>
            </w14:solidFill>
          </w14:textFill>
        </w:rPr>
        <w:t>中原油田普光分公司</w:t>
      </w:r>
      <w:r>
        <w:rPr>
          <w:rFonts w:cs="Times New Roman"/>
          <w:color w:val="000000" w:themeColor="text1"/>
          <w:szCs w:val="24"/>
          <w14:textFill>
            <w14:solidFill>
              <w14:schemeClr w14:val="tx1"/>
            </w14:solidFill>
          </w14:textFill>
        </w:rPr>
        <w:t>未收到地下水污染方面的环保投诉。因此，本项目施工期地下水防治措施从经济和环保角度分析是合理、可行的。</w:t>
      </w:r>
    </w:p>
    <w:p>
      <w:pPr>
        <w:pStyle w:val="4"/>
        <w:ind w:firstLine="241"/>
        <w:rPr>
          <w:b w:val="0"/>
        </w:rPr>
      </w:pPr>
      <w:bookmarkStart w:id="415" w:name="6.1.3施工噪声防治措施及可行性分析"/>
      <w:bookmarkEnd w:id="415"/>
      <w:bookmarkStart w:id="416" w:name="_Toc120173214"/>
      <w:r>
        <w:rPr>
          <w:rFonts w:hint="eastAsia"/>
        </w:rPr>
        <w:t>7.1.5</w:t>
      </w:r>
      <w:r>
        <w:t>施工期噪声防治措施及可行性分析</w:t>
      </w:r>
      <w:bookmarkEnd w:id="416"/>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对于钻井噪声，目前还没有针对声源的十分经济有效的防治措施，主要是选用低噪声设备，再通过合理的井场布局来减轻噪声的影响。为进一步降低噪声对周边居民的影响，施工期间建设单位应采取如下措施：</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（1）本项目新钻井设备安装等少量钻前施工前应作好沟通工作，合理安排作业时间，尽量避免午间12：00~14：00和夜间22：00~7：00施工，并尽量缩短施工周期。</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2）合理布置主要噪声源，使其尽量远离农户居住地；为办公及生活提供电力的发电机设置发电机房，采用特殊的减震，并安装吸声材料；为钻机提供动力的柴油机安装消声装置和设置减震基础；钻井设备、泥浆泵基础设置减震垫；空压机和增压机安装在房间内，隔声并安装减震垫层。</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（3）建设单位应做好与地方供电部门的沟通工作，确保供电正常，尽量减少备用柴油机的启用。</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4）施工方在施工期间应加强施工管理，柴油机、泥浆泵等设备应做好日常维护，同时在操作时做到平稳操作，避免特种作业时产生非正常的噪声；在夜间作业时，应平稳操作，尽量避免敲击噪声；加强施工人员的管理和教育，减少不必要的金属敲击声和人为噪声。</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（5）运输车辆沿规定路线行驶，减少鸣笛，经过村庄等居民区时缓慢平稳行驶。</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（6）放喷池设置三面建3m的围墙，可以降低一定的噪声；</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（7）放喷测试前，建设方和当地政府应对距放喷口一定范围内（该距离根据行安全预评价预测结果来确定）的居民进行临时撤离并建立警戒点进行24h警戒，能有效避免测试放喷噪声对周边居民影响。</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综上所述，本项目施工期声环境保护措施，在川东北地区钻采工程中已实施多年，具有较好的借鉴经验。根据本井场周边其他中石化川东北地区钻采工程采用相同噪声污染防治措施，且项目井口周边200m范围内无居民分布。因此，本项目施工期噪声污染防治措施从经济和环保角度分析是合理、可行的。</w:t>
      </w:r>
    </w:p>
    <w:p>
      <w:pPr>
        <w:pStyle w:val="4"/>
        <w:ind w:firstLine="241"/>
        <w:rPr>
          <w:b w:val="0"/>
        </w:rPr>
      </w:pPr>
      <w:bookmarkStart w:id="417" w:name="6.1.4固体废物污染防治措施"/>
      <w:bookmarkEnd w:id="417"/>
      <w:bookmarkStart w:id="418" w:name="_Toc120173215"/>
      <w:r>
        <w:rPr>
          <w:rFonts w:hint="eastAsia"/>
        </w:rPr>
        <w:t>7.1.6</w:t>
      </w:r>
      <w:r>
        <w:t>施工期土壤环境污染防治措施</w:t>
      </w:r>
      <w:bookmarkEnd w:id="418"/>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1、源头控制措施</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从钻井原辅材料和污染物（废水、废油、钻井固废）储存、装卸、运输、钻井过程等全过程控制各种有毒有害原辅材料、中间材料（循环泥浆）、污染物（废水、废油、钻井固废）泄漏（含跑、冒、滴、漏），同时对有害物质可能泄漏到地面的区域采取防渗措施，阻止其进入土壤中，即从源头到末端全方位采取控制措施，防止项目的建设对土壤造成污染。</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从钻井过程入手，在工艺、管道、设备、给排水等方面尽可能地采取泄漏控制措施，从源头最大限度降低污染物质泄漏的可能性和泄漏量，使项目区污染物对土壤的影响降至最低，一旦出现泄漏等即可由区域内的各种配套措施进行收集、处置，同时经过防渗处理的地面有效阻止污染物的下渗。</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2、过程控制措施</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（1）地面漫流污染途径治理措施</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对泥浆不落地技术工艺区域及泥浆循环系统、泥浆料台区、油罐区、柴油机组区均设置了防雨棚，危险废物、发电机均设在活动房内，方井周边、放喷池在雨天加盖篷布，避免暴雨引起废水、废油外溢形成地面漫流。并在废水收集罐周围设置0.5m高围堰，防止废水外溢；油罐区周围设置0.15m高围堰及集油池，防止泄露油料外溢；放喷池最低面墙设置不低于0.5m，避免废水进入；井口作业区周边设置导流沟，将可能泄露的废水导流至集污坑；井场四周设置双环沟，外环沟与自然沟渠连接，便于排出场地内雨水等，内环沟用于收集井场内的雨水和可能产生的污水，汇入集污坑。通过以上措施全面防控事故废水和可能受污染的雨水发生地面漫流，进入土壤。</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（2）垂直入渗污染途径治理措施</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井场进行分区防渗，见地下水污染防治措施章节。对易泄漏的废水收集罐、废渣收集罐、泥浆储罐、泥浆循环罐、柴油罐、污水罐等罐体采用防腐、不易破损的材质，防治罐体腐蚀破裂导致污染物泄露；井场设备、管道阀门宜采用密封性好、不易腐蚀的，防止污染物通过阀门泄漏到地面上。</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总的来说，地下水和土壤污染防治措施应按照“源头控制、分区防控、污染监控、应急响应”相结合的原则，从污染物的产生、入渗、扩散、应急响应进行控制。这些措施</w:t>
      </w:r>
      <w:r>
        <w:rPr>
          <w:rFonts w:cs="Times New Roman"/>
          <w:color w:val="000000" w:themeColor="text1"/>
          <w:szCs w:val="24"/>
          <w14:textFill>
            <w14:solidFill>
              <w14:schemeClr w14:val="tx1"/>
            </w14:solidFill>
          </w14:textFill>
        </w:rPr>
        <w:t>在川东北地区钻采工程中已实施多年，具有较好的借鉴经验。根据本井场周边其他中石化川东北地区钻采工程采用相同土壤污染防治措施，在加强管理和监控后，无土壤污染现象和投诉发生。因此，本项目施工期土壤污染防治措施从经济和环保角度分析是合理、可行的。</w:t>
      </w:r>
    </w:p>
    <w:p>
      <w:pPr>
        <w:pStyle w:val="4"/>
        <w:ind w:firstLine="241"/>
        <w:rPr>
          <w:b w:val="0"/>
        </w:rPr>
      </w:pPr>
      <w:bookmarkStart w:id="419" w:name="_Toc120173216"/>
      <w:r>
        <w:rPr>
          <w:rFonts w:hint="eastAsia"/>
        </w:rPr>
        <w:t>7.1.7</w:t>
      </w:r>
      <w:r>
        <w:t>施工期固体废物污染防治措施</w:t>
      </w:r>
      <w:bookmarkEnd w:id="419"/>
    </w:p>
    <w:p>
      <w:pPr>
        <w:ind w:firstLine="480"/>
        <w:rPr>
          <w:rFonts w:eastAsia="黑体" w:cs="Times New Roman"/>
          <w:color w:val="000000" w:themeColor="text1"/>
          <w14:textFill>
            <w14:solidFill>
              <w14:schemeClr w14:val="tx1"/>
            </w14:solidFill>
          </w14:textFill>
        </w:rPr>
      </w:pPr>
      <w:r>
        <w:rPr>
          <w:rFonts w:eastAsia="黑体" w:cs="Times New Roman"/>
          <w:color w:val="000000" w:themeColor="text1"/>
          <w14:textFill>
            <w14:solidFill>
              <w14:schemeClr w14:val="tx1"/>
            </w14:solidFill>
          </w14:textFill>
        </w:rPr>
        <w:t>1、治理措施</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（1）建筑垃圾</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在施工现场设置临时建筑垃圾堆放场，覆盖塑料布并做好地面防渗漏处理。建筑垃圾除部分回收利用以外，剩余部分堆放达一定量时应及时清运到当地政府指定的建筑垃圾场处理。运输应尽量避开交通高峰期，并选择对周围环境影响较小的运输路线，运输车辆出场时必须封闭，避免在运输过程中的抛洒现象。</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（2）生活垃圾</w:t>
      </w:r>
    </w:p>
    <w:p>
      <w:pPr>
        <w:ind w:firstLine="480"/>
        <w:rPr>
          <w:rFonts w:cs="Times New Roman"/>
          <w:bCs/>
          <w:color w:val="000000" w:themeColor="text1"/>
          <w14:textFill>
            <w14:solidFill>
              <w14:schemeClr w14:val="tx1"/>
            </w14:solidFill>
          </w14:textFill>
        </w:rPr>
      </w:pPr>
      <w:r>
        <w:rPr>
          <w:rFonts w:cs="Times New Roman"/>
          <w:color w:val="000000" w:themeColor="text1"/>
          <w14:textFill>
            <w14:solidFill>
              <w14:schemeClr w14:val="tx1"/>
            </w14:solidFill>
          </w14:textFill>
        </w:rPr>
        <w:t>钻井期</w:t>
      </w:r>
      <w:r>
        <w:rPr>
          <w:rFonts w:cs="Times New Roman"/>
          <w:bCs/>
          <w:color w:val="000000" w:themeColor="text1"/>
          <w14:textFill>
            <w14:solidFill>
              <w14:schemeClr w14:val="tx1"/>
            </w14:solidFill>
          </w14:textFill>
        </w:rPr>
        <w:t>井场设置垃圾桶进行收集，垃圾桶进行防雨防风处理，定期清运交由当地环卫部门统一处理。</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（3）空气钻岩屑</w:t>
      </w:r>
    </w:p>
    <w:p>
      <w:pPr>
        <w:widowControl/>
        <w:adjustRightInd/>
        <w:snapToGrid/>
        <w:ind w:firstLine="480"/>
        <w:rPr>
          <w:rFonts w:cs="Times New Roman"/>
          <w:color w:val="000000" w:themeColor="text1"/>
          <w:kern w:val="0"/>
          <w:szCs w:val="24"/>
          <w14:textFill>
            <w14:solidFill>
              <w14:schemeClr w14:val="tx1"/>
            </w14:solidFill>
          </w14:textFill>
        </w:rPr>
      </w:pPr>
      <w:r>
        <w:rPr>
          <w:rFonts w:cs="Times New Roman"/>
          <w:color w:val="000000" w:themeColor="text1"/>
          <w14:textFill>
            <w14:solidFill>
              <w14:schemeClr w14:val="tx1"/>
            </w14:solidFill>
          </w14:textFill>
        </w:rPr>
        <w:t>空气钻岩屑用于井场低洼区域回填处理。</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（4）水基钻井固废</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本项目水基钻井固废产生量约2005m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，项目设置在</w:t>
      </w:r>
      <w:r>
        <w:rPr>
          <w:rFonts w:cs="Times New Roman"/>
          <w:color w:val="000000" w:themeColor="text1"/>
          <w:szCs w:val="24"/>
          <w14:textFill>
            <w14:solidFill>
              <w14:schemeClr w14:val="tx1"/>
            </w14:solidFill>
          </w14:textFill>
        </w:rPr>
        <w:t>钻井固废暂存区</w:t>
      </w:r>
      <w:r>
        <w:rPr>
          <w:rFonts w:cs="Times New Roman"/>
          <w:color w:val="000000" w:themeColor="text1"/>
          <w14:textFill>
            <w14:solidFill>
              <w14:schemeClr w14:val="tx1"/>
            </w14:solidFill>
          </w14:textFill>
        </w:rPr>
        <w:t>的废渣收集罐容积约100m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，在暂存容积剩余约20％前及时进行转运，能够确保满足水基钻井固废的暂存，不会出现外溢的现象。水基废弃泥浆和岩屑在钻井现场经泥浆不落地工艺经脱稳-板框压滤进行固液分离后产生的固态</w:t>
      </w:r>
      <w:r>
        <w:rPr>
          <w:rFonts w:cs="Times New Roman"/>
          <w:bCs/>
          <w:color w:val="000000" w:themeColor="text1"/>
          <w14:textFill>
            <w14:solidFill>
              <w14:schemeClr w14:val="tx1"/>
            </w14:solidFill>
          </w14:textFill>
        </w:rPr>
        <w:t>钻井固废</w:t>
      </w:r>
      <w:r>
        <w:rPr>
          <w:rFonts w:cs="Times New Roman"/>
          <w:color w:val="000000" w:themeColor="text1"/>
          <w14:textFill>
            <w14:solidFill>
              <w14:schemeClr w14:val="tx1"/>
            </w14:solidFill>
          </w14:textFill>
        </w:rPr>
        <w:t>，在</w:t>
      </w:r>
      <w:r>
        <w:rPr>
          <w:rFonts w:cs="Times New Roman"/>
          <w:color w:val="000000" w:themeColor="text1"/>
          <w:szCs w:val="24"/>
          <w14:textFill>
            <w14:solidFill>
              <w14:schemeClr w14:val="tx1"/>
            </w14:solidFill>
          </w14:textFill>
        </w:rPr>
        <w:t>泥浆不落地装置附近设置钻井固废暂存区</w:t>
      </w:r>
      <w:r>
        <w:rPr>
          <w:rFonts w:cs="Times New Roman"/>
          <w:color w:val="000000" w:themeColor="text1"/>
          <w14:textFill>
            <w14:solidFill>
              <w14:schemeClr w14:val="tx1"/>
            </w14:solidFill>
          </w14:textFill>
        </w:rPr>
        <w:t>由废渣收集罐收集后临时暂存，定期用密闭罐车及时转运至</w:t>
      </w:r>
      <w:r>
        <w:rPr>
          <w:color w:val="000000" w:themeColor="text1"/>
          <w:szCs w:val="24"/>
          <w14:textFill>
            <w14:solidFill>
              <w14:schemeClr w14:val="tx1"/>
            </w14:solidFill>
          </w14:textFill>
        </w:rPr>
        <w:t>达州地区环保手续齐全、环保设施稳定运行固废烧结厂进行烧结后综合利用</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此举符合《水泥窑协同处置固体废物污染防治技术政策》（环保部公告2016年第72号），属国家鼓励的污染物治理方式。</w:t>
      </w:r>
      <w:r>
        <w:rPr>
          <w:rFonts w:cs="Times New Roman"/>
          <w:bCs/>
          <w:color w:val="000000" w:themeColor="text1"/>
          <w14:textFill>
            <w14:solidFill>
              <w14:schemeClr w14:val="tx1"/>
            </w14:solidFill>
          </w14:textFill>
        </w:rPr>
        <w:t>完钻后井筒内替换出来的泥浆经循环系统处理后与泥浆循环系统内剩余的合格钻井泥浆用于区块其他项目钻井回用</w:t>
      </w:r>
      <w:r>
        <w:rPr>
          <w:rFonts w:cs="Times New Roman"/>
          <w:color w:val="000000" w:themeColor="text1"/>
          <w14:textFill>
            <w14:solidFill>
              <w14:schemeClr w14:val="tx1"/>
            </w14:solidFill>
          </w14:textFill>
        </w:rPr>
        <w:t>。</w:t>
      </w:r>
    </w:p>
    <w:p>
      <w:pPr>
        <w:widowControl/>
        <w:ind w:firstLine="480"/>
        <w:rPr>
          <w:rFonts w:cs="Times New Roman"/>
          <w:bCs/>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如遇特殊地层，三开段可能使用油基钻井液，则上述的三开段水基岩屑将变更为油基岩屑，根据上述计算公式可知，油基岩屑的产生量约为133m</w:t>
      </w:r>
      <w:r>
        <w:rPr>
          <w:rFonts w:cs="Times New Roman"/>
          <w:color w:val="000000" w:themeColor="text1"/>
          <w:kern w:val="0"/>
          <w:vertAlign w:val="superscript"/>
          <w14:textFill>
            <w14:solidFill>
              <w14:schemeClr w14:val="tx1"/>
            </w14:solidFill>
          </w14:textFill>
        </w:rPr>
        <w:t>3</w:t>
      </w:r>
      <w:r>
        <w:rPr>
          <w:rFonts w:cs="Times New Roman"/>
          <w:color w:val="000000" w:themeColor="text1"/>
          <w:kern w:val="0"/>
          <w14:textFill>
            <w14:solidFill>
              <w14:schemeClr w14:val="tx1"/>
            </w14:solidFill>
          </w14:textFill>
        </w:rPr>
        <w:t>，</w:t>
      </w:r>
      <w:r>
        <w:rPr>
          <w:rFonts w:cs="Times New Roman"/>
          <w:bCs/>
          <w:color w:val="000000" w:themeColor="text1"/>
          <w:kern w:val="0"/>
          <w14:textFill>
            <w14:solidFill>
              <w14:schemeClr w14:val="tx1"/>
            </w14:solidFill>
          </w14:textFill>
        </w:rPr>
        <w:t>最大废弃油基钻井泥浆197.8m</w:t>
      </w:r>
      <w:r>
        <w:rPr>
          <w:rFonts w:cs="Times New Roman"/>
          <w:color w:val="000000" w:themeColor="text1"/>
          <w:kern w:val="0"/>
          <w:vertAlign w:val="superscript"/>
          <w14:textFill>
            <w14:solidFill>
              <w14:schemeClr w14:val="tx1"/>
            </w14:solidFill>
          </w14:textFill>
        </w:rPr>
        <w:t>3</w:t>
      </w:r>
      <w:r>
        <w:rPr>
          <w:rFonts w:cs="Times New Roman"/>
          <w:color w:val="000000" w:themeColor="text1"/>
          <w:kern w:val="0"/>
          <w14:textFill>
            <w14:solidFill>
              <w14:schemeClr w14:val="tx1"/>
            </w14:solidFill>
          </w14:textFill>
        </w:rPr>
        <w:t>，则废油基泥浆与油基岩屑产生量约为330.8m</w:t>
      </w:r>
      <w:r>
        <w:rPr>
          <w:rFonts w:cs="Times New Roman"/>
          <w:color w:val="000000" w:themeColor="text1"/>
          <w:kern w:val="0"/>
          <w:vertAlign w:val="superscript"/>
          <w14:textFill>
            <w14:solidFill>
              <w14:schemeClr w14:val="tx1"/>
            </w14:solidFill>
          </w14:textFill>
        </w:rPr>
        <w:t>3</w:t>
      </w:r>
      <w:r>
        <w:rPr>
          <w:rFonts w:cs="Times New Roman"/>
          <w:color w:val="000000" w:themeColor="text1"/>
          <w:kern w:val="0"/>
          <w14:textFill>
            <w14:solidFill>
              <w14:schemeClr w14:val="tx1"/>
            </w14:solidFill>
          </w14:textFill>
        </w:rPr>
        <w:t>。油基钻井废泥浆、岩屑</w:t>
      </w:r>
      <w:r>
        <w:rPr>
          <w:rFonts w:hint="eastAsia" w:cs="Times New Roman"/>
          <w:kern w:val="0"/>
        </w:rPr>
        <w:t>采用</w:t>
      </w:r>
      <w:r>
        <w:rPr>
          <w:rFonts w:cs="Times New Roman"/>
          <w:kern w:val="0"/>
        </w:rPr>
        <w:t>罐装后</w:t>
      </w:r>
      <w:r>
        <w:rPr>
          <w:rFonts w:cs="Times New Roman"/>
          <w:color w:val="000000" w:themeColor="text1"/>
          <w:kern w:val="0"/>
          <w14:textFill>
            <w14:solidFill>
              <w14:schemeClr w14:val="tx1"/>
            </w14:solidFill>
          </w14:textFill>
        </w:rPr>
        <w:t>暂存于新建的60m</w:t>
      </w:r>
      <w:r>
        <w:rPr>
          <w:rFonts w:cs="Times New Roman"/>
          <w:color w:val="000000" w:themeColor="text1"/>
          <w:kern w:val="0"/>
          <w:vertAlign w:val="superscript"/>
          <w14:textFill>
            <w14:solidFill>
              <w14:schemeClr w14:val="tx1"/>
            </w14:solidFill>
          </w14:textFill>
        </w:rPr>
        <w:t>2</w:t>
      </w:r>
      <w:r>
        <w:rPr>
          <w:rFonts w:cs="Times New Roman"/>
          <w:color w:val="000000" w:themeColor="text1"/>
          <w:kern w:val="0"/>
          <w14:textFill>
            <w14:solidFill>
              <w14:schemeClr w14:val="tx1"/>
            </w14:solidFill>
          </w14:textFill>
        </w:rPr>
        <w:t>危险废物暂存场所（采取必要的防风、防晒、防雨、防漏、防渗、防腐以及其他环境污染防治措施，不得露天堆放危险废物），泥浆和油基钻井岩屑及时后交由有资质的单位处置。</w:t>
      </w:r>
      <w:r>
        <w:rPr>
          <w:rFonts w:cs="Times New Roman"/>
          <w:color w:val="000000" w:themeColor="text1"/>
          <w14:textFill>
            <w14:solidFill>
              <w14:schemeClr w14:val="tx1"/>
            </w14:solidFill>
          </w14:textFill>
        </w:rPr>
        <w:t>项目设置在</w:t>
      </w:r>
      <w:r>
        <w:rPr>
          <w:rFonts w:hint="eastAsia" w:cs="Times New Roman"/>
          <w:color w:val="000000" w:themeColor="text1"/>
          <w:szCs w:val="24"/>
          <w14:textFill>
            <w14:solidFill>
              <w14:schemeClr w14:val="tx1"/>
            </w14:solidFill>
          </w14:textFill>
        </w:rPr>
        <w:t>危险废物</w:t>
      </w:r>
      <w:r>
        <w:rPr>
          <w:rFonts w:cs="Times New Roman"/>
          <w:color w:val="000000" w:themeColor="text1"/>
          <w:szCs w:val="24"/>
          <w14:textFill>
            <w14:solidFill>
              <w14:schemeClr w14:val="tx1"/>
            </w14:solidFill>
          </w14:textFill>
        </w:rPr>
        <w:t>暂存</w:t>
      </w:r>
      <w:r>
        <w:rPr>
          <w:rFonts w:hint="eastAsia" w:cs="Times New Roman"/>
          <w:color w:val="000000" w:themeColor="text1"/>
          <w:szCs w:val="24"/>
          <w14:textFill>
            <w14:solidFill>
              <w14:schemeClr w14:val="tx1"/>
            </w14:solidFill>
          </w14:textFill>
        </w:rPr>
        <w:t>场所</w:t>
      </w:r>
      <w:r>
        <w:rPr>
          <w:rFonts w:cs="Times New Roman"/>
          <w:color w:val="000000" w:themeColor="text1"/>
          <w14:textFill>
            <w14:solidFill>
              <w14:schemeClr w14:val="tx1"/>
            </w14:solidFill>
          </w14:textFill>
        </w:rPr>
        <w:t>的</w:t>
      </w:r>
      <w:r>
        <w:rPr>
          <w:rFonts w:cs="Times New Roman"/>
          <w:color w:val="000000" w:themeColor="text1"/>
          <w:kern w:val="0"/>
          <w14:textFill>
            <w14:solidFill>
              <w14:schemeClr w14:val="tx1"/>
            </w14:solidFill>
          </w14:textFill>
        </w:rPr>
        <w:t>废油基泥浆与油基岩屑</w:t>
      </w:r>
      <w:r>
        <w:rPr>
          <w:rFonts w:cs="Times New Roman"/>
          <w:color w:val="000000" w:themeColor="text1"/>
          <w14:textFill>
            <w14:solidFill>
              <w14:schemeClr w14:val="tx1"/>
            </w14:solidFill>
          </w14:textFill>
        </w:rPr>
        <w:t>收集罐容积约</w:t>
      </w:r>
      <w:r>
        <w:rPr>
          <w:rFonts w:cs="Times New Roman"/>
        </w:rPr>
        <w:t>60m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，在暂存容积剩余约20％前及时进行转运，能够确保满足</w:t>
      </w:r>
      <w:r>
        <w:rPr>
          <w:rFonts w:cs="Times New Roman"/>
          <w:color w:val="000000" w:themeColor="text1"/>
          <w:kern w:val="0"/>
          <w14:textFill>
            <w14:solidFill>
              <w14:schemeClr w14:val="tx1"/>
            </w14:solidFill>
          </w14:textFill>
        </w:rPr>
        <w:t>废油基泥浆与油基岩屑</w:t>
      </w:r>
      <w:r>
        <w:rPr>
          <w:rFonts w:cs="Times New Roman"/>
          <w:color w:val="000000" w:themeColor="text1"/>
          <w14:textFill>
            <w14:solidFill>
              <w14:schemeClr w14:val="tx1"/>
            </w14:solidFill>
          </w14:textFill>
        </w:rPr>
        <w:t>的暂存，不会出现外溢的现象。</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（5）废油及其他不能使用含油废物</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产生的废油由施工单位统一收集并综合利用，若不能全部回用，不能综合利用的废油、不能继续使用的废油桶以及擦拭站场设备产生的其他含油固废</w:t>
      </w:r>
      <w:r>
        <w:rPr>
          <w:rFonts w:hint="eastAsia" w:cs="Times New Roman"/>
          <w:color w:val="000000" w:themeColor="text1"/>
          <w14:textFill>
            <w14:solidFill>
              <w14:schemeClr w14:val="tx1"/>
            </w14:solidFill>
          </w14:textFill>
        </w:rPr>
        <w:t>暂存</w:t>
      </w:r>
      <w:r>
        <w:rPr>
          <w:rFonts w:cs="Times New Roman"/>
          <w:color w:val="000000" w:themeColor="text1"/>
          <w14:textFill>
            <w14:solidFill>
              <w14:schemeClr w14:val="tx1"/>
            </w14:solidFill>
          </w14:textFill>
        </w:rPr>
        <w:t>于危废暂存间内，交由有资质的单位处理。废油的收集、贮存和运输应满足《危险废物收集、贮存、运输技术规范》（HJ2025-2012）及《废矿物油回收利用污染控制技术规范》（HJ607-2011）相关规定。</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（6）废包装材料等其他一般固废</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部分回收重复利用，不可回用部分经收集后暂处于井场内，定期送当地废品回收站处理。</w:t>
      </w:r>
    </w:p>
    <w:p>
      <w:pPr>
        <w:ind w:firstLine="480"/>
        <w:rPr>
          <w:rFonts w:cs="Times New Roman"/>
          <w:color w:val="000000" w:themeColor="text1"/>
          <w14:textFill>
            <w14:solidFill>
              <w14:schemeClr w14:val="tx1"/>
            </w14:solidFill>
          </w14:textFill>
        </w:rPr>
      </w:pPr>
      <w:r>
        <w:rPr>
          <w:rFonts w:eastAsia="黑体" w:cs="Times New Roman"/>
          <w:color w:val="000000" w:themeColor="text1"/>
          <w14:textFill>
            <w14:solidFill>
              <w14:schemeClr w14:val="tx1"/>
            </w14:solidFill>
          </w14:textFill>
        </w:rPr>
        <w:t>2、水基钻井固废依托措施的可行性分析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本项目水基钻井固废属于第</w:t>
      </w:r>
      <w:r>
        <w:rPr>
          <w:rFonts w:hint="eastAsia" w:ascii="宋体" w:hAnsi="宋体" w:cs="宋体"/>
          <w:color w:val="000000" w:themeColor="text1"/>
          <w14:textFill>
            <w14:solidFill>
              <w14:schemeClr w14:val="tx1"/>
            </w14:solidFill>
          </w14:textFill>
        </w:rPr>
        <w:t>Ⅱ</w:t>
      </w:r>
      <w:r>
        <w:rPr>
          <w:rFonts w:cs="Times New Roman"/>
          <w:color w:val="000000" w:themeColor="text1"/>
          <w14:textFill>
            <w14:solidFill>
              <w14:schemeClr w14:val="tx1"/>
            </w14:solidFill>
          </w14:textFill>
        </w:rPr>
        <w:t>类一般固体废物，收集后定期用密闭罐车及时转运至</w:t>
      </w:r>
      <w:r>
        <w:rPr>
          <w:color w:val="000000" w:themeColor="text1"/>
          <w:szCs w:val="24"/>
          <w14:textFill>
            <w14:solidFill>
              <w14:schemeClr w14:val="tx1"/>
            </w14:solidFill>
          </w14:textFill>
        </w:rPr>
        <w:t>达州地区环保手续齐全、环保设施稳定运行固废烧结厂进行烧结后综合利用</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满足《达州市生态环境局办公室关于加强固体废物污染防治工作的通知》（达市环办发〔2019〕49号文件要求。</w:t>
      </w:r>
      <w:r>
        <w:rPr>
          <w:rFonts w:cs="Times New Roman"/>
          <w:bCs/>
          <w:color w:val="000000" w:themeColor="text1"/>
          <w14:textFill>
            <w14:solidFill>
              <w14:schemeClr w14:val="tx1"/>
            </w14:solidFill>
          </w14:textFill>
        </w:rPr>
        <w:t>钻井废弃物中SiO</w:t>
      </w:r>
      <w:r>
        <w:rPr>
          <w:rFonts w:cs="Times New Roman"/>
          <w:bCs/>
          <w:color w:val="000000" w:themeColor="text1"/>
          <w:vertAlign w:val="subscript"/>
          <w14:textFill>
            <w14:solidFill>
              <w14:schemeClr w14:val="tx1"/>
            </w14:solidFill>
          </w14:textFill>
        </w:rPr>
        <w:t>2</w:t>
      </w:r>
      <w:r>
        <w:rPr>
          <w:rFonts w:cs="Times New Roman"/>
          <w:bCs/>
          <w:color w:val="000000" w:themeColor="text1"/>
          <w14:textFill>
            <w14:solidFill>
              <w14:schemeClr w14:val="tx1"/>
            </w14:solidFill>
          </w14:textFill>
        </w:rPr>
        <w:t>、Al</w:t>
      </w:r>
      <w:r>
        <w:rPr>
          <w:rFonts w:cs="Times New Roman"/>
          <w:bCs/>
          <w:color w:val="000000" w:themeColor="text1"/>
          <w:vertAlign w:val="subscript"/>
          <w14:textFill>
            <w14:solidFill>
              <w14:schemeClr w14:val="tx1"/>
            </w14:solidFill>
          </w14:textFill>
        </w:rPr>
        <w:t>2</w:t>
      </w:r>
      <w:r>
        <w:rPr>
          <w:rFonts w:cs="Times New Roman"/>
          <w:bCs/>
          <w:color w:val="000000" w:themeColor="text1"/>
          <w14:textFill>
            <w14:solidFill>
              <w14:schemeClr w14:val="tx1"/>
            </w14:solidFill>
          </w14:textFill>
        </w:rPr>
        <w:t>O</w:t>
      </w:r>
      <w:r>
        <w:rPr>
          <w:rFonts w:cs="Times New Roman"/>
          <w:bCs/>
          <w:color w:val="000000" w:themeColor="text1"/>
          <w:vertAlign w:val="subscript"/>
          <w14:textFill>
            <w14:solidFill>
              <w14:schemeClr w14:val="tx1"/>
            </w14:solidFill>
          </w14:textFill>
        </w:rPr>
        <w:t>3</w:t>
      </w:r>
      <w:r>
        <w:rPr>
          <w:rFonts w:cs="Times New Roman"/>
          <w:bCs/>
          <w:color w:val="000000" w:themeColor="text1"/>
          <w14:textFill>
            <w14:solidFill>
              <w14:schemeClr w14:val="tx1"/>
            </w14:solidFill>
          </w14:textFill>
        </w:rPr>
        <w:t>及CaO为其</w:t>
      </w:r>
      <w:r>
        <w:rPr>
          <w:rFonts w:hint="eastAsia" w:cs="Times New Roman"/>
          <w:bCs/>
          <w:color w:val="000000" w:themeColor="text1"/>
          <w:lang w:eastAsia="zh-CN"/>
          <w14:textFill>
            <w14:solidFill>
              <w14:schemeClr w14:val="tx1"/>
            </w14:solidFill>
          </w14:textFill>
        </w:rPr>
        <w:t>主要成分</w:t>
      </w:r>
      <w:r>
        <w:rPr>
          <w:rFonts w:cs="Times New Roman"/>
          <w:bCs/>
          <w:color w:val="000000" w:themeColor="text1"/>
          <w14:textFill>
            <w14:solidFill>
              <w14:schemeClr w14:val="tx1"/>
            </w14:solidFill>
          </w14:textFill>
        </w:rPr>
        <w:t>，其与砖、水泥生料成份有相似之处，类比固废</w:t>
      </w:r>
      <w:r>
        <w:rPr>
          <w:rFonts w:hint="eastAsia" w:cs="Times New Roman"/>
          <w:bCs/>
          <w:color w:val="000000" w:themeColor="text1"/>
          <w14:textFill>
            <w14:solidFill>
              <w14:schemeClr w14:val="tx1"/>
            </w14:solidFill>
          </w14:textFill>
        </w:rPr>
        <w:t>烧结厂协同</w:t>
      </w:r>
      <w:r>
        <w:rPr>
          <w:rFonts w:cs="Times New Roman"/>
          <w:bCs/>
          <w:color w:val="000000" w:themeColor="text1"/>
          <w14:textFill>
            <w14:solidFill>
              <w14:schemeClr w14:val="tx1"/>
            </w14:solidFill>
          </w14:textFill>
        </w:rPr>
        <w:t>处置钻井废弃物项目，利用</w:t>
      </w:r>
      <w:r>
        <w:rPr>
          <w:rFonts w:hint="eastAsia" w:cs="Times New Roman"/>
          <w:bCs/>
          <w:color w:val="000000" w:themeColor="text1"/>
          <w14:textFill>
            <w14:solidFill>
              <w14:schemeClr w14:val="tx1"/>
            </w14:solidFill>
          </w14:textFill>
        </w:rPr>
        <w:t>烧结厂协同</w:t>
      </w:r>
      <w:r>
        <w:rPr>
          <w:rFonts w:cs="Times New Roman"/>
          <w:bCs/>
          <w:color w:val="000000" w:themeColor="text1"/>
          <w14:textFill>
            <w14:solidFill>
              <w14:schemeClr w14:val="tx1"/>
            </w14:solidFill>
          </w14:textFill>
        </w:rPr>
        <w:t>处置</w:t>
      </w:r>
      <w:r>
        <w:rPr>
          <w:rFonts w:cs="Times New Roman"/>
          <w:color w:val="000000" w:themeColor="text1"/>
          <w14:textFill>
            <w14:solidFill>
              <w14:schemeClr w14:val="tx1"/>
            </w14:solidFill>
          </w14:textFill>
        </w:rPr>
        <w:t>从技术上是可行的。与中石化合作的有资质单位均有接收本项目钻井固废的能力且接收能力很大，因此建设单位在钻井期应根据中石化中原油田普光分公司统筹安排，尽量就近选择有处理能力的资质单位处置本项目的钻井固废，在开钻与拉运前做好协调沟通工作，确保项目钻井固废能够得到妥善有效处置，在采取上述措施后本项目钻井固废资源化综合利用从环保角度分析是可行的。</w:t>
      </w:r>
    </w:p>
    <w:p>
      <w:pPr>
        <w:ind w:firstLine="480"/>
        <w:rPr>
          <w:rFonts w:eastAsia="黑体" w:cs="Times New Roman"/>
          <w:color w:val="000000" w:themeColor="text1"/>
          <w14:textFill>
            <w14:solidFill>
              <w14:schemeClr w14:val="tx1"/>
            </w14:solidFill>
          </w14:textFill>
        </w:rPr>
      </w:pPr>
      <w:r>
        <w:rPr>
          <w:rFonts w:eastAsia="黑体" w:cs="Times New Roman"/>
          <w:color w:val="000000" w:themeColor="text1"/>
          <w14:textFill>
            <w14:solidFill>
              <w14:schemeClr w14:val="tx1"/>
            </w14:solidFill>
          </w14:textFill>
        </w:rPr>
        <w:t>4、危险废物依托措施的可行性分析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建设单位承诺对于本项目产生的危险废物，将严格按照《危险废物贮存污染控制标准》（GB18597-2023）、《危险废物产生单位管理计划制定指南</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危险废物转移管理办法</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危险废物收集 贮存 运输技术规范》（HJ2025）和《危险废物环境管理指南 陆上石油天然气开采》等要求采取管理，建立健全危险废物产生、收集、贮存、运输、利用、处置全过程的污染环境防治责任制度，确保各危险废物得到有效收集、贮存和处置，具体如下：</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（1）井场暂存的可行性分析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废油及其他含油固废：井场内设置废油桶集中收集废油，废油桶置于泥浆不落地装置区，并做“防风、防雨、防晒、防渗漏”等措施。暂存区严格按照《危险废物贮存污染控制标准》（GB18597-2023）设置安全照明设施和观察窗口，钢结构房间地面无裂缝，废油用废油桶收集后放置于暂存区内，按照《危险废物识别标志设置技术规范》（HJ 1276-2022）设置危险废物识别标志，满足《危险废物贮存污染控制标准》（GB18597-2023）设计要求。暂存期间做好废油管理记录，通过擦拭站场设备等方式回收综合利用，不能综合利用的废油、不能继续使用的废油桶以及擦拭站场设备产生的其他含油固废交由有资质的单位处理，因此废油及其他含油井固废在井场内暂存可行。</w:t>
      </w:r>
    </w:p>
    <w:p>
      <w:pPr>
        <w:ind w:firstLine="482"/>
        <w:rPr>
          <w:rFonts w:cs="Times New Roman"/>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（2）危险废物贮存、处置环境管理</w:t>
      </w:r>
    </w:p>
    <w:p>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本项目废油等其他含油固废采用油桶收集，整体转运方式转运，避免转运过程中的跑冒滴漏，严格按照《危险废物收集、贮存、运输集输规范》（HJ2025-2012）等危废运输管理各项规定予以落实，场内转运车辆按照预定线路转运，加强转运人员的环境风险防范意识教育，编制转运环境风险应急预案，场外转运委托危废资质单位专业转运，转运车辆环境管理措施可行。</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为加强四川省危险废物监督管理工作，四川省固体废物管理中心每年都会组织行政区域内危险废物产生单位对当年危险废物的产生、贮存、转移、利用、处置等情况进行申报，本项目须严格按照当地危险废物登记申报环境管理相关要求，以企业为单位，本项目产生危险固废阶段为子项汇总后主动向当地环境行政主管部门申报，接受监督检查。</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为加强危废的环境管理，本项目应严格按照《危险废物收集贮存运输技术规范》（HJ2025-2012）、《危险废物转移联单管理办法》（原国家环境保护总局令第5号）和《危险废物环境管理指南 陆上石油天然气开采》等相关环境管理要求，做到如下环境管理。</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1）落实污染环境防治责任制度，建立健全工业危险废物产生、收集、贮存、运输、利用、处置全过程的污染环境防治责任制度。</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2）落实危险废物识别标志制度，按照《危险废物识别标志设置技术规范》（HJ 1276-2022）等有关规定，对危险废物的容器和包装物以及收集、贮存、运输、利用、处置危险废物的设施、场所设置危险废物识别标志。</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3）落实危险废物管理计划制度，按照《危险废物产生单位管理计划制定指南》等有关要求制定危险废物管理计划，并报所在地生态环境主管部门备案。</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4）落实危险废物管理台账及申报制度，建立危险废物管理台账，如实记录有关信息，并通过国家危险废物信息管理系统向所在地生态环境主管部门申报危险废物的种类、产生量、流向、贮存、处置等有关资料。</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5）落实危险废物经营许可证制度，禁止将危险废物提供或委托给无危险废物经营许可证的单位或者其他生产经营者从事收集、贮存、利用、处置活动。</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6）落实危险废物转移联单制度，转移危险废物的，应当按照《危险废物转移管理办法》的有关规定填写、运行危险废物转移联单。运输危险废物，应当采取防止污染环境的措施，并遵守国家有关危险货物运输管理的规定。废油转运实施五联单转运制度，联单第一联由产生单位自留存档，联单第二联副联由产生单位在二日内报送移出地环境保护行政主管部门；接受单位将联单第三联交付运输单位存档；将联单第四联自留存档；将联单第五联自接受危险废物之日起二日内报送接受地环境保护行政主管部门，联单保存期限为五年。</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7）落实排污许可制度。</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8）落实环境保护标准制度，按照国家有关规定和环境保护标准要求贮存、利用、处置危险废物，不得将其擅自倾倒处置；禁止混合收集、贮存、运输、处置性质不相容或未经安全性处置的危险废物。危险废物收集、贮存应当按照其特性分类进行；禁止将危险废物混入非危险废物中贮存。危险废物收集、贮存和运输过程的污染控制执行《危险废物贮存污染控制标准》（GB18597-2023）《危险废物收集贮存 运输技术规范》（HJ2025）等有关规定。</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9）落实环境影响评价制度及环境保护三同时制度，需要配套建设的危险废物贮存、利用和处置设施应当与主体工程同时设计、同时施工、同时投入使用。</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10）落实环境应急预案制度，参考《危险废物经营单位编制应急预案指南》有关规定制定意外事故的防范措施和环境应急预案，并向所在地生态环境主管部门和其他负有固体废物污染环境防治监督管理职责的部门备案。</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11）井场设专门的储存区贮存废润滑油、废含油抹布和劳保用品、含有或沾染矿物油的废弃包装物和容器等。</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（3）危险废物处置可行性分析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本项目钻井施工期危废主要为HW08 900-214-08废油危废，施工现场通过加强施工现场环境管理措施减少和控制废油产生，产生量较小，一般不会超过周边危废处置单位处置能力，交由危废资质单位处置的措施可行。</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5、生活垃圾处置措施</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钻井队作业人员的生活垃圾储存于生活垃圾桶，交由当地环卫部门处理，措施可行。</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6、废包装材料处置措施</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钻井期间产生的废包装材料主要为各原辅材料的包装袋，为一般废物，集中收集后定期运至就近的废品回收站进行处理，措施可行。</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这些措施在川东北地区钻采工程中已实施多年，具有较好的借鉴经验。根据本井场周边其他中石化川东北地区钻采工程采用相同固废污染防治措施，在加强管理和及时转运后，无固废产生二次污染和投诉发生。因此，本项目施工期固废污染防治措施从经济和环保角度分析是合理、可行的。</w:t>
      </w:r>
    </w:p>
    <w:p>
      <w:pPr>
        <w:pStyle w:val="3"/>
      </w:pPr>
      <w:bookmarkStart w:id="420" w:name="_bookmark33"/>
      <w:bookmarkEnd w:id="420"/>
      <w:bookmarkStart w:id="421" w:name="6.2运营期环境保护措施及可行性分析"/>
      <w:bookmarkEnd w:id="421"/>
      <w:bookmarkStart w:id="422" w:name="6.1.5生态环境保护措施"/>
      <w:bookmarkEnd w:id="422"/>
      <w:bookmarkStart w:id="423" w:name="_Toc164667038"/>
      <w:r>
        <w:rPr>
          <w:rFonts w:hint="eastAsia"/>
        </w:rPr>
        <w:t>7.2</w:t>
      </w:r>
      <w:r>
        <w:t>试采期环境保护措施及可行性分析</w:t>
      </w:r>
      <w:bookmarkEnd w:id="423"/>
      <w:bookmarkStart w:id="424" w:name="6.2.1废水污染物防治措施"/>
      <w:bookmarkEnd w:id="424"/>
    </w:p>
    <w:p>
      <w:pPr>
        <w:pStyle w:val="4"/>
        <w:ind w:firstLine="241"/>
        <w:rPr>
          <w:b w:val="0"/>
        </w:rPr>
      </w:pPr>
      <w:bookmarkStart w:id="425" w:name="_Toc120173219"/>
      <w:r>
        <w:t>7.2.1大气环境污染防治措施可行性分析</w:t>
      </w:r>
      <w:bookmarkEnd w:id="425"/>
    </w:p>
    <w:p>
      <w:pPr>
        <w:pStyle w:val="249"/>
        <w:ind w:firstLine="480"/>
        <w:rPr>
          <w:rFonts w:eastAsia="黑体"/>
          <w:color w:val="000000" w:themeColor="text1"/>
          <w:kern w:val="2"/>
          <w:szCs w:val="22"/>
          <w14:textFill>
            <w14:solidFill>
              <w14:schemeClr w14:val="tx1"/>
            </w14:solidFill>
          </w14:textFill>
        </w:rPr>
      </w:pPr>
      <w:bookmarkStart w:id="426" w:name="_Hlk88248100"/>
      <w:r>
        <w:rPr>
          <w:rFonts w:eastAsia="黑体"/>
          <w:color w:val="000000" w:themeColor="text1"/>
          <w:kern w:val="2"/>
          <w:szCs w:val="22"/>
          <w14:textFill>
            <w14:solidFill>
              <w14:schemeClr w14:val="tx1"/>
            </w14:solidFill>
          </w14:textFill>
        </w:rPr>
        <w:t>1、正常工况</w:t>
      </w:r>
    </w:p>
    <w:p>
      <w:pPr>
        <w:pStyle w:val="249"/>
        <w:ind w:firstLine="480"/>
        <w:rPr>
          <w:color w:val="000000" w:themeColor="text1"/>
          <w14:textFill>
            <w14:solidFill>
              <w14:schemeClr w14:val="tx1"/>
            </w14:solidFill>
          </w14:textFill>
        </w:rPr>
      </w:pPr>
      <w:r>
        <w:rPr>
          <w:color w:val="000000" w:themeColor="text1"/>
          <w14:textFill>
            <w14:solidFill>
              <w14:schemeClr w14:val="tx1"/>
            </w14:solidFill>
          </w14:textFill>
        </w:rPr>
        <w:t>普光3011-6井建成后采气经采气树一级节流后，通过新建镍基合金采气管道接入P3011采气站和P301集气站已建工艺流程，在P3011采气站的加热炉加热进入P301集气站，通过节流计量后，将处理的天然气接入已建外输管网。根据拟建项目试采期工程分析，拟建工程不</w:t>
      </w:r>
      <w:r>
        <w:rPr>
          <w:rFonts w:hint="eastAsia"/>
          <w:color w:val="000000" w:themeColor="text1"/>
          <w14:textFill>
            <w14:solidFill>
              <w14:schemeClr w14:val="tx1"/>
            </w14:solidFill>
          </w14:textFill>
        </w:rPr>
        <w:t>新增</w:t>
      </w:r>
      <w:r>
        <w:rPr>
          <w:color w:val="000000" w:themeColor="text1"/>
          <w14:textFill>
            <w14:solidFill>
              <w14:schemeClr w14:val="tx1"/>
            </w14:solidFill>
          </w14:textFill>
        </w:rPr>
        <w:t>水套炉，气体加热依托P3011采气站已建水套炉，试采期本项目正常工况</w:t>
      </w:r>
      <w:r>
        <w:rPr>
          <w:rFonts w:hint="eastAsia"/>
          <w:color w:val="000000" w:themeColor="text1"/>
          <w14:textFill>
            <w14:solidFill>
              <w14:schemeClr w14:val="tx1"/>
            </w14:solidFill>
          </w14:textFill>
        </w:rPr>
        <w:t>为水套</w:t>
      </w:r>
      <w:r>
        <w:rPr>
          <w:color w:val="000000" w:themeColor="text1"/>
          <w14:textFill>
            <w14:solidFill>
              <w14:schemeClr w14:val="tx1"/>
            </w14:solidFill>
          </w14:textFill>
        </w:rPr>
        <w:t>炉</w:t>
      </w:r>
      <w:r>
        <w:rPr>
          <w:rFonts w:hint="eastAsia"/>
          <w:color w:val="000000" w:themeColor="text1"/>
          <w14:textFill>
            <w14:solidFill>
              <w14:schemeClr w14:val="tx1"/>
            </w14:solidFill>
          </w14:textFill>
        </w:rPr>
        <w:t>天然气</w:t>
      </w:r>
      <w:r>
        <w:rPr>
          <w:color w:val="000000" w:themeColor="text1"/>
          <w14:textFill>
            <w14:solidFill>
              <w14:schemeClr w14:val="tx1"/>
            </w14:solidFill>
          </w14:textFill>
        </w:rPr>
        <w:t>燃烧废气排放</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水套炉</w:t>
      </w:r>
      <w:r>
        <w:rPr>
          <w:color w:val="000000" w:themeColor="text1"/>
          <w:szCs w:val="24"/>
          <w14:textFill>
            <w14:solidFill>
              <w14:schemeClr w14:val="tx1"/>
            </w14:solidFill>
          </w14:textFill>
        </w:rPr>
        <w:t>水套炉所使用的天然气来源于净化厂净化后天然气</w:t>
      </w:r>
      <w:r>
        <w:rPr>
          <w:color w:val="000000" w:themeColor="text1"/>
          <w14:textFill>
            <w14:solidFill>
              <w14:schemeClr w14:val="tx1"/>
            </w14:solidFill>
          </w14:textFill>
        </w:rPr>
        <w:t>，</w:t>
      </w:r>
      <w:r>
        <w:rPr>
          <w:color w:val="000000" w:themeColor="text1"/>
          <w:szCs w:val="24"/>
          <w14:textFill>
            <w14:solidFill>
              <w14:schemeClr w14:val="tx1"/>
            </w14:solidFill>
          </w14:textFill>
        </w:rPr>
        <w:t>燃烧后产生的废气通过8m高排气筒排放</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该废气排放方式为目前天然气开采常用方式，污染物排放能满足排放标准要求，措施可行</w:t>
      </w:r>
      <w:r>
        <w:rPr>
          <w:color w:val="000000" w:themeColor="text1"/>
          <w14:textFill>
            <w14:solidFill>
              <w14:schemeClr w14:val="tx1"/>
            </w14:solidFill>
          </w14:textFill>
        </w:rPr>
        <w:t>。</w:t>
      </w:r>
    </w:p>
    <w:p>
      <w:pPr>
        <w:pStyle w:val="249"/>
        <w:ind w:firstLine="480"/>
        <w:rPr>
          <w:rFonts w:eastAsia="黑体"/>
          <w:color w:val="000000" w:themeColor="text1"/>
          <w:kern w:val="2"/>
          <w:szCs w:val="22"/>
          <w14:textFill>
            <w14:solidFill>
              <w14:schemeClr w14:val="tx1"/>
            </w14:solidFill>
          </w14:textFill>
        </w:rPr>
      </w:pPr>
      <w:r>
        <w:rPr>
          <w:rFonts w:eastAsia="黑体"/>
          <w:color w:val="000000" w:themeColor="text1"/>
          <w:kern w:val="2"/>
          <w:szCs w:val="22"/>
          <w14:textFill>
            <w14:solidFill>
              <w14:schemeClr w14:val="tx1"/>
            </w14:solidFill>
          </w14:textFill>
        </w:rPr>
        <w:t>2、非正常工况</w:t>
      </w:r>
    </w:p>
    <w:p>
      <w:pPr>
        <w:pStyle w:val="249"/>
        <w:ind w:firstLine="480"/>
        <w:rPr>
          <w:color w:val="000000" w:themeColor="text1"/>
          <w14:textFill>
            <w14:solidFill>
              <w14:schemeClr w14:val="tx1"/>
            </w14:solidFill>
          </w14:textFill>
        </w:rPr>
      </w:pPr>
      <w:bookmarkStart w:id="427" w:name="OLE_LINK321"/>
      <w:bookmarkStart w:id="428" w:name="OLE_LINK322"/>
      <w:bookmarkStart w:id="429" w:name="OLE_LINK323"/>
      <w:bookmarkStart w:id="430" w:name="OLE_LINK324"/>
      <w:r>
        <w:rPr>
          <w:color w:val="000000" w:themeColor="text1"/>
          <w14:textFill>
            <w14:solidFill>
              <w14:schemeClr w14:val="tx1"/>
            </w14:solidFill>
          </w14:textFill>
        </w:rPr>
        <w:t>非正常工况主要废气为站场检修/事故放空废气，</w:t>
      </w:r>
      <w:bookmarkEnd w:id="427"/>
      <w:bookmarkEnd w:id="428"/>
      <w:r>
        <w:rPr>
          <w:color w:val="000000" w:themeColor="text1"/>
          <w14:textFill>
            <w14:solidFill>
              <w14:schemeClr w14:val="tx1"/>
            </w14:solidFill>
          </w14:textFill>
        </w:rPr>
        <w:t>项目装置检修时为保证检修过程的安全，需排空装置及管道内的残留天然气，残留天然气通过P301集气站已建放空系统点火放空</w:t>
      </w:r>
      <w:bookmarkEnd w:id="429"/>
      <w:bookmarkEnd w:id="430"/>
      <w:r>
        <w:rPr>
          <w:bCs/>
          <w:color w:val="000000" w:themeColor="text1"/>
          <w:kern w:val="2"/>
          <w14:textFill>
            <w14:solidFill>
              <w14:schemeClr w14:val="tx1"/>
            </w14:solidFill>
          </w14:textFill>
        </w:rPr>
        <w:t>。</w:t>
      </w:r>
      <w:bookmarkEnd w:id="426"/>
    </w:p>
    <w:p>
      <w:pPr>
        <w:pStyle w:val="4"/>
        <w:ind w:firstLine="241"/>
        <w:rPr>
          <w:b w:val="0"/>
        </w:rPr>
      </w:pPr>
      <w:bookmarkStart w:id="431" w:name="_Toc120173220"/>
      <w:r>
        <w:rPr>
          <w:rFonts w:hint="eastAsia"/>
        </w:rPr>
        <w:t>7.2.2</w:t>
      </w:r>
      <w:r>
        <w:t>废水污染物防治措施</w:t>
      </w:r>
      <w:bookmarkEnd w:id="431"/>
    </w:p>
    <w:p>
      <w:pPr>
        <w:ind w:firstLine="480"/>
        <w:rPr>
          <w:rFonts w:eastAsia="黑体" w:cs="Times New Roman"/>
          <w:color w:val="000000" w:themeColor="text1"/>
          <w14:textFill>
            <w14:solidFill>
              <w14:schemeClr w14:val="tx1"/>
            </w14:solidFill>
          </w14:textFill>
        </w:rPr>
      </w:pPr>
      <w:r>
        <w:rPr>
          <w:rFonts w:eastAsia="黑体" w:cs="Times New Roman"/>
          <w:color w:val="000000" w:themeColor="text1"/>
          <w14:textFill>
            <w14:solidFill>
              <w14:schemeClr w14:val="tx1"/>
            </w14:solidFill>
          </w14:textFill>
        </w:rPr>
        <w:t>1、治理措施</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（1）生活污水</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w:t>
      </w:r>
      <w:r>
        <w:rPr>
          <w:rFonts w:cs="Times New Roman"/>
          <w:color w:val="000000" w:themeColor="text1"/>
          <w:szCs w:val="24"/>
          <w14:textFill>
            <w14:solidFill>
              <w14:schemeClr w14:val="tx1"/>
            </w14:solidFill>
          </w14:textFill>
        </w:rPr>
        <w:t>试采期为无人值守站场，无生活污水产生</w:t>
      </w:r>
      <w:r>
        <w:rPr>
          <w:rFonts w:cs="Times New Roman"/>
          <w:bCs/>
          <w:color w:val="000000" w:themeColor="text1"/>
          <w14:textFill>
            <w14:solidFill>
              <w14:schemeClr w14:val="tx1"/>
            </w14:solidFill>
          </w14:textFill>
        </w:rPr>
        <w:t>。</w:t>
      </w:r>
    </w:p>
    <w:p>
      <w:pPr>
        <w:ind w:firstLine="48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（2）采气废水</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本项目试采期地层水产生量预计最大为10m</w:t>
      </w:r>
      <w:r>
        <w:rPr>
          <w:rFonts w:cs="Times New Roman"/>
          <w:bCs/>
          <w:color w:val="000000" w:themeColor="text1"/>
          <w:vertAlign w:val="superscript"/>
          <w14:textFill>
            <w14:solidFill>
              <w14:schemeClr w14:val="tx1"/>
            </w14:solidFill>
          </w14:textFill>
        </w:rPr>
        <w:t>3</w:t>
      </w:r>
      <w:r>
        <w:rPr>
          <w:rFonts w:cs="Times New Roman"/>
          <w:bCs/>
          <w:color w:val="000000" w:themeColor="text1"/>
          <w14:textFill>
            <w14:solidFill>
              <w14:schemeClr w14:val="tx1"/>
            </w14:solidFill>
          </w14:textFill>
        </w:rPr>
        <w:t>/d，</w:t>
      </w:r>
      <w:r>
        <w:rPr>
          <w:rFonts w:cs="Times New Roman"/>
          <w:color w:val="000000" w:themeColor="text1"/>
          <w14:textFill>
            <w14:solidFill>
              <w14:schemeClr w14:val="tx1"/>
            </w14:solidFill>
          </w14:textFill>
        </w:rPr>
        <w:t>产生的气田水依托P301集气站已建火炬分液罐收集暂存，然后通过密闭罐车拉运至赵家坝污水处理站达到《气田水回注方法》（SY/T 6596-2016）中注入水基本要求后管输至普光11井回注站回注处理，不外排</w:t>
      </w:r>
      <w:r>
        <w:rPr>
          <w:rFonts w:cs="Times New Roman"/>
          <w:bCs/>
          <w:color w:val="000000" w:themeColor="text1"/>
          <w14:textFill>
            <w14:solidFill>
              <w14:schemeClr w14:val="tx1"/>
            </w14:solidFill>
          </w14:textFill>
        </w:rPr>
        <w:t>，应做好采气废水转运计划，及时转运采气废水，确保废水得到有效处置。</w:t>
      </w:r>
    </w:p>
    <w:p>
      <w:pPr>
        <w:ind w:firstLine="480"/>
        <w:rPr>
          <w:rFonts w:eastAsia="黑体" w:cs="Times New Roman"/>
          <w:color w:val="000000" w:themeColor="text1"/>
          <w14:textFill>
            <w14:solidFill>
              <w14:schemeClr w14:val="tx1"/>
            </w14:solidFill>
          </w14:textFill>
        </w:rPr>
      </w:pPr>
      <w:r>
        <w:rPr>
          <w:rFonts w:eastAsia="黑体" w:cs="Times New Roman"/>
          <w:color w:val="000000" w:themeColor="text1"/>
          <w14:textFill>
            <w14:solidFill>
              <w14:schemeClr w14:val="tx1"/>
            </w14:solidFill>
          </w14:textFill>
        </w:rPr>
        <w:t>2、采气废水依托措施的可行性分析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本项目采气废水经</w:t>
      </w:r>
      <w:r>
        <w:rPr>
          <w:rFonts w:cs="Times New Roman"/>
          <w:color w:val="000000" w:themeColor="text1"/>
          <w:szCs w:val="24"/>
          <w14:textFill>
            <w14:solidFill>
              <w14:schemeClr w14:val="tx1"/>
            </w14:solidFill>
          </w14:textFill>
        </w:rPr>
        <w:t>密闭罐车拉运至赵家坝污水处理站达标后管输至普光11井回注站回注，</w:t>
      </w:r>
      <w:r>
        <w:rPr>
          <w:rFonts w:cs="Times New Roman"/>
          <w:color w:val="000000" w:themeColor="text1"/>
          <w14:textFill>
            <w14:solidFill>
              <w14:schemeClr w14:val="tx1"/>
            </w14:solidFill>
          </w14:textFill>
        </w:rPr>
        <w:t>回注量小，根据前文分析，赵家坝污水处理站站和回注站接收处理能力满足试采期采气废水处理要求。</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试采井站废水采用的处理措施为中石化在川东北地区常用的处置措施，已在建设单位同类型天然气试采井站工程项目中广泛应用，依托的污水处理站专门为中石化钻采项目服务，运行稳定可靠，废水均能做到达标排放或有效回注，因此，废水处理措施合理、可行。</w:t>
      </w:r>
    </w:p>
    <w:p>
      <w:pPr>
        <w:pStyle w:val="4"/>
        <w:ind w:firstLine="241"/>
        <w:rPr>
          <w:b w:val="0"/>
        </w:rPr>
      </w:pPr>
      <w:bookmarkStart w:id="432" w:name="6.2.2地下水防治措施可行性分析"/>
      <w:bookmarkEnd w:id="432"/>
      <w:bookmarkStart w:id="433" w:name="_Toc120173221"/>
      <w:r>
        <w:rPr>
          <w:rFonts w:hint="eastAsia"/>
        </w:rPr>
        <w:t>7.2.3</w:t>
      </w:r>
      <w:r>
        <w:t>地下水和土壤环境防治措施可行性分析</w:t>
      </w:r>
      <w:bookmarkEnd w:id="433"/>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项目实施对地下水及土壤可能造成的影响主要发生在施工期间。试采期井站暂存废水等污染物较少，</w:t>
      </w:r>
      <w:r>
        <w:rPr>
          <w:rFonts w:cs="Times New Roman"/>
          <w:bCs/>
          <w:color w:val="000000" w:themeColor="text1"/>
          <w14:textFill>
            <w14:solidFill>
              <w14:schemeClr w14:val="tx1"/>
            </w14:solidFill>
          </w14:textFill>
        </w:rPr>
        <w:t>火炬分液罐</w:t>
      </w:r>
      <w:r>
        <w:rPr>
          <w:rFonts w:cs="Times New Roman"/>
          <w:bCs/>
          <w:color w:val="000000" w:themeColor="text1"/>
          <w:szCs w:val="24"/>
          <w14:textFill>
            <w14:solidFill>
              <w14:schemeClr w14:val="tx1"/>
            </w14:solidFill>
          </w14:textFill>
        </w:rPr>
        <w:t>区进行了防渗和设置围堰，废水难以泄露，有完善的防漏洒措施，难以对地下水和土壤环境造成影响。</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地下水和土壤污染防治措施坚持“源头控制、末端防治、污染监控、应急响应相结合”的原则，即采取主动控制和被动控制相结合的措施。本项目试采期方井、</w:t>
      </w:r>
      <w:r>
        <w:rPr>
          <w:rFonts w:ascii="Times New Roman" w:hAnsi="Times New Roman"/>
          <w:bCs/>
          <w:color w:val="000000" w:themeColor="text1"/>
          <w:lang w:eastAsia="zh-CN"/>
          <w14:textFill>
            <w14:solidFill>
              <w14:schemeClr w14:val="tx1"/>
            </w14:solidFill>
          </w14:textFill>
        </w:rPr>
        <w:t>火炬分液罐</w:t>
      </w:r>
      <w:r>
        <w:rPr>
          <w:rFonts w:ascii="Times New Roman" w:hAnsi="Times New Roman"/>
          <w:bCs/>
          <w:color w:val="000000" w:themeColor="text1"/>
          <w:kern w:val="2"/>
          <w:lang w:eastAsia="zh-CN"/>
          <w14:textFill>
            <w14:solidFill>
              <w14:schemeClr w14:val="tx1"/>
            </w14:solidFill>
          </w14:textFill>
        </w:rPr>
        <w:t>区和流程区进行了分区分级防渗清污分流等措施，同时对井站外临时占地进行了生态恢复，进行监测合格后复耕复植，井站内空地采取硬化，井站内清污分流，能有效避免项目对地下水和土壤环境造成影响。在方井或</w:t>
      </w:r>
      <w:r>
        <w:rPr>
          <w:rFonts w:ascii="Times New Roman" w:hAnsi="Times New Roman"/>
          <w:bCs/>
          <w:color w:val="000000" w:themeColor="text1"/>
          <w:lang w:eastAsia="zh-CN"/>
          <w14:textFill>
            <w14:solidFill>
              <w14:schemeClr w14:val="tx1"/>
            </w14:solidFill>
          </w14:textFill>
        </w:rPr>
        <w:t>火炬分液罐</w:t>
      </w:r>
      <w:r>
        <w:rPr>
          <w:rFonts w:ascii="Times New Roman" w:hAnsi="Times New Roman"/>
          <w:bCs/>
          <w:color w:val="000000" w:themeColor="text1"/>
          <w:kern w:val="2"/>
          <w:lang w:eastAsia="zh-CN"/>
          <w14:textFill>
            <w14:solidFill>
              <w14:schemeClr w14:val="tx1"/>
            </w14:solidFill>
          </w14:textFill>
        </w:rPr>
        <w:t>垮塌或外溢、泄漏，防渗失效等极端情况下，本项目一般应设置备用污水罐，封闭外环沟，及时将泄漏的污水转移至备用污水罐或罐车转运处理，同时对事故进行处理恢复，降低污染范围和影响。</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根据《环境影响评价技术导则 地下水环境》（HJ610-2016）中分区防控措施和《石油化工工程防渗技术规范》（GB/T 50934）中的有关要求，本项目火炬分液罐和</w:t>
      </w:r>
      <w:r>
        <w:rPr>
          <w:rFonts w:cs="Times New Roman"/>
          <w:color w:val="000000" w:themeColor="text1"/>
          <w14:textFill>
            <w14:solidFill>
              <w14:schemeClr w14:val="tx1"/>
            </w14:solidFill>
          </w14:textFill>
        </w:rPr>
        <w:t>生产流程区</w:t>
      </w:r>
      <w:r>
        <w:rPr>
          <w:rFonts w:cs="Times New Roman"/>
          <w:bCs/>
          <w:color w:val="000000" w:themeColor="text1"/>
          <w14:textFill>
            <w14:solidFill>
              <w14:schemeClr w14:val="tx1"/>
            </w14:solidFill>
          </w14:textFill>
        </w:rPr>
        <w:t>置于地面上，污水泄露后可以及时发现处理，火炬分液罐区、生产流程区属于一般防渗区，火炬分液罐罐区修建有围堰，围堰容积能足够储存火炬分液罐泄露的污水。</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试采井站地下水土壤污染防治措施为中石化在川东北地区常用的处置措施，已在建设单位同类型天然气试采井站工程项目中广泛应用，采气试采未发生过地下水和土壤污染事故，因此，地下水和土壤防治处理措施合理、可行。</w:t>
      </w:r>
    </w:p>
    <w:p>
      <w:pPr>
        <w:pStyle w:val="4"/>
        <w:ind w:firstLine="241"/>
        <w:rPr>
          <w:b w:val="0"/>
        </w:rPr>
      </w:pPr>
      <w:bookmarkStart w:id="434" w:name="6.2.3噪声防治措施"/>
      <w:bookmarkEnd w:id="434"/>
      <w:bookmarkStart w:id="435" w:name="_Toc120173222"/>
      <w:r>
        <w:rPr>
          <w:rFonts w:hint="eastAsia"/>
        </w:rPr>
        <w:t>7.2.4</w:t>
      </w:r>
      <w:r>
        <w:t>噪声防治措施</w:t>
      </w:r>
      <w:bookmarkEnd w:id="435"/>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根据泵的噪声频谱特性，采取的噪声控制措施为隔声、减震等，具体措施为：</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（1）平面布置时进行合理布局，控制气流速度，减少站场工艺管线的弯头、三通等管件，降低试采站内噪声。</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（2）依托使用已建的高效低噪声的水套加热炉，选用低噪声的分离器和调压设备。</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（3）种植绿化隔声。</w:t>
      </w:r>
    </w:p>
    <w:p>
      <w:pPr>
        <w:tabs>
          <w:tab w:val="left" w:pos="0"/>
        </w:tabs>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试采期采取以上措施为中石化在川东北地区常用的处置措施，类比已在建设单位同类型天然气试采井站工程，项目试采期不会对声环境和敏感点（农户）造成噪声污染影响，因此，试采期噪声污染防治措施合理、可行。</w:t>
      </w:r>
    </w:p>
    <w:p>
      <w:pPr>
        <w:pStyle w:val="4"/>
        <w:ind w:firstLine="241"/>
        <w:rPr>
          <w:b w:val="0"/>
        </w:rPr>
      </w:pPr>
      <w:bookmarkStart w:id="436" w:name="6.2.4固体废弃物处置措施"/>
      <w:bookmarkEnd w:id="436"/>
      <w:bookmarkStart w:id="437" w:name="_Toc120173223"/>
      <w:r>
        <w:rPr>
          <w:rFonts w:hint="eastAsia"/>
        </w:rPr>
        <w:t>7.2.5</w:t>
      </w:r>
      <w:r>
        <w:t>固体废弃物处置措施</w:t>
      </w:r>
      <w:bookmarkEnd w:id="437"/>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本项目试采期</w:t>
      </w:r>
      <w:r>
        <w:rPr>
          <w:rFonts w:cs="Times New Roman"/>
          <w:color w:val="000000" w:themeColor="text1"/>
          <w:szCs w:val="20"/>
          <w14:textFill>
            <w14:solidFill>
              <w14:schemeClr w14:val="tx1"/>
            </w14:solidFill>
          </w14:textFill>
        </w:rPr>
        <w:t>不新增清管收发球装置，试采期无清管废渣产生</w:t>
      </w:r>
      <w:r>
        <w:rPr>
          <w:rFonts w:cs="Times New Roman"/>
          <w:bCs/>
          <w:color w:val="000000" w:themeColor="text1"/>
          <w14:textFill>
            <w14:solidFill>
              <w14:schemeClr w14:val="tx1"/>
            </w14:solidFill>
          </w14:textFill>
        </w:rPr>
        <w:t>，</w:t>
      </w:r>
      <w:r>
        <w:rPr>
          <w:rFonts w:cs="Times New Roman"/>
          <w:color w:val="000000" w:themeColor="text1"/>
          <w:szCs w:val="20"/>
          <w14:textFill>
            <w14:solidFill>
              <w14:schemeClr w14:val="tx1"/>
            </w14:solidFill>
          </w14:textFill>
        </w:rPr>
        <w:t>日常管理依托P301集气站进行，无新增定员，无生活垃圾新增</w:t>
      </w:r>
      <w:r>
        <w:rPr>
          <w:rFonts w:cs="Times New Roman"/>
          <w:bCs/>
          <w:color w:val="000000" w:themeColor="text1"/>
          <w14:textFill>
            <w14:solidFill>
              <w14:schemeClr w14:val="tx1"/>
            </w14:solidFill>
          </w14:textFill>
        </w:rPr>
        <w:t>。</w:t>
      </w:r>
    </w:p>
    <w:p>
      <w:pPr>
        <w:pStyle w:val="4"/>
        <w:ind w:firstLine="241"/>
        <w:rPr>
          <w:b w:val="0"/>
        </w:rPr>
      </w:pPr>
      <w:bookmarkStart w:id="438" w:name="_Toc120173224"/>
      <w:r>
        <w:rPr>
          <w:rFonts w:hint="eastAsia"/>
        </w:rPr>
        <w:t>7.2.6</w:t>
      </w:r>
      <w:r>
        <w:t>陆生生物及其生态系统保护措施</w:t>
      </w:r>
      <w:bookmarkEnd w:id="438"/>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试采期扩建现有的P3011采气站，扩建面积约583.1m</w:t>
      </w:r>
      <w:r>
        <w:rPr>
          <w:rFonts w:cs="Times New Roman"/>
          <w:bCs/>
          <w:color w:val="000000" w:themeColor="text1"/>
          <w:vertAlign w:val="superscript"/>
          <w14:textFill>
            <w14:solidFill>
              <w14:schemeClr w14:val="tx1"/>
            </w14:solidFill>
          </w14:textFill>
        </w:rPr>
        <w:t>2</w:t>
      </w:r>
      <w:r>
        <w:rPr>
          <w:rFonts w:cs="Times New Roman"/>
          <w:bCs/>
          <w:color w:val="000000" w:themeColor="text1"/>
          <w14:textFill>
            <w14:solidFill>
              <w14:schemeClr w14:val="tx1"/>
            </w14:solidFill>
          </w14:textFill>
        </w:rPr>
        <w:t>（运营期仅增加该部分用地占地时长），无新增固废和新增生活污水产生，因此试采期需管护好项目区植被恢复成效，防止新的水土流失情况发生。</w:t>
      </w:r>
    </w:p>
    <w:p>
      <w:pPr>
        <w:pStyle w:val="3"/>
      </w:pPr>
      <w:bookmarkStart w:id="439" w:name="_Toc164667039"/>
      <w:r>
        <w:rPr>
          <w:rFonts w:hint="eastAsia"/>
        </w:rPr>
        <w:t>7.3</w:t>
      </w:r>
      <w:r>
        <w:t>项目完工及试采结束后环境保护措施及可行性分析</w:t>
      </w:r>
      <w:bookmarkEnd w:id="439"/>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（1）对拆除地面设施过程中产生的垃圾及时外运，送至指定的垃圾填埋场处理。</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（2）保留各类绿化、生态保护设施，以保持评价区生态环境功能不变。</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评价认为，在采取了上述污染防治措施后，可减缓</w:t>
      </w:r>
      <w:r>
        <w:rPr>
          <w:rFonts w:cs="Times New Roman"/>
          <w:color w:val="000000" w:themeColor="text1"/>
          <w14:textFill>
            <w14:solidFill>
              <w14:schemeClr w14:val="tx1"/>
            </w14:solidFill>
          </w14:textFill>
        </w:rPr>
        <w:t>项目完工及试采结束后</w:t>
      </w:r>
      <w:r>
        <w:rPr>
          <w:rFonts w:cs="Times New Roman"/>
          <w:bCs/>
          <w:color w:val="000000" w:themeColor="text1"/>
          <w14:textFill>
            <w14:solidFill>
              <w14:schemeClr w14:val="tx1"/>
            </w14:solidFill>
          </w14:textFill>
        </w:rPr>
        <w:t>对环境的影响，措施可行。</w:t>
      </w:r>
    </w:p>
    <w:p>
      <w:pPr>
        <w:pStyle w:val="3"/>
      </w:pPr>
      <w:bookmarkStart w:id="440" w:name="_Toc164667040"/>
      <w:r>
        <w:rPr>
          <w:rFonts w:hint="eastAsia"/>
        </w:rPr>
        <w:t>7.4</w:t>
      </w:r>
      <w:r>
        <w:t>环保投资估算</w:t>
      </w:r>
      <w:bookmarkEnd w:id="440"/>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根据国家规定，所有企业在建设项目开工建设时，必须实行“三同时”，即建设项目与环境保护设施必须同时设计、同时施工、同时运行。因此，公司在采取先进设备与工艺的同时，还必须执行国家环保政策，在建设项目实施时，配套“三废”污染物的处理、处置设施，实现废水、废气的达标排放。</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本项目总投资</w:t>
      </w:r>
      <w:r>
        <w:rPr>
          <w:rFonts w:cs="Times New Roman"/>
          <w:color w:val="000000" w:themeColor="text1"/>
          <w:szCs w:val="24"/>
          <w14:textFill>
            <w14:solidFill>
              <w14:schemeClr w14:val="tx1"/>
            </w14:solidFill>
          </w14:textFill>
        </w:rPr>
        <w:t>11641万元</w:t>
      </w:r>
      <w:r>
        <w:rPr>
          <w:rFonts w:cs="Times New Roman"/>
          <w:bCs/>
          <w:color w:val="000000" w:themeColor="text1"/>
          <w:szCs w:val="24"/>
          <w14:textFill>
            <w14:solidFill>
              <w14:schemeClr w14:val="tx1"/>
            </w14:solidFill>
          </w14:textFill>
        </w:rPr>
        <w:t>，环保投资635万元，占总投资的5.45%。环保投资主要用于废水治理、固体废物处理、噪声污染防治，以及施工迹地生态恢复等，符合该项目的实际特点。具体情况见</w:t>
      </w:r>
      <w:r>
        <w:rPr>
          <w:rFonts w:cs="Times New Roman"/>
          <w:bCs/>
          <w:color w:val="000000" w:themeColor="text1"/>
          <w:szCs w:val="24"/>
          <w14:textFill>
            <w14:solidFill>
              <w14:schemeClr w14:val="tx1"/>
            </w14:solidFill>
          </w14:textFill>
        </w:rPr>
        <w:fldChar w:fldCharType="begin"/>
      </w:r>
      <w:r>
        <w:rPr>
          <w:rFonts w:cs="Times New Roman"/>
          <w:bCs/>
          <w:color w:val="000000" w:themeColor="text1"/>
          <w:szCs w:val="24"/>
          <w14:textFill>
            <w14:solidFill>
              <w14:schemeClr w14:val="tx1"/>
            </w14:solidFill>
          </w14:textFill>
        </w:rPr>
        <w:instrText xml:space="preserve"> REF _Ref142859751 \h  \* MERGEFORMAT </w:instrText>
      </w:r>
      <w:r>
        <w:rPr>
          <w:rFonts w:cs="Times New Roman"/>
          <w:bCs/>
          <w:color w:val="000000" w:themeColor="text1"/>
          <w:szCs w:val="24"/>
          <w14:textFill>
            <w14:solidFill>
              <w14:schemeClr w14:val="tx1"/>
            </w14:solidFill>
          </w14:textFill>
        </w:rPr>
        <w:fldChar w:fldCharType="separate"/>
      </w:r>
      <w:r>
        <w:rPr>
          <w:rFonts w:cs="Times New Roman"/>
          <w:color w:val="000000" w:themeColor="text1"/>
          <w14:textFill>
            <w14:solidFill>
              <w14:schemeClr w14:val="tx1"/>
            </w14:solidFill>
          </w14:textFill>
        </w:rPr>
        <w:t>表7.4-1</w:t>
      </w:r>
      <w:r>
        <w:rPr>
          <w:rFonts w:cs="Times New Roman"/>
          <w:bCs/>
          <w:color w:val="000000" w:themeColor="text1"/>
          <w:szCs w:val="24"/>
          <w14:textFill>
            <w14:solidFill>
              <w14:schemeClr w14:val="tx1"/>
            </w14:solidFill>
          </w14:textFill>
        </w:rPr>
        <w:fldChar w:fldCharType="end"/>
      </w:r>
      <w:r>
        <w:rPr>
          <w:rFonts w:cs="Times New Roman"/>
          <w:bCs/>
          <w:color w:val="000000" w:themeColor="text1"/>
          <w:szCs w:val="24"/>
          <w14:textFill>
            <w14:solidFill>
              <w14:schemeClr w14:val="tx1"/>
            </w14:solidFill>
          </w14:textFill>
        </w:rPr>
        <w:t>。</w:t>
      </w:r>
    </w:p>
    <w:p>
      <w:pPr>
        <w:pStyle w:val="95"/>
      </w:pPr>
      <w:bookmarkStart w:id="441" w:name="_Ref142859751"/>
      <w:r>
        <w:t>表</w:t>
      </w:r>
      <w:bookmarkEnd w:id="441"/>
      <w:r>
        <w:t>7.4-1 本项目环保措施及投资估算一览表</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980"/>
        <w:gridCol w:w="6245"/>
        <w:gridCol w:w="99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294"/>
            </w:pPr>
            <w:r>
              <w:t>项目</w:t>
            </w:r>
          </w:p>
        </w:tc>
        <w:tc>
          <w:tcPr>
            <w:tcW w:w="6245" w:type="dxa"/>
            <w:vAlign w:val="center"/>
          </w:tcPr>
          <w:p>
            <w:pPr>
              <w:pStyle w:val="294"/>
            </w:pPr>
            <w:r>
              <w:t>内容</w:t>
            </w:r>
          </w:p>
        </w:tc>
        <w:tc>
          <w:tcPr>
            <w:tcW w:w="997" w:type="dxa"/>
            <w:vAlign w:val="center"/>
          </w:tcPr>
          <w:p>
            <w:pPr>
              <w:pStyle w:val="294"/>
            </w:pPr>
            <w:r>
              <w:t>投资（万元）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294"/>
            </w:pPr>
            <w:r>
              <w:t>废气治理</w:t>
            </w:r>
          </w:p>
        </w:tc>
        <w:tc>
          <w:tcPr>
            <w:tcW w:w="6245" w:type="dxa"/>
            <w:vAlign w:val="center"/>
          </w:tcPr>
          <w:p>
            <w:pPr>
              <w:pStyle w:val="294"/>
            </w:pPr>
            <w:r>
              <w:t>施工期：土石方覆盖材料，洒水降尘；放喷设施（套）、放喷池等</w:t>
            </w:r>
          </w:p>
        </w:tc>
        <w:tc>
          <w:tcPr>
            <w:tcW w:w="997" w:type="dxa"/>
            <w:vAlign w:val="center"/>
          </w:tcPr>
          <w:p>
            <w:pPr>
              <w:pStyle w:val="294"/>
            </w:pPr>
            <w:r>
              <w:t>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294"/>
            </w:pPr>
          </w:p>
        </w:tc>
        <w:tc>
          <w:tcPr>
            <w:tcW w:w="6245" w:type="dxa"/>
            <w:vAlign w:val="center"/>
          </w:tcPr>
          <w:p>
            <w:pPr>
              <w:pStyle w:val="294"/>
            </w:pPr>
            <w:r>
              <w:t>试采期：加强水套加热炉、放空火炬保养维护</w:t>
            </w:r>
          </w:p>
        </w:tc>
        <w:tc>
          <w:tcPr>
            <w:tcW w:w="997" w:type="dxa"/>
            <w:vAlign w:val="center"/>
          </w:tcPr>
          <w:p>
            <w:pPr>
              <w:pStyle w:val="294"/>
            </w:pPr>
            <w: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294"/>
            </w:pPr>
            <w:r>
              <w:t>废水治理</w:t>
            </w:r>
          </w:p>
        </w:tc>
        <w:tc>
          <w:tcPr>
            <w:tcW w:w="6245" w:type="dxa"/>
            <w:vAlign w:val="center"/>
          </w:tcPr>
          <w:p>
            <w:pPr>
              <w:pStyle w:val="294"/>
            </w:pPr>
            <w:r>
              <w:t xml:space="preserve">施工期：新建钻前施工废水沉淀池，泥浆不落地系统，废水转运，利旧修复清水池 </w:t>
            </w:r>
          </w:p>
        </w:tc>
        <w:tc>
          <w:tcPr>
            <w:tcW w:w="997" w:type="dxa"/>
            <w:vAlign w:val="center"/>
          </w:tcPr>
          <w:p>
            <w:pPr>
              <w:pStyle w:val="294"/>
            </w:pPr>
            <w:r>
              <w:t>270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294"/>
            </w:pPr>
          </w:p>
        </w:tc>
        <w:tc>
          <w:tcPr>
            <w:tcW w:w="6245" w:type="dxa"/>
            <w:vAlign w:val="center"/>
          </w:tcPr>
          <w:p>
            <w:pPr>
              <w:pStyle w:val="294"/>
            </w:pPr>
            <w:r>
              <w:t>试采期：依托下游P301集气站内30m</w:t>
            </w:r>
            <w:r>
              <w:rPr>
                <w:vertAlign w:val="superscript"/>
              </w:rPr>
              <w:t>3</w:t>
            </w:r>
            <w:r>
              <w:t>火炬分液罐，火炬分液罐区防渗，废水定期转运</w:t>
            </w:r>
          </w:p>
        </w:tc>
        <w:tc>
          <w:tcPr>
            <w:tcW w:w="997" w:type="dxa"/>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294"/>
            </w:pPr>
            <w:r>
              <w:t>噪声治理</w:t>
            </w:r>
          </w:p>
        </w:tc>
        <w:tc>
          <w:tcPr>
            <w:tcW w:w="6245" w:type="dxa"/>
            <w:vAlign w:val="center"/>
          </w:tcPr>
          <w:p>
            <w:pPr>
              <w:pStyle w:val="294"/>
            </w:pPr>
            <w:r>
              <w:t>施工期：合理安排施工作业时间；选用低噪声设备；发电机、泥浆泵等设置隔声、吸声棚；为柴油机安装消声器和减震基础等</w:t>
            </w:r>
          </w:p>
        </w:tc>
        <w:tc>
          <w:tcPr>
            <w:tcW w:w="997" w:type="dxa"/>
            <w:vAlign w:val="center"/>
          </w:tcPr>
          <w:p>
            <w:pPr>
              <w:pStyle w:val="294"/>
            </w:pPr>
            <w:r>
              <w:t>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294"/>
            </w:pPr>
          </w:p>
        </w:tc>
        <w:tc>
          <w:tcPr>
            <w:tcW w:w="6245" w:type="dxa"/>
            <w:vAlign w:val="center"/>
          </w:tcPr>
          <w:p>
            <w:pPr>
              <w:pStyle w:val="294"/>
            </w:pPr>
            <w:r>
              <w:t>试采期：合理布局，基础减振等</w:t>
            </w:r>
          </w:p>
        </w:tc>
        <w:tc>
          <w:tcPr>
            <w:tcW w:w="997" w:type="dxa"/>
            <w:vAlign w:val="center"/>
          </w:tcPr>
          <w:p>
            <w:pPr>
              <w:pStyle w:val="294"/>
            </w:pPr>
            <w: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294"/>
            </w:pPr>
            <w:r>
              <w:t>固废治理</w:t>
            </w:r>
          </w:p>
        </w:tc>
        <w:tc>
          <w:tcPr>
            <w:tcW w:w="6245" w:type="dxa"/>
            <w:vAlign w:val="center"/>
          </w:tcPr>
          <w:p>
            <w:pPr>
              <w:pStyle w:val="294"/>
            </w:pPr>
            <w:r>
              <w:t>施工期：土石方回填；生活垃圾交市政环卫部门统一处理；施工废料由施工方回收利用或统一清运；泥浆不落地系统；钻井泥浆及钻井固废转运处置，废油桶收集及暂存</w:t>
            </w:r>
          </w:p>
        </w:tc>
        <w:tc>
          <w:tcPr>
            <w:tcW w:w="997" w:type="dxa"/>
            <w:vAlign w:val="center"/>
          </w:tcPr>
          <w:p>
            <w:pPr>
              <w:pStyle w:val="294"/>
            </w:pPr>
            <w:r>
              <w:t>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294"/>
            </w:pPr>
          </w:p>
        </w:tc>
        <w:tc>
          <w:tcPr>
            <w:tcW w:w="6245" w:type="dxa"/>
            <w:vAlign w:val="center"/>
          </w:tcPr>
          <w:p>
            <w:pPr>
              <w:pStyle w:val="294"/>
            </w:pPr>
            <w:r>
              <w:t>试采期：生活垃圾交当地环卫部门处置</w:t>
            </w:r>
          </w:p>
        </w:tc>
        <w:tc>
          <w:tcPr>
            <w:tcW w:w="997" w:type="dxa"/>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294"/>
            </w:pPr>
            <w:r>
              <w:t>地下水及土壤防治措施</w:t>
            </w:r>
          </w:p>
        </w:tc>
        <w:tc>
          <w:tcPr>
            <w:tcW w:w="6245" w:type="dxa"/>
            <w:vAlign w:val="center"/>
          </w:tcPr>
          <w:p>
            <w:pPr>
              <w:pStyle w:val="294"/>
            </w:pPr>
            <w:r>
              <w:t>施工期：清污分流，排水沟，弃土场覆盖围挡，分区分级防渗，污染监测</w:t>
            </w:r>
          </w:p>
          <w:p>
            <w:pPr>
              <w:pStyle w:val="294"/>
            </w:pPr>
            <w:r>
              <w:t>试采期：清污分流，分区分级防渗，污染监测</w:t>
            </w:r>
          </w:p>
        </w:tc>
        <w:tc>
          <w:tcPr>
            <w:tcW w:w="997" w:type="dxa"/>
            <w:vAlign w:val="center"/>
          </w:tcPr>
          <w:p>
            <w:pPr>
              <w:pStyle w:val="294"/>
            </w:pPr>
            <w:r>
              <w:t>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294"/>
            </w:pPr>
            <w:r>
              <w:t>生态恢复</w:t>
            </w:r>
          </w:p>
        </w:tc>
        <w:tc>
          <w:tcPr>
            <w:tcW w:w="6245" w:type="dxa"/>
            <w:vAlign w:val="center"/>
          </w:tcPr>
          <w:p>
            <w:pPr>
              <w:pStyle w:val="294"/>
            </w:pPr>
            <w:r>
              <w:t>青苗（林木）赔偿，临时占地施工迹地地表恢复等</w:t>
            </w:r>
          </w:p>
        </w:tc>
        <w:tc>
          <w:tcPr>
            <w:tcW w:w="997" w:type="dxa"/>
            <w:vAlign w:val="center"/>
          </w:tcPr>
          <w:p>
            <w:pPr>
              <w:pStyle w:val="294"/>
            </w:pPr>
            <w:r>
              <w:t>140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294"/>
            </w:pPr>
            <w:r>
              <w:t>污染监控</w:t>
            </w:r>
          </w:p>
        </w:tc>
        <w:tc>
          <w:tcPr>
            <w:tcW w:w="6245" w:type="dxa"/>
            <w:vAlign w:val="center"/>
          </w:tcPr>
          <w:p>
            <w:pPr>
              <w:pStyle w:val="294"/>
            </w:pPr>
            <w:r>
              <w:t>施工期环境监测，正常时例行监测，污染发生时加密监测</w:t>
            </w:r>
          </w:p>
          <w:p>
            <w:pPr>
              <w:pStyle w:val="294"/>
            </w:pPr>
            <w:r>
              <w:t>试采期环境监测，正常时例行监测，污染发生时加密监测</w:t>
            </w:r>
          </w:p>
        </w:tc>
        <w:tc>
          <w:tcPr>
            <w:tcW w:w="997" w:type="dxa"/>
            <w:vAlign w:val="center"/>
          </w:tcPr>
          <w:p>
            <w:pPr>
              <w:pStyle w:val="294"/>
            </w:pPr>
            <w: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294"/>
            </w:pPr>
            <w:r>
              <w:t>风险防控措施</w:t>
            </w:r>
          </w:p>
        </w:tc>
        <w:tc>
          <w:tcPr>
            <w:tcW w:w="6245" w:type="dxa"/>
            <w:vAlign w:val="center"/>
          </w:tcPr>
          <w:p>
            <w:pPr>
              <w:pStyle w:val="294"/>
            </w:pPr>
            <w:r>
              <w:t>施工期：井喷事故风险的应急处置措施、指定应急处置预案、环境风险应急预案等；地表水三级防控，分区防渗，测试放喷应急措施等</w:t>
            </w:r>
          </w:p>
          <w:p>
            <w:pPr>
              <w:pStyle w:val="294"/>
            </w:pPr>
            <w:r>
              <w:t>试采期：依托P301集气站火炬分液罐区设置围堰和防渗，污染监控</w:t>
            </w:r>
          </w:p>
        </w:tc>
        <w:tc>
          <w:tcPr>
            <w:tcW w:w="997" w:type="dxa"/>
            <w:vAlign w:val="center"/>
          </w:tcPr>
          <w:p>
            <w:pPr>
              <w:pStyle w:val="294"/>
            </w:pPr>
            <w:r>
              <w:t>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294"/>
            </w:pPr>
          </w:p>
        </w:tc>
        <w:tc>
          <w:tcPr>
            <w:tcW w:w="6245" w:type="dxa"/>
            <w:vAlign w:val="center"/>
          </w:tcPr>
          <w:p>
            <w:pPr>
              <w:pStyle w:val="294"/>
            </w:pPr>
            <w:r>
              <w:t>风向标、环保管理、事故人员撤离等修订应急预案并定期演练，加强站内设备及管线的巡线</w:t>
            </w:r>
          </w:p>
        </w:tc>
        <w:tc>
          <w:tcPr>
            <w:tcW w:w="997" w:type="dxa"/>
            <w:vAlign w:val="center"/>
          </w:tcPr>
          <w:p>
            <w:pPr>
              <w:pStyle w:val="294"/>
            </w:pPr>
            <w: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294"/>
            </w:pPr>
            <w:r>
              <w:t>合计</w:t>
            </w:r>
          </w:p>
        </w:tc>
        <w:tc>
          <w:tcPr>
            <w:tcW w:w="6245" w:type="dxa"/>
            <w:vAlign w:val="center"/>
          </w:tcPr>
          <w:p>
            <w:pPr>
              <w:pStyle w:val="294"/>
            </w:pPr>
            <w:r>
              <w:t>/</w:t>
            </w:r>
          </w:p>
        </w:tc>
        <w:tc>
          <w:tcPr>
            <w:tcW w:w="997" w:type="dxa"/>
            <w:vAlign w:val="center"/>
          </w:tcPr>
          <w:p>
            <w:pPr>
              <w:pStyle w:val="294"/>
            </w:pPr>
            <w:r>
              <w:t>635</w:t>
            </w:r>
          </w:p>
        </w:tc>
      </w:tr>
    </w:tbl>
    <w:p>
      <w:pPr>
        <w:ind w:firstLine="480"/>
        <w:rPr>
          <w:rFonts w:cs="Times New Roman"/>
          <w:bCs/>
          <w:color w:val="000000" w:themeColor="text1"/>
          <w14:textFill>
            <w14:solidFill>
              <w14:schemeClr w14:val="tx1"/>
            </w14:solidFill>
          </w14:textFill>
        </w:rPr>
      </w:pPr>
    </w:p>
    <w:p>
      <w:pPr>
        <w:ind w:firstLine="480"/>
        <w:rPr>
          <w:rFonts w:cs="Times New Roman"/>
          <w:bCs/>
          <w:color w:val="000000" w:themeColor="text1"/>
          <w14:textFill>
            <w14:solidFill>
              <w14:schemeClr w14:val="tx1"/>
            </w14:solidFill>
          </w14:textFill>
        </w:rPr>
      </w:pPr>
    </w:p>
    <w:p>
      <w:pPr>
        <w:pStyle w:val="2"/>
        <w:sectPr>
          <w:pgSz w:w="11910" w:h="16840"/>
          <w:pgMar w:top="1440" w:right="1800" w:bottom="1440" w:left="1800" w:header="964" w:footer="964" w:gutter="0"/>
          <w:cols w:space="720" w:num="1"/>
          <w:docGrid w:linePitch="326" w:charSpace="0"/>
        </w:sectPr>
      </w:pPr>
      <w:bookmarkStart w:id="442" w:name="_bookmark34"/>
      <w:bookmarkEnd w:id="442"/>
      <w:bookmarkStart w:id="443" w:name="第七章_环境影响经济损益分析"/>
      <w:bookmarkEnd w:id="443"/>
    </w:p>
    <w:p>
      <w:pPr>
        <w:pStyle w:val="2"/>
      </w:pPr>
      <w:bookmarkStart w:id="444" w:name="_Toc164667041"/>
      <w:r>
        <w:rPr>
          <w:rFonts w:hint="eastAsia"/>
        </w:rPr>
        <w:t xml:space="preserve">8 </w:t>
      </w:r>
      <w:r>
        <w:t>环境影响经济损益分析</w:t>
      </w:r>
      <w:bookmarkEnd w:id="444"/>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本项目的建设对项目所在区域环境和经济发展产生一定影响。在进行工程的效益分析时，不仅要考虑工程对自然环境造成的影响，同时，也要从提高社会经济效益为出发点，分析对社会和经济的影响。</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本章选择工程、环境、生态资源和社会经济等有代表性的指标，从经济效益、社会效益和环境效益等三方面，进行环境经济损益分析。</w:t>
      </w:r>
    </w:p>
    <w:p>
      <w:pPr>
        <w:pStyle w:val="3"/>
      </w:pPr>
      <w:bookmarkStart w:id="445" w:name="_bookmark36"/>
      <w:bookmarkEnd w:id="445"/>
      <w:bookmarkStart w:id="446" w:name="_bookmark35"/>
      <w:bookmarkEnd w:id="446"/>
      <w:bookmarkStart w:id="447" w:name="7.1环保投资估算"/>
      <w:bookmarkEnd w:id="447"/>
      <w:bookmarkStart w:id="448" w:name="7.2“三效益”分析"/>
      <w:bookmarkEnd w:id="448"/>
      <w:bookmarkStart w:id="449" w:name="_Toc164667042"/>
      <w:r>
        <w:rPr>
          <w:rFonts w:hint="eastAsia"/>
        </w:rPr>
        <w:t>8.1</w:t>
      </w:r>
      <w:r>
        <w:t>经济效益分析</w:t>
      </w:r>
      <w:bookmarkEnd w:id="449"/>
    </w:p>
    <w:p>
      <w:pPr>
        <w:pStyle w:val="4"/>
        <w:ind w:firstLine="241"/>
      </w:pPr>
      <w:r>
        <w:rPr>
          <w:rFonts w:hint="eastAsia"/>
        </w:rPr>
        <w:t>8.1.1</w:t>
      </w:r>
      <w:r>
        <w:t>经济效益分析</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根据本项目总投资11641万元，环保投资722万元，占总投资的4.18%。环保投资主要用于废水治理、固体废物处理、噪声污染防治，以及施工迹地生态恢复等。</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内部效益：中国石油化工股份有限公司中原油田普光分公司项目总投资11641万元建设本项目，产气规模预计15×10</w:t>
      </w:r>
      <w:r>
        <w:rPr>
          <w:rFonts w:ascii="Times New Roman" w:hAnsi="Times New Roman"/>
          <w:bCs/>
          <w:color w:val="000000" w:themeColor="text1"/>
          <w:vertAlign w:val="superscript"/>
          <w:lang w:eastAsia="zh-CN"/>
          <w14:textFill>
            <w14:solidFill>
              <w14:schemeClr w14:val="tx1"/>
            </w14:solidFill>
          </w14:textFill>
        </w:rPr>
        <w:t>4</w:t>
      </w:r>
      <w:r>
        <w:rPr>
          <w:rFonts w:ascii="Times New Roman" w:hAnsi="Times New Roman"/>
          <w:bCs/>
          <w:color w:val="000000" w:themeColor="text1"/>
          <w:lang w:eastAsia="zh-CN"/>
          <w14:textFill>
            <w14:solidFill>
              <w14:schemeClr w14:val="tx1"/>
            </w14:solidFill>
          </w14:textFill>
        </w:rPr>
        <w:t>m</w:t>
      </w:r>
      <w:r>
        <w:rPr>
          <w:rFonts w:ascii="Times New Roman" w:hAnsi="Times New Roman"/>
          <w:bCs/>
          <w:color w:val="000000" w:themeColor="text1"/>
          <w:vertAlign w:val="superscript"/>
          <w:lang w:eastAsia="zh-CN"/>
          <w14:textFill>
            <w14:solidFill>
              <w14:schemeClr w14:val="tx1"/>
            </w14:solidFill>
          </w14:textFill>
        </w:rPr>
        <w:t>3</w:t>
      </w:r>
      <w:r>
        <w:rPr>
          <w:rFonts w:ascii="Times New Roman" w:hAnsi="Times New Roman"/>
          <w:bCs/>
          <w:color w:val="000000" w:themeColor="text1"/>
          <w:lang w:eastAsia="zh-CN"/>
          <w14:textFill>
            <w14:solidFill>
              <w14:schemeClr w14:val="tx1"/>
            </w14:solidFill>
          </w14:textFill>
        </w:rPr>
        <w:t>/d，在天然气价格1475元/千m</w:t>
      </w:r>
      <w:r>
        <w:rPr>
          <w:rFonts w:ascii="Times New Roman" w:hAnsi="Times New Roman"/>
          <w:bCs/>
          <w:color w:val="000000" w:themeColor="text1"/>
          <w:vertAlign w:val="superscript"/>
          <w:lang w:eastAsia="zh-CN"/>
          <w14:textFill>
            <w14:solidFill>
              <w14:schemeClr w14:val="tx1"/>
            </w14:solidFill>
          </w14:textFill>
        </w:rPr>
        <w:t>3</w:t>
      </w:r>
      <w:r>
        <w:rPr>
          <w:rFonts w:ascii="Times New Roman" w:hAnsi="Times New Roman"/>
          <w:bCs/>
          <w:color w:val="000000" w:themeColor="text1"/>
          <w:lang w:eastAsia="zh-CN"/>
          <w14:textFill>
            <w14:solidFill>
              <w14:schemeClr w14:val="tx1"/>
            </w14:solidFill>
          </w14:textFill>
        </w:rPr>
        <w:t>、硫黄价格1100元/t条件下，项目税后内部收益率16.31%，整体税后内部收益率能够达到企业内部基准收益率标准。本项目经济效益较好，具有较强的盈利能力和偿债能力，在财务上是可行的。</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外部效果：根据有关资料，每万立方天然气用于工业，平均可创产值2.650万元；每万立方天然气用于城市民用可节约城市供煤运费补贴640元。因此本项目实施可为社会创造工业产值和节约运煤补贴。</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从内部经济效益和外部经济效益来看，该工程的投产将普光气田内天然气资源的优势转化为经济优势，可大大增加地方利税收入，企业也将获得巨大的利润，为该地区带来巨大的天然气化工等方面经济效益。</w:t>
      </w:r>
    </w:p>
    <w:p>
      <w:pPr>
        <w:pStyle w:val="4"/>
        <w:ind w:firstLine="241"/>
      </w:pPr>
      <w:bookmarkStart w:id="450" w:name="7.2.1经济效益"/>
      <w:bookmarkEnd w:id="450"/>
      <w:bookmarkStart w:id="451" w:name="_Toc120173229"/>
      <w:r>
        <w:rPr>
          <w:rFonts w:hint="eastAsia"/>
        </w:rPr>
        <w:t>8.1.2</w:t>
      </w:r>
      <w:r>
        <w:t>经济</w:t>
      </w:r>
      <w:bookmarkEnd w:id="451"/>
      <w:r>
        <w:t>损失分析</w:t>
      </w:r>
    </w:p>
    <w:p>
      <w:pPr>
        <w:pStyle w:val="21"/>
        <w:spacing w:before="0"/>
        <w:ind w:left="0"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项目经济损失主要体现在占地引起的经济损失，占地类型以耕地、林地、其他用地为主，占用后引起的经济损失主要体现为农业的减产，降低了农业收入，但影响不大。</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项目建设产生的废气、废水、噪声、固废等均得到妥善处置，对周围环境影响较小，不会对周边居民生产、生活造成影响。</w:t>
      </w:r>
    </w:p>
    <w:p>
      <w:pPr>
        <w:pStyle w:val="4"/>
        <w:ind w:firstLine="241"/>
      </w:pPr>
      <w:r>
        <w:rPr>
          <w:rFonts w:hint="eastAsia"/>
        </w:rPr>
        <w:t>8.1.3</w:t>
      </w:r>
      <w:r>
        <w:t>经济损益分析小结</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根据以上分析，拟建项目实施后，将为达州市宣汉县提供清洁的天然气能源，产生的经济效益较为显著。</w:t>
      </w:r>
    </w:p>
    <w:p>
      <w:pPr>
        <w:pStyle w:val="3"/>
      </w:pPr>
      <w:bookmarkStart w:id="452" w:name="7.2.2社会效益"/>
      <w:bookmarkEnd w:id="452"/>
      <w:bookmarkStart w:id="453" w:name="_Toc120173230"/>
      <w:bookmarkStart w:id="454" w:name="_Toc164667043"/>
      <w:r>
        <w:rPr>
          <w:rFonts w:hint="eastAsia"/>
        </w:rPr>
        <w:t>8.2</w:t>
      </w:r>
      <w:r>
        <w:t>社会效益</w:t>
      </w:r>
      <w:bookmarkEnd w:id="453"/>
      <w:r>
        <w:t>分析</w:t>
      </w:r>
      <w:bookmarkEnd w:id="454"/>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本工程的建设有利于提高国民经济的增长，扩大内需。通过实施本工程，可以扩大内需，增加就业机会，促进经济发展。还有利于提高沿途地区人民的生活质量，改善生活环境，注入新的能源。本工程建设需要一定数量的人力，除施工单位外，还需在当地招募民工，因而可给当地居民和农民增加收入。</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该工程的建设，是促进达州市宣汉县周边区域清洁能源使用的重大举措，对于缓解宣汉县周边区域天然气供需矛盾，优化能源结构，建设环境友好型社会，具有重要意义，项目的建设符合国家产业政策，将使国内的能源配置更趋于合理，使得全国经济的效益在总体上大大提高，体现出中国能源供需的协调发展战略。</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因此，项目具有良好的社会效益。</w:t>
      </w:r>
    </w:p>
    <w:p>
      <w:pPr>
        <w:pStyle w:val="3"/>
      </w:pPr>
      <w:bookmarkStart w:id="455" w:name="7.2.3环境效益"/>
      <w:bookmarkEnd w:id="455"/>
      <w:bookmarkStart w:id="456" w:name="_Toc164667044"/>
      <w:r>
        <w:rPr>
          <w:rFonts w:hint="eastAsia"/>
        </w:rPr>
        <w:t>8.3</w:t>
      </w:r>
      <w:r>
        <w:t>环境效益分析</w:t>
      </w:r>
      <w:bookmarkEnd w:id="456"/>
    </w:p>
    <w:p>
      <w:pPr>
        <w:pStyle w:val="4"/>
        <w:ind w:firstLine="241"/>
      </w:pPr>
      <w:r>
        <w:rPr>
          <w:rFonts w:hint="eastAsia"/>
        </w:rPr>
        <w:t>8.</w:t>
      </w:r>
      <w:r>
        <w:t>3.1环境效益分析</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天然气利用可以减少环境空气污染物的排放量，改善环境空气质量。本项目在减轻大气环境影响方面效益显著，与燃油和燃煤相比具有更高的环境效益。</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我国的能源结构以煤炭为主，以煤为主的能源结构是造成大气污染的主要原因。根据世界各国污染治理的经验，减轻大气污染措施之一就是用无污染或低污染的优质能源替代煤炭。燃烧天然气排放的CO、NO</w:t>
      </w:r>
      <w:r>
        <w:rPr>
          <w:rFonts w:ascii="Times New Roman" w:hAnsi="Times New Roman"/>
          <w:bCs/>
          <w:color w:val="000000" w:themeColor="text1"/>
          <w:vertAlign w:val="subscript"/>
          <w:lang w:eastAsia="zh-CN"/>
          <w14:textFill>
            <w14:solidFill>
              <w14:schemeClr w14:val="tx1"/>
            </w14:solidFill>
          </w14:textFill>
        </w:rPr>
        <w:t>2</w:t>
      </w:r>
      <w:r>
        <w:rPr>
          <w:rFonts w:ascii="Times New Roman" w:hAnsi="Times New Roman"/>
          <w:bCs/>
          <w:color w:val="000000" w:themeColor="text1"/>
          <w:lang w:eastAsia="zh-CN"/>
          <w14:textFill>
            <w14:solidFill>
              <w14:schemeClr w14:val="tx1"/>
            </w14:solidFill>
          </w14:textFill>
        </w:rPr>
        <w:t>、SO</w:t>
      </w:r>
      <w:r>
        <w:rPr>
          <w:rFonts w:ascii="Times New Roman" w:hAnsi="Times New Roman"/>
          <w:bCs/>
          <w:color w:val="000000" w:themeColor="text1"/>
          <w:vertAlign w:val="subscript"/>
          <w:lang w:eastAsia="zh-CN"/>
          <w14:textFill>
            <w14:solidFill>
              <w14:schemeClr w14:val="tx1"/>
            </w14:solidFill>
          </w14:textFill>
        </w:rPr>
        <w:t>2</w:t>
      </w:r>
      <w:r>
        <w:rPr>
          <w:rFonts w:ascii="Times New Roman" w:hAnsi="Times New Roman"/>
          <w:bCs/>
          <w:color w:val="000000" w:themeColor="text1"/>
          <w:lang w:eastAsia="zh-CN"/>
          <w14:textFill>
            <w14:solidFill>
              <w14:schemeClr w14:val="tx1"/>
            </w14:solidFill>
          </w14:textFill>
        </w:rPr>
        <w:t>、灰分大大低于煤和原油的排放量。天然气燃烧可以节省NO</w:t>
      </w:r>
      <w:r>
        <w:rPr>
          <w:rFonts w:ascii="Times New Roman" w:hAnsi="Times New Roman"/>
          <w:bCs/>
          <w:color w:val="000000" w:themeColor="text1"/>
          <w:vertAlign w:val="subscript"/>
          <w:lang w:eastAsia="zh-CN"/>
          <w14:textFill>
            <w14:solidFill>
              <w14:schemeClr w14:val="tx1"/>
            </w14:solidFill>
          </w14:textFill>
        </w:rPr>
        <w:t>2</w:t>
      </w:r>
      <w:r>
        <w:rPr>
          <w:rFonts w:ascii="Times New Roman" w:hAnsi="Times New Roman"/>
          <w:bCs/>
          <w:color w:val="000000" w:themeColor="text1"/>
          <w:lang w:eastAsia="zh-CN"/>
          <w14:textFill>
            <w14:solidFill>
              <w14:schemeClr w14:val="tx1"/>
            </w14:solidFill>
          </w14:textFill>
        </w:rPr>
        <w:t>、SO</w:t>
      </w:r>
      <w:r>
        <w:rPr>
          <w:rFonts w:ascii="Times New Roman" w:hAnsi="Times New Roman"/>
          <w:bCs/>
          <w:color w:val="000000" w:themeColor="text1"/>
          <w:vertAlign w:val="subscript"/>
          <w:lang w:eastAsia="zh-CN"/>
          <w14:textFill>
            <w14:solidFill>
              <w14:schemeClr w14:val="tx1"/>
            </w14:solidFill>
          </w14:textFill>
        </w:rPr>
        <w:t>2</w:t>
      </w:r>
      <w:r>
        <w:rPr>
          <w:rFonts w:ascii="Times New Roman" w:hAnsi="Times New Roman"/>
          <w:bCs/>
          <w:color w:val="000000" w:themeColor="text1"/>
          <w:lang w:eastAsia="zh-CN"/>
          <w14:textFill>
            <w14:solidFill>
              <w14:schemeClr w14:val="tx1"/>
            </w14:solidFill>
          </w14:textFill>
        </w:rPr>
        <w:t>、烟尘、固体废物等处理费用，减少燃煤灰渣引起的土地占用。因此本项目的建设将很大程度上减少了燃煤等对环境的污染影响，带来较好的环境效益。</w:t>
      </w:r>
    </w:p>
    <w:p>
      <w:pPr>
        <w:pStyle w:val="4"/>
        <w:ind w:firstLine="241"/>
      </w:pPr>
      <w:r>
        <w:rPr>
          <w:rFonts w:hint="eastAsia"/>
        </w:rPr>
        <w:t>8.3.2</w:t>
      </w:r>
      <w:r>
        <w:t>环境损失分析</w:t>
      </w:r>
    </w:p>
    <w:p>
      <w:pPr>
        <w:pStyle w:val="21"/>
        <w:spacing w:before="0"/>
        <w:ind w:left="0"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本项目为天然气开采及内输项目，根据其施工方案及运营方案，本项目的主要在施工期对生态环境产生影响，从而造成环境损失。</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（1）大气环境经济损失分析</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施工期大气环境影响主要表现为施工机械产生的燃油废气等方面的影响，在本报告书设定的环保措施得到落实的情况下，工程施工期对大气环境的影响较弱。</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（2）声环境经济损失分析</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施工期声环境影响主要表现为空压机、电焊机、切割机等机械设备使用产生的噪声，在本报告书设定的环保措施得到落实的情况下，工程施工期对声环境的影响较弱。</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（3）水环境经济损失分析</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施工期水环境影响主要表现为施工场地的生活废水、施工废水等方面的影响，在本报告书设定的环保措施得到落实的情况下，工程施工期对水环境的影响较弱。</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（4）固体废物环境经济损失分析</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施工期固废环境影响主要表现为施工生活垃圾、建筑垃圾等方面的影响，在本报告书设定的环保措施得到落实的情况下，工程施工期对固废环境的影响较弱。</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营运期不产生固体废物，工程营运期对固废环境的影响较弱。</w:t>
      </w:r>
    </w:p>
    <w:p>
      <w:pPr>
        <w:pStyle w:val="4"/>
        <w:ind w:firstLine="241"/>
      </w:pPr>
      <w:r>
        <w:rPr>
          <w:rFonts w:hint="eastAsia"/>
        </w:rPr>
        <w:t>8.</w:t>
      </w:r>
      <w:r>
        <w:t>3.3环境损益分析小结</w:t>
      </w:r>
    </w:p>
    <w:p>
      <w:pPr>
        <w:pStyle w:val="21"/>
        <w:ind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根据以上分析，本工程建成后开采的天然气属于清洁能源，本项目的建设将很大程度上减少了燃煤等对环境的污染影响，环境效益明显。环境损失主要体现在施工过程，采用各项施工污染措施后，降低环境影响，施工完成后，环境污染自然消失，从环境损益比较，环境效益明显大于环境损失。</w:t>
      </w:r>
    </w:p>
    <w:p>
      <w:pPr>
        <w:pStyle w:val="3"/>
      </w:pPr>
      <w:bookmarkStart w:id="457" w:name="7.3环境经济损益分析结论"/>
      <w:bookmarkEnd w:id="457"/>
      <w:bookmarkStart w:id="458" w:name="_bookmark37"/>
      <w:bookmarkEnd w:id="458"/>
      <w:bookmarkStart w:id="459" w:name="_Toc164667045"/>
      <w:r>
        <w:rPr>
          <w:rFonts w:hint="eastAsia"/>
        </w:rPr>
        <w:t>8.4</w:t>
      </w:r>
      <w:r>
        <w:t>环境经济损益分析结论</w:t>
      </w:r>
      <w:bookmarkEnd w:id="459"/>
    </w:p>
    <w:p>
      <w:pPr>
        <w:pStyle w:val="21"/>
        <w:ind w:left="0" w:firstLine="480"/>
        <w:rPr>
          <w:rFonts w:ascii="Times New Roman" w:hAnsi="Times New Roman"/>
          <w:bCs/>
          <w:color w:val="000000" w:themeColor="text1"/>
          <w:lang w:eastAsia="zh-CN"/>
          <w14:textFill>
            <w14:solidFill>
              <w14:schemeClr w14:val="tx1"/>
            </w14:solidFill>
          </w14:textFill>
        </w:rPr>
      </w:pPr>
      <w:r>
        <w:rPr>
          <w:rFonts w:ascii="Times New Roman" w:hAnsi="Times New Roman"/>
          <w:bCs/>
          <w:color w:val="000000" w:themeColor="text1"/>
          <w:lang w:eastAsia="zh-CN"/>
          <w14:textFill>
            <w14:solidFill>
              <w14:schemeClr w14:val="tx1"/>
            </w14:solidFill>
          </w14:textFill>
        </w:rPr>
        <w:t>本项目经济效益显著，项目建设符合社会效益、经济效益和环境效益统一的原则，环保投资小，由此可见，工程可衡量的环境损失远远小于工程带来的经济效益、环境效益和社会效益，工程的建设实现了经济效益、环境效益和社会效益的统一。</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本项目的实施，可以改善用气地区能源结构，天然气替代煤炭燃烧，减少因燃煤造成的环境污染，改善大气环境质量，本项目对环境的影响，从长远角度考虑，有利于环境质量改善，正面影响大于负面影响；天然气的应用，对提高人民生活质量、加快国民经济的发展产生积极作用，同时会为社会上缴大量税金，社会效益明显。本项目建设是可行的，符合社会、经济与环境协调发展的原则。</w:t>
      </w:r>
    </w:p>
    <w:p>
      <w:pPr>
        <w:pStyle w:val="2"/>
        <w:sectPr>
          <w:pgSz w:w="11910" w:h="16840"/>
          <w:pgMar w:top="1440" w:right="1800" w:bottom="1440" w:left="1800" w:header="964" w:footer="964" w:gutter="0"/>
          <w:cols w:space="720" w:num="1"/>
          <w:docGrid w:linePitch="326" w:charSpace="0"/>
        </w:sectPr>
      </w:pPr>
    </w:p>
    <w:p>
      <w:pPr>
        <w:pStyle w:val="2"/>
      </w:pPr>
      <w:bookmarkStart w:id="460" w:name="_Toc164667046"/>
      <w:r>
        <w:rPr>
          <w:rFonts w:hint="eastAsia"/>
        </w:rPr>
        <w:t xml:space="preserve">9 </w:t>
      </w:r>
      <w:r>
        <w:t>环境管理与环境监测</w:t>
      </w:r>
      <w:bookmarkEnd w:id="460"/>
    </w:p>
    <w:p>
      <w:pPr>
        <w:pStyle w:val="3"/>
      </w:pPr>
      <w:bookmarkStart w:id="461" w:name="8.1环境管理"/>
      <w:bookmarkEnd w:id="461"/>
      <w:bookmarkStart w:id="462" w:name="_bookmark39"/>
      <w:bookmarkEnd w:id="462"/>
      <w:bookmarkStart w:id="463" w:name="_Toc164667047"/>
      <w:r>
        <w:rPr>
          <w:rFonts w:hint="eastAsia"/>
        </w:rPr>
        <w:t>9.1</w:t>
      </w:r>
      <w:r>
        <w:t>环境管理</w:t>
      </w:r>
      <w:bookmarkEnd w:id="463"/>
    </w:p>
    <w:p>
      <w:pPr>
        <w:pStyle w:val="4"/>
        <w:ind w:firstLine="241"/>
        <w:rPr>
          <w:b w:val="0"/>
        </w:rPr>
      </w:pPr>
      <w:bookmarkStart w:id="464" w:name="8.1.1环境管理的目的和意义"/>
      <w:bookmarkEnd w:id="464"/>
      <w:bookmarkStart w:id="465" w:name="_Toc120173242"/>
      <w:r>
        <w:rPr>
          <w:rFonts w:hint="eastAsia"/>
        </w:rPr>
        <w:t>9.1.1</w:t>
      </w:r>
      <w:r>
        <w:t>环境管理的目的和意义</w:t>
      </w:r>
      <w:bookmarkEnd w:id="465"/>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环境管理是协调经济、社会、环境有序发展的重要手段。环境管理就是以环境科学理论为基础，运用经济、法律、技术、行政、教育等手段去约束人类的社会经济活动，达到不超出环境容量的极限，又能满足人类日益增长的物质生活需要，并使经济发展与生态环境维持在相互可以接受的水平。实践证明，要解决好建设项目的环境问题，首先必须强化其环境管理。</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项目建成后应加强环境管理工作，按照国家的环保政策，建立环境管理制度，治理污染源，减少污染物的排放，最大限度</w:t>
      </w:r>
      <w:r>
        <w:rPr>
          <w:rFonts w:hint="eastAsia" w:ascii="Times New Roman" w:hAnsi="Times New Roman"/>
          <w:bCs/>
          <w:color w:val="000000" w:themeColor="text1"/>
          <w:kern w:val="2"/>
          <w:lang w:eastAsia="zh-CN"/>
          <w14:textFill>
            <w14:solidFill>
              <w14:schemeClr w14:val="tx1"/>
            </w14:solidFill>
          </w14:textFill>
        </w:rPr>
        <w:t>地</w:t>
      </w:r>
      <w:r>
        <w:rPr>
          <w:rFonts w:ascii="Times New Roman" w:hAnsi="Times New Roman"/>
          <w:bCs/>
          <w:color w:val="000000" w:themeColor="text1"/>
          <w:kern w:val="2"/>
          <w:lang w:eastAsia="zh-CN"/>
          <w14:textFill>
            <w14:solidFill>
              <w14:schemeClr w14:val="tx1"/>
            </w14:solidFill>
          </w14:textFill>
        </w:rPr>
        <w:t>减少项目施工期和试采期对周围环境的不利影响，实现经济效益、社会效益和环境效益的统一。</w:t>
      </w:r>
    </w:p>
    <w:p>
      <w:pPr>
        <w:pStyle w:val="4"/>
        <w:ind w:firstLine="241"/>
        <w:rPr>
          <w:b w:val="0"/>
        </w:rPr>
      </w:pPr>
      <w:bookmarkStart w:id="466" w:name="8.1.2环境管理机构及职责"/>
      <w:bookmarkEnd w:id="466"/>
      <w:bookmarkStart w:id="467" w:name="_Toc120173243"/>
      <w:r>
        <w:rPr>
          <w:rFonts w:hint="eastAsia"/>
        </w:rPr>
        <w:t>9.1.2</w:t>
      </w:r>
      <w:r>
        <w:t>施工期环境管理</w:t>
      </w:r>
      <w:bookmarkEnd w:id="467"/>
    </w:p>
    <w:p>
      <w:pPr>
        <w:ind w:firstLine="482"/>
        <w:rPr>
          <w:rFonts w:cs="Times New Roman"/>
          <w:b/>
          <w:bCs/>
          <w:color w:val="000000" w:themeColor="text1"/>
          <w14:textFill>
            <w14:solidFill>
              <w14:schemeClr w14:val="tx1"/>
            </w14:solidFill>
          </w14:textFill>
        </w:rPr>
      </w:pPr>
      <w:bookmarkStart w:id="468" w:name="8.1.4运营期环境管理"/>
      <w:bookmarkEnd w:id="468"/>
      <w:r>
        <w:rPr>
          <w:rFonts w:cs="Times New Roman"/>
          <w:b/>
          <w:bCs/>
          <w:color w:val="000000" w:themeColor="text1"/>
          <w14:textFill>
            <w14:solidFill>
              <w14:schemeClr w14:val="tx1"/>
            </w14:solidFill>
          </w14:textFill>
        </w:rPr>
        <w:t>1、建立有效的环保措施落实监督检查机制</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由于井场井站涉及钻前、钻井、压裂和试采运营四个阶段，建设单位应设专人负责监督不同施工单位在各自实施阶段过程中的环境保护工作，同时监督施工单位落实环境保护措施。在施工承包合同中，应该包括有关环境保护条款，如生态保护措施，水土保持措施，施工设备排放的废气、噪声控制措施和环境保护目标，环境监控措施，环保专项资金的落实等。</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在钻井施工阶段重点监督检查如下环保措施：</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1）泥浆不落地处理环保措施的执行和运行情况，确保措施有效、可靠、可行；</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2）按照环保设计和环评文件要求，监督检查废水、固废严禁外排措施的执行情况；</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3）监督检查环境风险防范措施、应急预案、应急演练、地下水跟踪监测计划等制度措施制定和执行情况。</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在压裂阶段重点监督检查如下环保措施：</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1）阶段取水，避免对当地水资源的占用影响当地河流水体生境；</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2）返排液收集、转运、处置措施执行情况；</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3）分区防渗措施可靠性情况，监督检查是否发生污染泄漏并及时整改。</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2、建立有效的环境管理机构</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建设方应设专人负责各作业单元HSE管理制度的贯彻执行，主要职责在于监督承包商履行承包合同，监督作业进程。制定作业环境保护规定。根据施工作业合同中有关环保要求和各作业特点，分别制定各项环保措施。如在施工过程中，要求在保证安全和顺利施工的情况下，减少对土地的征用及植被、作物的人为破坏，禁止猎杀野生动物；在车辆运输中，要事先确定路线，防止车辆油料及物料装运泄漏等。</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2、建立完善的环保工作计划</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1）在施工前制定环境保护规划</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收集施工地区现有的自然生态环境、社会环境状况以及当地政府有关环境保护的法规等，作为制定规划的依据。重点考虑生态、野生动物、植物等。</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2）进行环境保护培训</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在施工前需对全体员工进行环境保护知识和环保意识培训，并结合施工计划提出具体的环保措施。</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3）紧急情况处理计划</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计划中要考虑施工中可能出现的紧急情况，并明确处理紧急情况的协调及提交相关的恢复措施报告。</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4）施工结束后的恢复计划</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施工前必须制定恢复计划，主要包括：收集所有的施工材料废弃物和生活废弃物、填实污水坑并用土压实，尽量恢复工区内的自然排水通道，营地拆出后不留废弃物品，并对现场作业环境和营地环境恢复情况进行回访等。</w:t>
      </w:r>
    </w:p>
    <w:p>
      <w:pPr>
        <w:pStyle w:val="4"/>
        <w:ind w:firstLine="241"/>
        <w:rPr>
          <w:b w:val="0"/>
        </w:rPr>
      </w:pPr>
      <w:bookmarkStart w:id="469" w:name="_Toc120173244"/>
      <w:r>
        <w:rPr>
          <w:rFonts w:hint="eastAsia"/>
        </w:rPr>
        <w:t>9.1.3</w:t>
      </w:r>
      <w:r>
        <w:t>试采期环境管理</w:t>
      </w:r>
      <w:bookmarkEnd w:id="469"/>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1、加强环保设备的管理</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建立环保设备</w:t>
      </w:r>
      <w:r>
        <w:rPr>
          <w:rFonts w:hint="eastAsia" w:cs="Times New Roman"/>
          <w:color w:val="000000" w:themeColor="text1"/>
          <w:lang w:eastAsia="zh-CN"/>
          <w14:textFill>
            <w14:solidFill>
              <w14:schemeClr w14:val="tx1"/>
            </w14:solidFill>
          </w14:textFill>
        </w:rPr>
        <w:t>台账</w:t>
      </w:r>
      <w:r>
        <w:rPr>
          <w:rFonts w:cs="Times New Roman"/>
          <w:color w:val="000000" w:themeColor="text1"/>
          <w14:textFill>
            <w14:solidFill>
              <w14:schemeClr w14:val="tx1"/>
            </w14:solidFill>
          </w14:textFill>
        </w:rPr>
        <w:t>，制定主要环保设备的操作规程及安排专门操作人员，建立重点处理设备的“环保运行记录”等。</w:t>
      </w:r>
    </w:p>
    <w:p>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2、落实管理制度</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除加强环保设备的基础管理外，尚需狠抓制度的落实，制定环保经济责任制考核制度，以提高各部门对环境保护的责任感。</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在项目试采期，环境管理除做好监督与检查站场各项环保设施的运行和维护等工作外，工作重点应针对工艺装置或管线破裂后天然气泄漏着火爆炸、着火爆炸等重大事故的预防和处理上。重大环境污染事故不同于一般的环境污染，它没有固定的排放方式和排放途径，具有发生突然、危害严重、污染影响长远且难于完全消除等特点。为此，必须制定相应的事故预防措施、事故应急措施以及恢复补偿措施等。</w:t>
      </w:r>
    </w:p>
    <w:p>
      <w:pPr>
        <w:pStyle w:val="3"/>
      </w:pPr>
      <w:bookmarkStart w:id="470" w:name="_Toc164667048"/>
      <w:r>
        <w:rPr>
          <w:rFonts w:hint="eastAsia"/>
        </w:rPr>
        <w:t>9.2</w:t>
      </w:r>
      <w:r>
        <w:t>污染物排放清单</w:t>
      </w:r>
      <w:bookmarkEnd w:id="470"/>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根据《建设项目环境影</w:t>
      </w:r>
      <w:r>
        <w:rPr>
          <w:rFonts w:ascii="Times New Roman" w:hAnsi="Times New Roman"/>
          <w:color w:val="000000" w:themeColor="text1"/>
          <w:lang w:eastAsia="zh-CN"/>
          <w14:textFill>
            <w14:solidFill>
              <w14:schemeClr w14:val="tx1"/>
            </w14:solidFill>
          </w14:textFill>
        </w:rPr>
        <w:t>响评价技术导则 总纲》（HJ2.1-2016）相关要求，建设目应给出污染物排放清单，明确污染物排放的管理要求。包括工程组成及原辅材料组分要求，建设项</w:t>
      </w:r>
      <w:r>
        <w:rPr>
          <w:rFonts w:ascii="Times New Roman" w:hAnsi="Times New Roman"/>
          <w:bCs/>
          <w:color w:val="000000" w:themeColor="text1"/>
          <w:kern w:val="2"/>
          <w:lang w:eastAsia="zh-CN"/>
          <w14:textFill>
            <w14:solidFill>
              <w14:schemeClr w14:val="tx1"/>
            </w14:solidFill>
          </w14:textFill>
        </w:rPr>
        <w:t>目拟采取的环境保护措施及主要运行参数，排放的污染物种类、放浓度和总量指标，污染物排放的分时段要求，排污口信息，执行的环境标准，环境风险防范措施以及环境监测等。提出应向社会公开的信息内容。本项目污染物排放具体见</w:t>
      </w:r>
      <w:r>
        <w:rPr>
          <w:rFonts w:ascii="Times New Roman" w:hAnsi="Times New Roman"/>
          <w:bCs/>
          <w:color w:val="000000" w:themeColor="text1"/>
          <w:kern w:val="2"/>
          <w:lang w:eastAsia="zh-CN"/>
          <w14:textFill>
            <w14:solidFill>
              <w14:schemeClr w14:val="tx1"/>
            </w14:solidFill>
          </w14:textFill>
        </w:rPr>
        <w:fldChar w:fldCharType="begin"/>
      </w:r>
      <w:r>
        <w:rPr>
          <w:rFonts w:ascii="Times New Roman" w:hAnsi="Times New Roman"/>
          <w:bCs/>
          <w:color w:val="000000" w:themeColor="text1"/>
          <w:kern w:val="2"/>
          <w:lang w:eastAsia="zh-CN"/>
          <w14:textFill>
            <w14:solidFill>
              <w14:schemeClr w14:val="tx1"/>
            </w14:solidFill>
          </w14:textFill>
        </w:rPr>
        <w:instrText xml:space="preserve"> REF _Ref142859786 \h  \* MERGEFORMAT </w:instrText>
      </w:r>
      <w:r>
        <w:rPr>
          <w:rFonts w:ascii="Times New Roman" w:hAnsi="Times New Roman"/>
          <w:bCs/>
          <w:color w:val="000000" w:themeColor="text1"/>
          <w:kern w:val="2"/>
          <w:lang w:eastAsia="zh-CN"/>
          <w14:textFill>
            <w14:solidFill>
              <w14:schemeClr w14:val="tx1"/>
            </w14:solidFill>
          </w14:textFill>
        </w:rPr>
        <w:fldChar w:fldCharType="separate"/>
      </w:r>
      <w:r>
        <w:rPr>
          <w:rFonts w:ascii="Times New Roman" w:hAnsi="Times New Roman"/>
          <w:bCs/>
          <w:color w:val="000000" w:themeColor="text1"/>
          <w:kern w:val="2"/>
          <w:lang w:eastAsia="zh-CN"/>
          <w14:textFill>
            <w14:solidFill>
              <w14:schemeClr w14:val="tx1"/>
            </w14:solidFill>
          </w14:textFill>
        </w:rPr>
        <w:t>表</w:t>
      </w:r>
      <w:r>
        <w:rPr>
          <w:rFonts w:hint="eastAsia" w:ascii="Times New Roman" w:hAnsi="Times New Roman"/>
          <w:bCs/>
          <w:color w:val="000000" w:themeColor="text1"/>
          <w:kern w:val="2"/>
          <w:lang w:eastAsia="zh-CN"/>
          <w14:textFill>
            <w14:solidFill>
              <w14:schemeClr w14:val="tx1"/>
            </w14:solidFill>
          </w14:textFill>
        </w:rPr>
        <w:t>9</w:t>
      </w:r>
      <w:r>
        <w:rPr>
          <w:rFonts w:ascii="Times New Roman" w:hAnsi="Times New Roman"/>
          <w:bCs/>
          <w:color w:val="000000" w:themeColor="text1"/>
          <w:kern w:val="2"/>
          <w:lang w:eastAsia="zh-CN"/>
          <w14:textFill>
            <w14:solidFill>
              <w14:schemeClr w14:val="tx1"/>
            </w14:solidFill>
          </w14:textFill>
        </w:rPr>
        <w:t>.2</w:t>
      </w:r>
      <w:r>
        <w:rPr>
          <w:rFonts w:ascii="Times New Roman" w:hAnsi="Times New Roman"/>
          <w:bCs/>
          <w:color w:val="000000" w:themeColor="text1"/>
          <w:kern w:val="2"/>
          <w:lang w:eastAsia="zh-CN"/>
          <w14:textFill>
            <w14:solidFill>
              <w14:schemeClr w14:val="tx1"/>
            </w14:solidFill>
          </w14:textFill>
        </w:rPr>
        <w:noBreakHyphen/>
      </w:r>
      <w:r>
        <w:rPr>
          <w:rFonts w:ascii="Times New Roman" w:hAnsi="Times New Roman"/>
          <w:bCs/>
          <w:color w:val="000000" w:themeColor="text1"/>
          <w:kern w:val="2"/>
          <w:lang w:eastAsia="zh-CN"/>
          <w14:textFill>
            <w14:solidFill>
              <w14:schemeClr w14:val="tx1"/>
            </w14:solidFill>
          </w14:textFill>
        </w:rPr>
        <w:t>1</w:t>
      </w:r>
      <w:r>
        <w:rPr>
          <w:rFonts w:ascii="Times New Roman" w:hAnsi="Times New Roman"/>
          <w:bCs/>
          <w:color w:val="000000" w:themeColor="text1"/>
          <w:kern w:val="2"/>
          <w:lang w:eastAsia="zh-CN"/>
          <w14:textFill>
            <w14:solidFill>
              <w14:schemeClr w14:val="tx1"/>
            </w14:solidFill>
          </w14:textFill>
        </w:rPr>
        <w:fldChar w:fldCharType="end"/>
      </w:r>
      <w:r>
        <w:rPr>
          <w:rFonts w:ascii="Times New Roman" w:hAnsi="Times New Roman"/>
          <w:bCs/>
          <w:color w:val="000000" w:themeColor="text1"/>
          <w:kern w:val="2"/>
          <w:lang w:eastAsia="zh-CN"/>
          <w14:textFill>
            <w14:solidFill>
              <w14:schemeClr w14:val="tx1"/>
            </w14:solidFill>
          </w14:textFill>
        </w:rPr>
        <w:t>。</w:t>
      </w:r>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249"/>
        <w:ind w:firstLine="0" w:firstLineChars="0"/>
        <w:jc w:val="center"/>
        <w:rPr>
          <w:color w:val="000000" w:themeColor="text1"/>
          <w14:textFill>
            <w14:solidFill>
              <w14:schemeClr w14:val="tx1"/>
            </w14:solidFill>
          </w14:textFill>
        </w:rPr>
      </w:pPr>
      <w:bookmarkStart w:id="471" w:name="_Ref142859786"/>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9.2</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bookmarkEnd w:id="471"/>
      <w:r>
        <w:rPr>
          <w:color w:val="000000" w:themeColor="text1"/>
          <w14:textFill>
            <w14:solidFill>
              <w14:schemeClr w14:val="tx1"/>
            </w14:solidFill>
          </w14:textFill>
        </w:rPr>
        <w:t xml:space="preserve"> 本项目污染物排放清单一览表</w:t>
      </w:r>
    </w:p>
    <w:tbl>
      <w:tblPr>
        <w:tblStyle w:val="52"/>
        <w:tblW w:w="1332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562"/>
        <w:gridCol w:w="1418"/>
        <w:gridCol w:w="1276"/>
        <w:gridCol w:w="881"/>
        <w:gridCol w:w="801"/>
        <w:gridCol w:w="869"/>
        <w:gridCol w:w="3686"/>
        <w:gridCol w:w="992"/>
        <w:gridCol w:w="2122"/>
        <w:gridCol w:w="7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blHeader/>
          <w:jc w:val="center"/>
        </w:trPr>
        <w:tc>
          <w:tcPr>
            <w:tcW w:w="562" w:type="dxa"/>
            <w:vAlign w:val="center"/>
          </w:tcPr>
          <w:p>
            <w:pPr>
              <w:pStyle w:val="294"/>
            </w:pPr>
            <w:r>
              <w:t>污染</w:t>
            </w:r>
            <w:r>
              <w:rPr>
                <w:w w:val="99"/>
              </w:rPr>
              <w:t>物</w:t>
            </w:r>
          </w:p>
        </w:tc>
        <w:tc>
          <w:tcPr>
            <w:tcW w:w="2694" w:type="dxa"/>
            <w:gridSpan w:val="2"/>
            <w:vAlign w:val="center"/>
          </w:tcPr>
          <w:p>
            <w:pPr>
              <w:pStyle w:val="294"/>
            </w:pPr>
            <w:r>
              <w:t>污染物种类</w:t>
            </w:r>
          </w:p>
        </w:tc>
        <w:tc>
          <w:tcPr>
            <w:tcW w:w="881" w:type="dxa"/>
            <w:vAlign w:val="center"/>
          </w:tcPr>
          <w:p>
            <w:pPr>
              <w:pStyle w:val="294"/>
            </w:pPr>
            <w:r>
              <w:t>排放浓度mg/m</w:t>
            </w:r>
            <w:r>
              <w:rPr>
                <w:vertAlign w:val="superscript"/>
              </w:rPr>
              <w:t>3</w:t>
            </w:r>
          </w:p>
        </w:tc>
        <w:tc>
          <w:tcPr>
            <w:tcW w:w="801" w:type="dxa"/>
            <w:vAlign w:val="center"/>
          </w:tcPr>
          <w:p>
            <w:pPr>
              <w:pStyle w:val="294"/>
            </w:pPr>
            <w:r>
              <w:t>排放速率kg/h</w:t>
            </w:r>
          </w:p>
        </w:tc>
        <w:tc>
          <w:tcPr>
            <w:tcW w:w="869" w:type="dxa"/>
            <w:vAlign w:val="center"/>
          </w:tcPr>
          <w:p>
            <w:pPr>
              <w:pStyle w:val="294"/>
            </w:pPr>
            <w:r>
              <w:t>排放量t/a</w:t>
            </w:r>
          </w:p>
        </w:tc>
        <w:tc>
          <w:tcPr>
            <w:tcW w:w="3686" w:type="dxa"/>
            <w:vAlign w:val="center"/>
          </w:tcPr>
          <w:p>
            <w:pPr>
              <w:pStyle w:val="294"/>
            </w:pPr>
            <w:r>
              <w:t>环保措施</w:t>
            </w:r>
          </w:p>
        </w:tc>
        <w:tc>
          <w:tcPr>
            <w:tcW w:w="992" w:type="dxa"/>
            <w:vAlign w:val="center"/>
          </w:tcPr>
          <w:p>
            <w:pPr>
              <w:pStyle w:val="294"/>
            </w:pPr>
            <w:r>
              <w:t>运行参数</w:t>
            </w:r>
          </w:p>
        </w:tc>
        <w:tc>
          <w:tcPr>
            <w:tcW w:w="2122" w:type="dxa"/>
            <w:vAlign w:val="center"/>
          </w:tcPr>
          <w:p>
            <w:pPr>
              <w:pStyle w:val="294"/>
            </w:pPr>
            <w:r>
              <w:t>处理效果、执行标准或拟达要求</w:t>
            </w:r>
          </w:p>
        </w:tc>
        <w:tc>
          <w:tcPr>
            <w:tcW w:w="718" w:type="dxa"/>
            <w:vAlign w:val="center"/>
          </w:tcPr>
          <w:p>
            <w:pPr>
              <w:pStyle w:val="294"/>
            </w:pPr>
            <w:r>
              <w:t>总量控制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restart"/>
            <w:vAlign w:val="center"/>
          </w:tcPr>
          <w:p>
            <w:pPr>
              <w:pStyle w:val="294"/>
            </w:pPr>
            <w:r>
              <w:t>大气污染物</w:t>
            </w:r>
          </w:p>
        </w:tc>
        <w:tc>
          <w:tcPr>
            <w:tcW w:w="1418" w:type="dxa"/>
            <w:vAlign w:val="center"/>
          </w:tcPr>
          <w:p>
            <w:pPr>
              <w:pStyle w:val="294"/>
            </w:pPr>
            <w:r>
              <w:t>施工扬尘</w:t>
            </w:r>
          </w:p>
        </w:tc>
        <w:tc>
          <w:tcPr>
            <w:tcW w:w="1276" w:type="dxa"/>
            <w:vAlign w:val="center"/>
          </w:tcPr>
          <w:p>
            <w:pPr>
              <w:pStyle w:val="294"/>
            </w:pPr>
            <w:r>
              <w:t>TSP</w:t>
            </w:r>
          </w:p>
        </w:tc>
        <w:tc>
          <w:tcPr>
            <w:tcW w:w="881" w:type="dxa"/>
            <w:vAlign w:val="center"/>
          </w:tcPr>
          <w:p>
            <w:pPr>
              <w:pStyle w:val="294"/>
            </w:pPr>
            <w:r>
              <w:rPr>
                <w:w w:val="99"/>
              </w:rPr>
              <w:t>—</w:t>
            </w:r>
          </w:p>
        </w:tc>
        <w:tc>
          <w:tcPr>
            <w:tcW w:w="801" w:type="dxa"/>
            <w:vAlign w:val="center"/>
          </w:tcPr>
          <w:p>
            <w:pPr>
              <w:pStyle w:val="294"/>
            </w:pPr>
            <w:r>
              <w:rPr>
                <w:w w:val="99"/>
              </w:rPr>
              <w:t>—</w:t>
            </w:r>
          </w:p>
        </w:tc>
        <w:tc>
          <w:tcPr>
            <w:tcW w:w="869" w:type="dxa"/>
            <w:vAlign w:val="center"/>
          </w:tcPr>
          <w:p>
            <w:pPr>
              <w:pStyle w:val="294"/>
            </w:pPr>
            <w:r>
              <w:rPr>
                <w:w w:val="99"/>
              </w:rPr>
              <w:t>—</w:t>
            </w:r>
          </w:p>
        </w:tc>
        <w:tc>
          <w:tcPr>
            <w:tcW w:w="3686" w:type="dxa"/>
            <w:vAlign w:val="center"/>
          </w:tcPr>
          <w:p>
            <w:pPr>
              <w:pStyle w:val="294"/>
            </w:pPr>
            <w:r>
              <w:t>定期洒水抑尘</w:t>
            </w:r>
          </w:p>
        </w:tc>
        <w:tc>
          <w:tcPr>
            <w:tcW w:w="992" w:type="dxa"/>
            <w:vAlign w:val="center"/>
          </w:tcPr>
          <w:p>
            <w:pPr>
              <w:pStyle w:val="294"/>
            </w:pPr>
            <w:r>
              <w:t>施工期，白天</w:t>
            </w:r>
          </w:p>
        </w:tc>
        <w:tc>
          <w:tcPr>
            <w:tcW w:w="2122" w:type="dxa"/>
            <w:vAlign w:val="center"/>
          </w:tcPr>
          <w:p>
            <w:pPr>
              <w:pStyle w:val="294"/>
            </w:pPr>
            <w:r>
              <w:t>对周围环境影响很小</w:t>
            </w:r>
          </w:p>
        </w:tc>
        <w:tc>
          <w:tcPr>
            <w:tcW w:w="718" w:type="dxa"/>
            <w:vAlign w:val="center"/>
          </w:tcPr>
          <w:p>
            <w:pPr>
              <w:pStyle w:val="294"/>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Align w:val="center"/>
          </w:tcPr>
          <w:p>
            <w:pPr>
              <w:pStyle w:val="294"/>
            </w:pPr>
            <w:r>
              <w:t>施工机械和运输车辆尾气、压裂作业废气</w:t>
            </w:r>
          </w:p>
        </w:tc>
        <w:tc>
          <w:tcPr>
            <w:tcW w:w="1276" w:type="dxa"/>
            <w:vAlign w:val="center"/>
          </w:tcPr>
          <w:p>
            <w:pPr>
              <w:pStyle w:val="294"/>
            </w:pPr>
            <w:r>
              <w:t>CO、NOx等</w:t>
            </w:r>
          </w:p>
        </w:tc>
        <w:tc>
          <w:tcPr>
            <w:tcW w:w="881" w:type="dxa"/>
            <w:vAlign w:val="center"/>
          </w:tcPr>
          <w:p>
            <w:pPr>
              <w:pStyle w:val="294"/>
            </w:pPr>
            <w:r>
              <w:rPr>
                <w:w w:val="99"/>
              </w:rPr>
              <w:t>—</w:t>
            </w:r>
          </w:p>
        </w:tc>
        <w:tc>
          <w:tcPr>
            <w:tcW w:w="801" w:type="dxa"/>
            <w:vAlign w:val="center"/>
          </w:tcPr>
          <w:p>
            <w:pPr>
              <w:pStyle w:val="294"/>
            </w:pPr>
            <w:r>
              <w:rPr>
                <w:w w:val="99"/>
              </w:rPr>
              <w:t>—</w:t>
            </w:r>
          </w:p>
        </w:tc>
        <w:tc>
          <w:tcPr>
            <w:tcW w:w="869" w:type="dxa"/>
            <w:vAlign w:val="center"/>
          </w:tcPr>
          <w:p>
            <w:pPr>
              <w:pStyle w:val="294"/>
            </w:pPr>
            <w:r>
              <w:rPr>
                <w:w w:val="99"/>
              </w:rPr>
              <w:t>—</w:t>
            </w:r>
          </w:p>
        </w:tc>
        <w:tc>
          <w:tcPr>
            <w:tcW w:w="3686" w:type="dxa"/>
            <w:vAlign w:val="center"/>
          </w:tcPr>
          <w:p>
            <w:pPr>
              <w:pStyle w:val="294"/>
            </w:pPr>
            <w:r>
              <w:t>选用尾气排放达标机械车辆，加强保养维护</w:t>
            </w:r>
          </w:p>
        </w:tc>
        <w:tc>
          <w:tcPr>
            <w:tcW w:w="992" w:type="dxa"/>
            <w:vAlign w:val="center"/>
          </w:tcPr>
          <w:p>
            <w:pPr>
              <w:pStyle w:val="294"/>
            </w:pPr>
            <w:r>
              <w:t>施工期，白天</w:t>
            </w:r>
          </w:p>
        </w:tc>
        <w:tc>
          <w:tcPr>
            <w:tcW w:w="2122" w:type="dxa"/>
            <w:vAlign w:val="center"/>
          </w:tcPr>
          <w:p>
            <w:pPr>
              <w:pStyle w:val="294"/>
            </w:pPr>
            <w:r>
              <w:t>对周围环境影响很小</w:t>
            </w:r>
          </w:p>
        </w:tc>
        <w:tc>
          <w:tcPr>
            <w:tcW w:w="718" w:type="dxa"/>
            <w:vAlign w:val="center"/>
          </w:tcPr>
          <w:p>
            <w:pPr>
              <w:pStyle w:val="294"/>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Align w:val="center"/>
          </w:tcPr>
          <w:p>
            <w:pPr>
              <w:pStyle w:val="294"/>
            </w:pPr>
            <w:r>
              <w:t>无组织挥发性废气</w:t>
            </w:r>
          </w:p>
        </w:tc>
        <w:tc>
          <w:tcPr>
            <w:tcW w:w="1276" w:type="dxa"/>
            <w:vAlign w:val="center"/>
          </w:tcPr>
          <w:p>
            <w:pPr>
              <w:pStyle w:val="294"/>
            </w:pPr>
            <w:r>
              <w:t>无组织挥发性有机物</w:t>
            </w:r>
          </w:p>
        </w:tc>
        <w:tc>
          <w:tcPr>
            <w:tcW w:w="881" w:type="dxa"/>
            <w:vAlign w:val="center"/>
          </w:tcPr>
          <w:p>
            <w:pPr>
              <w:pStyle w:val="294"/>
            </w:pPr>
            <w:r>
              <w:rPr>
                <w:w w:val="99"/>
              </w:rPr>
              <w:t>—</w:t>
            </w:r>
          </w:p>
        </w:tc>
        <w:tc>
          <w:tcPr>
            <w:tcW w:w="801" w:type="dxa"/>
            <w:vAlign w:val="center"/>
          </w:tcPr>
          <w:p>
            <w:pPr>
              <w:pStyle w:val="294"/>
            </w:pPr>
            <w:r>
              <w:rPr>
                <w:w w:val="99"/>
              </w:rPr>
              <w:t>—</w:t>
            </w:r>
          </w:p>
        </w:tc>
        <w:tc>
          <w:tcPr>
            <w:tcW w:w="869" w:type="dxa"/>
            <w:vAlign w:val="center"/>
          </w:tcPr>
          <w:p>
            <w:pPr>
              <w:pStyle w:val="294"/>
            </w:pPr>
            <w:r>
              <w:rPr>
                <w:w w:val="99"/>
              </w:rPr>
              <w:t>—</w:t>
            </w:r>
          </w:p>
        </w:tc>
        <w:tc>
          <w:tcPr>
            <w:tcW w:w="3686" w:type="dxa"/>
            <w:vAlign w:val="center"/>
          </w:tcPr>
          <w:p>
            <w:pPr>
              <w:pStyle w:val="294"/>
            </w:pPr>
            <w:r>
              <w:rPr>
                <w:w w:val="99"/>
              </w:rPr>
              <w:t>—</w:t>
            </w:r>
          </w:p>
        </w:tc>
        <w:tc>
          <w:tcPr>
            <w:tcW w:w="992" w:type="dxa"/>
            <w:vAlign w:val="center"/>
          </w:tcPr>
          <w:p>
            <w:pPr>
              <w:pStyle w:val="294"/>
            </w:pPr>
            <w:r>
              <w:t>钻井期</w:t>
            </w:r>
          </w:p>
        </w:tc>
        <w:tc>
          <w:tcPr>
            <w:tcW w:w="2122" w:type="dxa"/>
            <w:vAlign w:val="center"/>
          </w:tcPr>
          <w:p>
            <w:pPr>
              <w:pStyle w:val="294"/>
            </w:pPr>
            <w:r>
              <w:t>满足《陆上石油天然气开采工业大气污染物排放标准》（GB39728—2020）要求</w:t>
            </w:r>
          </w:p>
        </w:tc>
        <w:tc>
          <w:tcPr>
            <w:tcW w:w="718" w:type="dxa"/>
            <w:vAlign w:val="center"/>
          </w:tcPr>
          <w:p>
            <w:pPr>
              <w:pStyle w:val="294"/>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Merge w:val="restart"/>
            <w:vAlign w:val="center"/>
          </w:tcPr>
          <w:p>
            <w:pPr>
              <w:pStyle w:val="294"/>
            </w:pPr>
            <w:r>
              <w:t>备用柴油发电机尾气</w:t>
            </w:r>
          </w:p>
        </w:tc>
        <w:tc>
          <w:tcPr>
            <w:tcW w:w="1276" w:type="dxa"/>
            <w:vAlign w:val="center"/>
          </w:tcPr>
          <w:p>
            <w:pPr>
              <w:pStyle w:val="294"/>
            </w:pPr>
            <w:r>
              <w:t>NOx</w:t>
            </w:r>
          </w:p>
        </w:tc>
        <w:tc>
          <w:tcPr>
            <w:tcW w:w="881" w:type="dxa"/>
            <w:vAlign w:val="center"/>
          </w:tcPr>
          <w:p>
            <w:pPr>
              <w:pStyle w:val="294"/>
            </w:pPr>
            <w:r>
              <w:rPr>
                <w:w w:val="99"/>
              </w:rPr>
              <w:t>—</w:t>
            </w:r>
          </w:p>
        </w:tc>
        <w:tc>
          <w:tcPr>
            <w:tcW w:w="801" w:type="dxa"/>
            <w:vAlign w:val="center"/>
          </w:tcPr>
          <w:p>
            <w:pPr>
              <w:pStyle w:val="294"/>
            </w:pPr>
            <w:r>
              <w:rPr>
                <w:w w:val="99"/>
              </w:rPr>
              <w:t>—</w:t>
            </w:r>
          </w:p>
        </w:tc>
        <w:tc>
          <w:tcPr>
            <w:tcW w:w="869" w:type="dxa"/>
            <w:vAlign w:val="center"/>
          </w:tcPr>
          <w:p>
            <w:pPr>
              <w:pStyle w:val="294"/>
            </w:pPr>
            <w:r>
              <w:rPr>
                <w:w w:val="99"/>
              </w:rPr>
              <w:t>—</w:t>
            </w:r>
          </w:p>
        </w:tc>
        <w:tc>
          <w:tcPr>
            <w:tcW w:w="3686" w:type="dxa"/>
            <w:vMerge w:val="restart"/>
            <w:vAlign w:val="center"/>
          </w:tcPr>
          <w:p>
            <w:pPr>
              <w:pStyle w:val="294"/>
            </w:pPr>
            <w:r>
              <w:t>自带消烟除尘装置处理后经6m高排气筒排放</w:t>
            </w:r>
          </w:p>
        </w:tc>
        <w:tc>
          <w:tcPr>
            <w:tcW w:w="992" w:type="dxa"/>
            <w:vMerge w:val="restart"/>
            <w:vAlign w:val="center"/>
          </w:tcPr>
          <w:p>
            <w:pPr>
              <w:pStyle w:val="294"/>
            </w:pPr>
            <w:r>
              <w:t>偶尔</w:t>
            </w:r>
          </w:p>
        </w:tc>
        <w:tc>
          <w:tcPr>
            <w:tcW w:w="2122" w:type="dxa"/>
            <w:vMerge w:val="restart"/>
            <w:vAlign w:val="center"/>
          </w:tcPr>
          <w:p>
            <w:pPr>
              <w:pStyle w:val="294"/>
            </w:pPr>
            <w:r>
              <w:t>对周围环境影响很小</w:t>
            </w:r>
          </w:p>
        </w:tc>
        <w:tc>
          <w:tcPr>
            <w:tcW w:w="718" w:type="dxa"/>
            <w:vMerge w:val="restart"/>
            <w:vAlign w:val="center"/>
          </w:tcPr>
          <w:p>
            <w:pPr>
              <w:pStyle w:val="294"/>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Merge w:val="continue"/>
            <w:vAlign w:val="center"/>
          </w:tcPr>
          <w:p>
            <w:pPr>
              <w:pStyle w:val="294"/>
            </w:pPr>
          </w:p>
        </w:tc>
        <w:tc>
          <w:tcPr>
            <w:tcW w:w="1276" w:type="dxa"/>
            <w:vAlign w:val="center"/>
          </w:tcPr>
          <w:p>
            <w:pPr>
              <w:pStyle w:val="294"/>
            </w:pPr>
            <w:r>
              <w:t>SO</w:t>
            </w:r>
            <w:r>
              <w:rPr>
                <w:vertAlign w:val="subscript"/>
              </w:rPr>
              <w:t>2</w:t>
            </w:r>
          </w:p>
        </w:tc>
        <w:tc>
          <w:tcPr>
            <w:tcW w:w="881" w:type="dxa"/>
            <w:vAlign w:val="center"/>
          </w:tcPr>
          <w:p>
            <w:pPr>
              <w:pStyle w:val="294"/>
            </w:pPr>
            <w:r>
              <w:rPr>
                <w:w w:val="99"/>
              </w:rPr>
              <w:t>—</w:t>
            </w:r>
          </w:p>
        </w:tc>
        <w:tc>
          <w:tcPr>
            <w:tcW w:w="801" w:type="dxa"/>
            <w:vAlign w:val="center"/>
          </w:tcPr>
          <w:p>
            <w:pPr>
              <w:pStyle w:val="294"/>
            </w:pPr>
            <w:r>
              <w:rPr>
                <w:w w:val="99"/>
              </w:rPr>
              <w:t>—</w:t>
            </w:r>
          </w:p>
        </w:tc>
        <w:tc>
          <w:tcPr>
            <w:tcW w:w="869" w:type="dxa"/>
            <w:vAlign w:val="center"/>
          </w:tcPr>
          <w:p>
            <w:pPr>
              <w:pStyle w:val="294"/>
            </w:pPr>
            <w:r>
              <w:rPr>
                <w:w w:val="99"/>
              </w:rPr>
              <w:t>—</w:t>
            </w:r>
          </w:p>
        </w:tc>
        <w:tc>
          <w:tcPr>
            <w:tcW w:w="3686" w:type="dxa"/>
            <w:vMerge w:val="continue"/>
            <w:vAlign w:val="center"/>
          </w:tcPr>
          <w:p>
            <w:pPr>
              <w:pStyle w:val="294"/>
            </w:pPr>
          </w:p>
        </w:tc>
        <w:tc>
          <w:tcPr>
            <w:tcW w:w="992" w:type="dxa"/>
            <w:vMerge w:val="continue"/>
            <w:vAlign w:val="center"/>
          </w:tcPr>
          <w:p>
            <w:pPr>
              <w:pStyle w:val="294"/>
            </w:pPr>
          </w:p>
        </w:tc>
        <w:tc>
          <w:tcPr>
            <w:tcW w:w="2122" w:type="dxa"/>
            <w:vMerge w:val="continue"/>
            <w:vAlign w:val="center"/>
          </w:tcPr>
          <w:p>
            <w:pPr>
              <w:pStyle w:val="294"/>
            </w:pPr>
          </w:p>
        </w:tc>
        <w:tc>
          <w:tcPr>
            <w:tcW w:w="718"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Merge w:val="continue"/>
            <w:vAlign w:val="center"/>
          </w:tcPr>
          <w:p>
            <w:pPr>
              <w:pStyle w:val="294"/>
            </w:pPr>
          </w:p>
        </w:tc>
        <w:tc>
          <w:tcPr>
            <w:tcW w:w="1276" w:type="dxa"/>
            <w:vAlign w:val="center"/>
          </w:tcPr>
          <w:p>
            <w:pPr>
              <w:pStyle w:val="294"/>
            </w:pPr>
            <w:r>
              <w:t>TSP</w:t>
            </w:r>
          </w:p>
        </w:tc>
        <w:tc>
          <w:tcPr>
            <w:tcW w:w="881" w:type="dxa"/>
            <w:vAlign w:val="center"/>
          </w:tcPr>
          <w:p>
            <w:pPr>
              <w:pStyle w:val="294"/>
            </w:pPr>
            <w:r>
              <w:rPr>
                <w:w w:val="99"/>
              </w:rPr>
              <w:t>—</w:t>
            </w:r>
          </w:p>
        </w:tc>
        <w:tc>
          <w:tcPr>
            <w:tcW w:w="801" w:type="dxa"/>
            <w:vAlign w:val="center"/>
          </w:tcPr>
          <w:p>
            <w:pPr>
              <w:pStyle w:val="294"/>
            </w:pPr>
            <w:r>
              <w:rPr>
                <w:w w:val="99"/>
              </w:rPr>
              <w:t>—</w:t>
            </w:r>
          </w:p>
        </w:tc>
        <w:tc>
          <w:tcPr>
            <w:tcW w:w="869" w:type="dxa"/>
            <w:vAlign w:val="center"/>
          </w:tcPr>
          <w:p>
            <w:pPr>
              <w:pStyle w:val="294"/>
            </w:pPr>
            <w:r>
              <w:rPr>
                <w:w w:val="99"/>
              </w:rPr>
              <w:t>—</w:t>
            </w:r>
          </w:p>
        </w:tc>
        <w:tc>
          <w:tcPr>
            <w:tcW w:w="3686" w:type="dxa"/>
            <w:vMerge w:val="continue"/>
            <w:vAlign w:val="center"/>
          </w:tcPr>
          <w:p>
            <w:pPr>
              <w:pStyle w:val="294"/>
            </w:pPr>
          </w:p>
        </w:tc>
        <w:tc>
          <w:tcPr>
            <w:tcW w:w="992" w:type="dxa"/>
            <w:vMerge w:val="continue"/>
            <w:vAlign w:val="center"/>
          </w:tcPr>
          <w:p>
            <w:pPr>
              <w:pStyle w:val="294"/>
            </w:pPr>
          </w:p>
        </w:tc>
        <w:tc>
          <w:tcPr>
            <w:tcW w:w="2122" w:type="dxa"/>
            <w:vMerge w:val="continue"/>
            <w:vAlign w:val="center"/>
          </w:tcPr>
          <w:p>
            <w:pPr>
              <w:pStyle w:val="294"/>
            </w:pPr>
          </w:p>
        </w:tc>
        <w:tc>
          <w:tcPr>
            <w:tcW w:w="718" w:type="dxa"/>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Align w:val="center"/>
          </w:tcPr>
          <w:p>
            <w:pPr>
              <w:pStyle w:val="294"/>
            </w:pPr>
            <w:r>
              <w:t>无设备检修或系统超压时排放少量天然气（1-2次/年）</w:t>
            </w:r>
          </w:p>
        </w:tc>
        <w:tc>
          <w:tcPr>
            <w:tcW w:w="1276" w:type="dxa"/>
            <w:vAlign w:val="center"/>
          </w:tcPr>
          <w:p>
            <w:pPr>
              <w:pStyle w:val="294"/>
            </w:pPr>
            <w:r>
              <w:t>烃类气体</w:t>
            </w:r>
          </w:p>
        </w:tc>
        <w:tc>
          <w:tcPr>
            <w:tcW w:w="881" w:type="dxa"/>
            <w:vAlign w:val="center"/>
          </w:tcPr>
          <w:p>
            <w:pPr>
              <w:pStyle w:val="294"/>
            </w:pPr>
            <w:r>
              <w:t>—</w:t>
            </w:r>
          </w:p>
        </w:tc>
        <w:tc>
          <w:tcPr>
            <w:tcW w:w="801" w:type="dxa"/>
            <w:vAlign w:val="center"/>
          </w:tcPr>
          <w:p>
            <w:pPr>
              <w:pStyle w:val="294"/>
            </w:pPr>
            <w:r>
              <w:t>—</w:t>
            </w:r>
          </w:p>
        </w:tc>
        <w:tc>
          <w:tcPr>
            <w:tcW w:w="869" w:type="dxa"/>
            <w:vAlign w:val="center"/>
          </w:tcPr>
          <w:p>
            <w:pPr>
              <w:pStyle w:val="294"/>
            </w:pPr>
            <w:r>
              <w:t>—</w:t>
            </w:r>
          </w:p>
        </w:tc>
        <w:tc>
          <w:tcPr>
            <w:tcW w:w="3686" w:type="dxa"/>
            <w:vAlign w:val="center"/>
          </w:tcPr>
          <w:p>
            <w:pPr>
              <w:pStyle w:val="294"/>
            </w:pPr>
            <w:r>
              <w:t>无组织排放</w:t>
            </w:r>
          </w:p>
        </w:tc>
        <w:tc>
          <w:tcPr>
            <w:tcW w:w="992" w:type="dxa"/>
            <w:vAlign w:val="center"/>
          </w:tcPr>
          <w:p>
            <w:pPr>
              <w:pStyle w:val="294"/>
            </w:pPr>
            <w:r>
              <w:t>全年</w:t>
            </w:r>
          </w:p>
        </w:tc>
        <w:tc>
          <w:tcPr>
            <w:tcW w:w="2122" w:type="dxa"/>
            <w:vAlign w:val="center"/>
          </w:tcPr>
          <w:p>
            <w:pPr>
              <w:pStyle w:val="294"/>
            </w:pPr>
            <w:r>
              <w:t>《陆上石油天然气开采工业大气污染物排放标准》（GB 39728-2020）排放限值</w:t>
            </w:r>
          </w:p>
        </w:tc>
        <w:tc>
          <w:tcPr>
            <w:tcW w:w="718" w:type="dxa"/>
            <w:vAlign w:val="center"/>
          </w:tcPr>
          <w:p>
            <w:pPr>
              <w:pStyle w:val="294"/>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Align w:val="center"/>
          </w:tcPr>
          <w:p>
            <w:pPr>
              <w:pStyle w:val="294"/>
            </w:pPr>
            <w:r>
              <w:t>设备检修或系统超压时排放少量天然气</w:t>
            </w:r>
          </w:p>
        </w:tc>
        <w:tc>
          <w:tcPr>
            <w:tcW w:w="1276" w:type="dxa"/>
            <w:vAlign w:val="center"/>
          </w:tcPr>
          <w:p>
            <w:pPr>
              <w:pStyle w:val="294"/>
            </w:pPr>
            <w:r>
              <w:t>SO</w:t>
            </w:r>
            <w:r>
              <w:rPr>
                <w:vertAlign w:val="subscript"/>
              </w:rPr>
              <w:t>2</w:t>
            </w:r>
          </w:p>
        </w:tc>
        <w:tc>
          <w:tcPr>
            <w:tcW w:w="881" w:type="dxa"/>
            <w:vAlign w:val="center"/>
          </w:tcPr>
          <w:p>
            <w:pPr>
              <w:pStyle w:val="294"/>
            </w:pPr>
            <w:r>
              <w:rPr>
                <w:w w:val="99"/>
              </w:rPr>
              <w:t>—</w:t>
            </w:r>
          </w:p>
        </w:tc>
        <w:tc>
          <w:tcPr>
            <w:tcW w:w="801" w:type="dxa"/>
            <w:vAlign w:val="center"/>
          </w:tcPr>
          <w:p>
            <w:pPr>
              <w:pStyle w:val="294"/>
            </w:pPr>
            <w:r>
              <w:t>—</w:t>
            </w:r>
          </w:p>
        </w:tc>
        <w:tc>
          <w:tcPr>
            <w:tcW w:w="869" w:type="dxa"/>
            <w:vAlign w:val="center"/>
          </w:tcPr>
          <w:p>
            <w:pPr>
              <w:pStyle w:val="294"/>
            </w:pPr>
            <w:r>
              <w:t>—</w:t>
            </w:r>
          </w:p>
        </w:tc>
        <w:tc>
          <w:tcPr>
            <w:tcW w:w="3686" w:type="dxa"/>
            <w:vAlign w:val="center"/>
          </w:tcPr>
          <w:p>
            <w:pPr>
              <w:pStyle w:val="294"/>
            </w:pPr>
            <w:r>
              <w:t>依托P302集气站60m高放空火炬燃烧后排放</w:t>
            </w:r>
          </w:p>
        </w:tc>
        <w:tc>
          <w:tcPr>
            <w:tcW w:w="992" w:type="dxa"/>
            <w:vAlign w:val="center"/>
          </w:tcPr>
          <w:p>
            <w:pPr>
              <w:pStyle w:val="294"/>
            </w:pPr>
            <w:r>
              <w:t>偶尔</w:t>
            </w:r>
          </w:p>
        </w:tc>
        <w:tc>
          <w:tcPr>
            <w:tcW w:w="2122" w:type="dxa"/>
            <w:vAlign w:val="center"/>
          </w:tcPr>
          <w:p>
            <w:pPr>
              <w:pStyle w:val="294"/>
            </w:pPr>
            <w:r>
              <w:t>对周围环境影响较小</w:t>
            </w:r>
          </w:p>
        </w:tc>
        <w:tc>
          <w:tcPr>
            <w:tcW w:w="718" w:type="dxa"/>
            <w:vAlign w:val="center"/>
          </w:tcPr>
          <w:p>
            <w:pPr>
              <w:pStyle w:val="294"/>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restart"/>
            <w:vAlign w:val="center"/>
          </w:tcPr>
          <w:p>
            <w:pPr>
              <w:pStyle w:val="294"/>
            </w:pPr>
            <w:r>
              <w:t>水污染物</w:t>
            </w:r>
          </w:p>
        </w:tc>
        <w:tc>
          <w:tcPr>
            <w:tcW w:w="1418" w:type="dxa"/>
            <w:vAlign w:val="center"/>
          </w:tcPr>
          <w:p>
            <w:pPr>
              <w:pStyle w:val="294"/>
            </w:pPr>
            <w:r>
              <w:t>钻井废水</w:t>
            </w:r>
          </w:p>
        </w:tc>
        <w:tc>
          <w:tcPr>
            <w:tcW w:w="1276" w:type="dxa"/>
            <w:vMerge w:val="restart"/>
            <w:vAlign w:val="center"/>
          </w:tcPr>
          <w:p>
            <w:pPr>
              <w:pStyle w:val="294"/>
            </w:pPr>
            <w:r>
              <w:t>石油类、悬浮物、COD及氯化物等</w:t>
            </w:r>
          </w:p>
        </w:tc>
        <w:tc>
          <w:tcPr>
            <w:tcW w:w="881" w:type="dxa"/>
            <w:vAlign w:val="center"/>
          </w:tcPr>
          <w:p>
            <w:pPr>
              <w:pStyle w:val="294"/>
            </w:pPr>
            <w:r>
              <w:rPr>
                <w:w w:val="99"/>
              </w:rPr>
              <w:t>—</w:t>
            </w:r>
          </w:p>
        </w:tc>
        <w:tc>
          <w:tcPr>
            <w:tcW w:w="801" w:type="dxa"/>
            <w:vAlign w:val="center"/>
          </w:tcPr>
          <w:p>
            <w:pPr>
              <w:pStyle w:val="294"/>
            </w:pPr>
            <w:r>
              <w:rPr>
                <w:w w:val="99"/>
              </w:rPr>
              <w:t>—</w:t>
            </w:r>
          </w:p>
        </w:tc>
        <w:tc>
          <w:tcPr>
            <w:tcW w:w="869" w:type="dxa"/>
            <w:vAlign w:val="center"/>
          </w:tcPr>
          <w:p>
            <w:pPr>
              <w:pStyle w:val="294"/>
            </w:pPr>
            <w:r>
              <w:t>1141.53m</w:t>
            </w:r>
            <w:r>
              <w:rPr>
                <w:vertAlign w:val="superscript"/>
              </w:rPr>
              <w:t>3</w:t>
            </w:r>
          </w:p>
        </w:tc>
        <w:tc>
          <w:tcPr>
            <w:tcW w:w="3686" w:type="dxa"/>
            <w:vMerge w:val="restart"/>
            <w:vAlign w:val="center"/>
          </w:tcPr>
          <w:p>
            <w:pPr>
              <w:pStyle w:val="294"/>
            </w:pPr>
            <w:r>
              <w:t>约90%回用于区块内钻井或压裂液配置，剩余的转运预处理后回注</w:t>
            </w:r>
          </w:p>
        </w:tc>
        <w:tc>
          <w:tcPr>
            <w:tcW w:w="992" w:type="dxa"/>
            <w:vMerge w:val="restart"/>
            <w:vAlign w:val="center"/>
          </w:tcPr>
          <w:p>
            <w:pPr>
              <w:pStyle w:val="294"/>
            </w:pPr>
            <w:r>
              <w:t>钻井期定期转运</w:t>
            </w:r>
          </w:p>
        </w:tc>
        <w:tc>
          <w:tcPr>
            <w:tcW w:w="2122" w:type="dxa"/>
            <w:vMerge w:val="restart"/>
            <w:vAlign w:val="center"/>
          </w:tcPr>
          <w:p>
            <w:pPr>
              <w:pStyle w:val="294"/>
            </w:pPr>
            <w:r>
              <w:t>污水全部回用或回注</w:t>
            </w:r>
          </w:p>
        </w:tc>
        <w:tc>
          <w:tcPr>
            <w:tcW w:w="718" w:type="dxa"/>
            <w:vAlign w:val="center"/>
          </w:tcPr>
          <w:p>
            <w:pPr>
              <w:pStyle w:val="294"/>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Align w:val="center"/>
          </w:tcPr>
          <w:p>
            <w:pPr>
              <w:pStyle w:val="294"/>
            </w:pPr>
            <w:r>
              <w:t>洗井废水</w:t>
            </w:r>
          </w:p>
        </w:tc>
        <w:tc>
          <w:tcPr>
            <w:tcW w:w="1276" w:type="dxa"/>
            <w:vMerge w:val="continue"/>
            <w:vAlign w:val="center"/>
          </w:tcPr>
          <w:p>
            <w:pPr>
              <w:pStyle w:val="294"/>
            </w:pPr>
          </w:p>
        </w:tc>
        <w:tc>
          <w:tcPr>
            <w:tcW w:w="881" w:type="dxa"/>
            <w:vAlign w:val="center"/>
          </w:tcPr>
          <w:p>
            <w:pPr>
              <w:pStyle w:val="294"/>
            </w:pPr>
            <w:r>
              <w:rPr>
                <w:w w:val="99"/>
              </w:rPr>
              <w:t>—</w:t>
            </w:r>
          </w:p>
        </w:tc>
        <w:tc>
          <w:tcPr>
            <w:tcW w:w="801" w:type="dxa"/>
            <w:vAlign w:val="center"/>
          </w:tcPr>
          <w:p>
            <w:pPr>
              <w:pStyle w:val="294"/>
            </w:pPr>
            <w:r>
              <w:rPr>
                <w:w w:val="99"/>
              </w:rPr>
              <w:t>—</w:t>
            </w:r>
          </w:p>
        </w:tc>
        <w:tc>
          <w:tcPr>
            <w:tcW w:w="869" w:type="dxa"/>
            <w:vAlign w:val="center"/>
          </w:tcPr>
          <w:p>
            <w:pPr>
              <w:pStyle w:val="294"/>
            </w:pPr>
            <w:r>
              <w:t>100m</w:t>
            </w:r>
            <w:r>
              <w:rPr>
                <w:vertAlign w:val="superscript"/>
              </w:rPr>
              <w:t>3</w:t>
            </w:r>
          </w:p>
        </w:tc>
        <w:tc>
          <w:tcPr>
            <w:tcW w:w="3686" w:type="dxa"/>
            <w:vMerge w:val="continue"/>
            <w:vAlign w:val="center"/>
          </w:tcPr>
          <w:p>
            <w:pPr>
              <w:pStyle w:val="294"/>
            </w:pPr>
          </w:p>
        </w:tc>
        <w:tc>
          <w:tcPr>
            <w:tcW w:w="992" w:type="dxa"/>
            <w:vMerge w:val="continue"/>
            <w:vAlign w:val="center"/>
          </w:tcPr>
          <w:p>
            <w:pPr>
              <w:pStyle w:val="294"/>
              <w:rPr>
                <w:w w:val="99"/>
              </w:rPr>
            </w:pPr>
          </w:p>
        </w:tc>
        <w:tc>
          <w:tcPr>
            <w:tcW w:w="2122" w:type="dxa"/>
            <w:vMerge w:val="continue"/>
            <w:vAlign w:val="center"/>
          </w:tcPr>
          <w:p>
            <w:pPr>
              <w:pStyle w:val="294"/>
            </w:pPr>
          </w:p>
        </w:tc>
        <w:tc>
          <w:tcPr>
            <w:tcW w:w="718" w:type="dxa"/>
            <w:vAlign w:val="center"/>
          </w:tcPr>
          <w:p>
            <w:pPr>
              <w:pStyle w:val="294"/>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Align w:val="center"/>
          </w:tcPr>
          <w:p>
            <w:pPr>
              <w:pStyle w:val="294"/>
            </w:pPr>
            <w:r>
              <w:t>压裂返排液</w:t>
            </w:r>
          </w:p>
        </w:tc>
        <w:tc>
          <w:tcPr>
            <w:tcW w:w="1276" w:type="dxa"/>
            <w:vAlign w:val="center"/>
          </w:tcPr>
          <w:p>
            <w:pPr>
              <w:pStyle w:val="294"/>
            </w:pPr>
            <w:r>
              <w:t>石油类、悬浮物、COD等</w:t>
            </w:r>
          </w:p>
        </w:tc>
        <w:tc>
          <w:tcPr>
            <w:tcW w:w="881" w:type="dxa"/>
            <w:vAlign w:val="center"/>
          </w:tcPr>
          <w:p>
            <w:pPr>
              <w:pStyle w:val="294"/>
            </w:pPr>
            <w:r>
              <w:rPr>
                <w:w w:val="99"/>
              </w:rPr>
              <w:t>—</w:t>
            </w:r>
          </w:p>
        </w:tc>
        <w:tc>
          <w:tcPr>
            <w:tcW w:w="801" w:type="dxa"/>
            <w:vAlign w:val="center"/>
          </w:tcPr>
          <w:p>
            <w:pPr>
              <w:pStyle w:val="294"/>
            </w:pPr>
            <w:r>
              <w:rPr>
                <w:w w:val="99"/>
              </w:rPr>
              <w:t>—</w:t>
            </w:r>
          </w:p>
        </w:tc>
        <w:tc>
          <w:tcPr>
            <w:tcW w:w="869" w:type="dxa"/>
            <w:vAlign w:val="center"/>
          </w:tcPr>
          <w:p>
            <w:pPr>
              <w:pStyle w:val="294"/>
            </w:pPr>
            <w:r>
              <w:t>96m</w:t>
            </w:r>
            <w:r>
              <w:rPr>
                <w:vertAlign w:val="superscript"/>
              </w:rPr>
              <w:t>3</w:t>
            </w:r>
          </w:p>
        </w:tc>
        <w:tc>
          <w:tcPr>
            <w:tcW w:w="3686" w:type="dxa"/>
            <w:vMerge w:val="continue"/>
            <w:vAlign w:val="center"/>
          </w:tcPr>
          <w:p>
            <w:pPr>
              <w:pStyle w:val="294"/>
            </w:pPr>
          </w:p>
        </w:tc>
        <w:tc>
          <w:tcPr>
            <w:tcW w:w="992" w:type="dxa"/>
            <w:vMerge w:val="continue"/>
            <w:vAlign w:val="center"/>
          </w:tcPr>
          <w:p>
            <w:pPr>
              <w:pStyle w:val="294"/>
              <w:rPr>
                <w:w w:val="99"/>
              </w:rPr>
            </w:pPr>
          </w:p>
        </w:tc>
        <w:tc>
          <w:tcPr>
            <w:tcW w:w="2122" w:type="dxa"/>
            <w:vMerge w:val="continue"/>
            <w:vAlign w:val="center"/>
          </w:tcPr>
          <w:p>
            <w:pPr>
              <w:pStyle w:val="294"/>
            </w:pPr>
          </w:p>
        </w:tc>
        <w:tc>
          <w:tcPr>
            <w:tcW w:w="718" w:type="dxa"/>
            <w:vAlign w:val="center"/>
          </w:tcPr>
          <w:p>
            <w:pPr>
              <w:pStyle w:val="294"/>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Align w:val="center"/>
          </w:tcPr>
          <w:p>
            <w:pPr>
              <w:pStyle w:val="294"/>
            </w:pPr>
            <w:r>
              <w:t>钻井生活污水</w:t>
            </w:r>
          </w:p>
        </w:tc>
        <w:tc>
          <w:tcPr>
            <w:tcW w:w="1276" w:type="dxa"/>
            <w:vMerge w:val="restart"/>
            <w:vAlign w:val="center"/>
          </w:tcPr>
          <w:p>
            <w:pPr>
              <w:pStyle w:val="294"/>
            </w:pPr>
            <w:r>
              <w:t>COD</w:t>
            </w:r>
            <w:r>
              <w:rPr>
                <w:vertAlign w:val="subscript"/>
              </w:rPr>
              <w:t>Cr</w:t>
            </w:r>
            <w:r>
              <w:t>、BOD</w:t>
            </w:r>
            <w:r>
              <w:rPr>
                <w:vertAlign w:val="subscript"/>
              </w:rPr>
              <w:t>5</w:t>
            </w:r>
            <w:r>
              <w:t>、SS等</w:t>
            </w:r>
          </w:p>
        </w:tc>
        <w:tc>
          <w:tcPr>
            <w:tcW w:w="881" w:type="dxa"/>
            <w:vAlign w:val="center"/>
          </w:tcPr>
          <w:p>
            <w:pPr>
              <w:pStyle w:val="294"/>
            </w:pPr>
            <w:r>
              <w:rPr>
                <w:w w:val="99"/>
              </w:rPr>
              <w:t>—</w:t>
            </w:r>
          </w:p>
        </w:tc>
        <w:tc>
          <w:tcPr>
            <w:tcW w:w="801" w:type="dxa"/>
            <w:vAlign w:val="center"/>
          </w:tcPr>
          <w:p>
            <w:pPr>
              <w:pStyle w:val="294"/>
            </w:pPr>
            <w:r>
              <w:rPr>
                <w:w w:val="99"/>
              </w:rPr>
              <w:t>—</w:t>
            </w:r>
          </w:p>
        </w:tc>
        <w:tc>
          <w:tcPr>
            <w:tcW w:w="869" w:type="dxa"/>
            <w:vAlign w:val="center"/>
          </w:tcPr>
          <w:p>
            <w:pPr>
              <w:pStyle w:val="294"/>
            </w:pPr>
            <w:r>
              <w:t>2.88m</w:t>
            </w:r>
            <w:r>
              <w:rPr>
                <w:vertAlign w:val="superscript"/>
              </w:rPr>
              <w:t>3</w:t>
            </w:r>
            <w:r>
              <w:t>/d</w:t>
            </w:r>
          </w:p>
        </w:tc>
        <w:tc>
          <w:tcPr>
            <w:tcW w:w="3686" w:type="dxa"/>
            <w:vAlign w:val="center"/>
          </w:tcPr>
          <w:p>
            <w:pPr>
              <w:pStyle w:val="294"/>
            </w:pPr>
            <w:r>
              <w:t>生活污水经生态厕所收集后定期由密闭罐车拉运至周边生活污水处理厂处理</w:t>
            </w:r>
          </w:p>
        </w:tc>
        <w:tc>
          <w:tcPr>
            <w:tcW w:w="992" w:type="dxa"/>
            <w:vMerge w:val="continue"/>
            <w:vAlign w:val="center"/>
          </w:tcPr>
          <w:p>
            <w:pPr>
              <w:pStyle w:val="294"/>
              <w:rPr>
                <w:w w:val="99"/>
              </w:rPr>
            </w:pPr>
          </w:p>
        </w:tc>
        <w:tc>
          <w:tcPr>
            <w:tcW w:w="2122" w:type="dxa"/>
            <w:vMerge w:val="restart"/>
            <w:vAlign w:val="center"/>
          </w:tcPr>
          <w:p>
            <w:pPr>
              <w:pStyle w:val="294"/>
            </w:pPr>
            <w:r>
              <w:t>有效收集处理，无乱排</w:t>
            </w:r>
          </w:p>
        </w:tc>
        <w:tc>
          <w:tcPr>
            <w:tcW w:w="718" w:type="dxa"/>
            <w:vAlign w:val="center"/>
          </w:tcPr>
          <w:p>
            <w:pPr>
              <w:pStyle w:val="294"/>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Align w:val="center"/>
          </w:tcPr>
          <w:p>
            <w:pPr>
              <w:pStyle w:val="294"/>
            </w:pPr>
            <w:r>
              <w:t>钻前生活污水</w:t>
            </w:r>
          </w:p>
        </w:tc>
        <w:tc>
          <w:tcPr>
            <w:tcW w:w="1276" w:type="dxa"/>
            <w:vMerge w:val="continue"/>
            <w:vAlign w:val="center"/>
          </w:tcPr>
          <w:p>
            <w:pPr>
              <w:pStyle w:val="294"/>
            </w:pPr>
          </w:p>
        </w:tc>
        <w:tc>
          <w:tcPr>
            <w:tcW w:w="881" w:type="dxa"/>
            <w:vAlign w:val="center"/>
          </w:tcPr>
          <w:p>
            <w:pPr>
              <w:pStyle w:val="294"/>
            </w:pPr>
            <w:r>
              <w:rPr>
                <w:w w:val="99"/>
              </w:rPr>
              <w:t>—</w:t>
            </w:r>
          </w:p>
        </w:tc>
        <w:tc>
          <w:tcPr>
            <w:tcW w:w="801" w:type="dxa"/>
            <w:vAlign w:val="center"/>
          </w:tcPr>
          <w:p>
            <w:pPr>
              <w:pStyle w:val="294"/>
            </w:pPr>
            <w:r>
              <w:rPr>
                <w:w w:val="99"/>
              </w:rPr>
              <w:t>—</w:t>
            </w:r>
          </w:p>
        </w:tc>
        <w:tc>
          <w:tcPr>
            <w:tcW w:w="869" w:type="dxa"/>
            <w:vAlign w:val="center"/>
          </w:tcPr>
          <w:p>
            <w:pPr>
              <w:pStyle w:val="294"/>
            </w:pPr>
            <w:r>
              <w:t>少量</w:t>
            </w:r>
          </w:p>
        </w:tc>
        <w:tc>
          <w:tcPr>
            <w:tcW w:w="3686" w:type="dxa"/>
            <w:vAlign w:val="center"/>
          </w:tcPr>
          <w:p>
            <w:pPr>
              <w:pStyle w:val="294"/>
            </w:pPr>
            <w:r>
              <w:t>利用农户已有的设施进行收集处置</w:t>
            </w:r>
          </w:p>
        </w:tc>
        <w:tc>
          <w:tcPr>
            <w:tcW w:w="992" w:type="dxa"/>
            <w:vMerge w:val="continue"/>
            <w:vAlign w:val="center"/>
          </w:tcPr>
          <w:p>
            <w:pPr>
              <w:pStyle w:val="294"/>
              <w:rPr>
                <w:w w:val="99"/>
              </w:rPr>
            </w:pPr>
          </w:p>
        </w:tc>
        <w:tc>
          <w:tcPr>
            <w:tcW w:w="2122" w:type="dxa"/>
            <w:vMerge w:val="continue"/>
            <w:vAlign w:val="center"/>
          </w:tcPr>
          <w:p>
            <w:pPr>
              <w:pStyle w:val="294"/>
            </w:pPr>
          </w:p>
        </w:tc>
        <w:tc>
          <w:tcPr>
            <w:tcW w:w="718" w:type="dxa"/>
            <w:vAlign w:val="center"/>
          </w:tcPr>
          <w:p>
            <w:pPr>
              <w:pStyle w:val="294"/>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Align w:val="center"/>
          </w:tcPr>
          <w:p>
            <w:pPr>
              <w:pStyle w:val="294"/>
            </w:pPr>
            <w:r>
              <w:t>钻前施工废水</w:t>
            </w:r>
          </w:p>
        </w:tc>
        <w:tc>
          <w:tcPr>
            <w:tcW w:w="1276" w:type="dxa"/>
            <w:vAlign w:val="center"/>
          </w:tcPr>
          <w:p>
            <w:pPr>
              <w:pStyle w:val="294"/>
            </w:pPr>
            <w:r>
              <w:t>SS和石油类</w:t>
            </w:r>
          </w:p>
        </w:tc>
        <w:tc>
          <w:tcPr>
            <w:tcW w:w="881" w:type="dxa"/>
            <w:vAlign w:val="center"/>
          </w:tcPr>
          <w:p>
            <w:pPr>
              <w:pStyle w:val="294"/>
            </w:pPr>
            <w:r>
              <w:rPr>
                <w:w w:val="99"/>
              </w:rPr>
              <w:t>—</w:t>
            </w:r>
          </w:p>
        </w:tc>
        <w:tc>
          <w:tcPr>
            <w:tcW w:w="801" w:type="dxa"/>
            <w:vAlign w:val="center"/>
          </w:tcPr>
          <w:p>
            <w:pPr>
              <w:pStyle w:val="294"/>
            </w:pPr>
            <w:r>
              <w:rPr>
                <w:w w:val="99"/>
              </w:rPr>
              <w:t>—</w:t>
            </w:r>
          </w:p>
        </w:tc>
        <w:tc>
          <w:tcPr>
            <w:tcW w:w="869" w:type="dxa"/>
            <w:vAlign w:val="center"/>
          </w:tcPr>
          <w:p>
            <w:pPr>
              <w:pStyle w:val="294"/>
            </w:pPr>
            <w:r>
              <w:t>少量</w:t>
            </w:r>
          </w:p>
        </w:tc>
        <w:tc>
          <w:tcPr>
            <w:tcW w:w="3686" w:type="dxa"/>
            <w:vAlign w:val="center"/>
          </w:tcPr>
          <w:p>
            <w:pPr>
              <w:pStyle w:val="294"/>
            </w:pPr>
            <w:r>
              <w:t>经隔油池沉淀处理后回用于洒水降尘</w:t>
            </w:r>
          </w:p>
        </w:tc>
        <w:tc>
          <w:tcPr>
            <w:tcW w:w="992" w:type="dxa"/>
            <w:vAlign w:val="center"/>
          </w:tcPr>
          <w:p>
            <w:pPr>
              <w:pStyle w:val="294"/>
            </w:pPr>
            <w:r>
              <w:t>施工期</w:t>
            </w:r>
          </w:p>
        </w:tc>
        <w:tc>
          <w:tcPr>
            <w:tcW w:w="2122" w:type="dxa"/>
            <w:vMerge w:val="continue"/>
            <w:vAlign w:val="center"/>
          </w:tcPr>
          <w:p>
            <w:pPr>
              <w:pStyle w:val="294"/>
            </w:pPr>
          </w:p>
        </w:tc>
        <w:tc>
          <w:tcPr>
            <w:tcW w:w="718" w:type="dxa"/>
            <w:vAlign w:val="center"/>
          </w:tcPr>
          <w:p>
            <w:pPr>
              <w:pStyle w:val="294"/>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Align w:val="center"/>
          </w:tcPr>
          <w:p>
            <w:pPr>
              <w:pStyle w:val="294"/>
            </w:pPr>
            <w:r>
              <w:t>采气废水</w:t>
            </w:r>
          </w:p>
        </w:tc>
        <w:tc>
          <w:tcPr>
            <w:tcW w:w="1276" w:type="dxa"/>
            <w:vAlign w:val="center"/>
          </w:tcPr>
          <w:p>
            <w:pPr>
              <w:pStyle w:val="294"/>
            </w:pPr>
            <w:r>
              <w:t>石油类、悬浮物、COD及氯化物等</w:t>
            </w:r>
          </w:p>
        </w:tc>
        <w:tc>
          <w:tcPr>
            <w:tcW w:w="881" w:type="dxa"/>
            <w:vAlign w:val="center"/>
          </w:tcPr>
          <w:p>
            <w:pPr>
              <w:pStyle w:val="294"/>
            </w:pPr>
            <w:r>
              <w:rPr>
                <w:w w:val="99"/>
              </w:rPr>
              <w:t>—</w:t>
            </w:r>
          </w:p>
        </w:tc>
        <w:tc>
          <w:tcPr>
            <w:tcW w:w="801" w:type="dxa"/>
            <w:vAlign w:val="center"/>
          </w:tcPr>
          <w:p>
            <w:pPr>
              <w:pStyle w:val="294"/>
            </w:pPr>
            <w:r>
              <w:rPr>
                <w:w w:val="99"/>
              </w:rPr>
              <w:t>—</w:t>
            </w:r>
          </w:p>
        </w:tc>
        <w:tc>
          <w:tcPr>
            <w:tcW w:w="869" w:type="dxa"/>
            <w:vAlign w:val="center"/>
          </w:tcPr>
          <w:p>
            <w:pPr>
              <w:pStyle w:val="294"/>
            </w:pPr>
            <w:r>
              <w:t>10m</w:t>
            </w:r>
            <w:r>
              <w:rPr>
                <w:vertAlign w:val="superscript"/>
              </w:rPr>
              <w:t>3</w:t>
            </w:r>
            <w:r>
              <w:t>/d</w:t>
            </w:r>
          </w:p>
        </w:tc>
        <w:tc>
          <w:tcPr>
            <w:tcW w:w="3686" w:type="dxa"/>
            <w:vAlign w:val="center"/>
          </w:tcPr>
          <w:p>
            <w:pPr>
              <w:pStyle w:val="294"/>
            </w:pPr>
            <w:r>
              <w:t>密闭罐车拉运至赵家坝污水处理站达标后管输至普光11井回注站回注，不外排</w:t>
            </w:r>
          </w:p>
        </w:tc>
        <w:tc>
          <w:tcPr>
            <w:tcW w:w="992" w:type="dxa"/>
            <w:vAlign w:val="center"/>
          </w:tcPr>
          <w:p>
            <w:pPr>
              <w:pStyle w:val="294"/>
            </w:pPr>
            <w:r>
              <w:t>试采期定期转运</w:t>
            </w:r>
          </w:p>
        </w:tc>
        <w:tc>
          <w:tcPr>
            <w:tcW w:w="2122" w:type="dxa"/>
            <w:vAlign w:val="center"/>
          </w:tcPr>
          <w:p>
            <w:pPr>
              <w:pStyle w:val="294"/>
            </w:pPr>
            <w:r>
              <w:t>污水全部回注</w:t>
            </w:r>
          </w:p>
        </w:tc>
        <w:tc>
          <w:tcPr>
            <w:tcW w:w="718" w:type="dxa"/>
            <w:vAlign w:val="center"/>
          </w:tcPr>
          <w:p>
            <w:pPr>
              <w:pStyle w:val="294"/>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restart"/>
            <w:vAlign w:val="center"/>
          </w:tcPr>
          <w:p>
            <w:pPr>
              <w:pStyle w:val="294"/>
            </w:pPr>
            <w:r>
              <w:t>噪声污染物</w:t>
            </w:r>
          </w:p>
        </w:tc>
        <w:tc>
          <w:tcPr>
            <w:tcW w:w="1418" w:type="dxa"/>
            <w:vAlign w:val="center"/>
          </w:tcPr>
          <w:p>
            <w:pPr>
              <w:pStyle w:val="294"/>
            </w:pPr>
            <w:r>
              <w:t>施工期设备噪声</w:t>
            </w:r>
          </w:p>
        </w:tc>
        <w:tc>
          <w:tcPr>
            <w:tcW w:w="1276" w:type="dxa"/>
            <w:vAlign w:val="center"/>
          </w:tcPr>
          <w:p>
            <w:pPr>
              <w:pStyle w:val="294"/>
            </w:pPr>
            <w:r>
              <w:t>噪声</w:t>
            </w:r>
          </w:p>
        </w:tc>
        <w:tc>
          <w:tcPr>
            <w:tcW w:w="881" w:type="dxa"/>
            <w:vAlign w:val="center"/>
          </w:tcPr>
          <w:p>
            <w:pPr>
              <w:pStyle w:val="294"/>
            </w:pPr>
            <w:r>
              <w:rPr>
                <w:w w:val="99"/>
              </w:rPr>
              <w:t>—</w:t>
            </w:r>
          </w:p>
        </w:tc>
        <w:tc>
          <w:tcPr>
            <w:tcW w:w="1670" w:type="dxa"/>
            <w:gridSpan w:val="2"/>
            <w:vAlign w:val="center"/>
          </w:tcPr>
          <w:p>
            <w:pPr>
              <w:pStyle w:val="294"/>
            </w:pPr>
            <w:r>
              <w:t>75～110dB（A）</w:t>
            </w:r>
          </w:p>
        </w:tc>
        <w:tc>
          <w:tcPr>
            <w:tcW w:w="3686" w:type="dxa"/>
            <w:vAlign w:val="center"/>
          </w:tcPr>
          <w:p>
            <w:pPr>
              <w:pStyle w:val="294"/>
            </w:pPr>
            <w:r>
              <w:t>选用低噪声设备、加强维护保养，置于钻井井场内，基础安装减振垫层，柴油发电机设置于室内</w:t>
            </w:r>
          </w:p>
        </w:tc>
        <w:tc>
          <w:tcPr>
            <w:tcW w:w="992" w:type="dxa"/>
            <w:vAlign w:val="center"/>
          </w:tcPr>
          <w:p>
            <w:pPr>
              <w:pStyle w:val="294"/>
            </w:pPr>
            <w:r>
              <w:t>连续/间断</w:t>
            </w:r>
          </w:p>
        </w:tc>
        <w:tc>
          <w:tcPr>
            <w:tcW w:w="2122" w:type="dxa"/>
            <w:vAlign w:val="center"/>
          </w:tcPr>
          <w:p>
            <w:pPr>
              <w:pStyle w:val="294"/>
            </w:pPr>
            <w:r>
              <w:t>不扰民</w:t>
            </w:r>
          </w:p>
        </w:tc>
        <w:tc>
          <w:tcPr>
            <w:tcW w:w="718" w:type="dxa"/>
            <w:vAlign w:val="center"/>
          </w:tcPr>
          <w:p>
            <w:pPr>
              <w:pStyle w:val="294"/>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Align w:val="center"/>
          </w:tcPr>
          <w:p>
            <w:pPr>
              <w:pStyle w:val="294"/>
            </w:pPr>
            <w:r>
              <w:t>试采期噪声</w:t>
            </w:r>
          </w:p>
        </w:tc>
        <w:tc>
          <w:tcPr>
            <w:tcW w:w="1276" w:type="dxa"/>
            <w:vAlign w:val="center"/>
          </w:tcPr>
          <w:p>
            <w:pPr>
              <w:pStyle w:val="294"/>
            </w:pPr>
            <w:r>
              <w:t>噪声</w:t>
            </w:r>
          </w:p>
        </w:tc>
        <w:tc>
          <w:tcPr>
            <w:tcW w:w="881" w:type="dxa"/>
            <w:vAlign w:val="center"/>
          </w:tcPr>
          <w:p>
            <w:pPr>
              <w:pStyle w:val="294"/>
            </w:pPr>
            <w:r>
              <w:rPr>
                <w:w w:val="99"/>
              </w:rPr>
              <w:t>—</w:t>
            </w:r>
          </w:p>
        </w:tc>
        <w:tc>
          <w:tcPr>
            <w:tcW w:w="1670" w:type="dxa"/>
            <w:gridSpan w:val="2"/>
            <w:vAlign w:val="center"/>
          </w:tcPr>
          <w:p>
            <w:pPr>
              <w:pStyle w:val="294"/>
            </w:pPr>
            <w:r>
              <w:t>＜55dB（A）</w:t>
            </w:r>
          </w:p>
        </w:tc>
        <w:tc>
          <w:tcPr>
            <w:tcW w:w="3686" w:type="dxa"/>
            <w:vAlign w:val="center"/>
          </w:tcPr>
          <w:p>
            <w:pPr>
              <w:pStyle w:val="294"/>
            </w:pPr>
            <w:r>
              <w:t>设备选型时选择低噪声设备，设置减震基础；站内工艺管道的设计考虑合理的流速，减少气流噪声；站内设备合理布局</w:t>
            </w:r>
          </w:p>
        </w:tc>
        <w:tc>
          <w:tcPr>
            <w:tcW w:w="992" w:type="dxa"/>
            <w:vAlign w:val="center"/>
          </w:tcPr>
          <w:p>
            <w:pPr>
              <w:pStyle w:val="294"/>
            </w:pPr>
            <w:r>
              <w:t>连续</w:t>
            </w:r>
          </w:p>
        </w:tc>
        <w:tc>
          <w:tcPr>
            <w:tcW w:w="2122" w:type="dxa"/>
            <w:vAlign w:val="center"/>
          </w:tcPr>
          <w:p>
            <w:pPr>
              <w:pStyle w:val="294"/>
            </w:pPr>
            <w:r>
              <w:t>《工业企业厂界环境噪声排放标准》（GB12348-2008）2类标准</w:t>
            </w:r>
          </w:p>
        </w:tc>
        <w:tc>
          <w:tcPr>
            <w:tcW w:w="718" w:type="dxa"/>
            <w:vAlign w:val="center"/>
          </w:tcPr>
          <w:p>
            <w:pPr>
              <w:pStyle w:val="294"/>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restart"/>
            <w:vAlign w:val="center"/>
          </w:tcPr>
          <w:p>
            <w:pPr>
              <w:pStyle w:val="294"/>
            </w:pPr>
            <w:r>
              <w:t>固体废物</w:t>
            </w:r>
          </w:p>
        </w:tc>
        <w:tc>
          <w:tcPr>
            <w:tcW w:w="1418" w:type="dxa"/>
            <w:vMerge w:val="restart"/>
            <w:vAlign w:val="center"/>
          </w:tcPr>
          <w:p>
            <w:pPr>
              <w:pStyle w:val="294"/>
            </w:pPr>
            <w:r>
              <w:t>施工期固废</w:t>
            </w:r>
          </w:p>
        </w:tc>
        <w:tc>
          <w:tcPr>
            <w:tcW w:w="1276" w:type="dxa"/>
            <w:vAlign w:val="center"/>
          </w:tcPr>
          <w:p>
            <w:pPr>
              <w:pStyle w:val="294"/>
            </w:pPr>
            <w:r>
              <w:t>空气钻岩屑</w:t>
            </w:r>
          </w:p>
        </w:tc>
        <w:tc>
          <w:tcPr>
            <w:tcW w:w="2551" w:type="dxa"/>
            <w:gridSpan w:val="3"/>
            <w:vAlign w:val="center"/>
          </w:tcPr>
          <w:p>
            <w:pPr>
              <w:pStyle w:val="294"/>
            </w:pPr>
            <w:r>
              <w:t>100m</w:t>
            </w:r>
            <w:r>
              <w:rPr>
                <w:vertAlign w:val="superscript"/>
              </w:rPr>
              <w:t>3</w:t>
            </w:r>
          </w:p>
        </w:tc>
        <w:tc>
          <w:tcPr>
            <w:tcW w:w="3686" w:type="dxa"/>
            <w:vAlign w:val="center"/>
          </w:tcPr>
          <w:p>
            <w:pPr>
              <w:pStyle w:val="294"/>
            </w:pPr>
            <w:r>
              <w:t>用于井场低洼处回填</w:t>
            </w:r>
          </w:p>
        </w:tc>
        <w:tc>
          <w:tcPr>
            <w:tcW w:w="992" w:type="dxa"/>
            <w:vMerge w:val="restart"/>
            <w:vAlign w:val="center"/>
          </w:tcPr>
          <w:p>
            <w:pPr>
              <w:pStyle w:val="294"/>
            </w:pPr>
            <w:r>
              <w:t>钻井期定期转运</w:t>
            </w:r>
          </w:p>
        </w:tc>
        <w:tc>
          <w:tcPr>
            <w:tcW w:w="2840" w:type="dxa"/>
            <w:gridSpan w:val="2"/>
            <w:vMerge w:val="restart"/>
            <w:vAlign w:val="center"/>
          </w:tcPr>
          <w:p>
            <w:pPr>
              <w:pStyle w:val="294"/>
            </w:pPr>
            <w:r>
              <w:t>妥善处置，不会对环境造成二次污染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Merge w:val="continue"/>
            <w:vAlign w:val="center"/>
          </w:tcPr>
          <w:p>
            <w:pPr>
              <w:pStyle w:val="294"/>
            </w:pPr>
          </w:p>
        </w:tc>
        <w:tc>
          <w:tcPr>
            <w:tcW w:w="1276" w:type="dxa"/>
            <w:vAlign w:val="center"/>
          </w:tcPr>
          <w:p>
            <w:pPr>
              <w:pStyle w:val="294"/>
            </w:pPr>
            <w:r>
              <w:t>水基钻井固废</w:t>
            </w:r>
          </w:p>
        </w:tc>
        <w:tc>
          <w:tcPr>
            <w:tcW w:w="2551" w:type="dxa"/>
            <w:gridSpan w:val="3"/>
            <w:vAlign w:val="center"/>
          </w:tcPr>
          <w:p>
            <w:pPr>
              <w:pStyle w:val="294"/>
            </w:pPr>
            <w:r>
              <w:t>3609t（或油基岩屑330.8m</w:t>
            </w:r>
            <w:r>
              <w:rPr>
                <w:vertAlign w:val="superscript"/>
              </w:rPr>
              <w:t>3</w:t>
            </w:r>
            <w:r>
              <w:t>）</w:t>
            </w:r>
          </w:p>
        </w:tc>
        <w:tc>
          <w:tcPr>
            <w:tcW w:w="3686" w:type="dxa"/>
            <w:vAlign w:val="center"/>
          </w:tcPr>
          <w:p>
            <w:pPr>
              <w:pStyle w:val="294"/>
            </w:pPr>
            <w:r>
              <w:t>经泥浆不落地工艺进行固液分离后及时转运至达州地区环保手续齐全、环保设施稳定运行固废烧结厂进行烧结后综合利用</w:t>
            </w:r>
            <w:r>
              <w:rPr>
                <w:szCs w:val="21"/>
              </w:rPr>
              <w:t>（或油基岩屑、废油基泥浆交由有资质单位处置）</w:t>
            </w:r>
          </w:p>
        </w:tc>
        <w:tc>
          <w:tcPr>
            <w:tcW w:w="992" w:type="dxa"/>
            <w:vMerge w:val="continue"/>
            <w:vAlign w:val="center"/>
          </w:tcPr>
          <w:p>
            <w:pPr>
              <w:pStyle w:val="294"/>
            </w:pPr>
          </w:p>
        </w:tc>
        <w:tc>
          <w:tcPr>
            <w:tcW w:w="2840" w:type="dxa"/>
            <w:gridSpan w:val="2"/>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Merge w:val="continue"/>
            <w:vAlign w:val="center"/>
          </w:tcPr>
          <w:p>
            <w:pPr>
              <w:pStyle w:val="294"/>
            </w:pPr>
          </w:p>
        </w:tc>
        <w:tc>
          <w:tcPr>
            <w:tcW w:w="1276" w:type="dxa"/>
            <w:vAlign w:val="center"/>
          </w:tcPr>
          <w:p>
            <w:pPr>
              <w:pStyle w:val="294"/>
            </w:pPr>
            <w:r>
              <w:t>废油</w:t>
            </w:r>
          </w:p>
        </w:tc>
        <w:tc>
          <w:tcPr>
            <w:tcW w:w="2551" w:type="dxa"/>
            <w:gridSpan w:val="3"/>
            <w:vAlign w:val="center"/>
          </w:tcPr>
          <w:p>
            <w:pPr>
              <w:pStyle w:val="294"/>
            </w:pPr>
            <w:r>
              <w:t>0.7m</w:t>
            </w:r>
            <w:r>
              <w:rPr>
                <w:vertAlign w:val="superscript"/>
              </w:rPr>
              <w:t>3</w:t>
            </w:r>
          </w:p>
        </w:tc>
        <w:tc>
          <w:tcPr>
            <w:tcW w:w="3686" w:type="dxa"/>
            <w:vAlign w:val="center"/>
          </w:tcPr>
          <w:p>
            <w:pPr>
              <w:pStyle w:val="294"/>
            </w:pPr>
            <w:r>
              <w:t>设置废油桶集中收集暂存于泥浆不落地装置区临时堆放区内，钻井队综合利用或交由有资质的单位处理</w:t>
            </w:r>
          </w:p>
        </w:tc>
        <w:tc>
          <w:tcPr>
            <w:tcW w:w="992" w:type="dxa"/>
            <w:vMerge w:val="continue"/>
            <w:vAlign w:val="center"/>
          </w:tcPr>
          <w:p>
            <w:pPr>
              <w:pStyle w:val="294"/>
            </w:pPr>
          </w:p>
        </w:tc>
        <w:tc>
          <w:tcPr>
            <w:tcW w:w="2840" w:type="dxa"/>
            <w:gridSpan w:val="2"/>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Merge w:val="continue"/>
            <w:vAlign w:val="center"/>
          </w:tcPr>
          <w:p>
            <w:pPr>
              <w:pStyle w:val="294"/>
            </w:pPr>
          </w:p>
        </w:tc>
        <w:tc>
          <w:tcPr>
            <w:tcW w:w="1276" w:type="dxa"/>
            <w:vAlign w:val="center"/>
          </w:tcPr>
          <w:p>
            <w:pPr>
              <w:pStyle w:val="294"/>
            </w:pPr>
            <w:r>
              <w:t>废包装材料</w:t>
            </w:r>
          </w:p>
        </w:tc>
        <w:tc>
          <w:tcPr>
            <w:tcW w:w="2551" w:type="dxa"/>
            <w:gridSpan w:val="3"/>
            <w:vAlign w:val="center"/>
          </w:tcPr>
          <w:p>
            <w:pPr>
              <w:pStyle w:val="294"/>
            </w:pPr>
            <w:r>
              <w:t>2.0t</w:t>
            </w:r>
          </w:p>
        </w:tc>
        <w:tc>
          <w:tcPr>
            <w:tcW w:w="3686" w:type="dxa"/>
            <w:vAlign w:val="center"/>
          </w:tcPr>
          <w:p>
            <w:pPr>
              <w:pStyle w:val="294"/>
            </w:pPr>
            <w:r>
              <w:t>集中收集后部分回用，剩余的送当地废品回收站处理</w:t>
            </w:r>
          </w:p>
        </w:tc>
        <w:tc>
          <w:tcPr>
            <w:tcW w:w="992" w:type="dxa"/>
            <w:vMerge w:val="continue"/>
            <w:vAlign w:val="center"/>
          </w:tcPr>
          <w:p>
            <w:pPr>
              <w:pStyle w:val="294"/>
            </w:pPr>
          </w:p>
        </w:tc>
        <w:tc>
          <w:tcPr>
            <w:tcW w:w="2840" w:type="dxa"/>
            <w:gridSpan w:val="2"/>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4"/>
            </w:pPr>
          </w:p>
        </w:tc>
        <w:tc>
          <w:tcPr>
            <w:tcW w:w="1418" w:type="dxa"/>
            <w:vMerge w:val="continue"/>
            <w:vAlign w:val="center"/>
          </w:tcPr>
          <w:p>
            <w:pPr>
              <w:pStyle w:val="294"/>
            </w:pPr>
          </w:p>
        </w:tc>
        <w:tc>
          <w:tcPr>
            <w:tcW w:w="1276" w:type="dxa"/>
            <w:vAlign w:val="center"/>
          </w:tcPr>
          <w:p>
            <w:pPr>
              <w:pStyle w:val="294"/>
            </w:pPr>
            <w:r>
              <w:t>生活垃圾</w:t>
            </w:r>
          </w:p>
        </w:tc>
        <w:tc>
          <w:tcPr>
            <w:tcW w:w="2551" w:type="dxa"/>
            <w:gridSpan w:val="3"/>
            <w:vAlign w:val="center"/>
          </w:tcPr>
          <w:p>
            <w:pPr>
              <w:pStyle w:val="294"/>
            </w:pPr>
            <w:r>
              <w:t>22.5kg/d</w:t>
            </w:r>
          </w:p>
        </w:tc>
        <w:tc>
          <w:tcPr>
            <w:tcW w:w="3686" w:type="dxa"/>
            <w:vAlign w:val="center"/>
          </w:tcPr>
          <w:p>
            <w:pPr>
              <w:pStyle w:val="294"/>
            </w:pPr>
            <w:r>
              <w:t>集中收集，交由当地环卫部门处置</w:t>
            </w:r>
          </w:p>
        </w:tc>
        <w:tc>
          <w:tcPr>
            <w:tcW w:w="992" w:type="dxa"/>
            <w:vMerge w:val="continue"/>
            <w:vAlign w:val="center"/>
          </w:tcPr>
          <w:p>
            <w:pPr>
              <w:pStyle w:val="294"/>
            </w:pPr>
          </w:p>
        </w:tc>
        <w:tc>
          <w:tcPr>
            <w:tcW w:w="2840" w:type="dxa"/>
            <w:gridSpan w:val="2"/>
            <w:vMerge w:val="continue"/>
            <w:vAlign w:val="center"/>
          </w:tcPr>
          <w:p>
            <w:pPr>
              <w:pStyle w:val="294"/>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17" w:hRule="atLeast"/>
          <w:jc w:val="center"/>
        </w:trPr>
        <w:tc>
          <w:tcPr>
            <w:tcW w:w="562" w:type="dxa"/>
            <w:vMerge w:val="continue"/>
            <w:vAlign w:val="center"/>
          </w:tcPr>
          <w:p>
            <w:pPr>
              <w:pStyle w:val="294"/>
            </w:pPr>
          </w:p>
        </w:tc>
        <w:tc>
          <w:tcPr>
            <w:tcW w:w="1418" w:type="dxa"/>
            <w:vMerge w:val="continue"/>
            <w:vAlign w:val="center"/>
          </w:tcPr>
          <w:p>
            <w:pPr>
              <w:pStyle w:val="294"/>
            </w:pPr>
          </w:p>
        </w:tc>
        <w:tc>
          <w:tcPr>
            <w:tcW w:w="1276" w:type="dxa"/>
            <w:vAlign w:val="center"/>
          </w:tcPr>
          <w:p>
            <w:pPr>
              <w:pStyle w:val="294"/>
            </w:pPr>
            <w:r>
              <w:t>钻前及完井搬迁建筑垃圾</w:t>
            </w:r>
          </w:p>
        </w:tc>
        <w:tc>
          <w:tcPr>
            <w:tcW w:w="2551" w:type="dxa"/>
            <w:gridSpan w:val="3"/>
            <w:vAlign w:val="center"/>
          </w:tcPr>
          <w:p>
            <w:pPr>
              <w:pStyle w:val="294"/>
            </w:pPr>
            <w:r>
              <w:t>少量</w:t>
            </w:r>
          </w:p>
        </w:tc>
        <w:tc>
          <w:tcPr>
            <w:tcW w:w="3686" w:type="dxa"/>
            <w:vAlign w:val="center"/>
          </w:tcPr>
          <w:p>
            <w:pPr>
              <w:pStyle w:val="294"/>
            </w:pPr>
            <w:r>
              <w:t>施工队伍统一收集清运至政府指定地方</w:t>
            </w:r>
          </w:p>
        </w:tc>
        <w:tc>
          <w:tcPr>
            <w:tcW w:w="992" w:type="dxa"/>
            <w:vAlign w:val="center"/>
          </w:tcPr>
          <w:p>
            <w:pPr>
              <w:pStyle w:val="294"/>
            </w:pPr>
            <w:r>
              <w:t>完井搬迁期与试采站建设期</w:t>
            </w:r>
          </w:p>
        </w:tc>
        <w:tc>
          <w:tcPr>
            <w:tcW w:w="2840" w:type="dxa"/>
            <w:gridSpan w:val="2"/>
            <w:vMerge w:val="continue"/>
            <w:vAlign w:val="center"/>
          </w:tcPr>
          <w:p>
            <w:pPr>
              <w:pStyle w:val="294"/>
            </w:pPr>
          </w:p>
        </w:tc>
      </w:tr>
    </w:tbl>
    <w:p>
      <w:pPr>
        <w:pStyle w:val="3"/>
        <w:sectPr>
          <w:pgSz w:w="16840" w:h="11910" w:orient="landscape"/>
          <w:pgMar w:top="1440" w:right="1800" w:bottom="1440" w:left="1800" w:header="964" w:footer="964" w:gutter="0"/>
          <w:cols w:space="720" w:num="1"/>
          <w:docGrid w:linePitch="326" w:charSpace="0"/>
        </w:sectPr>
      </w:pPr>
      <w:bookmarkStart w:id="472" w:name="8.2环境监测"/>
      <w:bookmarkEnd w:id="472"/>
      <w:bookmarkStart w:id="473" w:name="_bookmark40"/>
      <w:bookmarkEnd w:id="473"/>
    </w:p>
    <w:p>
      <w:pPr>
        <w:pStyle w:val="3"/>
      </w:pPr>
      <w:bookmarkStart w:id="474" w:name="_Toc164667049"/>
      <w:r>
        <w:rPr>
          <w:rFonts w:hint="eastAsia"/>
        </w:rPr>
        <w:t>9.3</w:t>
      </w:r>
      <w:r>
        <w:t>环境监测</w:t>
      </w:r>
      <w:bookmarkEnd w:id="474"/>
    </w:p>
    <w:p>
      <w:pPr>
        <w:pStyle w:val="4"/>
        <w:ind w:firstLine="241"/>
        <w:rPr>
          <w:b w:val="0"/>
        </w:rPr>
      </w:pPr>
      <w:bookmarkStart w:id="475" w:name="_Toc120173247"/>
      <w:r>
        <w:rPr>
          <w:rFonts w:hint="eastAsia"/>
        </w:rPr>
        <w:t>9.3.1</w:t>
      </w:r>
      <w:r>
        <w:t>监测计划</w:t>
      </w:r>
      <w:bookmarkEnd w:id="475"/>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从本评价的预测结论来看，项目单位在建设施工过程及运行过程中的环境影响，除采取必要的工程性措施控制外，更需通过环境管理来解决。而环境监测是环境管理重要的手段之一。今后，通过周围环境质量及企业生产污染排放的实时监控，可正确、迅速、完整地为建设单位日常环境管理及制定环境污染事故应急措施提供必要数据。</w:t>
      </w:r>
    </w:p>
    <w:p>
      <w:pPr>
        <w:ind w:firstLine="480"/>
        <w:rPr>
          <w:rFonts w:cs="Times New Roman"/>
          <w:color w:val="000000" w:themeColor="text1"/>
          <w14:textFill>
            <w14:solidFill>
              <w14:schemeClr w14:val="tx1"/>
            </w14:solidFill>
          </w14:textFill>
        </w:rPr>
      </w:pPr>
      <w:bookmarkStart w:id="476" w:name="8.2.1监测计划"/>
      <w:bookmarkEnd w:id="476"/>
      <w:r>
        <w:rPr>
          <w:rFonts w:cs="Times New Roman"/>
          <w:color w:val="000000" w:themeColor="text1"/>
          <w14:textFill>
            <w14:solidFill>
              <w14:schemeClr w14:val="tx1"/>
            </w14:solidFill>
          </w14:textFill>
        </w:rPr>
        <w:t>根据天然气试采对区域环境可能产生的影响，确定本项目环境监测对象为土壤、水、气、声。监测范围一般根据各种污染因子对环境产生的影响范围而定，具体范围可参见环境影响范围。</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本项目正常施工或生产期间开展定期监测，在事故时进行应急监测。参照《排污单位自行监测技术指南 总则》（HJ819-2017）、《工业企业土壤和地下水自行监测 技术指南（试行）》（HJ1209-2021）与《排污单位自行监测技术指南 陆上石油天然气开采工业》（HJ1248—2022）中的有关规定要求，针对本项目产排污特点，制定本项目的监测计划。</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根据项目的特点，环境监测重点为井场场界噪声值、最近居民点的噪声值和场界周边CH</w:t>
      </w:r>
      <w:r>
        <w:rPr>
          <w:rFonts w:cs="Times New Roman"/>
          <w:color w:val="000000" w:themeColor="text1"/>
          <w:vertAlign w:val="subscript"/>
          <w14:textFill>
            <w14:solidFill>
              <w14:schemeClr w14:val="tx1"/>
            </w14:solidFill>
          </w14:textFill>
        </w:rPr>
        <w:t>4</w:t>
      </w:r>
      <w:r>
        <w:rPr>
          <w:rFonts w:cs="Times New Roman"/>
          <w:color w:val="000000" w:themeColor="text1"/>
          <w14:textFill>
            <w14:solidFill>
              <w14:schemeClr w14:val="tx1"/>
            </w14:solidFill>
          </w14:textFill>
        </w:rPr>
        <w:t>、H</w:t>
      </w:r>
      <w:r>
        <w:rPr>
          <w:rFonts w:cs="Times New Roman"/>
          <w:color w:val="000000" w:themeColor="text1"/>
          <w:vertAlign w:val="subscript"/>
          <w14:textFill>
            <w14:solidFill>
              <w14:schemeClr w14:val="tx1"/>
            </w14:solidFill>
          </w14:textFill>
        </w:rPr>
        <w:t>2</w:t>
      </w:r>
      <w:r>
        <w:rPr>
          <w:rFonts w:cs="Times New Roman"/>
          <w:color w:val="000000" w:themeColor="text1"/>
          <w14:textFill>
            <w14:solidFill>
              <w14:schemeClr w14:val="tx1"/>
            </w14:solidFill>
          </w14:textFill>
        </w:rPr>
        <w:t>S浓度。</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在钻入气层后根据钻井出现井喷、井漏、井涌、气侵等情况检测CH</w:t>
      </w:r>
      <w:r>
        <w:rPr>
          <w:rFonts w:cs="Times New Roman"/>
          <w:color w:val="000000" w:themeColor="text1"/>
          <w:vertAlign w:val="subscript"/>
          <w14:textFill>
            <w14:solidFill>
              <w14:schemeClr w14:val="tx1"/>
            </w14:solidFill>
          </w14:textFill>
        </w:rPr>
        <w:t>4</w:t>
      </w:r>
      <w:r>
        <w:rPr>
          <w:rFonts w:cs="Times New Roman"/>
          <w:color w:val="000000" w:themeColor="text1"/>
          <w14:textFill>
            <w14:solidFill>
              <w14:schemeClr w14:val="tx1"/>
            </w14:solidFill>
          </w14:textFill>
        </w:rPr>
        <w:t>、H</w:t>
      </w:r>
      <w:r>
        <w:rPr>
          <w:rFonts w:cs="Times New Roman"/>
          <w:color w:val="000000" w:themeColor="text1"/>
          <w:vertAlign w:val="subscript"/>
          <w14:textFill>
            <w14:solidFill>
              <w14:schemeClr w14:val="tx1"/>
            </w14:solidFill>
          </w14:textFill>
        </w:rPr>
        <w:t>2</w:t>
      </w:r>
      <w:r>
        <w:rPr>
          <w:rFonts w:cs="Times New Roman"/>
          <w:color w:val="000000" w:themeColor="text1"/>
          <w14:textFill>
            <w14:solidFill>
              <w14:schemeClr w14:val="tx1"/>
            </w14:solidFill>
          </w14:textFill>
        </w:rPr>
        <w:t>S浓度，测试和事故放喷时根据事故控制情况监测CH</w:t>
      </w:r>
      <w:r>
        <w:rPr>
          <w:rFonts w:cs="Times New Roman"/>
          <w:color w:val="000000" w:themeColor="text1"/>
          <w:vertAlign w:val="subscript"/>
          <w14:textFill>
            <w14:solidFill>
              <w14:schemeClr w14:val="tx1"/>
            </w14:solidFill>
          </w14:textFill>
        </w:rPr>
        <w:t>4</w:t>
      </w:r>
      <w:r>
        <w:rPr>
          <w:rFonts w:cs="Times New Roman"/>
          <w:color w:val="000000" w:themeColor="text1"/>
          <w14:textFill>
            <w14:solidFill>
              <w14:schemeClr w14:val="tx1"/>
            </w14:solidFill>
          </w14:textFill>
        </w:rPr>
        <w:t>、H</w:t>
      </w:r>
      <w:r>
        <w:rPr>
          <w:rFonts w:cs="Times New Roman"/>
          <w:color w:val="000000" w:themeColor="text1"/>
          <w:vertAlign w:val="subscript"/>
          <w14:textFill>
            <w14:solidFill>
              <w14:schemeClr w14:val="tx1"/>
            </w14:solidFill>
          </w14:textFill>
        </w:rPr>
        <w:t>2</w:t>
      </w:r>
      <w:r>
        <w:rPr>
          <w:rFonts w:cs="Times New Roman"/>
          <w:color w:val="000000" w:themeColor="text1"/>
          <w14:textFill>
            <w14:solidFill>
              <w14:schemeClr w14:val="tx1"/>
            </w14:solidFill>
          </w14:textFill>
        </w:rPr>
        <w:t>S浓度，监测点位设在井场场界、放喷口周围以及最近居民点处。</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噪声监测设在场界处和最近居民点处（井场周边200m范围内无居民点，因此可根据实际情况考虑是否对敏感点进行监测），钻井期间分别监测昼间、夜间各1次，试采期间每年昼间、夜间各监测1次。</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本次评价建议建设单位开展土壤环境跟踪监测，主要设置下游监控点和上游背景点。</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地下水监测设置在周边有代表性的水井，按照地下水专项评价所列计划对环境进行跟踪监测后，建设单位应按相关规定对监测结果及时建立档案。如发现异常或发生事故，加密监测频次，并根据污染物特征增加监测项目，并分析污染原因，及时采取应急措施。监测计划见</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REF _Ref142859803 \h  \* MERGEFORMAT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表9.3</w:t>
      </w:r>
      <w:r>
        <w:rPr>
          <w:rFonts w:cs="Times New Roman"/>
          <w:color w:val="000000" w:themeColor="text1"/>
          <w14:textFill>
            <w14:solidFill>
              <w14:schemeClr w14:val="tx1"/>
            </w14:solidFill>
          </w14:textFill>
        </w:rPr>
        <w:noBreakHyphen/>
      </w:r>
      <w:r>
        <w:rPr>
          <w:rFonts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w:t>
      </w:r>
    </w:p>
    <w:p>
      <w:pPr>
        <w:pStyle w:val="21"/>
        <w:tabs>
          <w:tab w:val="left" w:pos="863"/>
        </w:tabs>
        <w:spacing w:before="0"/>
        <w:ind w:left="0" w:firstLine="420"/>
        <w:jc w:val="center"/>
        <w:rPr>
          <w:rFonts w:ascii="Times New Roman" w:hAnsi="Times New Roman" w:eastAsia="黑体"/>
          <w:color w:val="000000" w:themeColor="text1"/>
          <w:sz w:val="21"/>
          <w:szCs w:val="21"/>
          <w:lang w:eastAsia="zh-CN"/>
          <w14:textFill>
            <w14:solidFill>
              <w14:schemeClr w14:val="tx1"/>
            </w14:solidFill>
          </w14:textFill>
        </w:rPr>
      </w:pPr>
    </w:p>
    <w:p>
      <w:pPr>
        <w:pStyle w:val="249"/>
        <w:ind w:firstLine="0" w:firstLineChars="0"/>
        <w:jc w:val="center"/>
        <w:rPr>
          <w:color w:val="000000" w:themeColor="text1"/>
          <w14:textFill>
            <w14:solidFill>
              <w14:schemeClr w14:val="tx1"/>
            </w14:solidFill>
          </w14:textFill>
        </w:rPr>
      </w:pPr>
      <w:bookmarkStart w:id="477" w:name="_Ref142859803"/>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9.3</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bookmarkEnd w:id="477"/>
      <w:r>
        <w:rPr>
          <w:color w:val="000000" w:themeColor="text1"/>
          <w14:textFill>
            <w14:solidFill>
              <w14:schemeClr w14:val="tx1"/>
            </w14:solidFill>
          </w14:textFill>
        </w:rPr>
        <w:t xml:space="preserve"> 本项目环境监测计划</w:t>
      </w:r>
    </w:p>
    <w:tbl>
      <w:tblPr>
        <w:tblStyle w:val="5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953"/>
        <w:gridCol w:w="1952"/>
        <w:gridCol w:w="1456"/>
        <w:gridCol w:w="1592"/>
        <w:gridCol w:w="1073"/>
        <w:gridCol w:w="139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blHeader/>
          <w:jc w:val="center"/>
        </w:trPr>
        <w:tc>
          <w:tcPr>
            <w:tcW w:w="598" w:type="pct"/>
            <w:vAlign w:val="center"/>
          </w:tcPr>
          <w:p>
            <w:pPr>
              <w:pStyle w:val="294"/>
            </w:pPr>
            <w:r>
              <w:t>环境要素</w:t>
            </w:r>
          </w:p>
        </w:tc>
        <w:tc>
          <w:tcPr>
            <w:tcW w:w="1191" w:type="pct"/>
            <w:vAlign w:val="center"/>
          </w:tcPr>
          <w:p>
            <w:pPr>
              <w:pStyle w:val="294"/>
            </w:pPr>
            <w:r>
              <w:t>监测点位</w:t>
            </w:r>
          </w:p>
        </w:tc>
        <w:tc>
          <w:tcPr>
            <w:tcW w:w="896" w:type="pct"/>
            <w:vAlign w:val="center"/>
          </w:tcPr>
          <w:p>
            <w:pPr>
              <w:pStyle w:val="294"/>
            </w:pPr>
            <w:r>
              <w:t>监测项目</w:t>
            </w:r>
          </w:p>
        </w:tc>
        <w:tc>
          <w:tcPr>
            <w:tcW w:w="977" w:type="pct"/>
            <w:vAlign w:val="center"/>
          </w:tcPr>
          <w:p>
            <w:pPr>
              <w:pStyle w:val="294"/>
            </w:pPr>
            <w:r>
              <w:t>监测频次</w:t>
            </w:r>
          </w:p>
        </w:tc>
        <w:tc>
          <w:tcPr>
            <w:tcW w:w="669" w:type="pct"/>
            <w:vAlign w:val="center"/>
          </w:tcPr>
          <w:p>
            <w:pPr>
              <w:pStyle w:val="294"/>
            </w:pPr>
            <w:r>
              <w:t>监测时段</w:t>
            </w:r>
          </w:p>
        </w:tc>
        <w:tc>
          <w:tcPr>
            <w:tcW w:w="669" w:type="pct"/>
            <w:vAlign w:val="center"/>
          </w:tcPr>
          <w:p>
            <w:pPr>
              <w:pStyle w:val="294"/>
            </w:pPr>
            <w:r>
              <w:t>依据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179" w:hRule="atLeast"/>
          <w:jc w:val="center"/>
        </w:trPr>
        <w:tc>
          <w:tcPr>
            <w:tcW w:w="598" w:type="pct"/>
            <w:shd w:val="clear" w:color="auto" w:fill="FFFFFF"/>
            <w:vAlign w:val="center"/>
          </w:tcPr>
          <w:p>
            <w:pPr>
              <w:pStyle w:val="294"/>
            </w:pPr>
            <w:r>
              <w:t>土壤</w:t>
            </w:r>
          </w:p>
        </w:tc>
        <w:tc>
          <w:tcPr>
            <w:tcW w:w="1191" w:type="pct"/>
            <w:shd w:val="clear" w:color="auto" w:fill="FFFFFF"/>
            <w:vAlign w:val="center"/>
          </w:tcPr>
          <w:p>
            <w:pPr>
              <w:pStyle w:val="294"/>
            </w:pPr>
            <w:r>
              <w:t>本项目在放喷池下游处设置1处表层土壤监测点</w:t>
            </w:r>
          </w:p>
        </w:tc>
        <w:tc>
          <w:tcPr>
            <w:tcW w:w="896" w:type="pct"/>
            <w:vAlign w:val="center"/>
          </w:tcPr>
          <w:p>
            <w:pPr>
              <w:pStyle w:val="294"/>
            </w:pPr>
            <w:r>
              <w:t>pH值、铜、六价铬、铅、镉、汞、砷、镍、石油烃（C10-C40）、全盐量等</w:t>
            </w:r>
          </w:p>
        </w:tc>
        <w:tc>
          <w:tcPr>
            <w:tcW w:w="977" w:type="pct"/>
            <w:vAlign w:val="center"/>
          </w:tcPr>
          <w:p>
            <w:pPr>
              <w:pStyle w:val="294"/>
            </w:pPr>
            <w:r>
              <w:t>1次/5年</w:t>
            </w:r>
          </w:p>
        </w:tc>
        <w:tc>
          <w:tcPr>
            <w:tcW w:w="669" w:type="pct"/>
            <w:vAlign w:val="center"/>
          </w:tcPr>
          <w:p>
            <w:pPr>
              <w:pStyle w:val="294"/>
            </w:pPr>
            <w:r>
              <w:t>定期</w:t>
            </w:r>
          </w:p>
        </w:tc>
        <w:tc>
          <w:tcPr>
            <w:tcW w:w="669" w:type="pct"/>
            <w:vAlign w:val="center"/>
          </w:tcPr>
          <w:p>
            <w:pPr>
              <w:pStyle w:val="294"/>
            </w:pPr>
            <w:r>
              <w:t>HJ1209-2021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598" w:type="pct"/>
            <w:vMerge w:val="restart"/>
            <w:shd w:val="clear" w:color="auto" w:fill="FFFFFF"/>
            <w:vAlign w:val="center"/>
          </w:tcPr>
          <w:p>
            <w:pPr>
              <w:pStyle w:val="294"/>
            </w:pPr>
            <w:r>
              <w:t>大气</w:t>
            </w:r>
          </w:p>
        </w:tc>
        <w:tc>
          <w:tcPr>
            <w:tcW w:w="1191" w:type="pct"/>
            <w:shd w:val="clear" w:color="auto" w:fill="FFFFFF"/>
            <w:vAlign w:val="center"/>
          </w:tcPr>
          <w:p>
            <w:pPr>
              <w:pStyle w:val="294"/>
            </w:pPr>
            <w:r>
              <w:t>井场场界、放喷口周围、最近居民点处</w:t>
            </w:r>
          </w:p>
        </w:tc>
        <w:tc>
          <w:tcPr>
            <w:tcW w:w="896" w:type="pct"/>
            <w:vAlign w:val="center"/>
          </w:tcPr>
          <w:p>
            <w:pPr>
              <w:pStyle w:val="294"/>
            </w:pPr>
            <w:r>
              <w:t>CH</w:t>
            </w:r>
            <w:r>
              <w:rPr>
                <w:vertAlign w:val="subscript"/>
              </w:rPr>
              <w:t>4</w:t>
            </w:r>
            <w:r>
              <w:t>、H</w:t>
            </w:r>
            <w:r>
              <w:rPr>
                <w:vertAlign w:val="subscript"/>
              </w:rPr>
              <w:t>2</w:t>
            </w:r>
            <w:r>
              <w:t>S</w:t>
            </w:r>
          </w:p>
        </w:tc>
        <w:tc>
          <w:tcPr>
            <w:tcW w:w="977" w:type="pct"/>
            <w:vAlign w:val="center"/>
          </w:tcPr>
          <w:p>
            <w:pPr>
              <w:pStyle w:val="294"/>
            </w:pPr>
            <w:r>
              <w:t>测试和事故放喷时根据事故控制情况布置监测</w:t>
            </w:r>
          </w:p>
        </w:tc>
        <w:tc>
          <w:tcPr>
            <w:tcW w:w="669" w:type="pct"/>
            <w:vAlign w:val="center"/>
          </w:tcPr>
          <w:p>
            <w:pPr>
              <w:pStyle w:val="294"/>
            </w:pPr>
            <w:r>
              <w:t>事故过程</w:t>
            </w:r>
          </w:p>
        </w:tc>
        <w:tc>
          <w:tcPr>
            <w:tcW w:w="669"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598" w:type="pct"/>
            <w:vMerge w:val="continue"/>
            <w:shd w:val="clear" w:color="auto" w:fill="FFFFFF"/>
            <w:vAlign w:val="center"/>
          </w:tcPr>
          <w:p>
            <w:pPr>
              <w:pStyle w:val="294"/>
            </w:pPr>
          </w:p>
        </w:tc>
        <w:tc>
          <w:tcPr>
            <w:tcW w:w="1191" w:type="pct"/>
            <w:shd w:val="clear" w:color="auto" w:fill="FFFFFF"/>
            <w:vAlign w:val="center"/>
          </w:tcPr>
          <w:p>
            <w:pPr>
              <w:pStyle w:val="294"/>
            </w:pPr>
            <w:r>
              <w:t>井场场界、最近居民点处</w:t>
            </w:r>
          </w:p>
        </w:tc>
        <w:tc>
          <w:tcPr>
            <w:tcW w:w="896" w:type="pct"/>
            <w:vAlign w:val="center"/>
          </w:tcPr>
          <w:p>
            <w:pPr>
              <w:pStyle w:val="294"/>
            </w:pPr>
            <w:r>
              <w:t>TSP</w:t>
            </w:r>
          </w:p>
        </w:tc>
        <w:tc>
          <w:tcPr>
            <w:tcW w:w="977" w:type="pct"/>
            <w:vAlign w:val="center"/>
          </w:tcPr>
          <w:p>
            <w:pPr>
              <w:pStyle w:val="294"/>
            </w:pPr>
            <w:r>
              <w:t>施工阶段1-2次</w:t>
            </w:r>
          </w:p>
        </w:tc>
        <w:tc>
          <w:tcPr>
            <w:tcW w:w="669" w:type="pct"/>
            <w:vAlign w:val="center"/>
          </w:tcPr>
          <w:p>
            <w:pPr>
              <w:pStyle w:val="294"/>
            </w:pPr>
            <w:r>
              <w:t>施工阶段</w:t>
            </w:r>
          </w:p>
        </w:tc>
        <w:tc>
          <w:tcPr>
            <w:tcW w:w="669"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598" w:type="pct"/>
            <w:shd w:val="clear" w:color="auto" w:fill="FFFFFF"/>
            <w:vAlign w:val="center"/>
          </w:tcPr>
          <w:p>
            <w:pPr>
              <w:pStyle w:val="294"/>
            </w:pPr>
            <w:r>
              <w:t>噪声</w:t>
            </w:r>
          </w:p>
        </w:tc>
        <w:tc>
          <w:tcPr>
            <w:tcW w:w="1191" w:type="pct"/>
            <w:shd w:val="clear" w:color="auto" w:fill="FFFFFF"/>
            <w:vAlign w:val="center"/>
          </w:tcPr>
          <w:p>
            <w:pPr>
              <w:pStyle w:val="294"/>
            </w:pPr>
            <w:r>
              <w:t>场界处</w:t>
            </w:r>
          </w:p>
        </w:tc>
        <w:tc>
          <w:tcPr>
            <w:tcW w:w="896" w:type="pct"/>
            <w:vAlign w:val="center"/>
          </w:tcPr>
          <w:p>
            <w:pPr>
              <w:pStyle w:val="294"/>
            </w:pPr>
            <w:r>
              <w:t>场界噪声</w:t>
            </w:r>
          </w:p>
        </w:tc>
        <w:tc>
          <w:tcPr>
            <w:tcW w:w="977" w:type="pct"/>
            <w:vAlign w:val="center"/>
          </w:tcPr>
          <w:p>
            <w:pPr>
              <w:pStyle w:val="294"/>
            </w:pPr>
            <w:r>
              <w:t>钻井期间分别监测昼间、夜间各1次；</w:t>
            </w:r>
            <w:r>
              <w:rPr>
                <w:snapToGrid w:val="0"/>
              </w:rPr>
              <w:t>试采期每季度监测1次，根据监测结果，若场站内声源装置稳定运行且厂界环境噪声远低于标准限值的小型场站可不开展厂界环境噪声监测</w:t>
            </w:r>
          </w:p>
        </w:tc>
        <w:tc>
          <w:tcPr>
            <w:tcW w:w="669" w:type="pct"/>
            <w:vAlign w:val="center"/>
          </w:tcPr>
          <w:p>
            <w:pPr>
              <w:pStyle w:val="294"/>
            </w:pPr>
            <w:r>
              <w:t>投诉时对投诉敏感点监测</w:t>
            </w:r>
          </w:p>
        </w:tc>
        <w:tc>
          <w:tcPr>
            <w:tcW w:w="669" w:type="pct"/>
            <w:vAlign w:val="center"/>
          </w:tcPr>
          <w:p>
            <w:pPr>
              <w:pStyle w:val="294"/>
            </w:pPr>
            <w:r>
              <w:t>HJ1248—2022等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598" w:type="pct"/>
            <w:shd w:val="clear" w:color="auto" w:fill="FFFFFF"/>
            <w:vAlign w:val="center"/>
          </w:tcPr>
          <w:p>
            <w:pPr>
              <w:pStyle w:val="294"/>
            </w:pPr>
            <w:r>
              <w:t>地表水</w:t>
            </w:r>
          </w:p>
        </w:tc>
        <w:tc>
          <w:tcPr>
            <w:tcW w:w="1191" w:type="pct"/>
            <w:shd w:val="clear" w:color="auto" w:fill="FFFFFF"/>
            <w:vAlign w:val="center"/>
          </w:tcPr>
          <w:p>
            <w:pPr>
              <w:pStyle w:val="294"/>
            </w:pPr>
            <w:r>
              <w:t>废水泄露地表水体时被污染水体</w:t>
            </w:r>
          </w:p>
        </w:tc>
        <w:tc>
          <w:tcPr>
            <w:tcW w:w="896" w:type="pct"/>
            <w:vAlign w:val="center"/>
          </w:tcPr>
          <w:p>
            <w:pPr>
              <w:pStyle w:val="294"/>
            </w:pPr>
            <w:r>
              <w:t>pH、COD、BOD</w:t>
            </w:r>
            <w:r>
              <w:rPr>
                <w:vertAlign w:val="subscript"/>
              </w:rPr>
              <w:t>5</w:t>
            </w:r>
            <w:r>
              <w:t>、氨氮、硫化物、石油类、氯化物</w:t>
            </w:r>
            <w:r>
              <w:rPr>
                <w:bCs/>
              </w:rPr>
              <w:t>等</w:t>
            </w:r>
          </w:p>
        </w:tc>
        <w:tc>
          <w:tcPr>
            <w:tcW w:w="977" w:type="pct"/>
            <w:vAlign w:val="center"/>
          </w:tcPr>
          <w:p>
            <w:pPr>
              <w:pStyle w:val="294"/>
            </w:pPr>
            <w:r>
              <w:t>实时监控</w:t>
            </w:r>
          </w:p>
        </w:tc>
        <w:tc>
          <w:tcPr>
            <w:tcW w:w="669" w:type="pct"/>
            <w:vAlign w:val="center"/>
          </w:tcPr>
          <w:p>
            <w:pPr>
              <w:pStyle w:val="294"/>
            </w:pPr>
            <w:r>
              <w:t>事故过程</w:t>
            </w:r>
          </w:p>
        </w:tc>
        <w:tc>
          <w:tcPr>
            <w:tcW w:w="669" w:type="pct"/>
            <w:vAlign w:val="center"/>
          </w:tcPr>
          <w:p>
            <w:pPr>
              <w:pStyle w:val="294"/>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598" w:type="pct"/>
            <w:shd w:val="clear" w:color="auto" w:fill="FFFFFF"/>
            <w:vAlign w:val="center"/>
          </w:tcPr>
          <w:p>
            <w:pPr>
              <w:pStyle w:val="294"/>
            </w:pPr>
            <w:r>
              <w:t>雨水</w:t>
            </w:r>
          </w:p>
        </w:tc>
        <w:tc>
          <w:tcPr>
            <w:tcW w:w="1191" w:type="pct"/>
            <w:shd w:val="clear" w:color="auto" w:fill="FFFFFF"/>
            <w:vAlign w:val="center"/>
          </w:tcPr>
          <w:p>
            <w:pPr>
              <w:pStyle w:val="294"/>
            </w:pPr>
            <w:r>
              <w:t>雨水排放口</w:t>
            </w:r>
          </w:p>
        </w:tc>
        <w:tc>
          <w:tcPr>
            <w:tcW w:w="896" w:type="pct"/>
            <w:vAlign w:val="center"/>
          </w:tcPr>
          <w:p>
            <w:pPr>
              <w:pStyle w:val="294"/>
            </w:pPr>
            <w:r>
              <w:t>COD、石油类</w:t>
            </w:r>
          </w:p>
        </w:tc>
        <w:tc>
          <w:tcPr>
            <w:tcW w:w="1646" w:type="pct"/>
            <w:gridSpan w:val="2"/>
            <w:vAlign w:val="center"/>
          </w:tcPr>
          <w:p>
            <w:pPr>
              <w:pStyle w:val="294"/>
            </w:pPr>
            <w:r>
              <w:t>有流动水排放时按季度监测，如监测一年无异常情况，可放宽至每年开展一次监测</w:t>
            </w:r>
          </w:p>
        </w:tc>
        <w:tc>
          <w:tcPr>
            <w:tcW w:w="669" w:type="pct"/>
            <w:vAlign w:val="center"/>
          </w:tcPr>
          <w:p>
            <w:pPr>
              <w:pStyle w:val="294"/>
            </w:pPr>
            <w:r>
              <w:t>HJ1248—2022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084" w:hRule="atLeast"/>
          <w:jc w:val="center"/>
        </w:trPr>
        <w:tc>
          <w:tcPr>
            <w:tcW w:w="598" w:type="pct"/>
            <w:shd w:val="clear" w:color="auto" w:fill="FFFFFF"/>
            <w:vAlign w:val="center"/>
          </w:tcPr>
          <w:p>
            <w:pPr>
              <w:pStyle w:val="294"/>
            </w:pPr>
            <w:r>
              <w:t>地下水</w:t>
            </w:r>
          </w:p>
        </w:tc>
        <w:tc>
          <w:tcPr>
            <w:tcW w:w="1191" w:type="pct"/>
            <w:shd w:val="clear" w:color="auto" w:fill="FFFFFF"/>
            <w:vAlign w:val="center"/>
          </w:tcPr>
          <w:p>
            <w:pPr>
              <w:pStyle w:val="294"/>
              <w:rPr>
                <w:snapToGrid w:val="0"/>
              </w:rPr>
            </w:pPr>
            <w:r>
              <w:t>普光3011-6井场</w:t>
            </w:r>
            <w:r>
              <w:rPr>
                <w:rFonts w:hint="eastAsia"/>
              </w:rPr>
              <w:t>东</w:t>
            </w:r>
            <w:r>
              <w:t>侧350</w:t>
            </w:r>
            <w:r>
              <w:rPr>
                <w:kern w:val="0"/>
              </w:rPr>
              <w:t>m井泉点</w:t>
            </w:r>
          </w:p>
        </w:tc>
        <w:tc>
          <w:tcPr>
            <w:tcW w:w="896" w:type="pct"/>
            <w:vAlign w:val="center"/>
          </w:tcPr>
          <w:p>
            <w:pPr>
              <w:pStyle w:val="294"/>
              <w:rPr>
                <w:snapToGrid w:val="0"/>
              </w:rPr>
            </w:pPr>
            <w:r>
              <w:rPr>
                <w:snapToGrid w:val="0"/>
              </w:rPr>
              <w:t>pH值、总硬度、六价铬、铁、锰、耗氧量、TDS、COD、石油类、氯化物</w:t>
            </w:r>
          </w:p>
        </w:tc>
        <w:tc>
          <w:tcPr>
            <w:tcW w:w="977" w:type="pct"/>
            <w:vAlign w:val="center"/>
          </w:tcPr>
          <w:p>
            <w:pPr>
              <w:pStyle w:val="294"/>
              <w:rPr>
                <w:snapToGrid w:val="0"/>
              </w:rPr>
            </w:pPr>
            <w:r>
              <w:rPr>
                <w:snapToGrid w:val="0"/>
              </w:rPr>
              <w:t>开工前1次，完钻后1次；试采期每年对1#点位例行监测一次，发生事故时加密监测</w:t>
            </w:r>
          </w:p>
        </w:tc>
        <w:tc>
          <w:tcPr>
            <w:tcW w:w="669" w:type="pct"/>
            <w:vAlign w:val="center"/>
          </w:tcPr>
          <w:p>
            <w:pPr>
              <w:pStyle w:val="294"/>
            </w:pPr>
            <w:r>
              <w:t>监控点</w:t>
            </w:r>
          </w:p>
        </w:tc>
        <w:tc>
          <w:tcPr>
            <w:tcW w:w="669" w:type="pct"/>
            <w:vAlign w:val="center"/>
          </w:tcPr>
          <w:p>
            <w:pPr>
              <w:pStyle w:val="294"/>
            </w:pPr>
            <w:r>
              <w:t>HJ1209-2021</w:t>
            </w:r>
          </w:p>
        </w:tc>
      </w:tr>
    </w:tbl>
    <w:p>
      <w:pPr>
        <w:ind w:firstLine="480"/>
        <w:jc w:val="center"/>
        <w:rPr>
          <w:rFonts w:eastAsia="黑体" w:cs="Times New Roman"/>
          <w:color w:val="000000" w:themeColor="text1"/>
          <w:szCs w:val="21"/>
          <w14:textFill>
            <w14:solidFill>
              <w14:schemeClr w14:val="tx1"/>
            </w14:solidFill>
          </w14:textFill>
        </w:rPr>
      </w:pPr>
    </w:p>
    <w:p>
      <w:pPr>
        <w:pStyle w:val="4"/>
        <w:ind w:firstLine="241"/>
        <w:rPr>
          <w:b w:val="0"/>
        </w:rPr>
      </w:pPr>
      <w:r>
        <w:rPr>
          <w:rFonts w:hint="eastAsia"/>
        </w:rPr>
        <w:t>9.3.2</w:t>
      </w:r>
      <w:r>
        <w:t>生态监测计划</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生态环境管理和监控是政府环境保护机构依据国家和地方</w:t>
      </w:r>
      <w:r>
        <w:rPr>
          <w:rFonts w:hint="eastAsia" w:cs="Times New Roman"/>
          <w:color w:val="000000" w:themeColor="text1"/>
          <w:lang w:eastAsia="zh-CN"/>
          <w14:textFill>
            <w14:solidFill>
              <w14:schemeClr w14:val="tx1"/>
            </w14:solidFill>
          </w14:textFill>
        </w:rPr>
        <w:t>制定</w:t>
      </w:r>
      <w:r>
        <w:rPr>
          <w:rFonts w:cs="Times New Roman"/>
          <w:color w:val="000000" w:themeColor="text1"/>
          <w14:textFill>
            <w14:solidFill>
              <w14:schemeClr w14:val="tx1"/>
            </w14:solidFill>
          </w14:textFill>
        </w:rPr>
        <w:t>的有关自然资源和生态保护的法律、法规、条例、技术规范、标准等所进行的行政工作。因此，接受环境管理和监管是建设单位日常工作的一个重要组成部分。本评价根据项目建设的性质、规模、生态影响的程度和范围、项目所在地的自然、经济、社会等因素提出如下生态监控目标和要求。</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监测目标：</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cs="Times New Roman"/>
          <w:color w:val="000000" w:themeColor="text1"/>
          <w14:textFill>
            <w14:solidFill>
              <w14:schemeClr w14:val="tx1"/>
            </w14:solidFill>
          </w14:textFill>
        </w:rPr>
        <w:t>防止区内自然体系生产能力进一步下降；</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lang w:eastAsia="ja-JP"/>
          <w14:textFill>
            <w14:solidFill>
              <w14:schemeClr w14:val="tx1"/>
            </w14:solidFill>
          </w14:textFill>
        </w:rPr>
        <w:t>②</w:t>
      </w:r>
      <w:r>
        <w:rPr>
          <w:rFonts w:cs="Times New Roman"/>
          <w:color w:val="000000" w:themeColor="text1"/>
          <w14:textFill>
            <w14:solidFill>
              <w14:schemeClr w14:val="tx1"/>
            </w14:solidFill>
          </w14:textFill>
        </w:rPr>
        <w:t>防止区内水土流失日趋严重；</w:t>
      </w:r>
    </w:p>
    <w:p>
      <w:pPr>
        <w:ind w:firstLine="480"/>
        <w:rPr>
          <w:rFonts w:cs="Times New Roman"/>
          <w:color w:val="000000" w:themeColor="text1"/>
          <w14:textFill>
            <w14:solidFill>
              <w14:schemeClr w14:val="tx1"/>
            </w14:solidFill>
          </w14:textFill>
        </w:rPr>
      </w:pPr>
      <w:r>
        <w:rPr>
          <w:rFonts w:hint="eastAsia" w:ascii="宋体" w:hAnsi="宋体" w:cs="宋体"/>
          <w:color w:val="000000" w:themeColor="text1"/>
          <w:lang w:eastAsia="ja-JP"/>
          <w14:textFill>
            <w14:solidFill>
              <w14:schemeClr w14:val="tx1"/>
            </w14:solidFill>
          </w14:textFill>
        </w:rPr>
        <w:t>③</w:t>
      </w:r>
      <w:r>
        <w:rPr>
          <w:rFonts w:cs="Times New Roman"/>
          <w:color w:val="000000" w:themeColor="text1"/>
          <w14:textFill>
            <w14:solidFill>
              <w14:schemeClr w14:val="tx1"/>
            </w14:solidFill>
          </w14:textFill>
        </w:rPr>
        <w:t>防止区内人类活动给自然体系增加更大的压力。</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监测要求： </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（一）监测物种类别</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1、陆生植物</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监测陆生植被物种主要为评价区的马尾松、麻栎、青冈、栓皮栎为主的乔木林植被</w:t>
      </w:r>
      <w:r>
        <w:rPr>
          <w:rFonts w:hint="eastAsia" w:cs="Times New Roman"/>
          <w:color w:val="000000" w:themeColor="text1"/>
          <w14:textFill>
            <w14:solidFill>
              <w14:schemeClr w14:val="tx1"/>
            </w14:solidFill>
          </w14:textFill>
        </w:rPr>
        <w:t>以及应季</w:t>
      </w:r>
      <w:r>
        <w:rPr>
          <w:rFonts w:cs="Times New Roman"/>
          <w:color w:val="000000" w:themeColor="text1"/>
          <w14:textFill>
            <w14:solidFill>
              <w14:schemeClr w14:val="tx1"/>
            </w14:solidFill>
          </w14:textFill>
        </w:rPr>
        <w:t>农作物。</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2、陆生动物</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两栖类主要为：常见的蛙类和蟾蜍类。</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爬行类主要为：蜥蜴类、蛇类和壁虎类。</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鸟类主要为：雉科、鸦科、雀科、鹭科、雉科及燕科的鸟类。</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兽类主要为：食肉目鼬</w:t>
      </w:r>
      <w:r>
        <w:rPr>
          <w:rFonts w:cs="Times New Roman"/>
          <w:color w:val="000000" w:themeColor="text1"/>
          <w:spacing w:val="2"/>
          <w:szCs w:val="24"/>
          <w14:textFill>
            <w14:solidFill>
              <w14:schemeClr w14:val="tx1"/>
            </w14:solidFill>
          </w14:textFill>
        </w:rPr>
        <w:t>科，啮齿目鼠科，</w:t>
      </w:r>
      <w:r>
        <w:rPr>
          <w:rFonts w:cs="Times New Roman"/>
          <w:color w:val="000000" w:themeColor="text1"/>
          <w:spacing w:val="1"/>
          <w:szCs w:val="24"/>
          <w14:textFill>
            <w14:solidFill>
              <w14:schemeClr w14:val="tx1"/>
            </w14:solidFill>
          </w14:textFill>
        </w:rPr>
        <w:t>兔形目兔科</w:t>
      </w:r>
      <w:r>
        <w:rPr>
          <w:rFonts w:cs="Times New Roman"/>
          <w:color w:val="000000" w:themeColor="text1"/>
          <w14:textFill>
            <w14:solidFill>
              <w14:schemeClr w14:val="tx1"/>
            </w14:solidFill>
          </w14:textFill>
        </w:rPr>
        <w:t>的中小型兽类。</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3、重点保护陆生生物</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保护动物：偶尔出现在评价区上空的</w:t>
      </w:r>
      <w:r>
        <w:rPr>
          <w:rFonts w:cs="Times New Roman"/>
          <w:color w:val="000000" w:themeColor="text1"/>
          <w:spacing w:val="4"/>
          <w:szCs w:val="24"/>
          <w14:textFill>
            <w14:solidFill>
              <w14:schemeClr w14:val="tx1"/>
            </w14:solidFill>
          </w14:textFill>
        </w:rPr>
        <w:t>国家二级保护鸟类</w:t>
      </w:r>
      <w:r>
        <w:rPr>
          <w:rFonts w:cs="Times New Roman"/>
          <w:color w:val="000000" w:themeColor="text1"/>
          <w14:textFill>
            <w14:solidFill>
              <w14:schemeClr w14:val="tx1"/>
            </w14:solidFill>
          </w14:textFill>
        </w:rPr>
        <w:t>鸢、红隼。</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（二）监测范围</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包括陆生植被监测、植被恢复效果监测、陆生动物监测。</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 陆生植被监测 </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监测内容及方法：根据陆生生物组成设置固定样地5个，根据各样线群落面积确定设置的样地数量，着重调查植物的水平分布变化趋势。此外，监测过程中应密切关注外来入侵种的种类、数量、入侵速度。 </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监测时间及频次：常规监测。 </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2、植被恢复效果监测 </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监测内容：项目退役后，植被恢复初期，在各施工迹地设置1-2个20m×20m或5m×5m的小样方，对小样方内植物生长情况进行调查，包括植物成活率、萌发情况、幼树长势、植被覆盖率、植物种类变化等。 </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监测时间及频次：常规监测。 </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3、陆生动物监测 </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监测内容及方法：根据陆生生物组成设置固定样线3-4条，统计兽类、鸟类、两栖类、爬行类的物种出现率。还可进行民间访问和市场调查来了解野生动物的情况。 </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监测频次：常规监测。</w:t>
      </w:r>
    </w:p>
    <w:p>
      <w:pPr>
        <w:pStyle w:val="4"/>
        <w:ind w:firstLine="241"/>
        <w:rPr>
          <w:b w:val="0"/>
        </w:rPr>
      </w:pPr>
      <w:bookmarkStart w:id="478" w:name="_Toc120173248"/>
      <w:r>
        <w:rPr>
          <w:rFonts w:hint="eastAsia"/>
        </w:rPr>
        <w:t>9.3.3</w:t>
      </w:r>
      <w:r>
        <w:t>应急监测</w:t>
      </w:r>
      <w:bookmarkEnd w:id="478"/>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本项目主要存在试采站场天然气泄漏（天然气泄漏或火灾、爆炸或重大环境污染）、污水泄漏、油类物质泄漏等事故。因此，在发生事故时应当进行应急监测。</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应急监测包括污染纠纷的监测和污染事故的应急监测等。工程施工单位未落实环境保护措施发生污染事故或公众举报与投诉，以及风险事故发生时，环境监测部门应立刻进行现场监测，并通知当地环保部门赴事故现场进行调查，做到及时提供事故监测分析报告，以便及时做出整改并采取补救措施，使事故造成的不良环境影响降至最低。</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对事故监测可根据事故性质、事故影响大小等具体情况监测气、土壤、水等，并以监测报告的形式上报上级部门。</w:t>
      </w:r>
    </w:p>
    <w:p>
      <w:pPr>
        <w:pStyle w:val="3"/>
      </w:pPr>
      <w:bookmarkStart w:id="479" w:name="_bookmark41"/>
      <w:bookmarkEnd w:id="479"/>
      <w:bookmarkStart w:id="480" w:name="8.3排污口规范化管理"/>
      <w:bookmarkEnd w:id="480"/>
      <w:bookmarkStart w:id="481" w:name="8.2.2监测实施单位"/>
      <w:bookmarkEnd w:id="481"/>
      <w:bookmarkStart w:id="482" w:name="_Toc164667050"/>
      <w:r>
        <w:rPr>
          <w:rFonts w:hint="eastAsia"/>
        </w:rPr>
        <w:t>9.4</w:t>
      </w:r>
      <w:r>
        <w:t>排污许可申请</w:t>
      </w:r>
      <w:bookmarkEnd w:id="482"/>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本项目为天然气试采项目，根据《固定污染源排污许可分类管理名录》（2019年版）可知，本项目为登记管理的行业，因此不需申请排污许可证，只需登记备案。</w:t>
      </w:r>
    </w:p>
    <w:p>
      <w:pPr>
        <w:pStyle w:val="3"/>
      </w:pPr>
      <w:bookmarkStart w:id="483" w:name="_bookmark43"/>
      <w:bookmarkEnd w:id="483"/>
      <w:bookmarkStart w:id="484" w:name="8.5环保设施竣工验收"/>
      <w:bookmarkEnd w:id="484"/>
      <w:bookmarkStart w:id="485" w:name="8.4环境监理"/>
      <w:bookmarkEnd w:id="485"/>
      <w:bookmarkStart w:id="486" w:name="_Toc164667051"/>
      <w:r>
        <w:rPr>
          <w:rFonts w:hint="eastAsia"/>
        </w:rPr>
        <w:t>9.5</w:t>
      </w:r>
      <w:r>
        <w:t>竣工环保验收调查</w:t>
      </w:r>
      <w:bookmarkEnd w:id="486"/>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为加强建设项目竣工环境保护验收管理，监督落实环境保护设施与建设项目主体工程同时设计、同时投产、同时使用，防治环境污染，根据《建设项目竣工环境保护验收暂行办法》（国环规环评〔2017〕4号）等相关文件要求，建设单位应积极自主开展环境保护验收。</w:t>
      </w:r>
    </w:p>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9.5</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竣工环保验收调查一览表</w:t>
      </w:r>
    </w:p>
    <w:tbl>
      <w:tblPr>
        <w:tblStyle w:val="89"/>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850"/>
        <w:gridCol w:w="553"/>
        <w:gridCol w:w="1264"/>
        <w:gridCol w:w="555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blHeader/>
          <w:jc w:val="center"/>
        </w:trPr>
        <w:tc>
          <w:tcPr>
            <w:tcW w:w="850" w:type="dxa"/>
            <w:vAlign w:val="center"/>
          </w:tcPr>
          <w:p>
            <w:pPr>
              <w:pStyle w:val="294"/>
              <w:rPr>
                <w:szCs w:val="22"/>
                <w:lang w:eastAsia="en-US"/>
              </w:rPr>
            </w:pPr>
            <w:r>
              <w:rPr>
                <w:szCs w:val="22"/>
                <w:lang w:eastAsia="en-US"/>
              </w:rPr>
              <w:t>分项</w:t>
            </w:r>
          </w:p>
        </w:tc>
        <w:tc>
          <w:tcPr>
            <w:tcW w:w="1817" w:type="dxa"/>
            <w:gridSpan w:val="2"/>
            <w:vAlign w:val="center"/>
          </w:tcPr>
          <w:p>
            <w:pPr>
              <w:pStyle w:val="294"/>
              <w:rPr>
                <w:szCs w:val="22"/>
                <w:lang w:eastAsia="en-US"/>
              </w:rPr>
            </w:pPr>
            <w:r>
              <w:rPr>
                <w:szCs w:val="22"/>
                <w:lang w:eastAsia="en-US"/>
              </w:rPr>
              <w:t>验收项目及位置</w:t>
            </w:r>
          </w:p>
        </w:tc>
        <w:tc>
          <w:tcPr>
            <w:tcW w:w="5555" w:type="dxa"/>
            <w:vAlign w:val="center"/>
          </w:tcPr>
          <w:p>
            <w:pPr>
              <w:pStyle w:val="294"/>
              <w:rPr>
                <w:szCs w:val="22"/>
                <w:lang w:eastAsia="en-US"/>
              </w:rPr>
            </w:pPr>
            <w:r>
              <w:rPr>
                <w:szCs w:val="22"/>
                <w:lang w:eastAsia="en-US"/>
              </w:rPr>
              <w:t>验收指标及要求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restart"/>
            <w:vAlign w:val="center"/>
          </w:tcPr>
          <w:p>
            <w:pPr>
              <w:pStyle w:val="294"/>
              <w:rPr>
                <w:szCs w:val="22"/>
                <w:lang w:eastAsia="en-US"/>
              </w:rPr>
            </w:pPr>
            <w:r>
              <w:rPr>
                <w:szCs w:val="22"/>
                <w:lang w:eastAsia="en-US"/>
              </w:rPr>
              <w:t>环境</w:t>
            </w:r>
            <w:r>
              <w:rPr>
                <w:spacing w:val="-103"/>
                <w:szCs w:val="22"/>
                <w:lang w:eastAsia="en-US"/>
              </w:rPr>
              <w:t xml:space="preserve"> </w:t>
            </w:r>
            <w:r>
              <w:rPr>
                <w:szCs w:val="22"/>
                <w:lang w:eastAsia="en-US"/>
              </w:rPr>
              <w:t>管理</w:t>
            </w:r>
          </w:p>
        </w:tc>
        <w:tc>
          <w:tcPr>
            <w:tcW w:w="1817" w:type="dxa"/>
            <w:gridSpan w:val="2"/>
            <w:vAlign w:val="center"/>
          </w:tcPr>
          <w:p>
            <w:pPr>
              <w:pStyle w:val="294"/>
              <w:rPr>
                <w:szCs w:val="22"/>
                <w:lang w:eastAsia="en-US"/>
              </w:rPr>
            </w:pPr>
            <w:r>
              <w:rPr>
                <w:szCs w:val="22"/>
                <w:lang w:eastAsia="en-US"/>
              </w:rPr>
              <w:t>环境管理制度</w:t>
            </w:r>
          </w:p>
        </w:tc>
        <w:tc>
          <w:tcPr>
            <w:tcW w:w="5555" w:type="dxa"/>
            <w:vAlign w:val="center"/>
          </w:tcPr>
          <w:p>
            <w:pPr>
              <w:pStyle w:val="294"/>
              <w:rPr>
                <w:szCs w:val="22"/>
                <w:lang w:eastAsia="en-US"/>
              </w:rPr>
            </w:pPr>
            <w:r>
              <w:rPr>
                <w:szCs w:val="22"/>
                <w:lang w:eastAsia="en-US"/>
              </w:rPr>
              <w:t>具有环保机构，环保资料和档案齐全。建立各类废水、岩屑、</w:t>
            </w:r>
            <w:r>
              <w:rPr>
                <w:spacing w:val="-58"/>
                <w:szCs w:val="22"/>
                <w:lang w:eastAsia="en-US"/>
              </w:rPr>
              <w:t xml:space="preserve"> </w:t>
            </w:r>
            <w:r>
              <w:rPr>
                <w:szCs w:val="22"/>
                <w:lang w:eastAsia="en-US"/>
              </w:rPr>
              <w:t>泥浆等转移联单制度，提供完整的交接清单资料备查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4"/>
              <w:rPr>
                <w:szCs w:val="22"/>
                <w:lang w:eastAsia="en-US"/>
              </w:rPr>
            </w:pPr>
          </w:p>
        </w:tc>
        <w:tc>
          <w:tcPr>
            <w:tcW w:w="1817" w:type="dxa"/>
            <w:gridSpan w:val="2"/>
            <w:vAlign w:val="center"/>
          </w:tcPr>
          <w:p>
            <w:pPr>
              <w:pStyle w:val="294"/>
              <w:rPr>
                <w:szCs w:val="22"/>
                <w:lang w:eastAsia="en-US"/>
              </w:rPr>
            </w:pPr>
            <w:r>
              <w:rPr>
                <w:szCs w:val="22"/>
                <w:lang w:eastAsia="en-US"/>
              </w:rPr>
              <w:t>环境风险管理</w:t>
            </w:r>
          </w:p>
        </w:tc>
        <w:tc>
          <w:tcPr>
            <w:tcW w:w="5555" w:type="dxa"/>
            <w:vAlign w:val="center"/>
          </w:tcPr>
          <w:p>
            <w:pPr>
              <w:pStyle w:val="294"/>
              <w:rPr>
                <w:szCs w:val="22"/>
                <w:lang w:eastAsia="en-US"/>
              </w:rPr>
            </w:pPr>
            <w:r>
              <w:rPr>
                <w:szCs w:val="22"/>
                <w:lang w:eastAsia="en-US"/>
              </w:rPr>
              <w:t>具备符合行业规范和环评要求的环境风险应急预案并定期</w:t>
            </w:r>
            <w:r>
              <w:rPr>
                <w:spacing w:val="-2"/>
                <w:szCs w:val="22"/>
                <w:lang w:eastAsia="en-US"/>
              </w:rPr>
              <w:t>培训、演练，建立与当地村、乡镇、县相关部门联动机制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restart"/>
            <w:vAlign w:val="center"/>
          </w:tcPr>
          <w:p>
            <w:pPr>
              <w:pStyle w:val="294"/>
              <w:rPr>
                <w:szCs w:val="22"/>
                <w:lang w:eastAsia="en-US"/>
              </w:rPr>
            </w:pPr>
            <w:r>
              <w:rPr>
                <w:spacing w:val="2"/>
                <w:szCs w:val="22"/>
                <w:lang w:eastAsia="en-US"/>
              </w:rPr>
              <w:t>污染防</w:t>
            </w:r>
            <w:r>
              <w:rPr>
                <w:szCs w:val="22"/>
                <w:lang w:eastAsia="en-US"/>
              </w:rPr>
              <w:t>治措施</w:t>
            </w:r>
          </w:p>
        </w:tc>
        <w:tc>
          <w:tcPr>
            <w:tcW w:w="553" w:type="dxa"/>
            <w:vMerge w:val="restart"/>
            <w:vAlign w:val="center"/>
          </w:tcPr>
          <w:p>
            <w:pPr>
              <w:pStyle w:val="294"/>
              <w:rPr>
                <w:szCs w:val="22"/>
                <w:lang w:eastAsia="en-US"/>
              </w:rPr>
            </w:pPr>
            <w:r>
              <w:rPr>
                <w:szCs w:val="22"/>
                <w:lang w:eastAsia="en-US"/>
              </w:rPr>
              <w:t>废水</w:t>
            </w:r>
          </w:p>
        </w:tc>
        <w:tc>
          <w:tcPr>
            <w:tcW w:w="1264" w:type="dxa"/>
            <w:vAlign w:val="center"/>
          </w:tcPr>
          <w:p>
            <w:pPr>
              <w:pStyle w:val="294"/>
              <w:rPr>
                <w:szCs w:val="22"/>
                <w:lang w:eastAsia="en-US"/>
              </w:rPr>
            </w:pPr>
            <w:r>
              <w:rPr>
                <w:szCs w:val="22"/>
                <w:lang w:eastAsia="en-US"/>
              </w:rPr>
              <w:t>钻井废水、洗井废水、压裂返排液</w:t>
            </w:r>
          </w:p>
        </w:tc>
        <w:tc>
          <w:tcPr>
            <w:tcW w:w="5555" w:type="dxa"/>
            <w:vAlign w:val="center"/>
          </w:tcPr>
          <w:p>
            <w:pPr>
              <w:pStyle w:val="294"/>
              <w:rPr>
                <w:szCs w:val="22"/>
                <w:lang w:eastAsia="en-US"/>
              </w:rPr>
            </w:pPr>
            <w:r>
              <w:rPr>
                <w:szCs w:val="22"/>
                <w:lang w:eastAsia="en-US"/>
              </w:rPr>
              <w:t>钻井废水、洗井废水、压裂返排液收集后及时拉运至有处理能力和处理资质的单位进行处理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4"/>
              <w:rPr>
                <w:szCs w:val="22"/>
                <w:lang w:eastAsia="en-US"/>
              </w:rPr>
            </w:pPr>
          </w:p>
        </w:tc>
        <w:tc>
          <w:tcPr>
            <w:tcW w:w="553" w:type="dxa"/>
            <w:vMerge w:val="continue"/>
            <w:vAlign w:val="center"/>
          </w:tcPr>
          <w:p>
            <w:pPr>
              <w:pStyle w:val="294"/>
              <w:rPr>
                <w:szCs w:val="22"/>
                <w:lang w:eastAsia="en-US"/>
              </w:rPr>
            </w:pPr>
          </w:p>
        </w:tc>
        <w:tc>
          <w:tcPr>
            <w:tcW w:w="1264" w:type="dxa"/>
            <w:vAlign w:val="center"/>
          </w:tcPr>
          <w:p>
            <w:pPr>
              <w:pStyle w:val="294"/>
              <w:rPr>
                <w:szCs w:val="22"/>
                <w:lang w:eastAsia="en-US"/>
              </w:rPr>
            </w:pPr>
            <w:r>
              <w:rPr>
                <w:szCs w:val="22"/>
                <w:lang w:eastAsia="en-US"/>
              </w:rPr>
              <w:t>场地雨水</w:t>
            </w:r>
          </w:p>
        </w:tc>
        <w:tc>
          <w:tcPr>
            <w:tcW w:w="5555" w:type="dxa"/>
            <w:vAlign w:val="center"/>
          </w:tcPr>
          <w:p>
            <w:pPr>
              <w:pStyle w:val="294"/>
              <w:rPr>
                <w:szCs w:val="22"/>
                <w:lang w:eastAsia="en-US"/>
              </w:rPr>
            </w:pPr>
            <w:r>
              <w:rPr>
                <w:szCs w:val="22"/>
                <w:lang w:eastAsia="en-US"/>
              </w:rPr>
              <w:t>井场清污分流，井场四周设置排水沟，并设置集污坑，雨水</w:t>
            </w:r>
            <w:r>
              <w:rPr>
                <w:spacing w:val="-2"/>
                <w:szCs w:val="22"/>
                <w:lang w:eastAsia="en-US"/>
              </w:rPr>
              <w:t>依靠井站设置的地面坡度，就地散排至排水沟，排出场外。</w:t>
            </w:r>
            <w:r>
              <w:rPr>
                <w:szCs w:val="22"/>
                <w:lang w:eastAsia="en-US"/>
              </w:rPr>
              <w:t>若场内雨水被污染流入外环沟，则需封闭外环沟由作业队伍从集水坑抽汲至废水收集罐或放喷池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4"/>
              <w:rPr>
                <w:szCs w:val="22"/>
                <w:lang w:eastAsia="en-US"/>
              </w:rPr>
            </w:pPr>
          </w:p>
        </w:tc>
        <w:tc>
          <w:tcPr>
            <w:tcW w:w="553" w:type="dxa"/>
            <w:vMerge w:val="continue"/>
            <w:vAlign w:val="center"/>
          </w:tcPr>
          <w:p>
            <w:pPr>
              <w:pStyle w:val="294"/>
              <w:rPr>
                <w:szCs w:val="22"/>
                <w:lang w:eastAsia="en-US"/>
              </w:rPr>
            </w:pPr>
          </w:p>
        </w:tc>
        <w:tc>
          <w:tcPr>
            <w:tcW w:w="1264" w:type="dxa"/>
            <w:vAlign w:val="center"/>
          </w:tcPr>
          <w:p>
            <w:pPr>
              <w:pStyle w:val="294"/>
              <w:rPr>
                <w:szCs w:val="22"/>
                <w:lang w:eastAsia="en-US"/>
              </w:rPr>
            </w:pPr>
            <w:r>
              <w:rPr>
                <w:szCs w:val="22"/>
                <w:lang w:eastAsia="en-US"/>
              </w:rPr>
              <w:t>生活污水</w:t>
            </w:r>
          </w:p>
        </w:tc>
        <w:tc>
          <w:tcPr>
            <w:tcW w:w="5555" w:type="dxa"/>
            <w:vAlign w:val="center"/>
          </w:tcPr>
          <w:p>
            <w:pPr>
              <w:pStyle w:val="294"/>
              <w:rPr>
                <w:szCs w:val="22"/>
                <w:lang w:eastAsia="en-US"/>
              </w:rPr>
            </w:pPr>
            <w:r>
              <w:rPr>
                <w:szCs w:val="22"/>
                <w:lang w:eastAsia="en-US"/>
              </w:rPr>
              <w:t>经生态厕所收集后定期由密闭罐车拉运至周边生活污水处理厂处理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4"/>
              <w:rPr>
                <w:szCs w:val="22"/>
                <w:lang w:eastAsia="en-US"/>
              </w:rPr>
            </w:pPr>
          </w:p>
        </w:tc>
        <w:tc>
          <w:tcPr>
            <w:tcW w:w="1817" w:type="dxa"/>
            <w:gridSpan w:val="2"/>
            <w:vAlign w:val="center"/>
          </w:tcPr>
          <w:p>
            <w:pPr>
              <w:pStyle w:val="294"/>
              <w:rPr>
                <w:szCs w:val="22"/>
                <w:lang w:eastAsia="en-US"/>
              </w:rPr>
            </w:pPr>
            <w:r>
              <w:rPr>
                <w:szCs w:val="22"/>
                <w:lang w:eastAsia="en-US"/>
              </w:rPr>
              <w:t>地下水</w:t>
            </w:r>
          </w:p>
        </w:tc>
        <w:tc>
          <w:tcPr>
            <w:tcW w:w="5555" w:type="dxa"/>
            <w:vAlign w:val="center"/>
          </w:tcPr>
          <w:p>
            <w:pPr>
              <w:pStyle w:val="294"/>
              <w:rPr>
                <w:szCs w:val="22"/>
                <w:lang w:eastAsia="en-US"/>
              </w:rPr>
            </w:pPr>
            <w:r>
              <w:rPr>
                <w:szCs w:val="22"/>
                <w:lang w:eastAsia="en-US"/>
              </w:rPr>
              <w:t>按要求分区防渗；按要求进行跟踪监测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4"/>
              <w:rPr>
                <w:szCs w:val="22"/>
                <w:lang w:eastAsia="en-US"/>
              </w:rPr>
            </w:pPr>
          </w:p>
        </w:tc>
        <w:tc>
          <w:tcPr>
            <w:tcW w:w="553" w:type="dxa"/>
            <w:vMerge w:val="restart"/>
            <w:vAlign w:val="center"/>
          </w:tcPr>
          <w:p>
            <w:pPr>
              <w:pStyle w:val="294"/>
              <w:rPr>
                <w:szCs w:val="22"/>
                <w:lang w:eastAsia="en-US"/>
              </w:rPr>
            </w:pPr>
            <w:r>
              <w:rPr>
                <w:szCs w:val="22"/>
                <w:lang w:eastAsia="en-US"/>
              </w:rPr>
              <w:t>废气</w:t>
            </w:r>
          </w:p>
        </w:tc>
        <w:tc>
          <w:tcPr>
            <w:tcW w:w="1264" w:type="dxa"/>
            <w:vAlign w:val="center"/>
          </w:tcPr>
          <w:p>
            <w:pPr>
              <w:pStyle w:val="294"/>
              <w:rPr>
                <w:szCs w:val="22"/>
                <w:lang w:eastAsia="en-US"/>
              </w:rPr>
            </w:pPr>
            <w:r>
              <w:rPr>
                <w:szCs w:val="22"/>
                <w:lang w:eastAsia="en-US"/>
              </w:rPr>
              <w:t>施工扬尘</w:t>
            </w:r>
          </w:p>
        </w:tc>
        <w:tc>
          <w:tcPr>
            <w:tcW w:w="5555" w:type="dxa"/>
            <w:vAlign w:val="center"/>
          </w:tcPr>
          <w:p>
            <w:pPr>
              <w:pStyle w:val="294"/>
              <w:rPr>
                <w:szCs w:val="22"/>
                <w:lang w:eastAsia="en-US"/>
              </w:rPr>
            </w:pPr>
            <w:r>
              <w:rPr>
                <w:szCs w:val="22"/>
                <w:lang w:eastAsia="en-US"/>
              </w:rPr>
              <w:t>施工场地围挡、洒水，运输车辆覆盖</w:t>
            </w:r>
            <w:r>
              <w:rPr>
                <w:rFonts w:hint="eastAsia"/>
                <w:szCs w:val="22"/>
                <w:lang w:eastAsia="zh-CN"/>
              </w:rPr>
              <w:t>篷布</w:t>
            </w:r>
            <w:r>
              <w:rPr>
                <w:szCs w:val="22"/>
                <w:lang w:eastAsia="en-US"/>
              </w:rPr>
              <w:t>，施工营地内设1套车辆冲洗装置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4"/>
              <w:rPr>
                <w:szCs w:val="22"/>
                <w:lang w:eastAsia="en-US"/>
              </w:rPr>
            </w:pPr>
          </w:p>
        </w:tc>
        <w:tc>
          <w:tcPr>
            <w:tcW w:w="553" w:type="dxa"/>
            <w:vMerge w:val="continue"/>
            <w:vAlign w:val="center"/>
          </w:tcPr>
          <w:p>
            <w:pPr>
              <w:pStyle w:val="294"/>
              <w:rPr>
                <w:szCs w:val="22"/>
                <w:lang w:eastAsia="en-US"/>
              </w:rPr>
            </w:pPr>
          </w:p>
        </w:tc>
        <w:tc>
          <w:tcPr>
            <w:tcW w:w="1264" w:type="dxa"/>
            <w:vAlign w:val="center"/>
          </w:tcPr>
          <w:p>
            <w:pPr>
              <w:pStyle w:val="294"/>
              <w:rPr>
                <w:szCs w:val="22"/>
                <w:lang w:eastAsia="en-US"/>
              </w:rPr>
            </w:pPr>
            <w:r>
              <w:rPr>
                <w:szCs w:val="22"/>
                <w:lang w:eastAsia="en-US"/>
              </w:rPr>
              <w:t>空气钻粉尘</w:t>
            </w:r>
          </w:p>
        </w:tc>
        <w:tc>
          <w:tcPr>
            <w:tcW w:w="5555" w:type="dxa"/>
            <w:vAlign w:val="center"/>
          </w:tcPr>
          <w:p>
            <w:pPr>
              <w:widowControl/>
              <w:adjustRightInd/>
              <w:snapToGrid/>
              <w:spacing w:line="240" w:lineRule="auto"/>
              <w:ind w:firstLine="0" w:firstLineChars="0"/>
              <w:jc w:val="left"/>
              <w:rPr>
                <w:rFonts w:cs="Times New Roman"/>
                <w:color w:val="000000" w:themeColor="text1"/>
                <w:spacing w:val="-2"/>
                <w:sz w:val="21"/>
                <w:lang w:eastAsia="en-US"/>
                <w14:textFill>
                  <w14:solidFill>
                    <w14:schemeClr w14:val="tx1"/>
                  </w14:solidFill>
                </w14:textFill>
              </w:rPr>
            </w:pPr>
            <w:r>
              <w:rPr>
                <w:rFonts w:cs="Times New Roman"/>
                <w:color w:val="000000" w:themeColor="text1"/>
                <w:spacing w:val="-2"/>
                <w:sz w:val="21"/>
                <w:lang w:eastAsia="en-US"/>
                <w14:textFill>
                  <w14:solidFill>
                    <w14:schemeClr w14:val="tx1"/>
                  </w14:solidFill>
                </w14:textFill>
              </w:rPr>
              <w:t>气体钻的排屑管处喷淋降尘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4"/>
              <w:rPr>
                <w:szCs w:val="22"/>
                <w:lang w:eastAsia="en-US"/>
              </w:rPr>
            </w:pPr>
          </w:p>
        </w:tc>
        <w:tc>
          <w:tcPr>
            <w:tcW w:w="553" w:type="dxa"/>
            <w:vMerge w:val="continue"/>
            <w:vAlign w:val="center"/>
          </w:tcPr>
          <w:p>
            <w:pPr>
              <w:pStyle w:val="294"/>
              <w:rPr>
                <w:szCs w:val="22"/>
                <w:lang w:eastAsia="en-US"/>
              </w:rPr>
            </w:pPr>
          </w:p>
        </w:tc>
        <w:tc>
          <w:tcPr>
            <w:tcW w:w="1264" w:type="dxa"/>
            <w:vAlign w:val="center"/>
          </w:tcPr>
          <w:p>
            <w:pPr>
              <w:pStyle w:val="294"/>
              <w:rPr>
                <w:szCs w:val="22"/>
                <w:lang w:eastAsia="en-US"/>
              </w:rPr>
            </w:pPr>
            <w:r>
              <w:rPr>
                <w:szCs w:val="22"/>
                <w:lang w:eastAsia="en-US"/>
              </w:rPr>
              <w:t>备用柴油发电机尾气</w:t>
            </w:r>
          </w:p>
        </w:tc>
        <w:tc>
          <w:tcPr>
            <w:tcW w:w="5555" w:type="dxa"/>
            <w:vAlign w:val="center"/>
          </w:tcPr>
          <w:p>
            <w:pPr>
              <w:pStyle w:val="294"/>
              <w:rPr>
                <w:spacing w:val="-2"/>
                <w:szCs w:val="22"/>
                <w:lang w:eastAsia="en-US"/>
              </w:rPr>
            </w:pPr>
            <w:r>
              <w:rPr>
                <w:szCs w:val="22"/>
                <w:lang w:eastAsia="en-US"/>
              </w:rPr>
              <w:t>仅在网电无法使用时使用，自带消烟除尘装置处理后6m高排气筒排放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4"/>
              <w:rPr>
                <w:szCs w:val="22"/>
                <w:lang w:eastAsia="en-US"/>
              </w:rPr>
            </w:pPr>
          </w:p>
        </w:tc>
        <w:tc>
          <w:tcPr>
            <w:tcW w:w="553" w:type="dxa"/>
            <w:vMerge w:val="continue"/>
            <w:vAlign w:val="center"/>
          </w:tcPr>
          <w:p>
            <w:pPr>
              <w:pStyle w:val="294"/>
              <w:rPr>
                <w:szCs w:val="22"/>
                <w:lang w:eastAsia="en-US"/>
              </w:rPr>
            </w:pPr>
          </w:p>
        </w:tc>
        <w:tc>
          <w:tcPr>
            <w:tcW w:w="1264" w:type="dxa"/>
            <w:vAlign w:val="center"/>
          </w:tcPr>
          <w:p>
            <w:pPr>
              <w:pStyle w:val="294"/>
              <w:rPr>
                <w:szCs w:val="22"/>
                <w:lang w:eastAsia="en-US"/>
              </w:rPr>
            </w:pPr>
            <w:r>
              <w:rPr>
                <w:szCs w:val="22"/>
                <w:lang w:eastAsia="en-US"/>
              </w:rPr>
              <w:t>钻井废气、测试</w:t>
            </w:r>
          </w:p>
        </w:tc>
        <w:tc>
          <w:tcPr>
            <w:tcW w:w="5555" w:type="dxa"/>
            <w:vAlign w:val="center"/>
          </w:tcPr>
          <w:p>
            <w:pPr>
              <w:pStyle w:val="294"/>
              <w:rPr>
                <w:szCs w:val="22"/>
                <w:lang w:eastAsia="en-US"/>
              </w:rPr>
            </w:pPr>
            <w:r>
              <w:rPr>
                <w:szCs w:val="22"/>
                <w:lang w:eastAsia="en-US"/>
              </w:rPr>
              <w:t>采用地面灼烧处理，建设放喷设施（套）、放喷池等，无固定、长期污染源，通过区域环境质量监测确保区域环境功能未发生改变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4"/>
              <w:rPr>
                <w:szCs w:val="22"/>
                <w:lang w:eastAsia="en-US"/>
              </w:rPr>
            </w:pPr>
          </w:p>
        </w:tc>
        <w:tc>
          <w:tcPr>
            <w:tcW w:w="553" w:type="dxa"/>
            <w:vMerge w:val="restart"/>
            <w:vAlign w:val="center"/>
          </w:tcPr>
          <w:p>
            <w:pPr>
              <w:pStyle w:val="294"/>
              <w:rPr>
                <w:szCs w:val="22"/>
                <w:lang w:eastAsia="en-US"/>
              </w:rPr>
            </w:pPr>
            <w:r>
              <w:rPr>
                <w:szCs w:val="22"/>
                <w:lang w:eastAsia="en-US"/>
              </w:rPr>
              <w:t>固废</w:t>
            </w:r>
          </w:p>
        </w:tc>
        <w:tc>
          <w:tcPr>
            <w:tcW w:w="1264" w:type="dxa"/>
            <w:vAlign w:val="center"/>
          </w:tcPr>
          <w:p>
            <w:pPr>
              <w:pStyle w:val="294"/>
              <w:rPr>
                <w:szCs w:val="22"/>
                <w:lang w:eastAsia="en-US"/>
              </w:rPr>
            </w:pPr>
            <w:r>
              <w:rPr>
                <w:szCs w:val="22"/>
                <w:lang w:eastAsia="en-US"/>
              </w:rPr>
              <w:t>空气钻岩屑</w:t>
            </w:r>
          </w:p>
        </w:tc>
        <w:tc>
          <w:tcPr>
            <w:tcW w:w="5555" w:type="dxa"/>
            <w:vAlign w:val="center"/>
          </w:tcPr>
          <w:p>
            <w:pPr>
              <w:pStyle w:val="294"/>
              <w:rPr>
                <w:szCs w:val="22"/>
                <w:lang w:eastAsia="en-US"/>
              </w:rPr>
            </w:pPr>
            <w:r>
              <w:rPr>
                <w:szCs w:val="22"/>
                <w:lang w:eastAsia="en-US"/>
              </w:rPr>
              <w:t>井场低洼处回填</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4"/>
              <w:rPr>
                <w:szCs w:val="22"/>
                <w:lang w:eastAsia="en-US"/>
              </w:rPr>
            </w:pPr>
          </w:p>
        </w:tc>
        <w:tc>
          <w:tcPr>
            <w:tcW w:w="553" w:type="dxa"/>
            <w:vMerge w:val="continue"/>
            <w:vAlign w:val="center"/>
          </w:tcPr>
          <w:p>
            <w:pPr>
              <w:pStyle w:val="294"/>
              <w:rPr>
                <w:szCs w:val="22"/>
                <w:lang w:eastAsia="en-US"/>
              </w:rPr>
            </w:pPr>
          </w:p>
        </w:tc>
        <w:tc>
          <w:tcPr>
            <w:tcW w:w="1264" w:type="dxa"/>
            <w:vAlign w:val="center"/>
          </w:tcPr>
          <w:p>
            <w:pPr>
              <w:pStyle w:val="294"/>
              <w:rPr>
                <w:szCs w:val="22"/>
                <w:lang w:eastAsia="en-US"/>
              </w:rPr>
            </w:pPr>
            <w:r>
              <w:rPr>
                <w:szCs w:val="22"/>
                <w:lang w:eastAsia="en-US"/>
              </w:rPr>
              <w:t>水基钻井固废</w:t>
            </w:r>
          </w:p>
        </w:tc>
        <w:tc>
          <w:tcPr>
            <w:tcW w:w="5555" w:type="dxa"/>
            <w:vAlign w:val="center"/>
          </w:tcPr>
          <w:p>
            <w:pPr>
              <w:pStyle w:val="294"/>
              <w:rPr>
                <w:szCs w:val="22"/>
                <w:lang w:eastAsia="en-US"/>
              </w:rPr>
            </w:pPr>
            <w:r>
              <w:rPr>
                <w:spacing w:val="3"/>
                <w:szCs w:val="22"/>
                <w:lang w:eastAsia="en-US"/>
              </w:rPr>
              <w:t>经泥浆不落地工艺进行固液分离后定期用密闭罐车及时转运至</w:t>
            </w:r>
            <w:r>
              <w:rPr>
                <w:szCs w:val="22"/>
                <w:lang w:eastAsia="en-US"/>
              </w:rPr>
              <w:t>达州地区环保手续齐全、环保设施稳定运行固废烧结厂进行烧结后综合利用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4"/>
              <w:rPr>
                <w:szCs w:val="22"/>
                <w:lang w:eastAsia="en-US"/>
              </w:rPr>
            </w:pPr>
          </w:p>
        </w:tc>
        <w:tc>
          <w:tcPr>
            <w:tcW w:w="553" w:type="dxa"/>
            <w:vMerge w:val="continue"/>
            <w:vAlign w:val="center"/>
          </w:tcPr>
          <w:p>
            <w:pPr>
              <w:pStyle w:val="294"/>
              <w:rPr>
                <w:szCs w:val="22"/>
                <w:lang w:eastAsia="en-US"/>
              </w:rPr>
            </w:pPr>
          </w:p>
        </w:tc>
        <w:tc>
          <w:tcPr>
            <w:tcW w:w="1264" w:type="dxa"/>
            <w:vAlign w:val="center"/>
          </w:tcPr>
          <w:p>
            <w:pPr>
              <w:pStyle w:val="294"/>
              <w:rPr>
                <w:szCs w:val="22"/>
                <w:lang w:eastAsia="en-US"/>
              </w:rPr>
            </w:pPr>
            <w:r>
              <w:rPr>
                <w:szCs w:val="22"/>
                <w:lang w:eastAsia="en-US"/>
              </w:rPr>
              <w:t>生活垃圾</w:t>
            </w:r>
          </w:p>
        </w:tc>
        <w:tc>
          <w:tcPr>
            <w:tcW w:w="5555" w:type="dxa"/>
            <w:vAlign w:val="center"/>
          </w:tcPr>
          <w:p>
            <w:pPr>
              <w:pStyle w:val="294"/>
              <w:rPr>
                <w:szCs w:val="22"/>
                <w:lang w:eastAsia="en-US"/>
              </w:rPr>
            </w:pPr>
            <w:r>
              <w:rPr>
                <w:szCs w:val="22"/>
                <w:lang w:eastAsia="en-US"/>
              </w:rPr>
              <w:t>按当地环卫部门要求妥善处理，现场无遗留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4"/>
              <w:rPr>
                <w:szCs w:val="22"/>
                <w:lang w:eastAsia="en-US"/>
              </w:rPr>
            </w:pPr>
          </w:p>
        </w:tc>
        <w:tc>
          <w:tcPr>
            <w:tcW w:w="553" w:type="dxa"/>
            <w:vMerge w:val="continue"/>
            <w:vAlign w:val="center"/>
          </w:tcPr>
          <w:p>
            <w:pPr>
              <w:pStyle w:val="294"/>
              <w:rPr>
                <w:szCs w:val="22"/>
                <w:lang w:eastAsia="en-US"/>
              </w:rPr>
            </w:pPr>
          </w:p>
        </w:tc>
        <w:tc>
          <w:tcPr>
            <w:tcW w:w="1264" w:type="dxa"/>
            <w:vAlign w:val="center"/>
          </w:tcPr>
          <w:p>
            <w:pPr>
              <w:pStyle w:val="294"/>
              <w:rPr>
                <w:szCs w:val="22"/>
                <w:lang w:eastAsia="en-US"/>
              </w:rPr>
            </w:pPr>
            <w:r>
              <w:rPr>
                <w:szCs w:val="22"/>
                <w:lang w:eastAsia="en-US"/>
              </w:rPr>
              <w:t>废包装材料</w:t>
            </w:r>
          </w:p>
        </w:tc>
        <w:tc>
          <w:tcPr>
            <w:tcW w:w="5555" w:type="dxa"/>
            <w:vAlign w:val="center"/>
          </w:tcPr>
          <w:p>
            <w:pPr>
              <w:pStyle w:val="294"/>
              <w:rPr>
                <w:szCs w:val="22"/>
                <w:lang w:eastAsia="en-US"/>
              </w:rPr>
            </w:pPr>
            <w:r>
              <w:rPr>
                <w:szCs w:val="22"/>
                <w:lang w:eastAsia="en-US"/>
              </w:rPr>
              <w:t>回收利用或送当地废品回收站，现场无遗留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4"/>
              <w:rPr>
                <w:szCs w:val="22"/>
                <w:lang w:eastAsia="en-US"/>
              </w:rPr>
            </w:pPr>
          </w:p>
        </w:tc>
        <w:tc>
          <w:tcPr>
            <w:tcW w:w="553" w:type="dxa"/>
            <w:vMerge w:val="continue"/>
            <w:vAlign w:val="center"/>
          </w:tcPr>
          <w:p>
            <w:pPr>
              <w:pStyle w:val="294"/>
              <w:rPr>
                <w:szCs w:val="22"/>
                <w:lang w:eastAsia="en-US"/>
              </w:rPr>
            </w:pPr>
          </w:p>
        </w:tc>
        <w:tc>
          <w:tcPr>
            <w:tcW w:w="1264" w:type="dxa"/>
            <w:vAlign w:val="center"/>
          </w:tcPr>
          <w:p>
            <w:pPr>
              <w:pStyle w:val="294"/>
              <w:rPr>
                <w:szCs w:val="22"/>
                <w:lang w:eastAsia="en-US"/>
              </w:rPr>
            </w:pPr>
            <w:r>
              <w:rPr>
                <w:szCs w:val="22"/>
                <w:lang w:eastAsia="en-US"/>
              </w:rPr>
              <w:t>废油等含油固废</w:t>
            </w:r>
          </w:p>
        </w:tc>
        <w:tc>
          <w:tcPr>
            <w:tcW w:w="5555" w:type="dxa"/>
            <w:vAlign w:val="center"/>
          </w:tcPr>
          <w:p>
            <w:pPr>
              <w:pStyle w:val="294"/>
              <w:rPr>
                <w:szCs w:val="22"/>
                <w:lang w:eastAsia="en-US"/>
              </w:rPr>
            </w:pPr>
            <w:r>
              <w:rPr>
                <w:szCs w:val="22"/>
                <w:lang w:eastAsia="en-US"/>
              </w:rPr>
              <w:t>收集并综合利用，若不能全部回用，剩余废油和废油桶、含油抹布手套一起交有资质的单位进行处理，现场无遗留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4"/>
              <w:rPr>
                <w:szCs w:val="22"/>
                <w:lang w:eastAsia="en-US"/>
              </w:rPr>
            </w:pPr>
          </w:p>
        </w:tc>
        <w:tc>
          <w:tcPr>
            <w:tcW w:w="553" w:type="dxa"/>
            <w:vMerge w:val="continue"/>
            <w:vAlign w:val="center"/>
          </w:tcPr>
          <w:p>
            <w:pPr>
              <w:pStyle w:val="294"/>
              <w:rPr>
                <w:szCs w:val="22"/>
                <w:lang w:eastAsia="en-US"/>
              </w:rPr>
            </w:pPr>
          </w:p>
        </w:tc>
        <w:tc>
          <w:tcPr>
            <w:tcW w:w="1264" w:type="dxa"/>
            <w:vAlign w:val="center"/>
          </w:tcPr>
          <w:p>
            <w:pPr>
              <w:pStyle w:val="294"/>
              <w:rPr>
                <w:szCs w:val="22"/>
                <w:lang w:eastAsia="en-US"/>
              </w:rPr>
            </w:pPr>
            <w:r>
              <w:rPr>
                <w:szCs w:val="22"/>
                <w:lang w:eastAsia="en-US"/>
              </w:rPr>
              <w:t>施工废料</w:t>
            </w:r>
          </w:p>
        </w:tc>
        <w:tc>
          <w:tcPr>
            <w:tcW w:w="5555" w:type="dxa"/>
            <w:vAlign w:val="center"/>
          </w:tcPr>
          <w:p>
            <w:pPr>
              <w:pStyle w:val="294"/>
              <w:rPr>
                <w:szCs w:val="22"/>
                <w:lang w:eastAsia="en-US"/>
              </w:rPr>
            </w:pPr>
            <w:r>
              <w:rPr>
                <w:szCs w:val="22"/>
                <w:lang w:eastAsia="en-US"/>
              </w:rPr>
              <w:t>可回收利用部分收集后回用，剩余不可回收部分依托当地环卫部门有偿清运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4"/>
              <w:rPr>
                <w:szCs w:val="22"/>
                <w:lang w:eastAsia="en-US"/>
              </w:rPr>
            </w:pPr>
          </w:p>
        </w:tc>
        <w:tc>
          <w:tcPr>
            <w:tcW w:w="553" w:type="dxa"/>
            <w:vAlign w:val="center"/>
          </w:tcPr>
          <w:p>
            <w:pPr>
              <w:pStyle w:val="294"/>
              <w:rPr>
                <w:szCs w:val="22"/>
                <w:lang w:eastAsia="en-US"/>
              </w:rPr>
            </w:pPr>
            <w:r>
              <w:rPr>
                <w:szCs w:val="22"/>
                <w:lang w:eastAsia="en-US"/>
              </w:rPr>
              <w:t>噪声</w:t>
            </w:r>
          </w:p>
        </w:tc>
        <w:tc>
          <w:tcPr>
            <w:tcW w:w="1264" w:type="dxa"/>
            <w:vAlign w:val="center"/>
          </w:tcPr>
          <w:p>
            <w:pPr>
              <w:pStyle w:val="294"/>
              <w:rPr>
                <w:szCs w:val="22"/>
                <w:lang w:eastAsia="en-US"/>
              </w:rPr>
            </w:pPr>
            <w:r>
              <w:rPr>
                <w:szCs w:val="22"/>
                <w:lang w:eastAsia="en-US"/>
              </w:rPr>
              <w:t>钻井、压裂及测试放喷噪声</w:t>
            </w:r>
          </w:p>
        </w:tc>
        <w:tc>
          <w:tcPr>
            <w:tcW w:w="5555" w:type="dxa"/>
            <w:vAlign w:val="center"/>
          </w:tcPr>
          <w:p>
            <w:pPr>
              <w:pStyle w:val="294"/>
              <w:rPr>
                <w:szCs w:val="22"/>
                <w:lang w:eastAsia="en-US"/>
              </w:rPr>
            </w:pPr>
            <w:r>
              <w:rPr>
                <w:szCs w:val="22"/>
                <w:lang w:eastAsia="en-US"/>
              </w:rPr>
              <w:t>备用发电机设置发电机房，采用特殊的减震，并安装吸声材料；为钻机提供动力的柴油机安装消声</w:t>
            </w:r>
            <w:r>
              <w:rPr>
                <w:spacing w:val="-2"/>
                <w:szCs w:val="22"/>
                <w:lang w:eastAsia="en-US"/>
              </w:rPr>
              <w:t>装置和设置减震基础；钻井设备、泥浆泵基础设置减震垫；</w:t>
            </w:r>
            <w:r>
              <w:rPr>
                <w:spacing w:val="-55"/>
                <w:szCs w:val="22"/>
                <w:lang w:eastAsia="en-US"/>
              </w:rPr>
              <w:t xml:space="preserve"> </w:t>
            </w:r>
            <w:r>
              <w:rPr>
                <w:szCs w:val="22"/>
                <w:lang w:eastAsia="en-US"/>
              </w:rPr>
              <w:t>空压机和增压机安装在房间内，隔声并安装减震垫层等防治措施，做好沟通协调工作，取得居民谅解，避免噪声扰民和环保投诉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restart"/>
            <w:vAlign w:val="center"/>
          </w:tcPr>
          <w:p>
            <w:pPr>
              <w:pStyle w:val="294"/>
              <w:rPr>
                <w:szCs w:val="22"/>
                <w:lang w:eastAsia="en-US"/>
              </w:rPr>
            </w:pPr>
            <w:r>
              <w:rPr>
                <w:szCs w:val="22"/>
                <w:lang w:eastAsia="en-US"/>
              </w:rPr>
              <w:t>生态保护措施</w:t>
            </w:r>
          </w:p>
        </w:tc>
        <w:tc>
          <w:tcPr>
            <w:tcW w:w="1817" w:type="dxa"/>
            <w:gridSpan w:val="2"/>
            <w:vAlign w:val="center"/>
          </w:tcPr>
          <w:p>
            <w:pPr>
              <w:pStyle w:val="294"/>
              <w:rPr>
                <w:szCs w:val="22"/>
                <w:lang w:eastAsia="en-US"/>
              </w:rPr>
            </w:pPr>
            <w:r>
              <w:rPr>
                <w:szCs w:val="22"/>
                <w:lang w:eastAsia="en-US"/>
              </w:rPr>
              <w:t>表土堆场</w:t>
            </w:r>
          </w:p>
        </w:tc>
        <w:tc>
          <w:tcPr>
            <w:tcW w:w="5555" w:type="dxa"/>
            <w:vAlign w:val="center"/>
          </w:tcPr>
          <w:p>
            <w:pPr>
              <w:pStyle w:val="294"/>
              <w:rPr>
                <w:szCs w:val="22"/>
                <w:lang w:eastAsia="en-US"/>
              </w:rPr>
            </w:pPr>
            <w:r>
              <w:rPr>
                <w:szCs w:val="22"/>
                <w:lang w:eastAsia="en-US"/>
              </w:rPr>
              <w:t>按照要求设置表土堆场，将施工期井场工程产生的表土集中堆放，用于结束后的覆土、复耕工作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4"/>
              <w:rPr>
                <w:szCs w:val="22"/>
                <w:lang w:eastAsia="en-US"/>
              </w:rPr>
            </w:pPr>
          </w:p>
        </w:tc>
        <w:tc>
          <w:tcPr>
            <w:tcW w:w="1817" w:type="dxa"/>
            <w:gridSpan w:val="2"/>
            <w:vAlign w:val="center"/>
          </w:tcPr>
          <w:p>
            <w:pPr>
              <w:pStyle w:val="294"/>
              <w:rPr>
                <w:szCs w:val="22"/>
                <w:lang w:eastAsia="en-US"/>
              </w:rPr>
            </w:pPr>
            <w:r>
              <w:rPr>
                <w:szCs w:val="22"/>
                <w:lang w:eastAsia="en-US"/>
              </w:rPr>
              <w:t>场地水土流失控制措施</w:t>
            </w:r>
          </w:p>
        </w:tc>
        <w:tc>
          <w:tcPr>
            <w:tcW w:w="5555" w:type="dxa"/>
            <w:vAlign w:val="center"/>
          </w:tcPr>
          <w:p>
            <w:pPr>
              <w:pStyle w:val="294"/>
              <w:rPr>
                <w:szCs w:val="22"/>
                <w:lang w:eastAsia="en-US"/>
              </w:rPr>
            </w:pPr>
            <w:r>
              <w:rPr>
                <w:szCs w:val="22"/>
                <w:lang w:eastAsia="en-US"/>
              </w:rPr>
              <w:t>井场表面铺一层碎石有效地防止雨水冲刷、场地四周修建排 水沟（已硬化区域除外）；道路沿线修建可靠的护坡、堡坎、排水沟等水保措施；工程施工迹地进行恢复；管道开挖后的临时占地进行恢复</w:t>
            </w:r>
          </w:p>
        </w:tc>
      </w:tr>
    </w:tbl>
    <w:p>
      <w:pPr>
        <w:pStyle w:val="24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9.5</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试采期竣工环保验收措施及要求一览表</w:t>
      </w:r>
    </w:p>
    <w:tbl>
      <w:tblPr>
        <w:tblStyle w:val="89"/>
        <w:tblW w:w="82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863"/>
        <w:gridCol w:w="714"/>
        <w:gridCol w:w="1100"/>
        <w:gridCol w:w="554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blHeader/>
          <w:jc w:val="center"/>
        </w:trPr>
        <w:tc>
          <w:tcPr>
            <w:tcW w:w="863" w:type="dxa"/>
            <w:vAlign w:val="center"/>
          </w:tcPr>
          <w:p>
            <w:pPr>
              <w:pStyle w:val="294"/>
              <w:rPr>
                <w:szCs w:val="22"/>
                <w:lang w:eastAsia="en-US"/>
              </w:rPr>
            </w:pPr>
            <w:r>
              <w:rPr>
                <w:szCs w:val="22"/>
                <w:lang w:eastAsia="en-US"/>
              </w:rPr>
              <w:t>分项</w:t>
            </w:r>
          </w:p>
        </w:tc>
        <w:tc>
          <w:tcPr>
            <w:tcW w:w="1814" w:type="dxa"/>
            <w:gridSpan w:val="2"/>
            <w:vAlign w:val="center"/>
          </w:tcPr>
          <w:p>
            <w:pPr>
              <w:pStyle w:val="294"/>
              <w:rPr>
                <w:szCs w:val="22"/>
                <w:lang w:eastAsia="en-US"/>
              </w:rPr>
            </w:pPr>
            <w:r>
              <w:rPr>
                <w:szCs w:val="22"/>
                <w:lang w:eastAsia="en-US"/>
              </w:rPr>
              <w:t>验收项目及位置</w:t>
            </w:r>
          </w:p>
        </w:tc>
        <w:tc>
          <w:tcPr>
            <w:tcW w:w="5545" w:type="dxa"/>
            <w:vAlign w:val="center"/>
          </w:tcPr>
          <w:p>
            <w:pPr>
              <w:pStyle w:val="294"/>
              <w:rPr>
                <w:szCs w:val="22"/>
                <w:lang w:eastAsia="en-US"/>
              </w:rPr>
            </w:pPr>
            <w:r>
              <w:rPr>
                <w:szCs w:val="22"/>
                <w:lang w:eastAsia="en-US"/>
              </w:rPr>
              <w:t>验收指标及要求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63" w:type="dxa"/>
            <w:vMerge w:val="restart"/>
            <w:vAlign w:val="center"/>
          </w:tcPr>
          <w:p>
            <w:pPr>
              <w:pStyle w:val="294"/>
              <w:rPr>
                <w:szCs w:val="22"/>
                <w:lang w:eastAsia="en-US"/>
              </w:rPr>
            </w:pPr>
            <w:r>
              <w:rPr>
                <w:szCs w:val="22"/>
                <w:lang w:eastAsia="en-US"/>
              </w:rPr>
              <w:t>环境管理</w:t>
            </w:r>
          </w:p>
        </w:tc>
        <w:tc>
          <w:tcPr>
            <w:tcW w:w="1814" w:type="dxa"/>
            <w:gridSpan w:val="2"/>
            <w:vAlign w:val="center"/>
          </w:tcPr>
          <w:p>
            <w:pPr>
              <w:pStyle w:val="294"/>
              <w:rPr>
                <w:szCs w:val="22"/>
                <w:lang w:eastAsia="en-US"/>
              </w:rPr>
            </w:pPr>
            <w:r>
              <w:rPr>
                <w:szCs w:val="22"/>
                <w:lang w:eastAsia="en-US"/>
              </w:rPr>
              <w:t>环境管理制度</w:t>
            </w:r>
          </w:p>
        </w:tc>
        <w:tc>
          <w:tcPr>
            <w:tcW w:w="5545" w:type="dxa"/>
            <w:vAlign w:val="center"/>
          </w:tcPr>
          <w:p>
            <w:pPr>
              <w:pStyle w:val="294"/>
              <w:rPr>
                <w:szCs w:val="22"/>
                <w:lang w:eastAsia="en-US"/>
              </w:rPr>
            </w:pPr>
            <w:r>
              <w:rPr>
                <w:szCs w:val="22"/>
                <w:lang w:eastAsia="en-US"/>
              </w:rPr>
              <w:t>具有环保机构，环保资料和档案齐全。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63" w:type="dxa"/>
            <w:vMerge w:val="continue"/>
            <w:vAlign w:val="center"/>
          </w:tcPr>
          <w:p>
            <w:pPr>
              <w:pStyle w:val="294"/>
              <w:rPr>
                <w:szCs w:val="22"/>
                <w:lang w:eastAsia="en-US"/>
              </w:rPr>
            </w:pPr>
          </w:p>
        </w:tc>
        <w:tc>
          <w:tcPr>
            <w:tcW w:w="1814" w:type="dxa"/>
            <w:gridSpan w:val="2"/>
            <w:vAlign w:val="center"/>
          </w:tcPr>
          <w:p>
            <w:pPr>
              <w:pStyle w:val="294"/>
              <w:rPr>
                <w:szCs w:val="22"/>
                <w:lang w:eastAsia="en-US"/>
              </w:rPr>
            </w:pPr>
            <w:r>
              <w:rPr>
                <w:szCs w:val="22"/>
                <w:lang w:eastAsia="en-US"/>
              </w:rPr>
              <w:t>环境风险管理</w:t>
            </w:r>
          </w:p>
        </w:tc>
        <w:tc>
          <w:tcPr>
            <w:tcW w:w="5545" w:type="dxa"/>
            <w:vAlign w:val="center"/>
          </w:tcPr>
          <w:p>
            <w:pPr>
              <w:pStyle w:val="294"/>
              <w:rPr>
                <w:szCs w:val="22"/>
                <w:lang w:eastAsia="en-US"/>
              </w:rPr>
            </w:pPr>
            <w:r>
              <w:rPr>
                <w:szCs w:val="22"/>
                <w:lang w:eastAsia="en-US"/>
              </w:rPr>
              <w:t>具备符合行业规范和环评要求的环境风险应急预案并定期培训、演练，建立与当地村、乡镇、县相关部门联动机制。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63" w:type="dxa"/>
            <w:vMerge w:val="restart"/>
            <w:vAlign w:val="center"/>
          </w:tcPr>
          <w:p>
            <w:pPr>
              <w:pStyle w:val="294"/>
              <w:rPr>
                <w:szCs w:val="22"/>
                <w:lang w:eastAsia="en-US"/>
              </w:rPr>
            </w:pPr>
            <w:r>
              <w:rPr>
                <w:szCs w:val="22"/>
                <w:lang w:eastAsia="en-US"/>
              </w:rPr>
              <w:t>污染防治措施</w:t>
            </w:r>
          </w:p>
        </w:tc>
        <w:tc>
          <w:tcPr>
            <w:tcW w:w="714" w:type="dxa"/>
            <w:vAlign w:val="center"/>
          </w:tcPr>
          <w:p>
            <w:pPr>
              <w:pStyle w:val="294"/>
              <w:rPr>
                <w:szCs w:val="22"/>
                <w:lang w:eastAsia="en-US"/>
              </w:rPr>
            </w:pPr>
            <w:r>
              <w:rPr>
                <w:szCs w:val="22"/>
                <w:lang w:eastAsia="en-US"/>
              </w:rPr>
              <w:t>废水</w:t>
            </w:r>
          </w:p>
        </w:tc>
        <w:tc>
          <w:tcPr>
            <w:tcW w:w="1100" w:type="dxa"/>
            <w:vAlign w:val="center"/>
          </w:tcPr>
          <w:p>
            <w:pPr>
              <w:pStyle w:val="294"/>
              <w:rPr>
                <w:szCs w:val="22"/>
                <w:lang w:eastAsia="en-US"/>
              </w:rPr>
            </w:pPr>
            <w:r>
              <w:rPr>
                <w:szCs w:val="22"/>
                <w:lang w:eastAsia="en-US"/>
              </w:rPr>
              <w:t>气田水</w:t>
            </w:r>
          </w:p>
        </w:tc>
        <w:tc>
          <w:tcPr>
            <w:tcW w:w="5545" w:type="dxa"/>
            <w:vAlign w:val="center"/>
          </w:tcPr>
          <w:p>
            <w:pPr>
              <w:pStyle w:val="294"/>
              <w:rPr>
                <w:szCs w:val="22"/>
                <w:lang w:eastAsia="en-US"/>
              </w:rPr>
            </w:pPr>
            <w:r>
              <w:rPr>
                <w:szCs w:val="22"/>
                <w:lang w:eastAsia="en-US"/>
              </w:rPr>
              <w:t>依托P301集气站内火炬分液罐暂存后及时通过密闭罐车拉运至赵家坝污水处理站达标后管输至普光11井回注站回注，不排入附近地表水体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63" w:type="dxa"/>
            <w:vMerge w:val="continue"/>
            <w:vAlign w:val="center"/>
          </w:tcPr>
          <w:p>
            <w:pPr>
              <w:pStyle w:val="294"/>
              <w:rPr>
                <w:szCs w:val="22"/>
                <w:lang w:eastAsia="en-US"/>
              </w:rPr>
            </w:pPr>
          </w:p>
        </w:tc>
        <w:tc>
          <w:tcPr>
            <w:tcW w:w="1814" w:type="dxa"/>
            <w:gridSpan w:val="2"/>
            <w:vAlign w:val="center"/>
          </w:tcPr>
          <w:p>
            <w:pPr>
              <w:pStyle w:val="294"/>
              <w:rPr>
                <w:szCs w:val="22"/>
                <w:lang w:eastAsia="en-US"/>
              </w:rPr>
            </w:pPr>
            <w:r>
              <w:rPr>
                <w:szCs w:val="22"/>
                <w:lang w:eastAsia="en-US"/>
              </w:rPr>
              <w:t>地下水</w:t>
            </w:r>
          </w:p>
        </w:tc>
        <w:tc>
          <w:tcPr>
            <w:tcW w:w="5545" w:type="dxa"/>
            <w:vAlign w:val="center"/>
          </w:tcPr>
          <w:p>
            <w:pPr>
              <w:pStyle w:val="294"/>
              <w:rPr>
                <w:szCs w:val="22"/>
                <w:lang w:eastAsia="en-US"/>
              </w:rPr>
            </w:pPr>
            <w:r>
              <w:rPr>
                <w:szCs w:val="22"/>
                <w:lang w:eastAsia="en-US"/>
              </w:rPr>
              <w:t>按要求分区防渗；按要求进行跟踪监测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63" w:type="dxa"/>
            <w:vMerge w:val="continue"/>
            <w:vAlign w:val="center"/>
          </w:tcPr>
          <w:p>
            <w:pPr>
              <w:pStyle w:val="294"/>
              <w:rPr>
                <w:szCs w:val="22"/>
                <w:lang w:eastAsia="en-US"/>
              </w:rPr>
            </w:pPr>
          </w:p>
        </w:tc>
        <w:tc>
          <w:tcPr>
            <w:tcW w:w="714" w:type="dxa"/>
            <w:vMerge w:val="restart"/>
            <w:vAlign w:val="center"/>
          </w:tcPr>
          <w:p>
            <w:pPr>
              <w:pStyle w:val="294"/>
              <w:rPr>
                <w:szCs w:val="22"/>
                <w:lang w:eastAsia="en-US"/>
              </w:rPr>
            </w:pPr>
            <w:r>
              <w:rPr>
                <w:szCs w:val="22"/>
                <w:lang w:eastAsia="en-US"/>
              </w:rPr>
              <w:t>废气</w:t>
            </w:r>
          </w:p>
        </w:tc>
        <w:tc>
          <w:tcPr>
            <w:tcW w:w="1100" w:type="dxa"/>
            <w:vAlign w:val="center"/>
          </w:tcPr>
          <w:p>
            <w:pPr>
              <w:pStyle w:val="294"/>
              <w:rPr>
                <w:szCs w:val="22"/>
                <w:lang w:eastAsia="en-US"/>
              </w:rPr>
            </w:pPr>
            <w:r>
              <w:rPr>
                <w:rFonts w:hint="eastAsia"/>
                <w:szCs w:val="22"/>
                <w:lang w:eastAsia="en-US"/>
              </w:rPr>
              <w:t>水套炉</w:t>
            </w:r>
            <w:r>
              <w:rPr>
                <w:szCs w:val="22"/>
                <w:lang w:eastAsia="en-US"/>
              </w:rPr>
              <w:t>加热废气</w:t>
            </w:r>
          </w:p>
        </w:tc>
        <w:tc>
          <w:tcPr>
            <w:tcW w:w="5545" w:type="dxa"/>
            <w:vAlign w:val="center"/>
          </w:tcPr>
          <w:p>
            <w:pPr>
              <w:pStyle w:val="294"/>
              <w:rPr>
                <w:szCs w:val="22"/>
                <w:lang w:eastAsia="en-US"/>
              </w:rPr>
            </w:pPr>
            <w:r>
              <w:rPr>
                <w:rFonts w:hint="eastAsia"/>
                <w:szCs w:val="22"/>
                <w:lang w:eastAsia="en-US"/>
              </w:rPr>
              <w:t>颗粒物</w:t>
            </w:r>
            <w:r>
              <w:rPr>
                <w:szCs w:val="22"/>
                <w:lang w:eastAsia="en-US"/>
              </w:rPr>
              <w:t>、二氧化硫、氮氧化物满足《锅炉大气污染物排放标准》（GB13271-2014）</w:t>
            </w:r>
            <w:r>
              <w:rPr>
                <w:rFonts w:hint="eastAsia"/>
                <w:szCs w:val="22"/>
                <w:lang w:eastAsia="en-US"/>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63" w:type="dxa"/>
            <w:vMerge w:val="continue"/>
            <w:vAlign w:val="center"/>
          </w:tcPr>
          <w:p>
            <w:pPr>
              <w:pStyle w:val="294"/>
              <w:rPr>
                <w:szCs w:val="22"/>
                <w:lang w:eastAsia="en-US"/>
              </w:rPr>
            </w:pPr>
          </w:p>
        </w:tc>
        <w:tc>
          <w:tcPr>
            <w:tcW w:w="714" w:type="dxa"/>
            <w:vMerge w:val="continue"/>
            <w:vAlign w:val="center"/>
          </w:tcPr>
          <w:p>
            <w:pPr>
              <w:pStyle w:val="294"/>
              <w:rPr>
                <w:szCs w:val="22"/>
                <w:lang w:eastAsia="en-US"/>
              </w:rPr>
            </w:pPr>
          </w:p>
        </w:tc>
        <w:tc>
          <w:tcPr>
            <w:tcW w:w="1100" w:type="dxa"/>
            <w:vAlign w:val="center"/>
          </w:tcPr>
          <w:p>
            <w:pPr>
              <w:pStyle w:val="294"/>
              <w:rPr>
                <w:szCs w:val="22"/>
                <w:lang w:eastAsia="en-US"/>
              </w:rPr>
            </w:pPr>
            <w:r>
              <w:rPr>
                <w:szCs w:val="22"/>
                <w:lang w:eastAsia="en-US"/>
              </w:rPr>
              <w:t>放散废气</w:t>
            </w:r>
          </w:p>
        </w:tc>
        <w:tc>
          <w:tcPr>
            <w:tcW w:w="5545" w:type="dxa"/>
            <w:vAlign w:val="center"/>
          </w:tcPr>
          <w:p>
            <w:pPr>
              <w:pStyle w:val="294"/>
              <w:rPr>
                <w:szCs w:val="22"/>
                <w:lang w:eastAsia="en-US"/>
              </w:rPr>
            </w:pPr>
            <w:r>
              <w:rPr>
                <w:szCs w:val="22"/>
                <w:lang w:eastAsia="en-US"/>
              </w:rPr>
              <w:t>依托P301集气站设置的75m高的放空火炬点火燃烧后外排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63" w:type="dxa"/>
            <w:vMerge w:val="continue"/>
            <w:vAlign w:val="center"/>
          </w:tcPr>
          <w:p>
            <w:pPr>
              <w:pStyle w:val="294"/>
              <w:rPr>
                <w:szCs w:val="22"/>
                <w:lang w:eastAsia="en-US"/>
              </w:rPr>
            </w:pPr>
          </w:p>
        </w:tc>
        <w:tc>
          <w:tcPr>
            <w:tcW w:w="714" w:type="dxa"/>
            <w:vAlign w:val="center"/>
          </w:tcPr>
          <w:p>
            <w:pPr>
              <w:pStyle w:val="294"/>
              <w:rPr>
                <w:szCs w:val="22"/>
                <w:lang w:eastAsia="en-US"/>
              </w:rPr>
            </w:pPr>
            <w:r>
              <w:rPr>
                <w:szCs w:val="22"/>
                <w:lang w:eastAsia="en-US"/>
              </w:rPr>
              <w:t>噪声</w:t>
            </w:r>
          </w:p>
        </w:tc>
        <w:tc>
          <w:tcPr>
            <w:tcW w:w="1100" w:type="dxa"/>
            <w:vAlign w:val="center"/>
          </w:tcPr>
          <w:p>
            <w:pPr>
              <w:pStyle w:val="294"/>
              <w:rPr>
                <w:szCs w:val="22"/>
                <w:lang w:eastAsia="en-US"/>
              </w:rPr>
            </w:pPr>
            <w:r>
              <w:rPr>
                <w:szCs w:val="22"/>
                <w:lang w:eastAsia="en-US"/>
              </w:rPr>
              <w:t>试采期噪声</w:t>
            </w:r>
          </w:p>
        </w:tc>
        <w:tc>
          <w:tcPr>
            <w:tcW w:w="5545" w:type="dxa"/>
            <w:vAlign w:val="center"/>
          </w:tcPr>
          <w:p>
            <w:pPr>
              <w:pStyle w:val="294"/>
              <w:rPr>
                <w:szCs w:val="22"/>
                <w:lang w:eastAsia="en-US"/>
              </w:rPr>
            </w:pPr>
            <w:r>
              <w:rPr>
                <w:szCs w:val="22"/>
                <w:lang w:eastAsia="en-US"/>
              </w:rPr>
              <w:t xml:space="preserve">泵机组和电机处设隔声罩，厂界噪声满足《工业企业厂界环 境噪声排放标准》（GB12348-2008）2类标准要求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863" w:type="dxa"/>
            <w:vAlign w:val="center"/>
          </w:tcPr>
          <w:p>
            <w:pPr>
              <w:pStyle w:val="294"/>
              <w:rPr>
                <w:szCs w:val="22"/>
                <w:lang w:eastAsia="en-US"/>
              </w:rPr>
            </w:pPr>
            <w:r>
              <w:rPr>
                <w:szCs w:val="22"/>
                <w:lang w:eastAsia="en-US"/>
              </w:rPr>
              <w:t>生态保护措施</w:t>
            </w:r>
          </w:p>
        </w:tc>
        <w:tc>
          <w:tcPr>
            <w:tcW w:w="1814" w:type="dxa"/>
            <w:gridSpan w:val="2"/>
            <w:vAlign w:val="center"/>
          </w:tcPr>
          <w:p>
            <w:pPr>
              <w:pStyle w:val="294"/>
              <w:rPr>
                <w:szCs w:val="22"/>
                <w:lang w:eastAsia="en-US"/>
              </w:rPr>
            </w:pPr>
            <w:r>
              <w:rPr>
                <w:szCs w:val="22"/>
                <w:lang w:eastAsia="en-US"/>
              </w:rPr>
              <w:t>临时占地恢复</w:t>
            </w:r>
          </w:p>
        </w:tc>
        <w:tc>
          <w:tcPr>
            <w:tcW w:w="5545" w:type="dxa"/>
            <w:vAlign w:val="center"/>
          </w:tcPr>
          <w:p>
            <w:pPr>
              <w:pStyle w:val="294"/>
              <w:rPr>
                <w:szCs w:val="22"/>
                <w:lang w:eastAsia="en-US"/>
              </w:rPr>
            </w:pPr>
            <w:r>
              <w:rPr>
                <w:szCs w:val="22"/>
                <w:lang w:eastAsia="en-US"/>
              </w:rPr>
              <w:t>本项目针对临时占地，将在施工结束后立即对施工期临时占地进行复垦</w:t>
            </w:r>
          </w:p>
        </w:tc>
      </w:tr>
    </w:tbl>
    <w:p>
      <w:pPr>
        <w:ind w:firstLine="480"/>
        <w:rPr>
          <w:rFonts w:cs="Times New Roman"/>
          <w:color w:val="000000" w:themeColor="text1"/>
          <w14:textFill>
            <w14:solidFill>
              <w14:schemeClr w14:val="tx1"/>
            </w14:solidFill>
          </w14:textFill>
        </w:rPr>
      </w:pPr>
      <w:bookmarkStart w:id="487" w:name="_bookmark47"/>
      <w:bookmarkEnd w:id="487"/>
      <w:bookmarkStart w:id="488" w:name="第十章_结论与建议"/>
      <w:bookmarkEnd w:id="488"/>
    </w:p>
    <w:p>
      <w:pPr>
        <w:ind w:firstLine="480"/>
      </w:pPr>
    </w:p>
    <w:p>
      <w:pPr>
        <w:pStyle w:val="41"/>
        <w:ind w:firstLine="400"/>
        <w:sectPr>
          <w:pgSz w:w="11910" w:h="16840"/>
          <w:pgMar w:top="1440" w:right="1800" w:bottom="1440" w:left="1800" w:header="964" w:footer="964" w:gutter="0"/>
          <w:cols w:space="720" w:num="1"/>
          <w:docGrid w:linePitch="326" w:charSpace="0"/>
        </w:sectPr>
      </w:pPr>
    </w:p>
    <w:p>
      <w:pPr>
        <w:pStyle w:val="2"/>
      </w:pPr>
      <w:bookmarkStart w:id="489" w:name="_Toc164667052"/>
      <w:r>
        <w:rPr>
          <w:rFonts w:hint="eastAsia"/>
        </w:rPr>
        <w:t>10</w:t>
      </w:r>
      <w:r>
        <w:t>结论与建议</w:t>
      </w:r>
      <w:bookmarkEnd w:id="489"/>
    </w:p>
    <w:p>
      <w:pPr>
        <w:pStyle w:val="3"/>
      </w:pPr>
      <w:bookmarkStart w:id="490" w:name="_bookmark48"/>
      <w:bookmarkEnd w:id="490"/>
      <w:bookmarkStart w:id="491" w:name="10.1项目概况"/>
      <w:bookmarkEnd w:id="491"/>
      <w:bookmarkStart w:id="492" w:name="_Toc164667053"/>
      <w:r>
        <w:rPr>
          <w:rFonts w:hint="eastAsia"/>
        </w:rPr>
        <w:t>10.1</w:t>
      </w:r>
      <w:r>
        <w:t>项目概况</w:t>
      </w:r>
      <w:bookmarkEnd w:id="492"/>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本项目位于达州市宣汉县普光镇陡梯村，以飞仙关组为主要目的层，</w:t>
      </w:r>
      <w:r>
        <w:rPr>
          <w:rFonts w:cs="Times New Roman"/>
          <w:color w:val="000000" w:themeColor="text1"/>
          <w:szCs w:val="24"/>
          <w14:textFill>
            <w14:solidFill>
              <w14:schemeClr w14:val="tx1"/>
            </w14:solidFill>
          </w14:textFill>
        </w:rPr>
        <w:t>项目投产后普光3011-6井配产15×10</w:t>
      </w:r>
      <w:r>
        <w:rPr>
          <w:rFonts w:cs="Times New Roman"/>
          <w:color w:val="000000" w:themeColor="text1"/>
          <w:szCs w:val="24"/>
          <w:vertAlign w:val="superscript"/>
          <w14:textFill>
            <w14:solidFill>
              <w14:schemeClr w14:val="tx1"/>
            </w14:solidFill>
          </w14:textFill>
        </w:rPr>
        <w:t>4</w:t>
      </w:r>
      <w:r>
        <w:rPr>
          <w:rFonts w:cs="Times New Roman"/>
          <w:color w:val="000000" w:themeColor="text1"/>
          <w:szCs w:val="24"/>
          <w14:textFill>
            <w14:solidFill>
              <w14:schemeClr w14:val="tx1"/>
            </w14:solidFill>
          </w14:textFill>
        </w:rPr>
        <w:t>m</w:t>
      </w:r>
      <w:r>
        <w:rPr>
          <w:rFonts w:cs="Times New Roman"/>
          <w:color w:val="000000" w:themeColor="text1"/>
          <w:szCs w:val="24"/>
          <w:vertAlign w:val="superscript"/>
          <w14:textFill>
            <w14:solidFill>
              <w14:schemeClr w14:val="tx1"/>
            </w14:solidFill>
          </w14:textFill>
        </w:rPr>
        <w:t>3</w:t>
      </w:r>
      <w:r>
        <w:rPr>
          <w:rFonts w:cs="Times New Roman"/>
          <w:color w:val="000000" w:themeColor="text1"/>
          <w:szCs w:val="24"/>
          <w14:textFill>
            <w14:solidFill>
              <w14:schemeClr w14:val="tx1"/>
            </w14:solidFill>
          </w14:textFill>
        </w:rPr>
        <w:t>/d</w:t>
      </w:r>
      <w:r>
        <w:rPr>
          <w:rFonts w:cs="Times New Roman"/>
          <w:color w:val="000000" w:themeColor="text1"/>
          <w14:textFill>
            <w14:solidFill>
              <w14:schemeClr w14:val="tx1"/>
            </w14:solidFill>
          </w14:textFill>
        </w:rPr>
        <w:t>。</w:t>
      </w:r>
    </w:p>
    <w:p>
      <w:pPr>
        <w:ind w:firstLine="480"/>
        <w:rPr>
          <w:rFonts w:cs="Times New Roman"/>
          <w:bCs/>
          <w:color w:val="000000" w:themeColor="text1"/>
          <w14:textFill>
            <w14:solidFill>
              <w14:schemeClr w14:val="tx1"/>
            </w14:solidFill>
          </w14:textFill>
        </w:rPr>
      </w:pPr>
      <w:r>
        <w:rPr>
          <w:rFonts w:cs="Times New Roman"/>
          <w:color w:val="000000" w:themeColor="text1"/>
          <w14:textFill>
            <w14:solidFill>
              <w14:schemeClr w14:val="tx1"/>
            </w14:solidFill>
          </w14:textFill>
        </w:rPr>
        <w:t>本项目总投资11641万元，环保投资635万元，环保投资占总投资的5.45%。</w:t>
      </w:r>
    </w:p>
    <w:p>
      <w:pPr>
        <w:pStyle w:val="3"/>
      </w:pPr>
      <w:bookmarkStart w:id="493" w:name="_bookmark49"/>
      <w:bookmarkEnd w:id="493"/>
      <w:bookmarkStart w:id="494" w:name="10.2环境质量现状"/>
      <w:bookmarkEnd w:id="494"/>
      <w:bookmarkStart w:id="495" w:name="_Toc164667054"/>
      <w:r>
        <w:rPr>
          <w:rFonts w:hint="eastAsia"/>
        </w:rPr>
        <w:t>10.2</w:t>
      </w:r>
      <w:r>
        <w:t>环境质量现状</w:t>
      </w:r>
      <w:bookmarkEnd w:id="495"/>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color w:val="000000" w:themeColor="text1"/>
          <w:lang w:eastAsia="zh-CN"/>
          <w14:textFill>
            <w14:solidFill>
              <w14:schemeClr w14:val="tx1"/>
            </w14:solidFill>
          </w14:textFill>
        </w:rPr>
        <w:t>本项目所在区域属环境空气2类区、地表水</w:t>
      </w:r>
      <w:r>
        <w:rPr>
          <w:rFonts w:hint="eastAsia" w:cs="宋体"/>
          <w:color w:val="000000" w:themeColor="text1"/>
          <w:lang w:eastAsia="zh-CN"/>
          <w14:textFill>
            <w14:solidFill>
              <w14:schemeClr w14:val="tx1"/>
            </w14:solidFill>
          </w14:textFill>
        </w:rPr>
        <w:t>Ⅲ</w:t>
      </w:r>
      <w:r>
        <w:rPr>
          <w:rFonts w:ascii="Times New Roman" w:hAnsi="Times New Roman"/>
          <w:color w:val="000000" w:themeColor="text1"/>
          <w:lang w:eastAsia="zh-CN"/>
          <w14:textFill>
            <w14:solidFill>
              <w14:schemeClr w14:val="tx1"/>
            </w14:solidFill>
          </w14:textFill>
        </w:rPr>
        <w:t>类水域功能区和声环境2类功能区。根据本项目环境本底监测结果显示，本项目区域声环境质量满足《声环境质量标准》（GB3096-2008）2类标准；根据《达州市2022年环境空气质量状况》，本项目所在的达州市属于达标区，本项目位于后河流域，其水质良好；地下水监测所有指标均未超过《地下水质量标准》（GB/T14848-2017）中的</w:t>
      </w:r>
      <w:r>
        <w:rPr>
          <w:rFonts w:hint="eastAsia" w:cs="宋体"/>
          <w:color w:val="000000" w:themeColor="text1"/>
          <w:lang w:eastAsia="zh-CN"/>
          <w14:textFill>
            <w14:solidFill>
              <w14:schemeClr w14:val="tx1"/>
            </w14:solidFill>
          </w14:textFill>
        </w:rPr>
        <w:t>Ⅲ</w:t>
      </w:r>
      <w:r>
        <w:rPr>
          <w:rFonts w:ascii="Times New Roman" w:hAnsi="Times New Roman"/>
          <w:color w:val="000000" w:themeColor="text1"/>
          <w:lang w:eastAsia="zh-CN"/>
          <w14:textFill>
            <w14:solidFill>
              <w14:schemeClr w14:val="tx1"/>
            </w14:solidFill>
          </w14:textFill>
        </w:rPr>
        <w:t>类标准限值要求；项目区域土壤以林地为主，有少量果园地，土壤环境所有指标均满足《土壤环境质量 建设用地土壤污染风险管控标准（试行）（GB36600—2018）》和《土壤环境质量 农用地土壤污染风险管控标准（试行）（GB15618—2018）》中对应筛选值要求。项目所在地环境质量现状良好</w:t>
      </w:r>
      <w:r>
        <w:rPr>
          <w:rFonts w:ascii="Times New Roman" w:hAnsi="Times New Roman"/>
          <w:bCs/>
          <w:color w:val="000000" w:themeColor="text1"/>
          <w:kern w:val="2"/>
          <w:lang w:eastAsia="zh-CN"/>
          <w14:textFill>
            <w14:solidFill>
              <w14:schemeClr w14:val="tx1"/>
            </w14:solidFill>
          </w14:textFill>
        </w:rPr>
        <w:t>。</w:t>
      </w:r>
    </w:p>
    <w:p>
      <w:pPr>
        <w:pStyle w:val="3"/>
      </w:pPr>
      <w:bookmarkStart w:id="496" w:name="10.3项目产业政策符合性分析与选址合理性分析"/>
      <w:bookmarkEnd w:id="496"/>
      <w:bookmarkStart w:id="497" w:name="_bookmark50"/>
      <w:bookmarkEnd w:id="497"/>
      <w:bookmarkStart w:id="498" w:name="_Toc164667055"/>
      <w:r>
        <w:rPr>
          <w:rFonts w:hint="eastAsia"/>
        </w:rPr>
        <w:t>10.3</w:t>
      </w:r>
      <w:r>
        <w:t>项目产业政策符合性分析与选址合理性分析</w:t>
      </w:r>
      <w:bookmarkEnd w:id="498"/>
    </w:p>
    <w:p>
      <w:pPr>
        <w:ind w:firstLine="480"/>
        <w:rPr>
          <w:rFonts w:cs="Times New Roman"/>
          <w:color w:val="000000" w:themeColor="text1"/>
          <w14:textFill>
            <w14:solidFill>
              <w14:schemeClr w14:val="tx1"/>
            </w14:solidFill>
          </w14:textFill>
        </w:rPr>
      </w:pPr>
      <w:bookmarkStart w:id="499" w:name="10.3.1项目产业政策符合性分析"/>
      <w:bookmarkEnd w:id="499"/>
      <w:r>
        <w:rPr>
          <w:rFonts w:cs="Times New Roman"/>
          <w:color w:val="000000" w:themeColor="text1"/>
          <w14:textFill>
            <w14:solidFill>
              <w14:schemeClr w14:val="tx1"/>
            </w14:solidFill>
          </w14:textFill>
        </w:rPr>
        <w:t>（1）项目产业政策符合性分析</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产业结构调整指导目录（2024年本）》，该项目属于其中第一类“鼓励类”第七条“石油类、天然气”第一款“常规石油、天然气勘探及开采”，满足《石油天然气开采业污染防治技术政策》（〔2012〕18号）要求；项目实施经中国石油化工股份有限公司中原油田分公司以“中原油分投资〔2023〕109号”文出具了可研批复，因此，本项目符合国家产业政策。</w:t>
      </w:r>
    </w:p>
    <w:p>
      <w:pPr>
        <w:ind w:firstLine="480"/>
        <w:rPr>
          <w:rFonts w:cs="Times New Roman"/>
          <w:color w:val="000000" w:themeColor="text1"/>
          <w14:textFill>
            <w14:solidFill>
              <w14:schemeClr w14:val="tx1"/>
            </w14:solidFill>
          </w14:textFill>
        </w:rPr>
      </w:pPr>
      <w:bookmarkStart w:id="500" w:name="10.3.2项目选址合理性分析"/>
      <w:bookmarkEnd w:id="500"/>
      <w:bookmarkStart w:id="501" w:name="_bookmark51"/>
      <w:bookmarkEnd w:id="501"/>
      <w:r>
        <w:rPr>
          <w:rFonts w:cs="Times New Roman"/>
          <w:color w:val="000000" w:themeColor="text1"/>
          <w14:textFill>
            <w14:solidFill>
              <w14:schemeClr w14:val="tx1"/>
            </w14:solidFill>
          </w14:textFill>
        </w:rPr>
        <w:t>（2）项目选址合理性分析</w:t>
      </w:r>
    </w:p>
    <w:p>
      <w:pPr>
        <w:ind w:firstLine="480"/>
        <w:rPr>
          <w:rFonts w:cs="Times New Roman"/>
          <w:bCs/>
          <w:color w:val="000000" w:themeColor="text1"/>
          <w14:textFill>
            <w14:solidFill>
              <w14:schemeClr w14:val="tx1"/>
            </w14:solidFill>
          </w14:textFill>
        </w:rPr>
      </w:pPr>
      <w:r>
        <w:rPr>
          <w:rFonts w:cs="Times New Roman"/>
          <w:color w:val="000000" w:themeColor="text1"/>
          <w14:textFill>
            <w14:solidFill>
              <w14:schemeClr w14:val="tx1"/>
            </w14:solidFill>
          </w14:textFill>
        </w:rPr>
        <w:t>本项目建设符合石油天然气开发规划。不在城镇规划区域内，不属于城镇用地，项目所在地为农村地区，主要发展农业。本项目建设不违背</w:t>
      </w:r>
      <w:r>
        <w:rPr>
          <w:rFonts w:hint="eastAsia" w:cs="Times New Roman"/>
          <w:color w:val="000000" w:themeColor="text1"/>
          <w14:textFill>
            <w14:solidFill>
              <w14:schemeClr w14:val="tx1"/>
            </w14:solidFill>
          </w14:textFill>
        </w:rPr>
        <w:t>普光</w:t>
      </w:r>
      <w:r>
        <w:rPr>
          <w:rFonts w:cs="Times New Roman"/>
          <w:color w:val="000000" w:themeColor="text1"/>
          <w14:textFill>
            <w14:solidFill>
              <w14:schemeClr w14:val="tx1"/>
            </w14:solidFill>
          </w14:textFill>
        </w:rPr>
        <w:t>镇规划要求。本项目不涉及生态红线，符合“三线一单”管控要求，井口周边100m内无农村分散居民，井口500m范围内无医院、学校等敏感目标，总体选址环境不敏感。本项目的平面布置执行《钻前工程及井场技术要求》（SY/T 5466-2013），总体上符合环保要求</w:t>
      </w:r>
      <w:r>
        <w:rPr>
          <w:rFonts w:cs="Times New Roman"/>
          <w:bCs/>
          <w:color w:val="000000" w:themeColor="text1"/>
          <w14:textFill>
            <w14:solidFill>
              <w14:schemeClr w14:val="tx1"/>
            </w14:solidFill>
          </w14:textFill>
        </w:rPr>
        <w:t>。</w:t>
      </w:r>
    </w:p>
    <w:p>
      <w:pPr>
        <w:pStyle w:val="3"/>
      </w:pPr>
      <w:bookmarkStart w:id="502" w:name="10.4环境影响评价结论"/>
      <w:bookmarkEnd w:id="502"/>
      <w:bookmarkStart w:id="503" w:name="_bookmark52"/>
      <w:bookmarkEnd w:id="503"/>
      <w:bookmarkStart w:id="504" w:name="_Toc164667056"/>
      <w:r>
        <w:rPr>
          <w:rFonts w:hint="eastAsia"/>
        </w:rPr>
        <w:t>10.4</w:t>
      </w:r>
      <w:r>
        <w:t>环境影响评价结论</w:t>
      </w:r>
      <w:bookmarkEnd w:id="504"/>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（1）大气环境</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钻井和天然气试采期，优先使用网电，废气污染物排放量少，钻井期无组织挥发性有机物排放量小，测试放喷采用放喷管线接至放喷池并经燃烧后放喷，试采期设备检修废气通过下游集气站放空火炬燃烧排放，且排放时间短，对所在地大气环境的影响是可接受的。</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（2）地表水</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钻前施工废水回用于降尘，钻井期间，钻井废水和洗井废水经固控设备固液分离后满足要求的全部回用于钻井过程，剩余不可回用部分暂存于污水罐，定期通过密闭罐车拉运至赵家坝污水处理站达标后管输至普光11井回注站回注，不外排；压裂返排液密闭罐车拉运至赵家坝污水处理站达标后管输至普光11井回注站回注，不外排；天然气试采期间，产生的废水依托下游P302集气站内设施暂存，再用密闭罐车拉运至赵家坝污水处理站达标后管输至普光11井回注站回注，不外排。对区域地表水环境影响甚微。</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（3）声环境</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通过</w:t>
      </w:r>
      <w:r>
        <w:rPr>
          <w:rFonts w:hint="eastAsia" w:cs="Times New Roman"/>
          <w:color w:val="000000" w:themeColor="text1"/>
          <w14:textFill>
            <w14:solidFill>
              <w14:schemeClr w14:val="tx1"/>
            </w14:solidFill>
          </w14:textFill>
        </w:rPr>
        <w:t>噪声</w:t>
      </w:r>
      <w:r>
        <w:rPr>
          <w:rFonts w:cs="Times New Roman"/>
          <w:color w:val="000000" w:themeColor="text1"/>
          <w14:textFill>
            <w14:solidFill>
              <w14:schemeClr w14:val="tx1"/>
            </w14:solidFill>
          </w14:textFill>
        </w:rPr>
        <w:t>影响预测可知，</w:t>
      </w:r>
      <w:r>
        <w:rPr>
          <w:rFonts w:hint="eastAsia" w:cs="Times New Roman"/>
          <w:color w:val="000000" w:themeColor="text1"/>
          <w14:textFill>
            <w14:solidFill>
              <w14:schemeClr w14:val="tx1"/>
            </w14:solidFill>
          </w14:textFill>
        </w:rPr>
        <w:t>钻井期间</w:t>
      </w:r>
      <w:r>
        <w:rPr>
          <w:rFonts w:cs="Times New Roman"/>
          <w:color w:val="000000" w:themeColor="text1"/>
          <w14:textFill>
            <w14:solidFill>
              <w14:schemeClr w14:val="tx1"/>
            </w14:solidFill>
          </w14:textFill>
        </w:rPr>
        <w:t>噪声</w:t>
      </w:r>
      <w:r>
        <w:rPr>
          <w:rFonts w:hint="eastAsia" w:cs="Times New Roman"/>
          <w:color w:val="000000" w:themeColor="text1"/>
          <w14:textFill>
            <w14:solidFill>
              <w14:schemeClr w14:val="tx1"/>
            </w14:solidFill>
          </w14:textFill>
        </w:rPr>
        <w:t>存在不</w:t>
      </w:r>
      <w:r>
        <w:rPr>
          <w:rFonts w:cs="Times New Roman"/>
          <w:color w:val="000000" w:themeColor="text1"/>
          <w14:textFill>
            <w14:solidFill>
              <w14:schemeClr w14:val="tx1"/>
            </w14:solidFill>
          </w14:textFill>
        </w:rPr>
        <w:t>满足《建筑施工场界环境噪声排放标准》（GB12523-2011）标准</w:t>
      </w:r>
      <w:r>
        <w:rPr>
          <w:rFonts w:hint="eastAsia" w:cs="Times New Roman"/>
          <w:color w:val="000000" w:themeColor="text1"/>
          <w14:textFill>
            <w14:solidFill>
              <w14:schemeClr w14:val="tx1"/>
            </w14:solidFill>
          </w14:textFill>
        </w:rPr>
        <w:t>的情况，</w:t>
      </w:r>
      <w:r>
        <w:rPr>
          <w:rFonts w:cs="Times New Roman"/>
          <w:color w:val="000000" w:themeColor="text1"/>
          <w14:textFill>
            <w14:solidFill>
              <w14:schemeClr w14:val="tx1"/>
            </w14:solidFill>
          </w14:textFill>
        </w:rPr>
        <w:t>通过合理的施工安排和对受影响居民采取临时避让措施，施工噪声对居民影响可以得到控制</w:t>
      </w:r>
      <w:r>
        <w:rPr>
          <w:rFonts w:hint="eastAsia" w:cs="Times New Roman"/>
          <w:color w:val="000000" w:themeColor="text1"/>
          <w14:textFill>
            <w14:solidFill>
              <w14:schemeClr w14:val="tx1"/>
            </w14:solidFill>
          </w14:textFill>
        </w:rPr>
        <w:t>，且</w:t>
      </w:r>
      <w:r>
        <w:rPr>
          <w:rFonts w:cs="Times New Roman"/>
          <w:color w:val="000000" w:themeColor="text1"/>
          <w14:textFill>
            <w14:solidFill>
              <w14:schemeClr w14:val="tx1"/>
            </w14:solidFill>
          </w14:textFill>
        </w:rPr>
        <w:t>钻井期间噪声对周围环境的影响为短暂影响，随着工程的完工，噪声影响消失。</w:t>
      </w:r>
      <w:r>
        <w:rPr>
          <w:rFonts w:hint="eastAsia" w:cs="Times New Roman"/>
          <w:color w:val="000000" w:themeColor="text1"/>
          <w14:textFill>
            <w14:solidFill>
              <w14:schemeClr w14:val="tx1"/>
            </w14:solidFill>
          </w14:textFill>
        </w:rPr>
        <w:t>项目</w:t>
      </w:r>
      <w:r>
        <w:rPr>
          <w:rFonts w:cs="Times New Roman"/>
          <w:color w:val="000000" w:themeColor="text1"/>
          <w14:textFill>
            <w14:solidFill>
              <w14:schemeClr w14:val="tx1"/>
            </w14:solidFill>
          </w14:textFill>
        </w:rPr>
        <w:t>周边声环境敏感点均位于</w:t>
      </w:r>
      <w:r>
        <w:rPr>
          <w:rFonts w:hint="eastAsia" w:cs="Times New Roman"/>
          <w:color w:val="000000" w:themeColor="text1"/>
          <w14:textFill>
            <w14:solidFill>
              <w14:schemeClr w14:val="tx1"/>
            </w14:solidFill>
          </w14:textFill>
        </w:rPr>
        <w:t>井场</w:t>
      </w:r>
      <w:r>
        <w:rPr>
          <w:rFonts w:cs="Times New Roman"/>
          <w:color w:val="000000" w:themeColor="text1"/>
          <w14:textFill>
            <w14:solidFill>
              <w14:schemeClr w14:val="tx1"/>
            </w14:solidFill>
          </w14:textFill>
        </w:rPr>
        <w:t>周边200m范围外</w:t>
      </w:r>
      <w:r>
        <w:rPr>
          <w:rFonts w:hint="eastAsia" w:cs="Times New Roman"/>
          <w:color w:val="000000" w:themeColor="text1"/>
          <w14:textFill>
            <w14:solidFill>
              <w14:schemeClr w14:val="tx1"/>
            </w14:solidFill>
          </w14:textFill>
        </w:rPr>
        <w:t>，噪声对敏感目标的影响极小，</w:t>
      </w:r>
      <w:r>
        <w:rPr>
          <w:rFonts w:cs="Times New Roman"/>
          <w:color w:val="000000" w:themeColor="text1"/>
          <w14:textFill>
            <w14:solidFill>
              <w14:schemeClr w14:val="tx1"/>
            </w14:solidFill>
          </w14:textFill>
        </w:rPr>
        <w:t>不会噪声扰民</w:t>
      </w:r>
      <w:r>
        <w:rPr>
          <w:rFonts w:hint="eastAsia" w:cs="Times New Roman"/>
          <w:color w:val="000000" w:themeColor="text1"/>
          <w14:textFill>
            <w14:solidFill>
              <w14:schemeClr w14:val="tx1"/>
            </w14:solidFill>
          </w14:textFill>
        </w:rPr>
        <w:t>。</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天然气试采期间，厂界噪声能达到</w:t>
      </w:r>
      <w:r>
        <w:rPr>
          <w:rFonts w:cs="Times New Roman"/>
          <w:bCs/>
          <w:color w:val="000000" w:themeColor="text1"/>
          <w14:textFill>
            <w14:solidFill>
              <w14:schemeClr w14:val="tx1"/>
            </w14:solidFill>
          </w14:textFill>
        </w:rPr>
        <w:t>《工业企业厂界环境噪声排放标准》（GB12348-2008）中2类</w:t>
      </w:r>
      <w:r>
        <w:rPr>
          <w:rFonts w:cs="Times New Roman"/>
          <w:color w:val="000000" w:themeColor="text1"/>
          <w14:textFill>
            <w14:solidFill>
              <w14:schemeClr w14:val="tx1"/>
            </w14:solidFill>
          </w14:textFill>
        </w:rPr>
        <w:t>标准要求，能实现达标排放。周边声环境敏感点均位于井口周边200m范围外</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不会噪声扰民</w:t>
      </w:r>
      <w:r>
        <w:rPr>
          <w:rFonts w:hint="eastAsia" w:cs="Times New Roman"/>
          <w:color w:val="000000" w:themeColor="text1"/>
          <w14:textFill>
            <w14:solidFill>
              <w14:schemeClr w14:val="tx1"/>
            </w14:solidFill>
          </w14:textFill>
        </w:rPr>
        <w:t>。</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（4）固体废物</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项目产生弃土用于生态恢复，生活垃圾交由环卫部门处理，水基钻井固废收集后定期用密闭罐车及时转运</w:t>
      </w:r>
      <w:r>
        <w:rPr>
          <w:color w:val="000000" w:themeColor="text1"/>
          <w:szCs w:val="24"/>
          <w14:textFill>
            <w14:solidFill>
              <w14:schemeClr w14:val="tx1"/>
            </w14:solidFill>
          </w14:textFill>
        </w:rPr>
        <w:t>达州地区环保手续齐全、环保设施稳定运行固废烧结厂进行烧结后综合利用</w:t>
      </w:r>
      <w:r>
        <w:rPr>
          <w:rFonts w:cs="Times New Roman"/>
          <w:color w:val="000000" w:themeColor="text1"/>
          <w14:textFill>
            <w14:solidFill>
              <w14:schemeClr w14:val="tx1"/>
            </w14:solidFill>
          </w14:textFill>
        </w:rPr>
        <w:t>，设置废油桶集中收集暂存于泥浆不落地装置区临时堆放区内，钻井队综合利用或交由有资质的单位处理。各类固体废物经分类收集，严格做好固体废物的暂存管理，并采取有效的处置措施，使固体废物均得以妥善处置，对环境不会造成污染影响。</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（5）地下水</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本项目不涉及浅层钻井，对井场采取分区防渗和加强污染监控后，钻井期间发生污染地下水的可能性较小。若钻井过程中出现废水外溢等事件，将造成井场或井筒周围小范围内的地下</w:t>
      </w:r>
      <w:r>
        <w:rPr>
          <w:rFonts w:cs="Times New Roman"/>
          <w:bCs/>
          <w:color w:val="000000" w:themeColor="text1"/>
          <w14:textFill>
            <w14:solidFill>
              <w14:schemeClr w14:val="tx1"/>
            </w14:solidFill>
          </w14:textFill>
        </w:rPr>
        <w:t>COD</w:t>
      </w:r>
      <w:r>
        <w:rPr>
          <w:rFonts w:cs="Times New Roman"/>
          <w:bCs/>
          <w:color w:val="000000" w:themeColor="text1"/>
          <w:vertAlign w:val="subscript"/>
          <w14:textFill>
            <w14:solidFill>
              <w14:schemeClr w14:val="tx1"/>
            </w14:solidFill>
          </w14:textFill>
        </w:rPr>
        <w:t>Mn</w:t>
      </w:r>
      <w:r>
        <w:rPr>
          <w:rFonts w:cs="Times New Roman"/>
          <w:color w:val="000000" w:themeColor="text1"/>
          <w14:textFill>
            <w14:solidFill>
              <w14:schemeClr w14:val="tx1"/>
            </w14:solidFill>
          </w14:textFill>
        </w:rPr>
        <w:t>、石油类超标，该范围以外的地区，地下水质量维持现状，对周边散居农户泉水取水点的影响较小。天然气试采期间废水集中收集，不会对地下水造成影响。</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（6）土壤环境</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本项目采取了清污分流、分区分级防渗等措施，污染物进入土壤环境的可能性很小。根据类比调查，同地区天然气钻采项目均未出现过土壤环境污染现场和投诉，项目不会对土壤环境造成影响。</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（7）生态环境</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本项目临时占地在施工结束后进行恢复种植，后期进行植被修复，恢复当地生态，有效削弱了对生态环境的影响。</w:t>
      </w:r>
    </w:p>
    <w:p>
      <w:pPr>
        <w:pStyle w:val="3"/>
      </w:pPr>
      <w:bookmarkStart w:id="505" w:name="_bookmark53"/>
      <w:bookmarkEnd w:id="505"/>
      <w:bookmarkStart w:id="506" w:name="10.5环境风险分析"/>
      <w:bookmarkEnd w:id="506"/>
      <w:bookmarkStart w:id="507" w:name="_Toc164667057"/>
      <w:r>
        <w:rPr>
          <w:rFonts w:hint="eastAsia"/>
        </w:rPr>
        <w:t>10.5</w:t>
      </w:r>
      <w:r>
        <w:t>环境风险分析</w:t>
      </w:r>
      <w:bookmarkEnd w:id="507"/>
    </w:p>
    <w:p>
      <w:pPr>
        <w:ind w:firstLine="480"/>
        <w:rPr>
          <w:rFonts w:cs="Times New Roman"/>
          <w:bCs/>
          <w:color w:val="000000" w:themeColor="text1"/>
          <w14:textFill>
            <w14:solidFill>
              <w14:schemeClr w14:val="tx1"/>
            </w14:solidFill>
          </w14:textFill>
        </w:rPr>
      </w:pPr>
      <w:r>
        <w:rPr>
          <w:rFonts w:cs="Times New Roman"/>
          <w:color w:val="000000" w:themeColor="text1"/>
          <w14:textFill>
            <w14:solidFill>
              <w14:schemeClr w14:val="tx1"/>
            </w14:solidFill>
          </w14:textFill>
        </w:rPr>
        <w:t>本工程钻井和天然气试采期间存在一定的环境风险，可能对地表水、地下水、生态环境、周围居民人身安全等造成影响。项目通过采取有效的风险防范措施，其发生事故的概率极低；通过建立突发事故应急预案后，事故对环境的影响能降至最低限度。环境风险属可接受水平，项目建设可行</w:t>
      </w:r>
      <w:r>
        <w:rPr>
          <w:rFonts w:cs="Times New Roman"/>
          <w:bCs/>
          <w:color w:val="000000" w:themeColor="text1"/>
          <w14:textFill>
            <w14:solidFill>
              <w14:schemeClr w14:val="tx1"/>
            </w14:solidFill>
          </w14:textFill>
        </w:rPr>
        <w:t>。</w:t>
      </w:r>
    </w:p>
    <w:p>
      <w:pPr>
        <w:pStyle w:val="3"/>
      </w:pPr>
      <w:bookmarkStart w:id="508" w:name="10.6总量控制"/>
      <w:bookmarkEnd w:id="508"/>
      <w:bookmarkStart w:id="509" w:name="_bookmark54"/>
      <w:bookmarkEnd w:id="509"/>
      <w:bookmarkStart w:id="510" w:name="_Toc164667058"/>
      <w:r>
        <w:rPr>
          <w:rFonts w:hint="eastAsia"/>
        </w:rPr>
        <w:t>10.6</w:t>
      </w:r>
      <w:r>
        <w:t>总量控制</w:t>
      </w:r>
      <w:bookmarkEnd w:id="510"/>
    </w:p>
    <w:p>
      <w:pPr>
        <w:pStyle w:val="21"/>
        <w:spacing w:before="0"/>
        <w:ind w:left="0" w:firstLine="480"/>
        <w:jc w:val="both"/>
        <w:rPr>
          <w:rFonts w:ascii="Times New Roman" w:hAnsi="Times New Roman"/>
          <w:bCs/>
          <w:color w:val="000000" w:themeColor="text1"/>
          <w:kern w:val="2"/>
          <w:lang w:eastAsia="zh-CN"/>
          <w14:textFill>
            <w14:solidFill>
              <w14:schemeClr w14:val="tx1"/>
            </w14:solidFill>
          </w14:textFill>
        </w:rPr>
      </w:pPr>
      <w:r>
        <w:rPr>
          <w:rFonts w:ascii="Times New Roman" w:hAnsi="Times New Roman"/>
          <w:bCs/>
          <w:color w:val="000000" w:themeColor="text1"/>
          <w:kern w:val="2"/>
          <w:lang w:eastAsia="zh-CN"/>
          <w14:textFill>
            <w14:solidFill>
              <w14:schemeClr w14:val="tx1"/>
            </w14:solidFill>
          </w14:textFill>
        </w:rPr>
        <w:t>由于本项目实行排污许可登记管理，施工期时间短且采用网电，试采期水套加热炉与放空火炬长明灯均能做到达标排放，废水依托污水处理站或回注站回注，试采期间无其他常年稳定连续的污染物排放源，在满足</w:t>
      </w:r>
      <w:r>
        <w:rPr>
          <w:rFonts w:ascii="Times New Roman" w:hAnsi="Times New Roman"/>
          <w:color w:val="000000" w:themeColor="text1"/>
          <w:szCs w:val="22"/>
          <w:lang w:eastAsia="zh-CN"/>
          <w14:textFill>
            <w14:solidFill>
              <w14:schemeClr w14:val="tx1"/>
            </w14:solidFill>
          </w14:textFill>
        </w:rPr>
        <w:t>达标排放和环境功能区划达标的前提下，建议不核定总量指标</w:t>
      </w:r>
      <w:r>
        <w:rPr>
          <w:rFonts w:ascii="Times New Roman" w:hAnsi="Times New Roman"/>
          <w:bCs/>
          <w:color w:val="000000" w:themeColor="text1"/>
          <w:kern w:val="2"/>
          <w:lang w:eastAsia="zh-CN"/>
          <w14:textFill>
            <w14:solidFill>
              <w14:schemeClr w14:val="tx1"/>
            </w14:solidFill>
          </w14:textFill>
        </w:rPr>
        <w:t>。</w:t>
      </w:r>
    </w:p>
    <w:p>
      <w:pPr>
        <w:pStyle w:val="3"/>
      </w:pPr>
      <w:bookmarkStart w:id="511" w:name="_bookmark55"/>
      <w:bookmarkEnd w:id="511"/>
      <w:bookmarkStart w:id="512" w:name="10.7公众参与调查结论"/>
      <w:bookmarkEnd w:id="512"/>
      <w:bookmarkStart w:id="513" w:name="_Toc164667059"/>
      <w:r>
        <w:rPr>
          <w:rFonts w:hint="eastAsia"/>
        </w:rPr>
        <w:t>10.7</w:t>
      </w:r>
      <w:r>
        <w:t>环境经济损益分析</w:t>
      </w:r>
      <w:bookmarkEnd w:id="513"/>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的建设具有较好的社会-经济-环境综合效益，只要该项目在各个实施阶段过程中积极做好污染治理、环境保护和安检措施等工作，基本上可以满足当地环境容量要求和环保管理需求，达到可持续发展目标。项目的建成，必将产生显著的经济效益、社会效益和环境效益。</w:t>
      </w:r>
    </w:p>
    <w:p>
      <w:pPr>
        <w:pStyle w:val="3"/>
      </w:pPr>
      <w:bookmarkStart w:id="514" w:name="_Toc164667060"/>
      <w:r>
        <w:t>1</w:t>
      </w:r>
      <w:r>
        <w:rPr>
          <w:rFonts w:hint="eastAsia"/>
        </w:rPr>
        <w:t>0.8</w:t>
      </w:r>
      <w:r>
        <w:t>公众参与调查结论</w:t>
      </w:r>
      <w:bookmarkEnd w:id="514"/>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建设单位提供公众参与说明，本项目在环境影响评价信息公示平台进行了建设项目首次环评信息公开，在环境影响评价信息公示平台、报纸及张贴公告三种方式同步进行了第二次环境影响评价信息公开，在环境影响评价信息公示平台进行了报批前公示，公示期间未收到任何反对意见，符合《环境影响评价公众参与办法》（生态环境部令第4号）的相关要求。</w:t>
      </w:r>
    </w:p>
    <w:p>
      <w:pPr>
        <w:pStyle w:val="3"/>
      </w:pPr>
      <w:bookmarkStart w:id="515" w:name="_bookmark57"/>
      <w:bookmarkEnd w:id="515"/>
      <w:bookmarkStart w:id="516" w:name="10.11评价总结论"/>
      <w:bookmarkEnd w:id="516"/>
      <w:bookmarkStart w:id="517" w:name="10.8环境经济损益分析"/>
      <w:bookmarkEnd w:id="517"/>
      <w:bookmarkStart w:id="518" w:name="_bookmark59"/>
      <w:bookmarkEnd w:id="518"/>
      <w:bookmarkStart w:id="519" w:name="10.9环境管理与监测计划"/>
      <w:bookmarkEnd w:id="519"/>
      <w:bookmarkStart w:id="520" w:name="_bookmark56"/>
      <w:bookmarkEnd w:id="520"/>
      <w:bookmarkStart w:id="521" w:name="_Toc164667061"/>
      <w:r>
        <w:rPr>
          <w:rFonts w:hint="eastAsia"/>
        </w:rPr>
        <w:t>10.9</w:t>
      </w:r>
      <w:r>
        <w:t>评价总结论</w:t>
      </w:r>
      <w:bookmarkEnd w:id="521"/>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该项目的建设符合国家、行业颁布的相关产业政策、法规、规范，项目的建设对增加清洁能源天然气供应量，探明地区天然气储存情况，促进区域社会、经济发展，调整改善区域的环境质量有积极意义，项目建设是必要的。</w:t>
      </w:r>
    </w:p>
    <w:p>
      <w:pPr>
        <w:ind w:firstLine="480"/>
        <w:rPr>
          <w:rFonts w:cs="Times New Roman"/>
          <w:bCs/>
          <w:color w:val="000000" w:themeColor="text1"/>
          <w:szCs w:val="24"/>
          <w14:textFill>
            <w14:solidFill>
              <w14:schemeClr w14:val="tx1"/>
            </w14:solidFill>
          </w14:textFill>
        </w:rPr>
      </w:pPr>
      <w:r>
        <w:rPr>
          <w:rFonts w:cs="Times New Roman"/>
          <w:bCs/>
          <w:color w:val="000000" w:themeColor="text1"/>
          <w:szCs w:val="24"/>
          <w14:textFill>
            <w14:solidFill>
              <w14:schemeClr w14:val="tx1"/>
            </w14:solidFill>
          </w14:textFill>
        </w:rPr>
        <w:t>评价区域环境空气质量、声环境质量、地下水质量现状总体较好；项目建设期间产生的污染物均做到达标排放或妥善处置，对生态环境、地表水、地下水、大气环境影响小，声环境影响产生短期影响，不改变区域的环境功能；该项目符合清洁生产要求，采用的环保措施可行，社会、经济效益十分显著；建设项目环境可行，选址合理。本项目井喷失控事故天然气泄流事故对环境的影响较小，且事故发生机率低，通过严格按行业规范和环评要求完善事故防范措施和制定较详尽有效的事故应急方案，环境风险值会大大的降低，环境风险可接受。</w:t>
      </w:r>
    </w:p>
    <w:p>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综上所述，在严格落实本项目钻井设计和本评价提出的各项环保措施和环境风险防范以及应急措施后，从环境保护角度分析，本项目的建设是可行的。</w:t>
      </w:r>
    </w:p>
    <w:p>
      <w:pPr>
        <w:pStyle w:val="3"/>
      </w:pPr>
      <w:bookmarkStart w:id="522" w:name="_bookmark60"/>
      <w:bookmarkEnd w:id="522"/>
      <w:bookmarkStart w:id="523" w:name="10.12建议"/>
      <w:bookmarkEnd w:id="523"/>
      <w:bookmarkStart w:id="524" w:name="_Toc164667062"/>
      <w:r>
        <w:rPr>
          <w:rFonts w:hint="eastAsia"/>
        </w:rPr>
        <w:t>10.10</w:t>
      </w:r>
      <w:r>
        <w:t>建议</w:t>
      </w:r>
      <w:bookmarkEnd w:id="524"/>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（1）建设单位在工程实施期间，应加强对各项环保措施的建设、运转进行监理，以确保环保措施的有效性。</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（2）妥善解决好占用土地、作物、植被等所造成的恢复赔偿问题。</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（3）根据项目试采情况，满足验收条件后对项目进行验收，及时完善环保手续。</w:t>
      </w:r>
    </w:p>
    <w:p>
      <w:pPr>
        <w:ind w:firstLine="480"/>
        <w:rPr>
          <w:rFonts w:cs="Times New Roman" w:eastAsiaTheme="minorEastAsia"/>
          <w:color w:val="000000" w:themeColor="text1"/>
          <w14:textFill>
            <w14:solidFill>
              <w14:schemeClr w14:val="tx1"/>
            </w14:solidFill>
          </w14:textFill>
        </w:rPr>
      </w:pPr>
      <w:r>
        <w:rPr>
          <w:rFonts w:cs="Times New Roman"/>
          <w:color w:val="000000" w:themeColor="text1"/>
          <w14:textFill>
            <w14:solidFill>
              <w14:schemeClr w14:val="tx1"/>
            </w14:solidFill>
          </w14:textFill>
        </w:rPr>
        <w:t>（4）项目完成后，对周围环境进行跟踪监测。</w:t>
      </w:r>
    </w:p>
    <w:sectPr>
      <w:pgSz w:w="11910" w:h="16840"/>
      <w:pgMar w:top="1440" w:right="1800" w:bottom="1440" w:left="1800" w:header="964" w:footer="964" w:gutter="0"/>
      <w:cols w:space="720"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等线">
    <w:altName w:val="Arial Unicode MS"/>
    <w:panose1 w:val="02010600030101010101"/>
    <w:charset w:val="86"/>
    <w:family w:val="auto"/>
    <w:pitch w:val="default"/>
    <w:sig w:usb0="00000000" w:usb1="00000000" w:usb2="00000016" w:usb3="00000000" w:csb0="0004000F" w:csb1="00000000"/>
  </w:font>
  <w:font w:name="Arial">
    <w:panose1 w:val="020B0604020202020204"/>
    <w:charset w:val="00"/>
    <w:family w:val="swiss"/>
    <w:pitch w:val="default"/>
    <w:sig w:usb0="E0002AFF" w:usb1="C0007843" w:usb2="00000009" w:usb3="00000000" w:csb0="400001FF" w:csb1="FFFF0000"/>
  </w:font>
  <w:font w:name="Courier New">
    <w:panose1 w:val="02070309020205020404"/>
    <w:charset w:val="00"/>
    <w:family w:val="modern"/>
    <w:pitch w:val="default"/>
    <w:sig w:usb0="E0002AFF" w:usb1="C0007843" w:usb2="00000009" w:usb3="00000000" w:csb0="400001FF" w:csb1="FFFF0000"/>
  </w:font>
  <w:font w:name="仿宋体">
    <w:altName w:val="宋体"/>
    <w:panose1 w:val="00000000000000000000"/>
    <w:charset w:val="86"/>
    <w:family w:val="roman"/>
    <w:pitch w:val="default"/>
    <w:sig w:usb0="00000000" w:usb1="00000000" w:usb2="00000010" w:usb3="00000000" w:csb0="00040000" w:csb1="00000000"/>
  </w:font>
  <w:font w:name="Cambria">
    <w:panose1 w:val="02040503050406030204"/>
    <w:charset w:val="00"/>
    <w:family w:val="roman"/>
    <w:pitch w:val="default"/>
    <w:sig w:usb0="E00002FF" w:usb1="400004FF" w:usb2="00000000" w:usb3="00000000" w:csb0="2000019F" w:csb1="00000000"/>
  </w:font>
  <w:font w:name="仿宋_GB2312">
    <w:panose1 w:val="02010609030101010101"/>
    <w:charset w:val="86"/>
    <w:family w:val="modern"/>
    <w:pitch w:val="default"/>
    <w:sig w:usb0="00000001" w:usb1="080E0000" w:usb2="00000000" w:usb3="00000000" w:csb0="00040000" w:csb1="00000000"/>
  </w:font>
  <w:font w:name="Arial Unicode MS">
    <w:panose1 w:val="020B0604020202020204"/>
    <w:charset w:val="86"/>
    <w:family w:val="swiss"/>
    <w:pitch w:val="default"/>
    <w:sig w:usb0="FFFFFFFF" w:usb1="E9FFFFFF" w:usb2="0000003F" w:usb3="00000000" w:csb0="603F01FF" w:csb1="FFFF0000"/>
  </w:font>
  <w:font w:name="楷体_GB2312">
    <w:panose1 w:val="02010609030101010101"/>
    <w:charset w:val="86"/>
    <w:family w:val="modern"/>
    <w:pitch w:val="default"/>
    <w:sig w:usb0="00000001" w:usb1="080E0000" w:usb2="00000000" w:usb3="00000000" w:csb0="00040000" w:csb1="00000000"/>
  </w:font>
  <w:font w:name="ˎ̥">
    <w:altName w:val="Times New Roman"/>
    <w:panose1 w:val="00000000000000000000"/>
    <w:charset w:val="00"/>
    <w:family w:val="auto"/>
    <w:pitch w:val="default"/>
    <w:sig w:usb0="00000000" w:usb1="00000000" w:usb2="00000000" w:usb3="00000000" w:csb0="00040001" w:csb1="00000000"/>
  </w:font>
  <w:font w:name="华文仿宋">
    <w:panose1 w:val="02010600040101010101"/>
    <w:charset w:val="86"/>
    <w:family w:val="auto"/>
    <w:pitch w:val="default"/>
    <w:sig w:usb0="00000287" w:usb1="080F0000" w:usb2="00000000" w:usb3="00000000" w:csb0="0004009F" w:csb1="DFD70000"/>
  </w:font>
  <w:font w:name="等线 Light">
    <w:altName w:val="宋体"/>
    <w:panose1 w:val="02010600030101010101"/>
    <w:charset w:val="86"/>
    <w:family w:val="auto"/>
    <w:pitch w:val="default"/>
    <w:sig w:usb0="00000000" w:usb1="00000000" w:usb2="00000016" w:usb3="00000000" w:csb0="0004000F" w:csb1="00000000"/>
  </w:font>
  <w:font w:name="Times">
    <w:altName w:val="Times New Roman"/>
    <w:panose1 w:val="02020603050405020304"/>
    <w:charset w:val="00"/>
    <w:family w:val="roman"/>
    <w:pitch w:val="default"/>
    <w:sig w:usb0="00000000" w:usb1="00000000" w:usb2="00000000" w:usb3="00000000" w:csb0="00000093" w:csb1="00000000"/>
  </w:font>
  <w:font w:name="Tahoma">
    <w:panose1 w:val="020B0604030504040204"/>
    <w:charset w:val="00"/>
    <w:family w:val="swiss"/>
    <w:pitch w:val="default"/>
    <w:sig w:usb0="E1002EFF" w:usb1="C000605B" w:usb2="00000029" w:usb3="00000000" w:csb0="200101FF" w:csb1="20280000"/>
  </w:font>
  <w:font w:name="Arial Narrow">
    <w:panose1 w:val="020B0606020202030204"/>
    <w:charset w:val="00"/>
    <w:family w:val="swiss"/>
    <w:pitch w:val="default"/>
    <w:sig w:usb0="00000287" w:usb1="00000800" w:usb2="00000000" w:usb3="00000000" w:csb0="2000009F" w:csb1="DFD70000"/>
  </w:font>
  <w:font w:name="华文中宋">
    <w:panose1 w:val="02010600040101010101"/>
    <w:charset w:val="86"/>
    <w:family w:val="auto"/>
    <w:pitch w:val="default"/>
    <w:sig w:usb0="00000287" w:usb1="080F0000" w:usb2="00000000" w:usb3="00000000" w:csb0="0004009F" w:csb1="DFD70000"/>
  </w:font>
  <w:font w:name="Verdana">
    <w:panose1 w:val="020B0604030504040204"/>
    <w:charset w:val="00"/>
    <w:family w:val="swiss"/>
    <w:pitch w:val="default"/>
    <w:sig w:usb0="A10006FF" w:usb1="4000205B" w:usb2="00000010" w:usb3="00000000" w:csb0="2000019F" w:csb1="00000000"/>
  </w:font>
  <w:font w:name="Microsoft YaHei UI">
    <w:altName w:val="宋体"/>
    <w:panose1 w:val="020B0503020204020204"/>
    <w:charset w:val="86"/>
    <w:family w:val="swiss"/>
    <w:pitch w:val="default"/>
    <w:sig w:usb0="00000000" w:usb1="00000000" w:usb2="00000016" w:usb3="00000000" w:csb0="0004001F" w:csb1="00000000"/>
  </w:font>
  <w:font w:name="楷体">
    <w:panose1 w:val="02010609060101010101"/>
    <w:charset w:val="86"/>
    <w:family w:val="modern"/>
    <w:pitch w:val="default"/>
    <w:sig w:usb0="800002BF" w:usb1="38CF7CFA" w:usb2="00000016" w:usb3="00000000" w:csb0="00040001" w:csb1="00000000"/>
  </w:font>
  <w:font w:name="隶书">
    <w:panose1 w:val="02010509060101010101"/>
    <w:charset w:val="86"/>
    <w:family w:val="modern"/>
    <w:pitch w:val="default"/>
    <w:sig w:usb0="00000001" w:usb1="080E0000" w:usb2="00000000" w:usb3="00000000" w:csb0="00040000" w:csb1="00000000"/>
  </w:font>
  <w:font w:name="Cambria Math">
    <w:panose1 w:val="02040503050406030204"/>
    <w:charset w:val="00"/>
    <w:family w:val="roman"/>
    <w:pitch w:val="default"/>
    <w:sig w:usb0="E00002FF" w:usb1="420024FF" w:usb2="00000000" w:usb3="00000000" w:csb0="2000019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等线">
    <w:altName w:val="Arial Unicode MS"/>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rPr>
        <w:rFonts w:asciiTheme="majorHAnsi" w:hAnsiTheme="majorHAnsi" w:eastAsiaTheme="majorEastAsia" w:cstheme="majorBidi"/>
        <w:sz w:val="28"/>
        <w:szCs w:val="2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52923551"/>
    </w:sdtPr>
    <w:sdtEndPr>
      <w:rPr>
        <w:rFonts w:ascii="Times New Roman" w:hAnsi="Times New Roman"/>
        <w:sz w:val="21"/>
        <w:szCs w:val="21"/>
      </w:rPr>
    </w:sdtEndPr>
    <w:sdtContent>
      <w:p>
        <w:pPr>
          <w:pStyle w:val="32"/>
          <w:jc w:val="center"/>
          <w:rPr>
            <w:rFonts w:ascii="Times New Roman" w:hAnsi="Times New Roman"/>
            <w:sz w:val="21"/>
            <w:szCs w:val="21"/>
          </w:rPr>
        </w:pP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29635369"/>
    </w:sdtPr>
    <w:sdtEndPr>
      <w:rPr>
        <w:rFonts w:ascii="Times New Roman" w:hAnsi="Times New Roman"/>
        <w:sz w:val="21"/>
        <w:szCs w:val="21"/>
      </w:rPr>
    </w:sdtEndPr>
    <w:sdtContent>
      <w:p>
        <w:pPr>
          <w:pStyle w:val="32"/>
          <w:jc w:val="center"/>
          <w:rPr>
            <w:rFonts w:ascii="Times New Roman" w:hAnsi="Times New Roman"/>
            <w:sz w:val="21"/>
            <w:szCs w:val="21"/>
          </w:rPr>
        </w:pPr>
        <w:r>
          <w:rPr>
            <w:rFonts w:ascii="Times New Roman" w:hAnsi="Times New Roman"/>
            <w:sz w:val="21"/>
            <w:szCs w:val="21"/>
          </w:rPr>
          <w:fldChar w:fldCharType="begin"/>
        </w:r>
        <w:r>
          <w:rPr>
            <w:rFonts w:ascii="Times New Roman" w:hAnsi="Times New Roman"/>
            <w:sz w:val="21"/>
            <w:szCs w:val="21"/>
          </w:rPr>
          <w:instrText xml:space="preserve">PAGE   \* MERGEFORMAT</w:instrText>
        </w:r>
        <w:r>
          <w:rPr>
            <w:rFonts w:ascii="Times New Roman" w:hAnsi="Times New Roman"/>
            <w:sz w:val="21"/>
            <w:szCs w:val="21"/>
          </w:rPr>
          <w:fldChar w:fldCharType="separate"/>
        </w:r>
        <w:r>
          <w:rPr>
            <w:rFonts w:ascii="Times New Roman" w:hAnsi="Times New Roman"/>
            <w:sz w:val="21"/>
            <w:szCs w:val="21"/>
            <w:lang w:val="zh-CN" w:eastAsia="zh-CN"/>
          </w:rPr>
          <w:t>II</w:t>
        </w:r>
        <w:r>
          <w:rPr>
            <w:rFonts w:ascii="Times New Roman" w:hAnsi="Times New Roman"/>
            <w:sz w:val="21"/>
            <w:szCs w:val="21"/>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jc w:val="right"/>
      <w:rPr>
        <w:rFonts w:ascii="Times New Roman" w:hAnsi="Times New Roman"/>
        <w:sz w:val="21"/>
        <w:szCs w:val="21"/>
      </w:rPr>
    </w:pPr>
    <w:r>
      <w:rPr>
        <w:rFonts w:hint="eastAsia"/>
        <w:sz w:val="21"/>
        <w:szCs w:val="21"/>
        <w:lang w:eastAsia="zh-CN"/>
      </w:rPr>
      <w:t>·</w:t>
    </w:r>
    <w:sdt>
      <w:sdtPr>
        <w:rPr>
          <w:sz w:val="21"/>
          <w:szCs w:val="21"/>
        </w:rPr>
        <w:id w:val="1549178307"/>
      </w:sdtPr>
      <w:sdtEndPr>
        <w:rPr>
          <w:rFonts w:ascii="Times New Roman" w:hAnsi="Times New Roman"/>
          <w:sz w:val="21"/>
          <w:szCs w:val="21"/>
        </w:rPr>
      </w:sdtEndPr>
      <w:sdtContent>
        <w:r>
          <w:rPr>
            <w:rFonts w:ascii="Times New Roman" w:hAnsi="Times New Roman"/>
            <w:sz w:val="21"/>
            <w:szCs w:val="21"/>
          </w:rPr>
          <w:fldChar w:fldCharType="begin"/>
        </w:r>
        <w:r>
          <w:rPr>
            <w:rFonts w:ascii="Times New Roman" w:hAnsi="Times New Roman"/>
            <w:sz w:val="21"/>
            <w:szCs w:val="21"/>
          </w:rPr>
          <w:instrText xml:space="preserve">PAGE   \* MERGEFORMAT</w:instrText>
        </w:r>
        <w:r>
          <w:rPr>
            <w:rFonts w:ascii="Times New Roman" w:hAnsi="Times New Roman"/>
            <w:sz w:val="21"/>
            <w:szCs w:val="21"/>
          </w:rPr>
          <w:fldChar w:fldCharType="separate"/>
        </w:r>
        <w:r>
          <w:rPr>
            <w:rFonts w:ascii="Times New Roman" w:hAnsi="Times New Roman"/>
            <w:sz w:val="21"/>
            <w:szCs w:val="21"/>
            <w:lang w:val="zh-CN" w:eastAsia="zh-CN"/>
          </w:rPr>
          <w:t>11</w:t>
        </w:r>
        <w:r>
          <w:rPr>
            <w:rFonts w:ascii="Times New Roman" w:hAnsi="Times New Roman"/>
            <w:sz w:val="21"/>
            <w:szCs w:val="21"/>
          </w:rPr>
          <w:fldChar w:fldCharType="end"/>
        </w:r>
      </w:sdtContent>
    </w:sdt>
    <w:r>
      <w:rPr>
        <w:rFonts w:hint="eastAsia" w:ascii="Times New Roman" w:hAnsi="Times New Roman"/>
        <w:sz w:val="21"/>
        <w:szCs w:val="21"/>
        <w:lang w:eastAsia="zh-CN"/>
      </w:rPr>
      <w:t>·</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rPr>
        <w:rFonts w:ascii="Times New Roman" w:hAnsi="Times New Roman"/>
        <w:sz w:val="21"/>
        <w:szCs w:val="21"/>
      </w:rPr>
    </w:pPr>
    <w:r>
      <w:rPr>
        <w:rFonts w:hint="eastAsia"/>
        <w:sz w:val="21"/>
        <w:szCs w:val="21"/>
        <w:lang w:eastAsia="zh-CN"/>
      </w:rPr>
      <w:t>·</w:t>
    </w:r>
    <w:sdt>
      <w:sdtPr>
        <w:rPr>
          <w:sz w:val="21"/>
          <w:szCs w:val="21"/>
        </w:rPr>
        <w:id w:val="1652940242"/>
      </w:sdtPr>
      <w:sdtEndPr>
        <w:rPr>
          <w:rFonts w:ascii="Times New Roman" w:hAnsi="Times New Roman"/>
          <w:sz w:val="21"/>
          <w:szCs w:val="21"/>
        </w:rPr>
      </w:sdtEndPr>
      <w:sdtContent>
        <w:r>
          <w:rPr>
            <w:rFonts w:ascii="Times New Roman" w:hAnsi="Times New Roman"/>
            <w:sz w:val="21"/>
            <w:szCs w:val="21"/>
          </w:rPr>
          <w:fldChar w:fldCharType="begin"/>
        </w:r>
        <w:r>
          <w:rPr>
            <w:rFonts w:ascii="Times New Roman" w:hAnsi="Times New Roman"/>
            <w:sz w:val="21"/>
            <w:szCs w:val="21"/>
          </w:rPr>
          <w:instrText xml:space="preserve">PAGE   \* MERGEFORMAT</w:instrText>
        </w:r>
        <w:r>
          <w:rPr>
            <w:rFonts w:ascii="Times New Roman" w:hAnsi="Times New Roman"/>
            <w:sz w:val="21"/>
            <w:szCs w:val="21"/>
          </w:rPr>
          <w:fldChar w:fldCharType="separate"/>
        </w:r>
        <w:r>
          <w:rPr>
            <w:rFonts w:ascii="Times New Roman" w:hAnsi="Times New Roman"/>
            <w:sz w:val="21"/>
            <w:szCs w:val="21"/>
            <w:lang w:val="zh-CN" w:eastAsia="zh-CN"/>
          </w:rPr>
          <w:t>12</w:t>
        </w:r>
        <w:r>
          <w:rPr>
            <w:rFonts w:ascii="Times New Roman" w:hAnsi="Times New Roman"/>
            <w:sz w:val="21"/>
            <w:szCs w:val="21"/>
          </w:rPr>
          <w:fldChar w:fldCharType="end"/>
        </w:r>
      </w:sdtContent>
    </w:sdt>
    <w:r>
      <w:rPr>
        <w:rFonts w:hint="eastAsia" w:ascii="Times New Roman" w:hAnsi="Times New Roman"/>
        <w:sz w:val="21"/>
        <w:szCs w:val="21"/>
        <w:lang w:eastAsia="zh-CN"/>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single" w:color="auto" w:sz="4" w:space="1"/>
      </w:pBdr>
      <w:spacing w:line="240" w:lineRule="auto"/>
      <w:ind w:firstLine="420"/>
      <w:rPr>
        <w:rFonts w:ascii="Times New Roman" w:hAnsi="Times New Roman"/>
        <w:sz w:val="21"/>
        <w:szCs w:val="21"/>
        <w:lang w:eastAsia="zh-CN"/>
      </w:rPr>
    </w:pPr>
    <w:r>
      <w:rPr>
        <w:rFonts w:hint="eastAsia" w:ascii="Times New Roman" w:hAnsi="Times New Roman"/>
        <w:sz w:val="21"/>
        <w:szCs w:val="21"/>
        <w:lang w:eastAsia="zh-CN"/>
      </w:rPr>
      <w:t>普光3011-6井钻井及试采工程</w:t>
    </w:r>
    <w:r>
      <w:rPr>
        <w:rFonts w:ascii="Times New Roman" w:hAnsi="Times New Roman"/>
        <w:sz w:val="21"/>
        <w:szCs w:val="21"/>
        <w:lang w:eastAsia="zh-CN"/>
      </w:rPr>
      <w:t>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single" w:color="auto" w:sz="4" w:space="1"/>
      </w:pBdr>
      <w:spacing w:line="240" w:lineRule="auto"/>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420"/>
      <w:rPr>
        <w:lang w:eastAsia="zh-CN"/>
      </w:rPr>
    </w:pPr>
    <w:r>
      <w:rPr>
        <w:rFonts w:hint="eastAsia" w:ascii="Times New Roman" w:hAnsi="Times New Roman"/>
        <w:sz w:val="21"/>
        <w:szCs w:val="21"/>
        <w:lang w:eastAsia="zh-CN"/>
      </w:rPr>
      <w:t>普光3011-6井钻井及试采工程</w:t>
    </w:r>
    <w:r>
      <w:rPr>
        <w:rFonts w:ascii="Times New Roman" w:hAnsi="Times New Roman"/>
        <w:sz w:val="21"/>
        <w:szCs w:val="21"/>
        <w:lang w:eastAsia="zh-CN"/>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4BED173"/>
    <w:multiLevelType w:val="singleLevel"/>
    <w:tmpl w:val="94BED173"/>
    <w:lvl w:ilvl="0" w:tentative="0">
      <w:start w:val="2"/>
      <w:numFmt w:val="decimal"/>
      <w:suff w:val="nothing"/>
      <w:lvlText w:val="%1、"/>
      <w:lvlJc w:val="left"/>
    </w:lvl>
  </w:abstractNum>
  <w:abstractNum w:abstractNumId="1">
    <w:nsid w:val="13D45BD0"/>
    <w:multiLevelType w:val="multilevel"/>
    <w:tmpl w:val="13D45BD0"/>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152F5B0A"/>
    <w:multiLevelType w:val="multilevel"/>
    <w:tmpl w:val="152F5B0A"/>
    <w:lvl w:ilvl="0" w:tentative="0">
      <w:start w:val="1"/>
      <w:numFmt w:val="decimal"/>
      <w:pStyle w:val="606"/>
      <w:suff w:val="nothing"/>
      <w:lvlText w:val="（%1）"/>
      <w:lvlJc w:val="left"/>
      <w:pPr>
        <w:ind w:left="1272" w:hanging="420"/>
      </w:pPr>
      <w:rPr>
        <w:rFonts w:hint="default" w:ascii="Times New Roman" w:hAnsi="Times New Roman"/>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1A643155"/>
    <w:multiLevelType w:val="multilevel"/>
    <w:tmpl w:val="1A643155"/>
    <w:lvl w:ilvl="0" w:tentative="0">
      <w:start w:val="1"/>
      <w:numFmt w:val="decimal"/>
      <w:suff w:val="nothing"/>
      <w:lvlText w:val="（%1）"/>
      <w:lvlJc w:val="left"/>
      <w:pPr>
        <w:ind w:left="0" w:firstLine="480"/>
      </w:pPr>
      <w:rPr>
        <w:rFonts w:hint="default" w:ascii="Times New Roman" w:hAnsi="Times New Roman" w:eastAsia="宋体"/>
        <w:sz w:val="24"/>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4">
    <w:nsid w:val="2B580521"/>
    <w:multiLevelType w:val="multilevel"/>
    <w:tmpl w:val="2B580521"/>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5">
    <w:nsid w:val="2D1B22AA"/>
    <w:multiLevelType w:val="multilevel"/>
    <w:tmpl w:val="2D1B22AA"/>
    <w:lvl w:ilvl="0" w:tentative="0">
      <w:start w:val="1"/>
      <w:numFmt w:val="decimal"/>
      <w:suff w:val="nothing"/>
      <w:lvlText w:val="（%1）"/>
      <w:lvlJc w:val="left"/>
      <w:pPr>
        <w:ind w:left="-28" w:firstLine="595"/>
      </w:pPr>
      <w:rPr>
        <w:rFonts w:hint="default" w:ascii="Times New Roman" w:hAnsi="Times New Roman"/>
        <w:lang w:val="en-US"/>
      </w:rPr>
    </w:lvl>
    <w:lvl w:ilvl="1" w:tentative="0">
      <w:start w:val="1"/>
      <w:numFmt w:val="lowerLetter"/>
      <w:lvlText w:val="%2)"/>
      <w:lvlJc w:val="left"/>
      <w:pPr>
        <w:ind w:left="1266" w:hanging="420"/>
      </w:pPr>
      <w:rPr>
        <w:rFonts w:hint="eastAsia"/>
      </w:rPr>
    </w:lvl>
    <w:lvl w:ilvl="2" w:tentative="0">
      <w:start w:val="1"/>
      <w:numFmt w:val="lowerRoman"/>
      <w:lvlText w:val="%3."/>
      <w:lvlJc w:val="right"/>
      <w:pPr>
        <w:ind w:left="1686" w:hanging="420"/>
      </w:pPr>
      <w:rPr>
        <w:rFonts w:hint="eastAsia"/>
      </w:rPr>
    </w:lvl>
    <w:lvl w:ilvl="3" w:tentative="0">
      <w:start w:val="1"/>
      <w:numFmt w:val="decimal"/>
      <w:lvlText w:val="%4."/>
      <w:lvlJc w:val="left"/>
      <w:pPr>
        <w:ind w:left="2106" w:hanging="420"/>
      </w:pPr>
      <w:rPr>
        <w:rFonts w:hint="eastAsia"/>
      </w:rPr>
    </w:lvl>
    <w:lvl w:ilvl="4" w:tentative="0">
      <w:start w:val="1"/>
      <w:numFmt w:val="lowerLetter"/>
      <w:lvlText w:val="%5)"/>
      <w:lvlJc w:val="left"/>
      <w:pPr>
        <w:ind w:left="2526" w:hanging="420"/>
      </w:pPr>
      <w:rPr>
        <w:rFonts w:hint="eastAsia"/>
      </w:rPr>
    </w:lvl>
    <w:lvl w:ilvl="5" w:tentative="0">
      <w:start w:val="1"/>
      <w:numFmt w:val="lowerRoman"/>
      <w:lvlText w:val="%6."/>
      <w:lvlJc w:val="right"/>
      <w:pPr>
        <w:ind w:left="2946" w:hanging="420"/>
      </w:pPr>
      <w:rPr>
        <w:rFonts w:hint="eastAsia"/>
      </w:rPr>
    </w:lvl>
    <w:lvl w:ilvl="6" w:tentative="0">
      <w:start w:val="1"/>
      <w:numFmt w:val="decimal"/>
      <w:lvlText w:val="%7."/>
      <w:lvlJc w:val="left"/>
      <w:pPr>
        <w:ind w:left="3366" w:hanging="420"/>
      </w:pPr>
      <w:rPr>
        <w:rFonts w:hint="eastAsia"/>
      </w:rPr>
    </w:lvl>
    <w:lvl w:ilvl="7" w:tentative="0">
      <w:start w:val="1"/>
      <w:numFmt w:val="lowerLetter"/>
      <w:lvlText w:val="%8)"/>
      <w:lvlJc w:val="left"/>
      <w:pPr>
        <w:ind w:left="3786" w:hanging="420"/>
      </w:pPr>
      <w:rPr>
        <w:rFonts w:hint="eastAsia"/>
      </w:rPr>
    </w:lvl>
    <w:lvl w:ilvl="8" w:tentative="0">
      <w:start w:val="1"/>
      <w:numFmt w:val="lowerRoman"/>
      <w:lvlText w:val="%9."/>
      <w:lvlJc w:val="right"/>
      <w:pPr>
        <w:ind w:left="4206" w:hanging="420"/>
      </w:pPr>
      <w:rPr>
        <w:rFonts w:hint="eastAsia"/>
      </w:rPr>
    </w:lvl>
  </w:abstractNum>
  <w:abstractNum w:abstractNumId="6">
    <w:nsid w:val="30E570E3"/>
    <w:multiLevelType w:val="multilevel"/>
    <w:tmpl w:val="30E570E3"/>
    <w:lvl w:ilvl="0" w:tentative="0">
      <w:start w:val="1"/>
      <w:numFmt w:val="bullet"/>
      <w:pStyle w:val="36"/>
      <w:lvlText w:val=""/>
      <w:lvlJc w:val="left"/>
      <w:pPr>
        <w:ind w:left="207" w:hanging="181"/>
      </w:pPr>
      <w:rPr>
        <w:rFonts w:hint="default" w:ascii="Symbol" w:hAnsi="Symbol" w:eastAsia="Symbol"/>
        <w:w w:val="102"/>
        <w:sz w:val="24"/>
        <w:szCs w:val="24"/>
      </w:rPr>
    </w:lvl>
    <w:lvl w:ilvl="1" w:tentative="0">
      <w:start w:val="1"/>
      <w:numFmt w:val="bullet"/>
      <w:lvlText w:val="•"/>
      <w:lvlJc w:val="left"/>
      <w:pPr>
        <w:ind w:left="239" w:hanging="181"/>
      </w:pPr>
      <w:rPr>
        <w:rFonts w:hint="default"/>
      </w:rPr>
    </w:lvl>
    <w:lvl w:ilvl="2" w:tentative="0">
      <w:start w:val="1"/>
      <w:numFmt w:val="bullet"/>
      <w:lvlText w:val="•"/>
      <w:lvlJc w:val="left"/>
      <w:pPr>
        <w:ind w:left="279" w:hanging="181"/>
      </w:pPr>
      <w:rPr>
        <w:rFonts w:hint="default"/>
      </w:rPr>
    </w:lvl>
    <w:lvl w:ilvl="3" w:tentative="0">
      <w:start w:val="1"/>
      <w:numFmt w:val="bullet"/>
      <w:lvlText w:val="•"/>
      <w:lvlJc w:val="left"/>
      <w:pPr>
        <w:ind w:left="319" w:hanging="181"/>
      </w:pPr>
      <w:rPr>
        <w:rFonts w:hint="default"/>
      </w:rPr>
    </w:lvl>
    <w:lvl w:ilvl="4" w:tentative="0">
      <w:start w:val="1"/>
      <w:numFmt w:val="bullet"/>
      <w:lvlText w:val="•"/>
      <w:lvlJc w:val="left"/>
      <w:pPr>
        <w:ind w:left="359" w:hanging="181"/>
      </w:pPr>
      <w:rPr>
        <w:rFonts w:hint="default"/>
      </w:rPr>
    </w:lvl>
    <w:lvl w:ilvl="5" w:tentative="0">
      <w:start w:val="1"/>
      <w:numFmt w:val="bullet"/>
      <w:lvlText w:val="•"/>
      <w:lvlJc w:val="left"/>
      <w:pPr>
        <w:ind w:left="398" w:hanging="181"/>
      </w:pPr>
      <w:rPr>
        <w:rFonts w:hint="default"/>
      </w:rPr>
    </w:lvl>
    <w:lvl w:ilvl="6" w:tentative="0">
      <w:start w:val="1"/>
      <w:numFmt w:val="bullet"/>
      <w:lvlText w:val="•"/>
      <w:lvlJc w:val="left"/>
      <w:pPr>
        <w:ind w:left="438" w:hanging="181"/>
      </w:pPr>
      <w:rPr>
        <w:rFonts w:hint="default"/>
      </w:rPr>
    </w:lvl>
    <w:lvl w:ilvl="7" w:tentative="0">
      <w:start w:val="1"/>
      <w:numFmt w:val="bullet"/>
      <w:lvlText w:val="•"/>
      <w:lvlJc w:val="left"/>
      <w:pPr>
        <w:ind w:left="478" w:hanging="181"/>
      </w:pPr>
      <w:rPr>
        <w:rFonts w:hint="default"/>
      </w:rPr>
    </w:lvl>
    <w:lvl w:ilvl="8" w:tentative="0">
      <w:start w:val="1"/>
      <w:numFmt w:val="bullet"/>
      <w:lvlText w:val="•"/>
      <w:lvlJc w:val="left"/>
      <w:pPr>
        <w:ind w:left="518" w:hanging="181"/>
      </w:pPr>
      <w:rPr>
        <w:rFonts w:hint="default"/>
      </w:rPr>
    </w:lvl>
  </w:abstractNum>
  <w:abstractNum w:abstractNumId="7">
    <w:nsid w:val="43EB5AE6"/>
    <w:multiLevelType w:val="multilevel"/>
    <w:tmpl w:val="43EB5AE6"/>
    <w:lvl w:ilvl="0" w:tentative="0">
      <w:start w:val="1"/>
      <w:numFmt w:val="decimal"/>
      <w:suff w:val="nothing"/>
      <w:lvlText w:val="%1、"/>
      <w:lvlJc w:val="left"/>
      <w:pPr>
        <w:ind w:left="5671" w:firstLine="0"/>
      </w:pPr>
      <w:rPr>
        <w:rFonts w:hint="eastAsia"/>
        <w:b w:val="0"/>
        <w:bCs w:val="0"/>
      </w:rPr>
    </w:lvl>
    <w:lvl w:ilvl="1" w:tentative="0">
      <w:start w:val="1"/>
      <w:numFmt w:val="decimal"/>
      <w:suff w:val="space"/>
      <w:lvlText w:val="%1.%2"/>
      <w:lvlJc w:val="left"/>
      <w:pPr>
        <w:ind w:left="0" w:firstLine="0"/>
      </w:pPr>
      <w:rPr>
        <w:rFonts w:hint="eastAsia"/>
      </w:rPr>
    </w:lvl>
    <w:lvl w:ilvl="2" w:tentative="0">
      <w:start w:val="1"/>
      <w:numFmt w:val="decimal"/>
      <w:suff w:val="space"/>
      <w:lvlText w:val="%1.%2.%3"/>
      <w:lvlJc w:val="left"/>
      <w:pPr>
        <w:ind w:left="4821" w:firstLine="0"/>
      </w:pPr>
      <w:rPr>
        <w:rFonts w:hint="eastAsia"/>
        <w:b w:val="0"/>
        <w:bCs w:val="0"/>
      </w:rPr>
    </w:lvl>
    <w:lvl w:ilvl="3" w:tentative="0">
      <w:start w:val="1"/>
      <w:numFmt w:val="decimal"/>
      <w:suff w:val="space"/>
      <w:lvlText w:val="%1.%2.%3.%4"/>
      <w:lvlJc w:val="left"/>
      <w:pPr>
        <w:ind w:left="1135" w:firstLine="0"/>
      </w:p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6"/>
  </w:num>
  <w:num w:numId="2">
    <w:abstractNumId w:val="2"/>
  </w:num>
  <w:num w:numId="3">
    <w:abstractNumId w:val="5"/>
  </w:num>
  <w:num w:numId="4">
    <w:abstractNumId w:val="3"/>
  </w:num>
  <w:num w:numId="5">
    <w:abstractNumId w:val="0"/>
  </w:num>
  <w:num w:numId="6">
    <w:abstractNumId w:val="4"/>
  </w:num>
  <w:num w:numId="7">
    <w:abstractNumId w:val="1"/>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1"/>
  <w:bordersDoNotSurroundFooter w:val="1"/>
  <w:hideSpellingErrors/>
  <w:documentProtection w:enforcement="0"/>
  <w:defaultTabStop w:val="720"/>
  <w:evenAndOddHeaders w:val="1"/>
  <w:drawingGridHorizontalSpacing w:val="120"/>
  <w:drawingGridVerticalSpacing w:val="163"/>
  <w:noPunctuationKerning w:val="1"/>
  <w:characterSpacingControl w:val="doNotCompress"/>
  <w:footnotePr>
    <w:footnote w:id="0"/>
    <w:footnote w:id="1"/>
  </w:footnotePr>
  <w:endnotePr>
    <w:endnote w:id="0"/>
    <w:endnote w:id="1"/>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QyMjhkYTYyOTE5MzZkNTk3MjI4ZjVjYWI2MzM3NjkifQ=="/>
  </w:docVars>
  <w:rsids>
    <w:rsidRoot w:val="00B8303D"/>
    <w:rsid w:val="000005C9"/>
    <w:rsid w:val="000007C9"/>
    <w:rsid w:val="00000C0A"/>
    <w:rsid w:val="00001291"/>
    <w:rsid w:val="0000129F"/>
    <w:rsid w:val="00001AFF"/>
    <w:rsid w:val="00001BC1"/>
    <w:rsid w:val="00001E1D"/>
    <w:rsid w:val="00002044"/>
    <w:rsid w:val="000032E4"/>
    <w:rsid w:val="000034A3"/>
    <w:rsid w:val="00003C78"/>
    <w:rsid w:val="0000422E"/>
    <w:rsid w:val="00004562"/>
    <w:rsid w:val="00005E95"/>
    <w:rsid w:val="00005FE4"/>
    <w:rsid w:val="00006D9D"/>
    <w:rsid w:val="0000719A"/>
    <w:rsid w:val="00007964"/>
    <w:rsid w:val="0001015F"/>
    <w:rsid w:val="00010495"/>
    <w:rsid w:val="000107E1"/>
    <w:rsid w:val="000126F8"/>
    <w:rsid w:val="00012758"/>
    <w:rsid w:val="00012863"/>
    <w:rsid w:val="0001338D"/>
    <w:rsid w:val="000135BC"/>
    <w:rsid w:val="000140A5"/>
    <w:rsid w:val="00015547"/>
    <w:rsid w:val="00015E0A"/>
    <w:rsid w:val="00015EA7"/>
    <w:rsid w:val="0001683F"/>
    <w:rsid w:val="00017E6C"/>
    <w:rsid w:val="00020172"/>
    <w:rsid w:val="000203E9"/>
    <w:rsid w:val="00021027"/>
    <w:rsid w:val="000210E0"/>
    <w:rsid w:val="0002110E"/>
    <w:rsid w:val="000211D4"/>
    <w:rsid w:val="0002125A"/>
    <w:rsid w:val="00021604"/>
    <w:rsid w:val="00021785"/>
    <w:rsid w:val="00021A23"/>
    <w:rsid w:val="00022611"/>
    <w:rsid w:val="000226FB"/>
    <w:rsid w:val="00022ED3"/>
    <w:rsid w:val="00023105"/>
    <w:rsid w:val="00023579"/>
    <w:rsid w:val="00025071"/>
    <w:rsid w:val="0002567D"/>
    <w:rsid w:val="000256F3"/>
    <w:rsid w:val="0002590C"/>
    <w:rsid w:val="000259B5"/>
    <w:rsid w:val="000267B3"/>
    <w:rsid w:val="00026C6E"/>
    <w:rsid w:val="000275B9"/>
    <w:rsid w:val="000276EE"/>
    <w:rsid w:val="00027CAF"/>
    <w:rsid w:val="00027E52"/>
    <w:rsid w:val="0003158D"/>
    <w:rsid w:val="000319AF"/>
    <w:rsid w:val="00032558"/>
    <w:rsid w:val="000325C8"/>
    <w:rsid w:val="00032757"/>
    <w:rsid w:val="000328FD"/>
    <w:rsid w:val="00032C16"/>
    <w:rsid w:val="000336CC"/>
    <w:rsid w:val="00034161"/>
    <w:rsid w:val="000342B9"/>
    <w:rsid w:val="00034B62"/>
    <w:rsid w:val="00035523"/>
    <w:rsid w:val="0003568A"/>
    <w:rsid w:val="000358C4"/>
    <w:rsid w:val="00035B47"/>
    <w:rsid w:val="0003687F"/>
    <w:rsid w:val="00036C87"/>
    <w:rsid w:val="0003790B"/>
    <w:rsid w:val="00037B88"/>
    <w:rsid w:val="0004037D"/>
    <w:rsid w:val="00040516"/>
    <w:rsid w:val="0004064A"/>
    <w:rsid w:val="000408D0"/>
    <w:rsid w:val="00040954"/>
    <w:rsid w:val="00040CB2"/>
    <w:rsid w:val="00041340"/>
    <w:rsid w:val="00041519"/>
    <w:rsid w:val="00041E00"/>
    <w:rsid w:val="00041EBC"/>
    <w:rsid w:val="000426CC"/>
    <w:rsid w:val="00042DFF"/>
    <w:rsid w:val="00042F5B"/>
    <w:rsid w:val="000436DC"/>
    <w:rsid w:val="00043A4A"/>
    <w:rsid w:val="0004419B"/>
    <w:rsid w:val="00044300"/>
    <w:rsid w:val="00044B4B"/>
    <w:rsid w:val="00044D8D"/>
    <w:rsid w:val="000452D8"/>
    <w:rsid w:val="00045731"/>
    <w:rsid w:val="00045C09"/>
    <w:rsid w:val="00045C31"/>
    <w:rsid w:val="00046943"/>
    <w:rsid w:val="00046D6F"/>
    <w:rsid w:val="0004756E"/>
    <w:rsid w:val="00047733"/>
    <w:rsid w:val="0004783B"/>
    <w:rsid w:val="00047E3B"/>
    <w:rsid w:val="00050B69"/>
    <w:rsid w:val="00050BE7"/>
    <w:rsid w:val="00051322"/>
    <w:rsid w:val="00051514"/>
    <w:rsid w:val="000519D4"/>
    <w:rsid w:val="00051CAE"/>
    <w:rsid w:val="000521CE"/>
    <w:rsid w:val="00052A1C"/>
    <w:rsid w:val="000532D4"/>
    <w:rsid w:val="0005352E"/>
    <w:rsid w:val="0005395D"/>
    <w:rsid w:val="00053B30"/>
    <w:rsid w:val="00053E3D"/>
    <w:rsid w:val="00053E9D"/>
    <w:rsid w:val="000541E3"/>
    <w:rsid w:val="00054235"/>
    <w:rsid w:val="00054513"/>
    <w:rsid w:val="00054CE1"/>
    <w:rsid w:val="00054CF1"/>
    <w:rsid w:val="00054F0B"/>
    <w:rsid w:val="00054FBE"/>
    <w:rsid w:val="000557DA"/>
    <w:rsid w:val="0005591C"/>
    <w:rsid w:val="00055E45"/>
    <w:rsid w:val="000563A3"/>
    <w:rsid w:val="00056841"/>
    <w:rsid w:val="00057C88"/>
    <w:rsid w:val="00057D34"/>
    <w:rsid w:val="000602A4"/>
    <w:rsid w:val="00060556"/>
    <w:rsid w:val="00061D76"/>
    <w:rsid w:val="00062471"/>
    <w:rsid w:val="00062536"/>
    <w:rsid w:val="0006254A"/>
    <w:rsid w:val="00062C5E"/>
    <w:rsid w:val="00064062"/>
    <w:rsid w:val="00064312"/>
    <w:rsid w:val="0006439B"/>
    <w:rsid w:val="00064C78"/>
    <w:rsid w:val="00065039"/>
    <w:rsid w:val="00065998"/>
    <w:rsid w:val="00065A7C"/>
    <w:rsid w:val="000664DD"/>
    <w:rsid w:val="0006685C"/>
    <w:rsid w:val="00067195"/>
    <w:rsid w:val="00067A4D"/>
    <w:rsid w:val="00070786"/>
    <w:rsid w:val="00070A11"/>
    <w:rsid w:val="00071CF9"/>
    <w:rsid w:val="00071D56"/>
    <w:rsid w:val="00071EE2"/>
    <w:rsid w:val="000723CB"/>
    <w:rsid w:val="00072752"/>
    <w:rsid w:val="000727D9"/>
    <w:rsid w:val="00072FEA"/>
    <w:rsid w:val="000732EC"/>
    <w:rsid w:val="0007350F"/>
    <w:rsid w:val="000738A2"/>
    <w:rsid w:val="0007394B"/>
    <w:rsid w:val="0007493F"/>
    <w:rsid w:val="00074BFA"/>
    <w:rsid w:val="00074CC3"/>
    <w:rsid w:val="00074E85"/>
    <w:rsid w:val="0007546B"/>
    <w:rsid w:val="00075486"/>
    <w:rsid w:val="0007619E"/>
    <w:rsid w:val="00076223"/>
    <w:rsid w:val="0007644C"/>
    <w:rsid w:val="00076930"/>
    <w:rsid w:val="00076B91"/>
    <w:rsid w:val="000776FC"/>
    <w:rsid w:val="00077A04"/>
    <w:rsid w:val="00077AF2"/>
    <w:rsid w:val="00077D71"/>
    <w:rsid w:val="00080119"/>
    <w:rsid w:val="00080305"/>
    <w:rsid w:val="00080A6C"/>
    <w:rsid w:val="00081457"/>
    <w:rsid w:val="00081A82"/>
    <w:rsid w:val="00081BC3"/>
    <w:rsid w:val="000827D5"/>
    <w:rsid w:val="00082EA8"/>
    <w:rsid w:val="000831AF"/>
    <w:rsid w:val="00083515"/>
    <w:rsid w:val="00083AF0"/>
    <w:rsid w:val="00084595"/>
    <w:rsid w:val="000846B2"/>
    <w:rsid w:val="0008482E"/>
    <w:rsid w:val="000852FA"/>
    <w:rsid w:val="00085891"/>
    <w:rsid w:val="00085BC2"/>
    <w:rsid w:val="00087418"/>
    <w:rsid w:val="00087DD7"/>
    <w:rsid w:val="00087EB9"/>
    <w:rsid w:val="00090294"/>
    <w:rsid w:val="00090671"/>
    <w:rsid w:val="00090EF2"/>
    <w:rsid w:val="00090FE3"/>
    <w:rsid w:val="000912BD"/>
    <w:rsid w:val="00091EE6"/>
    <w:rsid w:val="00092363"/>
    <w:rsid w:val="000925D8"/>
    <w:rsid w:val="00092862"/>
    <w:rsid w:val="00093B08"/>
    <w:rsid w:val="0009444A"/>
    <w:rsid w:val="00094606"/>
    <w:rsid w:val="00094D19"/>
    <w:rsid w:val="00095FAD"/>
    <w:rsid w:val="00096D4A"/>
    <w:rsid w:val="000972F8"/>
    <w:rsid w:val="00097EEB"/>
    <w:rsid w:val="000A0EBA"/>
    <w:rsid w:val="000A18F4"/>
    <w:rsid w:val="000A1900"/>
    <w:rsid w:val="000A1A4C"/>
    <w:rsid w:val="000A2167"/>
    <w:rsid w:val="000A2BF3"/>
    <w:rsid w:val="000A2FDE"/>
    <w:rsid w:val="000A3CF8"/>
    <w:rsid w:val="000A4873"/>
    <w:rsid w:val="000A54E6"/>
    <w:rsid w:val="000A5BDB"/>
    <w:rsid w:val="000A5CF8"/>
    <w:rsid w:val="000A6BB1"/>
    <w:rsid w:val="000A6CC7"/>
    <w:rsid w:val="000A7630"/>
    <w:rsid w:val="000A7F05"/>
    <w:rsid w:val="000B09F7"/>
    <w:rsid w:val="000B1CBB"/>
    <w:rsid w:val="000B1E75"/>
    <w:rsid w:val="000B2927"/>
    <w:rsid w:val="000B2ED1"/>
    <w:rsid w:val="000B3E74"/>
    <w:rsid w:val="000B4282"/>
    <w:rsid w:val="000B4666"/>
    <w:rsid w:val="000B5517"/>
    <w:rsid w:val="000B5C27"/>
    <w:rsid w:val="000B5DBB"/>
    <w:rsid w:val="000B6679"/>
    <w:rsid w:val="000B6983"/>
    <w:rsid w:val="000B6D55"/>
    <w:rsid w:val="000B7206"/>
    <w:rsid w:val="000B736C"/>
    <w:rsid w:val="000B7444"/>
    <w:rsid w:val="000B7A85"/>
    <w:rsid w:val="000B7D48"/>
    <w:rsid w:val="000C0113"/>
    <w:rsid w:val="000C0397"/>
    <w:rsid w:val="000C04A9"/>
    <w:rsid w:val="000C118C"/>
    <w:rsid w:val="000C19DD"/>
    <w:rsid w:val="000C1A72"/>
    <w:rsid w:val="000C1F81"/>
    <w:rsid w:val="000C273A"/>
    <w:rsid w:val="000C2B47"/>
    <w:rsid w:val="000C2EE6"/>
    <w:rsid w:val="000C2F0A"/>
    <w:rsid w:val="000C313A"/>
    <w:rsid w:val="000C3146"/>
    <w:rsid w:val="000C3512"/>
    <w:rsid w:val="000C3744"/>
    <w:rsid w:val="000C3942"/>
    <w:rsid w:val="000C4084"/>
    <w:rsid w:val="000C41FF"/>
    <w:rsid w:val="000C460A"/>
    <w:rsid w:val="000C4CA7"/>
    <w:rsid w:val="000C55CC"/>
    <w:rsid w:val="000C5AF0"/>
    <w:rsid w:val="000C61B5"/>
    <w:rsid w:val="000C6296"/>
    <w:rsid w:val="000C6CB4"/>
    <w:rsid w:val="000C6D8A"/>
    <w:rsid w:val="000C7123"/>
    <w:rsid w:val="000C72E4"/>
    <w:rsid w:val="000C75C4"/>
    <w:rsid w:val="000C781E"/>
    <w:rsid w:val="000C78D5"/>
    <w:rsid w:val="000D019D"/>
    <w:rsid w:val="000D0654"/>
    <w:rsid w:val="000D0860"/>
    <w:rsid w:val="000D0F83"/>
    <w:rsid w:val="000D1065"/>
    <w:rsid w:val="000D120E"/>
    <w:rsid w:val="000D1626"/>
    <w:rsid w:val="000D181B"/>
    <w:rsid w:val="000D1CD4"/>
    <w:rsid w:val="000D205D"/>
    <w:rsid w:val="000D2210"/>
    <w:rsid w:val="000D2679"/>
    <w:rsid w:val="000D2E47"/>
    <w:rsid w:val="000D2F4A"/>
    <w:rsid w:val="000D2F87"/>
    <w:rsid w:val="000D345A"/>
    <w:rsid w:val="000D35D8"/>
    <w:rsid w:val="000D3CE4"/>
    <w:rsid w:val="000D401F"/>
    <w:rsid w:val="000D4868"/>
    <w:rsid w:val="000D4C87"/>
    <w:rsid w:val="000D5816"/>
    <w:rsid w:val="000D5E3F"/>
    <w:rsid w:val="000D664A"/>
    <w:rsid w:val="000D6753"/>
    <w:rsid w:val="000D6C7E"/>
    <w:rsid w:val="000D737E"/>
    <w:rsid w:val="000D7504"/>
    <w:rsid w:val="000D76B8"/>
    <w:rsid w:val="000D76D5"/>
    <w:rsid w:val="000D7B9B"/>
    <w:rsid w:val="000D7E27"/>
    <w:rsid w:val="000E020B"/>
    <w:rsid w:val="000E0D00"/>
    <w:rsid w:val="000E137E"/>
    <w:rsid w:val="000E1747"/>
    <w:rsid w:val="000E17CD"/>
    <w:rsid w:val="000E1BFD"/>
    <w:rsid w:val="000E24DA"/>
    <w:rsid w:val="000E31AF"/>
    <w:rsid w:val="000E3DDF"/>
    <w:rsid w:val="000E4284"/>
    <w:rsid w:val="000E4933"/>
    <w:rsid w:val="000E4D35"/>
    <w:rsid w:val="000E5198"/>
    <w:rsid w:val="000E541E"/>
    <w:rsid w:val="000E5A0D"/>
    <w:rsid w:val="000E5E5A"/>
    <w:rsid w:val="000E615B"/>
    <w:rsid w:val="000E6751"/>
    <w:rsid w:val="000E6B19"/>
    <w:rsid w:val="000E6BB9"/>
    <w:rsid w:val="000E6D4E"/>
    <w:rsid w:val="000E78C4"/>
    <w:rsid w:val="000E7B9A"/>
    <w:rsid w:val="000E7C99"/>
    <w:rsid w:val="000F0A8A"/>
    <w:rsid w:val="000F0CEF"/>
    <w:rsid w:val="000F0E12"/>
    <w:rsid w:val="000F0E25"/>
    <w:rsid w:val="000F151D"/>
    <w:rsid w:val="000F164F"/>
    <w:rsid w:val="000F2AA0"/>
    <w:rsid w:val="000F3B1E"/>
    <w:rsid w:val="000F3E53"/>
    <w:rsid w:val="000F44CB"/>
    <w:rsid w:val="000F4D98"/>
    <w:rsid w:val="000F5015"/>
    <w:rsid w:val="000F535E"/>
    <w:rsid w:val="000F580B"/>
    <w:rsid w:val="000F59EB"/>
    <w:rsid w:val="000F5BDA"/>
    <w:rsid w:val="000F5D3F"/>
    <w:rsid w:val="000F6112"/>
    <w:rsid w:val="000F637A"/>
    <w:rsid w:val="000F6507"/>
    <w:rsid w:val="000F6876"/>
    <w:rsid w:val="000F6C0F"/>
    <w:rsid w:val="000F76F9"/>
    <w:rsid w:val="000F7A1D"/>
    <w:rsid w:val="001001E6"/>
    <w:rsid w:val="00100248"/>
    <w:rsid w:val="001003DC"/>
    <w:rsid w:val="0010109B"/>
    <w:rsid w:val="00101D44"/>
    <w:rsid w:val="00101E63"/>
    <w:rsid w:val="0010287F"/>
    <w:rsid w:val="00102B59"/>
    <w:rsid w:val="00103122"/>
    <w:rsid w:val="0010354C"/>
    <w:rsid w:val="001036F3"/>
    <w:rsid w:val="00103CFA"/>
    <w:rsid w:val="00104CA4"/>
    <w:rsid w:val="001051D7"/>
    <w:rsid w:val="00105AE9"/>
    <w:rsid w:val="00105EE1"/>
    <w:rsid w:val="00106614"/>
    <w:rsid w:val="00107A36"/>
    <w:rsid w:val="00107DF0"/>
    <w:rsid w:val="00110395"/>
    <w:rsid w:val="00111531"/>
    <w:rsid w:val="00111862"/>
    <w:rsid w:val="001119AE"/>
    <w:rsid w:val="00111AB4"/>
    <w:rsid w:val="00111D11"/>
    <w:rsid w:val="001133C3"/>
    <w:rsid w:val="00113A28"/>
    <w:rsid w:val="00113C7C"/>
    <w:rsid w:val="00114874"/>
    <w:rsid w:val="00114A66"/>
    <w:rsid w:val="00115857"/>
    <w:rsid w:val="001159B3"/>
    <w:rsid w:val="001159F8"/>
    <w:rsid w:val="00116123"/>
    <w:rsid w:val="0011655C"/>
    <w:rsid w:val="00116889"/>
    <w:rsid w:val="001172DC"/>
    <w:rsid w:val="001176F1"/>
    <w:rsid w:val="00117D0B"/>
    <w:rsid w:val="00120B88"/>
    <w:rsid w:val="00120BC8"/>
    <w:rsid w:val="00120C33"/>
    <w:rsid w:val="00120E3E"/>
    <w:rsid w:val="001213B6"/>
    <w:rsid w:val="001215B7"/>
    <w:rsid w:val="00121646"/>
    <w:rsid w:val="00121B22"/>
    <w:rsid w:val="00122391"/>
    <w:rsid w:val="0012287E"/>
    <w:rsid w:val="00122B31"/>
    <w:rsid w:val="00123427"/>
    <w:rsid w:val="00123FCD"/>
    <w:rsid w:val="00123FE1"/>
    <w:rsid w:val="001241CB"/>
    <w:rsid w:val="0012426B"/>
    <w:rsid w:val="00124512"/>
    <w:rsid w:val="00125053"/>
    <w:rsid w:val="0012569E"/>
    <w:rsid w:val="0012594E"/>
    <w:rsid w:val="00125C4D"/>
    <w:rsid w:val="00125FF7"/>
    <w:rsid w:val="00126037"/>
    <w:rsid w:val="00126252"/>
    <w:rsid w:val="00126943"/>
    <w:rsid w:val="00127C52"/>
    <w:rsid w:val="001303DA"/>
    <w:rsid w:val="00130658"/>
    <w:rsid w:val="00130CB8"/>
    <w:rsid w:val="00131614"/>
    <w:rsid w:val="00132548"/>
    <w:rsid w:val="001328D8"/>
    <w:rsid w:val="00132D73"/>
    <w:rsid w:val="001339EE"/>
    <w:rsid w:val="00133FF9"/>
    <w:rsid w:val="001343BC"/>
    <w:rsid w:val="00134672"/>
    <w:rsid w:val="001348A9"/>
    <w:rsid w:val="00134D9C"/>
    <w:rsid w:val="00135385"/>
    <w:rsid w:val="001359F2"/>
    <w:rsid w:val="00135DFE"/>
    <w:rsid w:val="00136063"/>
    <w:rsid w:val="001360FF"/>
    <w:rsid w:val="00136742"/>
    <w:rsid w:val="00136C78"/>
    <w:rsid w:val="001377F7"/>
    <w:rsid w:val="00140813"/>
    <w:rsid w:val="00140B13"/>
    <w:rsid w:val="00140BB5"/>
    <w:rsid w:val="00141815"/>
    <w:rsid w:val="00141C4F"/>
    <w:rsid w:val="00141E33"/>
    <w:rsid w:val="001428FE"/>
    <w:rsid w:val="00142B84"/>
    <w:rsid w:val="00142E15"/>
    <w:rsid w:val="00143059"/>
    <w:rsid w:val="00143D2B"/>
    <w:rsid w:val="00143DC4"/>
    <w:rsid w:val="00143F3C"/>
    <w:rsid w:val="001444AF"/>
    <w:rsid w:val="0014460E"/>
    <w:rsid w:val="001447AE"/>
    <w:rsid w:val="00145A1C"/>
    <w:rsid w:val="00145B12"/>
    <w:rsid w:val="00145BF6"/>
    <w:rsid w:val="00146BF2"/>
    <w:rsid w:val="00146EB7"/>
    <w:rsid w:val="00147204"/>
    <w:rsid w:val="0014729F"/>
    <w:rsid w:val="001475DB"/>
    <w:rsid w:val="00147764"/>
    <w:rsid w:val="00147F06"/>
    <w:rsid w:val="001500A8"/>
    <w:rsid w:val="001503EB"/>
    <w:rsid w:val="00150BF1"/>
    <w:rsid w:val="00150C8F"/>
    <w:rsid w:val="00150EB0"/>
    <w:rsid w:val="00151B4F"/>
    <w:rsid w:val="00151D93"/>
    <w:rsid w:val="00151E1B"/>
    <w:rsid w:val="00152344"/>
    <w:rsid w:val="0015262B"/>
    <w:rsid w:val="0015263C"/>
    <w:rsid w:val="0015264B"/>
    <w:rsid w:val="00153814"/>
    <w:rsid w:val="00153A70"/>
    <w:rsid w:val="00153B3F"/>
    <w:rsid w:val="0015441C"/>
    <w:rsid w:val="001548E7"/>
    <w:rsid w:val="00154FD3"/>
    <w:rsid w:val="0015504C"/>
    <w:rsid w:val="00155839"/>
    <w:rsid w:val="00155ABE"/>
    <w:rsid w:val="00156192"/>
    <w:rsid w:val="00157107"/>
    <w:rsid w:val="0015792E"/>
    <w:rsid w:val="00157A51"/>
    <w:rsid w:val="00157C6A"/>
    <w:rsid w:val="0016022F"/>
    <w:rsid w:val="00160267"/>
    <w:rsid w:val="0016053B"/>
    <w:rsid w:val="00161622"/>
    <w:rsid w:val="001619C8"/>
    <w:rsid w:val="00161BE2"/>
    <w:rsid w:val="00161DEE"/>
    <w:rsid w:val="00161EE9"/>
    <w:rsid w:val="001634FA"/>
    <w:rsid w:val="001636B7"/>
    <w:rsid w:val="00163A62"/>
    <w:rsid w:val="00165053"/>
    <w:rsid w:val="001652CC"/>
    <w:rsid w:val="00166646"/>
    <w:rsid w:val="00166ADB"/>
    <w:rsid w:val="00166BDB"/>
    <w:rsid w:val="0016740E"/>
    <w:rsid w:val="00170887"/>
    <w:rsid w:val="00170AB0"/>
    <w:rsid w:val="00170AFE"/>
    <w:rsid w:val="00170E67"/>
    <w:rsid w:val="00170F8C"/>
    <w:rsid w:val="00171690"/>
    <w:rsid w:val="001716A6"/>
    <w:rsid w:val="0017284F"/>
    <w:rsid w:val="00172F16"/>
    <w:rsid w:val="0017333D"/>
    <w:rsid w:val="00173435"/>
    <w:rsid w:val="00173CF4"/>
    <w:rsid w:val="00173E0E"/>
    <w:rsid w:val="0017502F"/>
    <w:rsid w:val="001751B1"/>
    <w:rsid w:val="0017532F"/>
    <w:rsid w:val="001758C3"/>
    <w:rsid w:val="001763E6"/>
    <w:rsid w:val="001768E3"/>
    <w:rsid w:val="00180259"/>
    <w:rsid w:val="001807E5"/>
    <w:rsid w:val="00180B8C"/>
    <w:rsid w:val="001810A9"/>
    <w:rsid w:val="00181498"/>
    <w:rsid w:val="001814C0"/>
    <w:rsid w:val="00181944"/>
    <w:rsid w:val="0018197C"/>
    <w:rsid w:val="00181B1A"/>
    <w:rsid w:val="001829C0"/>
    <w:rsid w:val="00182C63"/>
    <w:rsid w:val="00182FE6"/>
    <w:rsid w:val="001836D4"/>
    <w:rsid w:val="0018398D"/>
    <w:rsid w:val="00183A18"/>
    <w:rsid w:val="00183D00"/>
    <w:rsid w:val="00183D02"/>
    <w:rsid w:val="00184B18"/>
    <w:rsid w:val="00184C62"/>
    <w:rsid w:val="00185AB4"/>
    <w:rsid w:val="0018619C"/>
    <w:rsid w:val="00186251"/>
    <w:rsid w:val="0018681C"/>
    <w:rsid w:val="00186B08"/>
    <w:rsid w:val="00186D6B"/>
    <w:rsid w:val="00186E56"/>
    <w:rsid w:val="00187053"/>
    <w:rsid w:val="00187558"/>
    <w:rsid w:val="001879AD"/>
    <w:rsid w:val="00190406"/>
    <w:rsid w:val="0019132C"/>
    <w:rsid w:val="00191CB2"/>
    <w:rsid w:val="001923C5"/>
    <w:rsid w:val="001924B6"/>
    <w:rsid w:val="001925DC"/>
    <w:rsid w:val="001927D2"/>
    <w:rsid w:val="00192A0E"/>
    <w:rsid w:val="00192DFD"/>
    <w:rsid w:val="00193287"/>
    <w:rsid w:val="00193AC2"/>
    <w:rsid w:val="00194140"/>
    <w:rsid w:val="001945A5"/>
    <w:rsid w:val="00194B21"/>
    <w:rsid w:val="00194B42"/>
    <w:rsid w:val="00194B6D"/>
    <w:rsid w:val="001954C8"/>
    <w:rsid w:val="001955EC"/>
    <w:rsid w:val="0019568D"/>
    <w:rsid w:val="00195867"/>
    <w:rsid w:val="001959B0"/>
    <w:rsid w:val="0019648E"/>
    <w:rsid w:val="00196791"/>
    <w:rsid w:val="001978A3"/>
    <w:rsid w:val="00197984"/>
    <w:rsid w:val="00197EC9"/>
    <w:rsid w:val="001A000B"/>
    <w:rsid w:val="001A0308"/>
    <w:rsid w:val="001A1DC0"/>
    <w:rsid w:val="001A1EF4"/>
    <w:rsid w:val="001A207A"/>
    <w:rsid w:val="001A26FD"/>
    <w:rsid w:val="001A28BB"/>
    <w:rsid w:val="001A2A08"/>
    <w:rsid w:val="001A2F2B"/>
    <w:rsid w:val="001A338F"/>
    <w:rsid w:val="001A342C"/>
    <w:rsid w:val="001A3971"/>
    <w:rsid w:val="001A42D6"/>
    <w:rsid w:val="001A4777"/>
    <w:rsid w:val="001A4AAA"/>
    <w:rsid w:val="001A4D08"/>
    <w:rsid w:val="001A5053"/>
    <w:rsid w:val="001A53F7"/>
    <w:rsid w:val="001A5CE8"/>
    <w:rsid w:val="001A6854"/>
    <w:rsid w:val="001A6E2A"/>
    <w:rsid w:val="001A78EF"/>
    <w:rsid w:val="001A7C7D"/>
    <w:rsid w:val="001B02D6"/>
    <w:rsid w:val="001B0421"/>
    <w:rsid w:val="001B0600"/>
    <w:rsid w:val="001B06B8"/>
    <w:rsid w:val="001B160C"/>
    <w:rsid w:val="001B1760"/>
    <w:rsid w:val="001B18ED"/>
    <w:rsid w:val="001B23D5"/>
    <w:rsid w:val="001B3749"/>
    <w:rsid w:val="001B37B0"/>
    <w:rsid w:val="001B3A9D"/>
    <w:rsid w:val="001B3EDB"/>
    <w:rsid w:val="001B45BE"/>
    <w:rsid w:val="001B4764"/>
    <w:rsid w:val="001B4DFB"/>
    <w:rsid w:val="001B5123"/>
    <w:rsid w:val="001B52BE"/>
    <w:rsid w:val="001B5387"/>
    <w:rsid w:val="001B5B0B"/>
    <w:rsid w:val="001B5D31"/>
    <w:rsid w:val="001B6117"/>
    <w:rsid w:val="001B6F57"/>
    <w:rsid w:val="001B6FBE"/>
    <w:rsid w:val="001B72FF"/>
    <w:rsid w:val="001B7321"/>
    <w:rsid w:val="001B7497"/>
    <w:rsid w:val="001B7E4B"/>
    <w:rsid w:val="001B7E99"/>
    <w:rsid w:val="001B7F48"/>
    <w:rsid w:val="001C039E"/>
    <w:rsid w:val="001C1A01"/>
    <w:rsid w:val="001C1CB7"/>
    <w:rsid w:val="001C1EAF"/>
    <w:rsid w:val="001C2285"/>
    <w:rsid w:val="001C22C0"/>
    <w:rsid w:val="001C27A1"/>
    <w:rsid w:val="001C2D2D"/>
    <w:rsid w:val="001C30DA"/>
    <w:rsid w:val="001C32EA"/>
    <w:rsid w:val="001C382A"/>
    <w:rsid w:val="001C4535"/>
    <w:rsid w:val="001C4E9D"/>
    <w:rsid w:val="001C4EB0"/>
    <w:rsid w:val="001C4EFC"/>
    <w:rsid w:val="001C515E"/>
    <w:rsid w:val="001C59E6"/>
    <w:rsid w:val="001C6A2F"/>
    <w:rsid w:val="001C6BD7"/>
    <w:rsid w:val="001C7171"/>
    <w:rsid w:val="001C732D"/>
    <w:rsid w:val="001C7781"/>
    <w:rsid w:val="001C7C3D"/>
    <w:rsid w:val="001C7E69"/>
    <w:rsid w:val="001D036E"/>
    <w:rsid w:val="001D0A6F"/>
    <w:rsid w:val="001D0D01"/>
    <w:rsid w:val="001D2631"/>
    <w:rsid w:val="001D2747"/>
    <w:rsid w:val="001D2B3A"/>
    <w:rsid w:val="001D2C95"/>
    <w:rsid w:val="001D306A"/>
    <w:rsid w:val="001D321D"/>
    <w:rsid w:val="001D366D"/>
    <w:rsid w:val="001D3EC9"/>
    <w:rsid w:val="001D3F6F"/>
    <w:rsid w:val="001D4437"/>
    <w:rsid w:val="001D48BD"/>
    <w:rsid w:val="001D4AE2"/>
    <w:rsid w:val="001D4E90"/>
    <w:rsid w:val="001D5E51"/>
    <w:rsid w:val="001D629B"/>
    <w:rsid w:val="001D64F1"/>
    <w:rsid w:val="001D6BD4"/>
    <w:rsid w:val="001D7037"/>
    <w:rsid w:val="001D7081"/>
    <w:rsid w:val="001D78DB"/>
    <w:rsid w:val="001D7DD7"/>
    <w:rsid w:val="001E017E"/>
    <w:rsid w:val="001E0886"/>
    <w:rsid w:val="001E0F6E"/>
    <w:rsid w:val="001E110C"/>
    <w:rsid w:val="001E12EE"/>
    <w:rsid w:val="001E1AE8"/>
    <w:rsid w:val="001E1FB5"/>
    <w:rsid w:val="001E2759"/>
    <w:rsid w:val="001E2AC3"/>
    <w:rsid w:val="001E32D2"/>
    <w:rsid w:val="001E3362"/>
    <w:rsid w:val="001E350D"/>
    <w:rsid w:val="001E4151"/>
    <w:rsid w:val="001E4B87"/>
    <w:rsid w:val="001E4D03"/>
    <w:rsid w:val="001E4D73"/>
    <w:rsid w:val="001E56F9"/>
    <w:rsid w:val="001E5904"/>
    <w:rsid w:val="001E5B4B"/>
    <w:rsid w:val="001E5B8F"/>
    <w:rsid w:val="001E5ECF"/>
    <w:rsid w:val="001E60A1"/>
    <w:rsid w:val="001E6A51"/>
    <w:rsid w:val="001E7B0D"/>
    <w:rsid w:val="001F08C6"/>
    <w:rsid w:val="001F0D0D"/>
    <w:rsid w:val="001F0FEB"/>
    <w:rsid w:val="001F172F"/>
    <w:rsid w:val="001F17BC"/>
    <w:rsid w:val="001F182E"/>
    <w:rsid w:val="001F1F38"/>
    <w:rsid w:val="001F280F"/>
    <w:rsid w:val="001F28C7"/>
    <w:rsid w:val="001F2CDF"/>
    <w:rsid w:val="001F2D50"/>
    <w:rsid w:val="001F3B65"/>
    <w:rsid w:val="001F3E52"/>
    <w:rsid w:val="001F3EF5"/>
    <w:rsid w:val="001F416E"/>
    <w:rsid w:val="001F41E7"/>
    <w:rsid w:val="001F44B4"/>
    <w:rsid w:val="001F4D11"/>
    <w:rsid w:val="001F4D48"/>
    <w:rsid w:val="001F534B"/>
    <w:rsid w:val="001F5ACB"/>
    <w:rsid w:val="001F5C63"/>
    <w:rsid w:val="001F6670"/>
    <w:rsid w:val="001F6C3E"/>
    <w:rsid w:val="001F6E35"/>
    <w:rsid w:val="001F728D"/>
    <w:rsid w:val="001F7484"/>
    <w:rsid w:val="00200560"/>
    <w:rsid w:val="00200906"/>
    <w:rsid w:val="00200F40"/>
    <w:rsid w:val="00200FD5"/>
    <w:rsid w:val="0020145A"/>
    <w:rsid w:val="00201C7F"/>
    <w:rsid w:val="00201F25"/>
    <w:rsid w:val="002021ED"/>
    <w:rsid w:val="00202D3C"/>
    <w:rsid w:val="002036CE"/>
    <w:rsid w:val="00203ECD"/>
    <w:rsid w:val="0020428A"/>
    <w:rsid w:val="0020433E"/>
    <w:rsid w:val="00204C08"/>
    <w:rsid w:val="00204CB8"/>
    <w:rsid w:val="00204FA6"/>
    <w:rsid w:val="0020503B"/>
    <w:rsid w:val="002052AC"/>
    <w:rsid w:val="002058FC"/>
    <w:rsid w:val="0020644E"/>
    <w:rsid w:val="002070A8"/>
    <w:rsid w:val="00207D67"/>
    <w:rsid w:val="0021034A"/>
    <w:rsid w:val="00210677"/>
    <w:rsid w:val="00210876"/>
    <w:rsid w:val="00210DEE"/>
    <w:rsid w:val="0021226B"/>
    <w:rsid w:val="002122A1"/>
    <w:rsid w:val="00212EC3"/>
    <w:rsid w:val="00213614"/>
    <w:rsid w:val="00214382"/>
    <w:rsid w:val="002147C5"/>
    <w:rsid w:val="00214E84"/>
    <w:rsid w:val="00215953"/>
    <w:rsid w:val="00215E8C"/>
    <w:rsid w:val="00215F80"/>
    <w:rsid w:val="0021632B"/>
    <w:rsid w:val="00216B4F"/>
    <w:rsid w:val="00216E0F"/>
    <w:rsid w:val="002176EB"/>
    <w:rsid w:val="00217FAF"/>
    <w:rsid w:val="00220D96"/>
    <w:rsid w:val="00220F4C"/>
    <w:rsid w:val="00220F8F"/>
    <w:rsid w:val="00220FD4"/>
    <w:rsid w:val="00221591"/>
    <w:rsid w:val="0022167D"/>
    <w:rsid w:val="002216DF"/>
    <w:rsid w:val="0022216A"/>
    <w:rsid w:val="002222E8"/>
    <w:rsid w:val="00222326"/>
    <w:rsid w:val="0022391E"/>
    <w:rsid w:val="00224A51"/>
    <w:rsid w:val="00224BF1"/>
    <w:rsid w:val="002254A9"/>
    <w:rsid w:val="00225583"/>
    <w:rsid w:val="002256F6"/>
    <w:rsid w:val="002266E7"/>
    <w:rsid w:val="002305D1"/>
    <w:rsid w:val="002306B0"/>
    <w:rsid w:val="00230B64"/>
    <w:rsid w:val="00230BEE"/>
    <w:rsid w:val="00231A77"/>
    <w:rsid w:val="00231FE9"/>
    <w:rsid w:val="00232A0F"/>
    <w:rsid w:val="002333D9"/>
    <w:rsid w:val="00233A79"/>
    <w:rsid w:val="00233E0D"/>
    <w:rsid w:val="002341C8"/>
    <w:rsid w:val="00234948"/>
    <w:rsid w:val="00234D80"/>
    <w:rsid w:val="00234DC3"/>
    <w:rsid w:val="00235E5C"/>
    <w:rsid w:val="00236012"/>
    <w:rsid w:val="00236492"/>
    <w:rsid w:val="002367C5"/>
    <w:rsid w:val="00236DF3"/>
    <w:rsid w:val="002377A8"/>
    <w:rsid w:val="002406D6"/>
    <w:rsid w:val="00241923"/>
    <w:rsid w:val="00241BE4"/>
    <w:rsid w:val="002422E4"/>
    <w:rsid w:val="00242687"/>
    <w:rsid w:val="00242A50"/>
    <w:rsid w:val="00243285"/>
    <w:rsid w:val="002438F8"/>
    <w:rsid w:val="00243ACF"/>
    <w:rsid w:val="00243DC6"/>
    <w:rsid w:val="002445D5"/>
    <w:rsid w:val="002447F5"/>
    <w:rsid w:val="00244880"/>
    <w:rsid w:val="00244A53"/>
    <w:rsid w:val="00244CB7"/>
    <w:rsid w:val="00244E39"/>
    <w:rsid w:val="00244E4C"/>
    <w:rsid w:val="00246011"/>
    <w:rsid w:val="002466E0"/>
    <w:rsid w:val="00246E41"/>
    <w:rsid w:val="00247409"/>
    <w:rsid w:val="00247AC1"/>
    <w:rsid w:val="00247EBE"/>
    <w:rsid w:val="00247F64"/>
    <w:rsid w:val="0025023B"/>
    <w:rsid w:val="00250390"/>
    <w:rsid w:val="00250707"/>
    <w:rsid w:val="002511D0"/>
    <w:rsid w:val="0025149A"/>
    <w:rsid w:val="00251AB3"/>
    <w:rsid w:val="002523FC"/>
    <w:rsid w:val="00252840"/>
    <w:rsid w:val="002528DE"/>
    <w:rsid w:val="0025347F"/>
    <w:rsid w:val="00253A79"/>
    <w:rsid w:val="00254287"/>
    <w:rsid w:val="002550ED"/>
    <w:rsid w:val="002557D7"/>
    <w:rsid w:val="00255F20"/>
    <w:rsid w:val="00256898"/>
    <w:rsid w:val="002568C0"/>
    <w:rsid w:val="00256B28"/>
    <w:rsid w:val="00256E2D"/>
    <w:rsid w:val="002579C0"/>
    <w:rsid w:val="00257E1B"/>
    <w:rsid w:val="002603F0"/>
    <w:rsid w:val="00260CB4"/>
    <w:rsid w:val="00260E30"/>
    <w:rsid w:val="00261076"/>
    <w:rsid w:val="0026113C"/>
    <w:rsid w:val="002616A2"/>
    <w:rsid w:val="002618F0"/>
    <w:rsid w:val="00261AB9"/>
    <w:rsid w:val="002621F2"/>
    <w:rsid w:val="002637A7"/>
    <w:rsid w:val="00264208"/>
    <w:rsid w:val="00264C46"/>
    <w:rsid w:val="00265B33"/>
    <w:rsid w:val="002669D0"/>
    <w:rsid w:val="00266E52"/>
    <w:rsid w:val="00266E6D"/>
    <w:rsid w:val="002670AB"/>
    <w:rsid w:val="002670EF"/>
    <w:rsid w:val="002670FD"/>
    <w:rsid w:val="0026743C"/>
    <w:rsid w:val="0026765B"/>
    <w:rsid w:val="00267ABB"/>
    <w:rsid w:val="00270268"/>
    <w:rsid w:val="00271CF1"/>
    <w:rsid w:val="00271DF7"/>
    <w:rsid w:val="002723EF"/>
    <w:rsid w:val="002726D5"/>
    <w:rsid w:val="00272C92"/>
    <w:rsid w:val="00272C9F"/>
    <w:rsid w:val="00272E43"/>
    <w:rsid w:val="00273543"/>
    <w:rsid w:val="002738A7"/>
    <w:rsid w:val="00273994"/>
    <w:rsid w:val="002744E2"/>
    <w:rsid w:val="002753F7"/>
    <w:rsid w:val="00275415"/>
    <w:rsid w:val="0027557B"/>
    <w:rsid w:val="00275666"/>
    <w:rsid w:val="00275BEB"/>
    <w:rsid w:val="00275F08"/>
    <w:rsid w:val="0027638E"/>
    <w:rsid w:val="0027662A"/>
    <w:rsid w:val="00276CB3"/>
    <w:rsid w:val="00277202"/>
    <w:rsid w:val="00277A98"/>
    <w:rsid w:val="00277C48"/>
    <w:rsid w:val="00280239"/>
    <w:rsid w:val="002804E0"/>
    <w:rsid w:val="002807CB"/>
    <w:rsid w:val="00280D55"/>
    <w:rsid w:val="00280DAC"/>
    <w:rsid w:val="00280E0C"/>
    <w:rsid w:val="00280FD6"/>
    <w:rsid w:val="00281672"/>
    <w:rsid w:val="002818DE"/>
    <w:rsid w:val="00281947"/>
    <w:rsid w:val="00282B53"/>
    <w:rsid w:val="00282C2A"/>
    <w:rsid w:val="00282FC3"/>
    <w:rsid w:val="00283410"/>
    <w:rsid w:val="00283832"/>
    <w:rsid w:val="002838A0"/>
    <w:rsid w:val="00283EB2"/>
    <w:rsid w:val="002847A3"/>
    <w:rsid w:val="00284D91"/>
    <w:rsid w:val="00285424"/>
    <w:rsid w:val="00285B77"/>
    <w:rsid w:val="00286963"/>
    <w:rsid w:val="00286C64"/>
    <w:rsid w:val="00286C74"/>
    <w:rsid w:val="0028707B"/>
    <w:rsid w:val="002871FD"/>
    <w:rsid w:val="0028745C"/>
    <w:rsid w:val="0028755A"/>
    <w:rsid w:val="00287B90"/>
    <w:rsid w:val="00287BAA"/>
    <w:rsid w:val="0029087D"/>
    <w:rsid w:val="00290AF2"/>
    <w:rsid w:val="00290FFD"/>
    <w:rsid w:val="0029178F"/>
    <w:rsid w:val="00291F3E"/>
    <w:rsid w:val="00291F65"/>
    <w:rsid w:val="0029201B"/>
    <w:rsid w:val="0029285E"/>
    <w:rsid w:val="002939CF"/>
    <w:rsid w:val="00293B0E"/>
    <w:rsid w:val="00294522"/>
    <w:rsid w:val="0029492E"/>
    <w:rsid w:val="00294E52"/>
    <w:rsid w:val="00295ABD"/>
    <w:rsid w:val="002979DD"/>
    <w:rsid w:val="00297E2D"/>
    <w:rsid w:val="002A09D8"/>
    <w:rsid w:val="002A0BCF"/>
    <w:rsid w:val="002A0C41"/>
    <w:rsid w:val="002A0C5A"/>
    <w:rsid w:val="002A1518"/>
    <w:rsid w:val="002A17B3"/>
    <w:rsid w:val="002A1C29"/>
    <w:rsid w:val="002A20A7"/>
    <w:rsid w:val="002A22B7"/>
    <w:rsid w:val="002A22C3"/>
    <w:rsid w:val="002A22EA"/>
    <w:rsid w:val="002A2D8C"/>
    <w:rsid w:val="002A2DF5"/>
    <w:rsid w:val="002A34EA"/>
    <w:rsid w:val="002A379E"/>
    <w:rsid w:val="002A4AA3"/>
    <w:rsid w:val="002A794F"/>
    <w:rsid w:val="002B051E"/>
    <w:rsid w:val="002B086B"/>
    <w:rsid w:val="002B0F9E"/>
    <w:rsid w:val="002B1476"/>
    <w:rsid w:val="002B14DB"/>
    <w:rsid w:val="002B18D4"/>
    <w:rsid w:val="002B1AB0"/>
    <w:rsid w:val="002B1BB4"/>
    <w:rsid w:val="002B1C98"/>
    <w:rsid w:val="002B2101"/>
    <w:rsid w:val="002B21E8"/>
    <w:rsid w:val="002B2757"/>
    <w:rsid w:val="002B2E54"/>
    <w:rsid w:val="002B329E"/>
    <w:rsid w:val="002B340E"/>
    <w:rsid w:val="002B3A90"/>
    <w:rsid w:val="002B3BBC"/>
    <w:rsid w:val="002B3F19"/>
    <w:rsid w:val="002B468B"/>
    <w:rsid w:val="002B4D1D"/>
    <w:rsid w:val="002B5620"/>
    <w:rsid w:val="002B5835"/>
    <w:rsid w:val="002B62C1"/>
    <w:rsid w:val="002B655A"/>
    <w:rsid w:val="002B6755"/>
    <w:rsid w:val="002B68A8"/>
    <w:rsid w:val="002B7020"/>
    <w:rsid w:val="002B7030"/>
    <w:rsid w:val="002B7642"/>
    <w:rsid w:val="002B7777"/>
    <w:rsid w:val="002B7932"/>
    <w:rsid w:val="002B7DED"/>
    <w:rsid w:val="002C01EE"/>
    <w:rsid w:val="002C0542"/>
    <w:rsid w:val="002C0559"/>
    <w:rsid w:val="002C06F7"/>
    <w:rsid w:val="002C1289"/>
    <w:rsid w:val="002C2A36"/>
    <w:rsid w:val="002C2FFE"/>
    <w:rsid w:val="002C36B5"/>
    <w:rsid w:val="002C40AD"/>
    <w:rsid w:val="002C4161"/>
    <w:rsid w:val="002C478C"/>
    <w:rsid w:val="002C4ABB"/>
    <w:rsid w:val="002C5BCD"/>
    <w:rsid w:val="002C5D0C"/>
    <w:rsid w:val="002C6071"/>
    <w:rsid w:val="002C65F5"/>
    <w:rsid w:val="002C77F6"/>
    <w:rsid w:val="002C7C42"/>
    <w:rsid w:val="002D0C5E"/>
    <w:rsid w:val="002D0FDF"/>
    <w:rsid w:val="002D111E"/>
    <w:rsid w:val="002D264D"/>
    <w:rsid w:val="002D2EBE"/>
    <w:rsid w:val="002D30AC"/>
    <w:rsid w:val="002D3605"/>
    <w:rsid w:val="002D40CD"/>
    <w:rsid w:val="002D4113"/>
    <w:rsid w:val="002D42F7"/>
    <w:rsid w:val="002D52E1"/>
    <w:rsid w:val="002D5451"/>
    <w:rsid w:val="002D58F0"/>
    <w:rsid w:val="002D72B5"/>
    <w:rsid w:val="002D7594"/>
    <w:rsid w:val="002D763F"/>
    <w:rsid w:val="002D7B33"/>
    <w:rsid w:val="002E08DF"/>
    <w:rsid w:val="002E0C20"/>
    <w:rsid w:val="002E192E"/>
    <w:rsid w:val="002E1A1D"/>
    <w:rsid w:val="002E1D20"/>
    <w:rsid w:val="002E2486"/>
    <w:rsid w:val="002E2DF0"/>
    <w:rsid w:val="002E2FC3"/>
    <w:rsid w:val="002E3750"/>
    <w:rsid w:val="002E37F0"/>
    <w:rsid w:val="002E38FD"/>
    <w:rsid w:val="002E4525"/>
    <w:rsid w:val="002E516D"/>
    <w:rsid w:val="002E554A"/>
    <w:rsid w:val="002E56B5"/>
    <w:rsid w:val="002E5817"/>
    <w:rsid w:val="002E646E"/>
    <w:rsid w:val="002E6AF6"/>
    <w:rsid w:val="002E6CC4"/>
    <w:rsid w:val="002E6CC9"/>
    <w:rsid w:val="002E6D87"/>
    <w:rsid w:val="002E737D"/>
    <w:rsid w:val="002E7799"/>
    <w:rsid w:val="002F0533"/>
    <w:rsid w:val="002F0B29"/>
    <w:rsid w:val="002F0FBC"/>
    <w:rsid w:val="002F128D"/>
    <w:rsid w:val="002F12C9"/>
    <w:rsid w:val="002F26E5"/>
    <w:rsid w:val="002F285F"/>
    <w:rsid w:val="002F35ED"/>
    <w:rsid w:val="002F3E59"/>
    <w:rsid w:val="002F51A0"/>
    <w:rsid w:val="002F55F3"/>
    <w:rsid w:val="002F5702"/>
    <w:rsid w:val="002F5871"/>
    <w:rsid w:val="002F61FB"/>
    <w:rsid w:val="002F6EEA"/>
    <w:rsid w:val="002F733C"/>
    <w:rsid w:val="00300522"/>
    <w:rsid w:val="0030083C"/>
    <w:rsid w:val="00300AB9"/>
    <w:rsid w:val="00300E09"/>
    <w:rsid w:val="00301732"/>
    <w:rsid w:val="003027E4"/>
    <w:rsid w:val="00302AAA"/>
    <w:rsid w:val="0030310A"/>
    <w:rsid w:val="00303433"/>
    <w:rsid w:val="00303BF8"/>
    <w:rsid w:val="00303C3E"/>
    <w:rsid w:val="00303E47"/>
    <w:rsid w:val="00304489"/>
    <w:rsid w:val="0030523E"/>
    <w:rsid w:val="00305CDB"/>
    <w:rsid w:val="00306847"/>
    <w:rsid w:val="003069E8"/>
    <w:rsid w:val="00306D45"/>
    <w:rsid w:val="0030712C"/>
    <w:rsid w:val="003073C2"/>
    <w:rsid w:val="0030793F"/>
    <w:rsid w:val="00310975"/>
    <w:rsid w:val="00310E7E"/>
    <w:rsid w:val="003121FB"/>
    <w:rsid w:val="00312ED1"/>
    <w:rsid w:val="00313350"/>
    <w:rsid w:val="00313593"/>
    <w:rsid w:val="00313701"/>
    <w:rsid w:val="00313A08"/>
    <w:rsid w:val="003157C0"/>
    <w:rsid w:val="0031616C"/>
    <w:rsid w:val="00316C1E"/>
    <w:rsid w:val="00316CBA"/>
    <w:rsid w:val="00317C1D"/>
    <w:rsid w:val="00317F32"/>
    <w:rsid w:val="003201A2"/>
    <w:rsid w:val="00320609"/>
    <w:rsid w:val="00320942"/>
    <w:rsid w:val="0032155F"/>
    <w:rsid w:val="0032317E"/>
    <w:rsid w:val="00323293"/>
    <w:rsid w:val="00323EA3"/>
    <w:rsid w:val="00324571"/>
    <w:rsid w:val="0032468C"/>
    <w:rsid w:val="003246A6"/>
    <w:rsid w:val="00324758"/>
    <w:rsid w:val="00324FE5"/>
    <w:rsid w:val="003250F9"/>
    <w:rsid w:val="0032569C"/>
    <w:rsid w:val="00326019"/>
    <w:rsid w:val="00327080"/>
    <w:rsid w:val="00327414"/>
    <w:rsid w:val="003274CF"/>
    <w:rsid w:val="00327903"/>
    <w:rsid w:val="00327CD1"/>
    <w:rsid w:val="0033048C"/>
    <w:rsid w:val="0033055D"/>
    <w:rsid w:val="00331456"/>
    <w:rsid w:val="0033151B"/>
    <w:rsid w:val="003323C5"/>
    <w:rsid w:val="003328B3"/>
    <w:rsid w:val="00332D65"/>
    <w:rsid w:val="0033380F"/>
    <w:rsid w:val="00333A74"/>
    <w:rsid w:val="003349F5"/>
    <w:rsid w:val="00334A4F"/>
    <w:rsid w:val="003351C2"/>
    <w:rsid w:val="003354C0"/>
    <w:rsid w:val="0033551E"/>
    <w:rsid w:val="003358CF"/>
    <w:rsid w:val="00335914"/>
    <w:rsid w:val="0033604C"/>
    <w:rsid w:val="00336873"/>
    <w:rsid w:val="003369D4"/>
    <w:rsid w:val="00336E6A"/>
    <w:rsid w:val="0033753A"/>
    <w:rsid w:val="00337857"/>
    <w:rsid w:val="00337E65"/>
    <w:rsid w:val="00341D2B"/>
    <w:rsid w:val="00342274"/>
    <w:rsid w:val="0034235D"/>
    <w:rsid w:val="00342552"/>
    <w:rsid w:val="003427E7"/>
    <w:rsid w:val="00343BA6"/>
    <w:rsid w:val="00343BCC"/>
    <w:rsid w:val="003442F7"/>
    <w:rsid w:val="00344F4F"/>
    <w:rsid w:val="00345196"/>
    <w:rsid w:val="00345259"/>
    <w:rsid w:val="0034575F"/>
    <w:rsid w:val="00345A15"/>
    <w:rsid w:val="00345E93"/>
    <w:rsid w:val="00345FFF"/>
    <w:rsid w:val="003464C6"/>
    <w:rsid w:val="00347229"/>
    <w:rsid w:val="00347B65"/>
    <w:rsid w:val="00347F82"/>
    <w:rsid w:val="003502DB"/>
    <w:rsid w:val="00350CF0"/>
    <w:rsid w:val="00351374"/>
    <w:rsid w:val="00351393"/>
    <w:rsid w:val="00352A2C"/>
    <w:rsid w:val="00352F46"/>
    <w:rsid w:val="003533E1"/>
    <w:rsid w:val="0035419C"/>
    <w:rsid w:val="0035419D"/>
    <w:rsid w:val="0035466A"/>
    <w:rsid w:val="00354E3C"/>
    <w:rsid w:val="00354FD3"/>
    <w:rsid w:val="00355308"/>
    <w:rsid w:val="00355F20"/>
    <w:rsid w:val="00356032"/>
    <w:rsid w:val="003560E3"/>
    <w:rsid w:val="00356508"/>
    <w:rsid w:val="003566E8"/>
    <w:rsid w:val="00357B4F"/>
    <w:rsid w:val="00357C7B"/>
    <w:rsid w:val="00357FF6"/>
    <w:rsid w:val="00360A49"/>
    <w:rsid w:val="003613A1"/>
    <w:rsid w:val="0036199E"/>
    <w:rsid w:val="00362086"/>
    <w:rsid w:val="0036249F"/>
    <w:rsid w:val="003626F4"/>
    <w:rsid w:val="0036288B"/>
    <w:rsid w:val="00362A1A"/>
    <w:rsid w:val="00362A62"/>
    <w:rsid w:val="0036381B"/>
    <w:rsid w:val="00363A96"/>
    <w:rsid w:val="00363BF0"/>
    <w:rsid w:val="00363F80"/>
    <w:rsid w:val="00364F47"/>
    <w:rsid w:val="003651DD"/>
    <w:rsid w:val="00365F51"/>
    <w:rsid w:val="00366463"/>
    <w:rsid w:val="0036682F"/>
    <w:rsid w:val="00366A77"/>
    <w:rsid w:val="003674A7"/>
    <w:rsid w:val="00367893"/>
    <w:rsid w:val="003679DB"/>
    <w:rsid w:val="00370432"/>
    <w:rsid w:val="003704E2"/>
    <w:rsid w:val="0037092C"/>
    <w:rsid w:val="00370930"/>
    <w:rsid w:val="00370D1F"/>
    <w:rsid w:val="003712D5"/>
    <w:rsid w:val="00371318"/>
    <w:rsid w:val="0037193F"/>
    <w:rsid w:val="00371B9E"/>
    <w:rsid w:val="0037232B"/>
    <w:rsid w:val="003723F9"/>
    <w:rsid w:val="00372DB3"/>
    <w:rsid w:val="00374603"/>
    <w:rsid w:val="003747E9"/>
    <w:rsid w:val="00374C17"/>
    <w:rsid w:val="003752A4"/>
    <w:rsid w:val="00376080"/>
    <w:rsid w:val="0037695C"/>
    <w:rsid w:val="00376CEE"/>
    <w:rsid w:val="003775A0"/>
    <w:rsid w:val="0037785D"/>
    <w:rsid w:val="00377E0C"/>
    <w:rsid w:val="00380786"/>
    <w:rsid w:val="00380896"/>
    <w:rsid w:val="00380A43"/>
    <w:rsid w:val="00380D42"/>
    <w:rsid w:val="00381A40"/>
    <w:rsid w:val="00382577"/>
    <w:rsid w:val="00382750"/>
    <w:rsid w:val="0038379B"/>
    <w:rsid w:val="00384411"/>
    <w:rsid w:val="00384698"/>
    <w:rsid w:val="003848BE"/>
    <w:rsid w:val="00385555"/>
    <w:rsid w:val="00386178"/>
    <w:rsid w:val="00387420"/>
    <w:rsid w:val="00387689"/>
    <w:rsid w:val="00387AAA"/>
    <w:rsid w:val="00387B0B"/>
    <w:rsid w:val="00387DF7"/>
    <w:rsid w:val="003906B6"/>
    <w:rsid w:val="00390774"/>
    <w:rsid w:val="003909FC"/>
    <w:rsid w:val="00390CDE"/>
    <w:rsid w:val="00391274"/>
    <w:rsid w:val="003916F9"/>
    <w:rsid w:val="003918D1"/>
    <w:rsid w:val="003929FC"/>
    <w:rsid w:val="00392A9A"/>
    <w:rsid w:val="00392B99"/>
    <w:rsid w:val="00392DEC"/>
    <w:rsid w:val="003931EE"/>
    <w:rsid w:val="00393372"/>
    <w:rsid w:val="0039401D"/>
    <w:rsid w:val="00394209"/>
    <w:rsid w:val="00394EDB"/>
    <w:rsid w:val="00395E79"/>
    <w:rsid w:val="003960FF"/>
    <w:rsid w:val="0039680A"/>
    <w:rsid w:val="00397850"/>
    <w:rsid w:val="00397A46"/>
    <w:rsid w:val="00397E7F"/>
    <w:rsid w:val="003A01A8"/>
    <w:rsid w:val="003A1C90"/>
    <w:rsid w:val="003A1EA7"/>
    <w:rsid w:val="003A20A4"/>
    <w:rsid w:val="003A24EA"/>
    <w:rsid w:val="003A2FB2"/>
    <w:rsid w:val="003A3AB8"/>
    <w:rsid w:val="003A3D25"/>
    <w:rsid w:val="003A3E9F"/>
    <w:rsid w:val="003A42A8"/>
    <w:rsid w:val="003A4FEF"/>
    <w:rsid w:val="003A5165"/>
    <w:rsid w:val="003A5271"/>
    <w:rsid w:val="003A5D13"/>
    <w:rsid w:val="003A5D35"/>
    <w:rsid w:val="003A5F8A"/>
    <w:rsid w:val="003A5FD0"/>
    <w:rsid w:val="003A6015"/>
    <w:rsid w:val="003A60D9"/>
    <w:rsid w:val="003A698A"/>
    <w:rsid w:val="003A7404"/>
    <w:rsid w:val="003A7540"/>
    <w:rsid w:val="003A75F4"/>
    <w:rsid w:val="003A7A77"/>
    <w:rsid w:val="003A7D22"/>
    <w:rsid w:val="003B039B"/>
    <w:rsid w:val="003B079A"/>
    <w:rsid w:val="003B07DA"/>
    <w:rsid w:val="003B08DF"/>
    <w:rsid w:val="003B0CCB"/>
    <w:rsid w:val="003B125E"/>
    <w:rsid w:val="003B1589"/>
    <w:rsid w:val="003B1968"/>
    <w:rsid w:val="003B1E31"/>
    <w:rsid w:val="003B1FB3"/>
    <w:rsid w:val="003B2659"/>
    <w:rsid w:val="003B36FE"/>
    <w:rsid w:val="003B3EEE"/>
    <w:rsid w:val="003B412F"/>
    <w:rsid w:val="003B443D"/>
    <w:rsid w:val="003B4632"/>
    <w:rsid w:val="003B48C3"/>
    <w:rsid w:val="003B49A8"/>
    <w:rsid w:val="003B5668"/>
    <w:rsid w:val="003B59FD"/>
    <w:rsid w:val="003B5EB6"/>
    <w:rsid w:val="003B6344"/>
    <w:rsid w:val="003B63DE"/>
    <w:rsid w:val="003B6869"/>
    <w:rsid w:val="003B761C"/>
    <w:rsid w:val="003B7839"/>
    <w:rsid w:val="003C0038"/>
    <w:rsid w:val="003C06A9"/>
    <w:rsid w:val="003C0713"/>
    <w:rsid w:val="003C0850"/>
    <w:rsid w:val="003C25FE"/>
    <w:rsid w:val="003C2BBD"/>
    <w:rsid w:val="003C3238"/>
    <w:rsid w:val="003C3642"/>
    <w:rsid w:val="003C3813"/>
    <w:rsid w:val="003C386A"/>
    <w:rsid w:val="003C4443"/>
    <w:rsid w:val="003C48FE"/>
    <w:rsid w:val="003C4B4E"/>
    <w:rsid w:val="003C4F1A"/>
    <w:rsid w:val="003C5675"/>
    <w:rsid w:val="003C56A1"/>
    <w:rsid w:val="003C5C22"/>
    <w:rsid w:val="003C65AE"/>
    <w:rsid w:val="003C6991"/>
    <w:rsid w:val="003C6A7E"/>
    <w:rsid w:val="003C6CB7"/>
    <w:rsid w:val="003C702D"/>
    <w:rsid w:val="003C71EB"/>
    <w:rsid w:val="003C77D6"/>
    <w:rsid w:val="003D0256"/>
    <w:rsid w:val="003D0C3E"/>
    <w:rsid w:val="003D14F6"/>
    <w:rsid w:val="003D1758"/>
    <w:rsid w:val="003D1DCD"/>
    <w:rsid w:val="003D23F4"/>
    <w:rsid w:val="003D2959"/>
    <w:rsid w:val="003D2C8D"/>
    <w:rsid w:val="003D2EEB"/>
    <w:rsid w:val="003D3086"/>
    <w:rsid w:val="003D32FE"/>
    <w:rsid w:val="003D3904"/>
    <w:rsid w:val="003D41E0"/>
    <w:rsid w:val="003D450D"/>
    <w:rsid w:val="003D4A9F"/>
    <w:rsid w:val="003D4DAB"/>
    <w:rsid w:val="003D50E4"/>
    <w:rsid w:val="003D56BC"/>
    <w:rsid w:val="003D64FC"/>
    <w:rsid w:val="003D6713"/>
    <w:rsid w:val="003D70E6"/>
    <w:rsid w:val="003D760E"/>
    <w:rsid w:val="003D77EF"/>
    <w:rsid w:val="003D7B61"/>
    <w:rsid w:val="003E0BB3"/>
    <w:rsid w:val="003E0C74"/>
    <w:rsid w:val="003E0DF7"/>
    <w:rsid w:val="003E0EE6"/>
    <w:rsid w:val="003E2431"/>
    <w:rsid w:val="003E2C07"/>
    <w:rsid w:val="003E2F24"/>
    <w:rsid w:val="003E3333"/>
    <w:rsid w:val="003E3BC8"/>
    <w:rsid w:val="003E487D"/>
    <w:rsid w:val="003E4D90"/>
    <w:rsid w:val="003E59EC"/>
    <w:rsid w:val="003E5DED"/>
    <w:rsid w:val="003E5E6C"/>
    <w:rsid w:val="003E7661"/>
    <w:rsid w:val="003E796D"/>
    <w:rsid w:val="003F06F5"/>
    <w:rsid w:val="003F0C41"/>
    <w:rsid w:val="003F0D60"/>
    <w:rsid w:val="003F15CD"/>
    <w:rsid w:val="003F18E6"/>
    <w:rsid w:val="003F1A48"/>
    <w:rsid w:val="003F2E8B"/>
    <w:rsid w:val="003F3073"/>
    <w:rsid w:val="003F3E17"/>
    <w:rsid w:val="003F40DC"/>
    <w:rsid w:val="003F449B"/>
    <w:rsid w:val="003F4515"/>
    <w:rsid w:val="003F50F1"/>
    <w:rsid w:val="003F5110"/>
    <w:rsid w:val="003F5780"/>
    <w:rsid w:val="003F58E8"/>
    <w:rsid w:val="003F5C9F"/>
    <w:rsid w:val="003F714E"/>
    <w:rsid w:val="003F7692"/>
    <w:rsid w:val="003F7A0D"/>
    <w:rsid w:val="003F7ABE"/>
    <w:rsid w:val="003F7C9C"/>
    <w:rsid w:val="00400A6A"/>
    <w:rsid w:val="004010C4"/>
    <w:rsid w:val="00401883"/>
    <w:rsid w:val="0040286E"/>
    <w:rsid w:val="00402F3D"/>
    <w:rsid w:val="004035B9"/>
    <w:rsid w:val="00403649"/>
    <w:rsid w:val="00403CE0"/>
    <w:rsid w:val="00403F45"/>
    <w:rsid w:val="00404157"/>
    <w:rsid w:val="004041CA"/>
    <w:rsid w:val="00404248"/>
    <w:rsid w:val="004044B8"/>
    <w:rsid w:val="00404795"/>
    <w:rsid w:val="00404F2E"/>
    <w:rsid w:val="00405A6D"/>
    <w:rsid w:val="00405F6C"/>
    <w:rsid w:val="00405FBC"/>
    <w:rsid w:val="004060D8"/>
    <w:rsid w:val="00406110"/>
    <w:rsid w:val="00406885"/>
    <w:rsid w:val="00406C67"/>
    <w:rsid w:val="004074CB"/>
    <w:rsid w:val="00407A2D"/>
    <w:rsid w:val="00410014"/>
    <w:rsid w:val="0041004A"/>
    <w:rsid w:val="004122FC"/>
    <w:rsid w:val="0041289C"/>
    <w:rsid w:val="004128BE"/>
    <w:rsid w:val="00412931"/>
    <w:rsid w:val="00413457"/>
    <w:rsid w:val="004136E3"/>
    <w:rsid w:val="00414455"/>
    <w:rsid w:val="00414603"/>
    <w:rsid w:val="00414DDD"/>
    <w:rsid w:val="004158E5"/>
    <w:rsid w:val="00415CA4"/>
    <w:rsid w:val="0041611B"/>
    <w:rsid w:val="00416354"/>
    <w:rsid w:val="004166DE"/>
    <w:rsid w:val="00416CDD"/>
    <w:rsid w:val="00417851"/>
    <w:rsid w:val="0042046F"/>
    <w:rsid w:val="00420541"/>
    <w:rsid w:val="00420711"/>
    <w:rsid w:val="0042164E"/>
    <w:rsid w:val="0042191C"/>
    <w:rsid w:val="004219D2"/>
    <w:rsid w:val="00421AB7"/>
    <w:rsid w:val="00421CD8"/>
    <w:rsid w:val="00422D32"/>
    <w:rsid w:val="00422EE2"/>
    <w:rsid w:val="00423340"/>
    <w:rsid w:val="00423536"/>
    <w:rsid w:val="004238CC"/>
    <w:rsid w:val="00424302"/>
    <w:rsid w:val="0042456F"/>
    <w:rsid w:val="00424933"/>
    <w:rsid w:val="00424DC5"/>
    <w:rsid w:val="00425E5E"/>
    <w:rsid w:val="00426656"/>
    <w:rsid w:val="00427052"/>
    <w:rsid w:val="00427F8D"/>
    <w:rsid w:val="00427FD9"/>
    <w:rsid w:val="0043079D"/>
    <w:rsid w:val="004307BE"/>
    <w:rsid w:val="0043083F"/>
    <w:rsid w:val="00432457"/>
    <w:rsid w:val="00432775"/>
    <w:rsid w:val="00433538"/>
    <w:rsid w:val="00433B25"/>
    <w:rsid w:val="004343F7"/>
    <w:rsid w:val="004345BC"/>
    <w:rsid w:val="00434998"/>
    <w:rsid w:val="00434D9D"/>
    <w:rsid w:val="00434E1F"/>
    <w:rsid w:val="00434E7C"/>
    <w:rsid w:val="00435358"/>
    <w:rsid w:val="0043655F"/>
    <w:rsid w:val="00436AFA"/>
    <w:rsid w:val="00437F5F"/>
    <w:rsid w:val="00440D55"/>
    <w:rsid w:val="004411C8"/>
    <w:rsid w:val="004412AA"/>
    <w:rsid w:val="0044133D"/>
    <w:rsid w:val="00443FB9"/>
    <w:rsid w:val="00444405"/>
    <w:rsid w:val="00444493"/>
    <w:rsid w:val="004445DE"/>
    <w:rsid w:val="004449A9"/>
    <w:rsid w:val="00444B1E"/>
    <w:rsid w:val="00444DC7"/>
    <w:rsid w:val="00445107"/>
    <w:rsid w:val="0044514F"/>
    <w:rsid w:val="0044580B"/>
    <w:rsid w:val="0044592B"/>
    <w:rsid w:val="00445DAF"/>
    <w:rsid w:val="00445EC1"/>
    <w:rsid w:val="004464D2"/>
    <w:rsid w:val="0044673E"/>
    <w:rsid w:val="004470EF"/>
    <w:rsid w:val="004477F0"/>
    <w:rsid w:val="00447D3C"/>
    <w:rsid w:val="00450025"/>
    <w:rsid w:val="0045023A"/>
    <w:rsid w:val="004505E2"/>
    <w:rsid w:val="0045071E"/>
    <w:rsid w:val="00450ECF"/>
    <w:rsid w:val="00451387"/>
    <w:rsid w:val="00451411"/>
    <w:rsid w:val="004522ED"/>
    <w:rsid w:val="00452EFA"/>
    <w:rsid w:val="00453494"/>
    <w:rsid w:val="00453DE7"/>
    <w:rsid w:val="004551FB"/>
    <w:rsid w:val="00455421"/>
    <w:rsid w:val="0045552F"/>
    <w:rsid w:val="0045595A"/>
    <w:rsid w:val="00455AE5"/>
    <w:rsid w:val="00455B02"/>
    <w:rsid w:val="0045640C"/>
    <w:rsid w:val="004568E5"/>
    <w:rsid w:val="0045691E"/>
    <w:rsid w:val="00456A58"/>
    <w:rsid w:val="00456CFD"/>
    <w:rsid w:val="00456DA3"/>
    <w:rsid w:val="004570D7"/>
    <w:rsid w:val="004573F5"/>
    <w:rsid w:val="004575FF"/>
    <w:rsid w:val="0045775A"/>
    <w:rsid w:val="00457AF4"/>
    <w:rsid w:val="0046183A"/>
    <w:rsid w:val="00462324"/>
    <w:rsid w:val="00462385"/>
    <w:rsid w:val="004629A9"/>
    <w:rsid w:val="00463124"/>
    <w:rsid w:val="004633EE"/>
    <w:rsid w:val="00463B06"/>
    <w:rsid w:val="00463BF0"/>
    <w:rsid w:val="0046428A"/>
    <w:rsid w:val="0046463A"/>
    <w:rsid w:val="00464AFF"/>
    <w:rsid w:val="00465174"/>
    <w:rsid w:val="00465DE1"/>
    <w:rsid w:val="00466138"/>
    <w:rsid w:val="004661B4"/>
    <w:rsid w:val="00466415"/>
    <w:rsid w:val="00466A30"/>
    <w:rsid w:val="00466A40"/>
    <w:rsid w:val="00467606"/>
    <w:rsid w:val="00467DB4"/>
    <w:rsid w:val="00470F7F"/>
    <w:rsid w:val="00470FC1"/>
    <w:rsid w:val="0047167E"/>
    <w:rsid w:val="004719FE"/>
    <w:rsid w:val="00471E87"/>
    <w:rsid w:val="004724E9"/>
    <w:rsid w:val="0047306D"/>
    <w:rsid w:val="004737AC"/>
    <w:rsid w:val="00473D80"/>
    <w:rsid w:val="004740F3"/>
    <w:rsid w:val="004741C6"/>
    <w:rsid w:val="004743D9"/>
    <w:rsid w:val="004750E4"/>
    <w:rsid w:val="0047510E"/>
    <w:rsid w:val="0047556C"/>
    <w:rsid w:val="00476778"/>
    <w:rsid w:val="00476F15"/>
    <w:rsid w:val="00477C46"/>
    <w:rsid w:val="00480727"/>
    <w:rsid w:val="00480CC0"/>
    <w:rsid w:val="00480F23"/>
    <w:rsid w:val="004812C4"/>
    <w:rsid w:val="00481578"/>
    <w:rsid w:val="00482476"/>
    <w:rsid w:val="00482ACF"/>
    <w:rsid w:val="0048346D"/>
    <w:rsid w:val="004836C1"/>
    <w:rsid w:val="00483751"/>
    <w:rsid w:val="00483A96"/>
    <w:rsid w:val="00483C50"/>
    <w:rsid w:val="00484096"/>
    <w:rsid w:val="004840B9"/>
    <w:rsid w:val="0048465F"/>
    <w:rsid w:val="00484AEA"/>
    <w:rsid w:val="00484F5E"/>
    <w:rsid w:val="0048503F"/>
    <w:rsid w:val="004850E0"/>
    <w:rsid w:val="00485151"/>
    <w:rsid w:val="00485439"/>
    <w:rsid w:val="00485B35"/>
    <w:rsid w:val="004860E4"/>
    <w:rsid w:val="00486736"/>
    <w:rsid w:val="00486A97"/>
    <w:rsid w:val="004875AE"/>
    <w:rsid w:val="0049005E"/>
    <w:rsid w:val="00490063"/>
    <w:rsid w:val="0049006C"/>
    <w:rsid w:val="004909EC"/>
    <w:rsid w:val="00490D90"/>
    <w:rsid w:val="00490F6A"/>
    <w:rsid w:val="00491212"/>
    <w:rsid w:val="00491B86"/>
    <w:rsid w:val="00491C54"/>
    <w:rsid w:val="004924FC"/>
    <w:rsid w:val="00492D42"/>
    <w:rsid w:val="0049380B"/>
    <w:rsid w:val="004950F9"/>
    <w:rsid w:val="00495A1D"/>
    <w:rsid w:val="00495CF7"/>
    <w:rsid w:val="00495F28"/>
    <w:rsid w:val="0049603A"/>
    <w:rsid w:val="00496F53"/>
    <w:rsid w:val="00497313"/>
    <w:rsid w:val="0049746F"/>
    <w:rsid w:val="004975C9"/>
    <w:rsid w:val="00497868"/>
    <w:rsid w:val="004978AD"/>
    <w:rsid w:val="004A0102"/>
    <w:rsid w:val="004A013D"/>
    <w:rsid w:val="004A1815"/>
    <w:rsid w:val="004A1CD1"/>
    <w:rsid w:val="004A1E69"/>
    <w:rsid w:val="004A317C"/>
    <w:rsid w:val="004A31B2"/>
    <w:rsid w:val="004A332D"/>
    <w:rsid w:val="004A392A"/>
    <w:rsid w:val="004A4059"/>
    <w:rsid w:val="004A4AB3"/>
    <w:rsid w:val="004A5690"/>
    <w:rsid w:val="004A588C"/>
    <w:rsid w:val="004A5BE2"/>
    <w:rsid w:val="004A5E8F"/>
    <w:rsid w:val="004A5F70"/>
    <w:rsid w:val="004A6114"/>
    <w:rsid w:val="004A62AC"/>
    <w:rsid w:val="004A6AB9"/>
    <w:rsid w:val="004A6D52"/>
    <w:rsid w:val="004A71B6"/>
    <w:rsid w:val="004A78FD"/>
    <w:rsid w:val="004A7EE7"/>
    <w:rsid w:val="004B061E"/>
    <w:rsid w:val="004B0808"/>
    <w:rsid w:val="004B09F7"/>
    <w:rsid w:val="004B0BF1"/>
    <w:rsid w:val="004B1377"/>
    <w:rsid w:val="004B1673"/>
    <w:rsid w:val="004B1D31"/>
    <w:rsid w:val="004B1DEA"/>
    <w:rsid w:val="004B2F77"/>
    <w:rsid w:val="004B3162"/>
    <w:rsid w:val="004B3325"/>
    <w:rsid w:val="004B382D"/>
    <w:rsid w:val="004B3AC6"/>
    <w:rsid w:val="004B3D0D"/>
    <w:rsid w:val="004B42F8"/>
    <w:rsid w:val="004B492F"/>
    <w:rsid w:val="004B4D44"/>
    <w:rsid w:val="004B4FA7"/>
    <w:rsid w:val="004B5DBF"/>
    <w:rsid w:val="004B5FCC"/>
    <w:rsid w:val="004B6A4F"/>
    <w:rsid w:val="004B6F1E"/>
    <w:rsid w:val="004B70A6"/>
    <w:rsid w:val="004B7A12"/>
    <w:rsid w:val="004C0009"/>
    <w:rsid w:val="004C028F"/>
    <w:rsid w:val="004C2DF1"/>
    <w:rsid w:val="004C2E9D"/>
    <w:rsid w:val="004C30BA"/>
    <w:rsid w:val="004C317E"/>
    <w:rsid w:val="004C56F1"/>
    <w:rsid w:val="004C58D1"/>
    <w:rsid w:val="004C5A3C"/>
    <w:rsid w:val="004C5B39"/>
    <w:rsid w:val="004C5C09"/>
    <w:rsid w:val="004C5D63"/>
    <w:rsid w:val="004C645C"/>
    <w:rsid w:val="004C6F8E"/>
    <w:rsid w:val="004C7059"/>
    <w:rsid w:val="004C7300"/>
    <w:rsid w:val="004C730C"/>
    <w:rsid w:val="004C7408"/>
    <w:rsid w:val="004C7956"/>
    <w:rsid w:val="004C7CC8"/>
    <w:rsid w:val="004D07D0"/>
    <w:rsid w:val="004D2A67"/>
    <w:rsid w:val="004D35DD"/>
    <w:rsid w:val="004D3790"/>
    <w:rsid w:val="004D3835"/>
    <w:rsid w:val="004D389A"/>
    <w:rsid w:val="004D393F"/>
    <w:rsid w:val="004D3EC5"/>
    <w:rsid w:val="004D4374"/>
    <w:rsid w:val="004D4774"/>
    <w:rsid w:val="004D4E49"/>
    <w:rsid w:val="004D4F75"/>
    <w:rsid w:val="004D5014"/>
    <w:rsid w:val="004D535B"/>
    <w:rsid w:val="004D5F27"/>
    <w:rsid w:val="004D6097"/>
    <w:rsid w:val="004D61E5"/>
    <w:rsid w:val="004D6606"/>
    <w:rsid w:val="004D668F"/>
    <w:rsid w:val="004D6A0D"/>
    <w:rsid w:val="004D6E22"/>
    <w:rsid w:val="004D7AB0"/>
    <w:rsid w:val="004D7D7D"/>
    <w:rsid w:val="004E0066"/>
    <w:rsid w:val="004E02EB"/>
    <w:rsid w:val="004E065F"/>
    <w:rsid w:val="004E0FA2"/>
    <w:rsid w:val="004E1CD5"/>
    <w:rsid w:val="004E28C8"/>
    <w:rsid w:val="004E2B17"/>
    <w:rsid w:val="004E2CE7"/>
    <w:rsid w:val="004E2F58"/>
    <w:rsid w:val="004E30E4"/>
    <w:rsid w:val="004E32CF"/>
    <w:rsid w:val="004E461D"/>
    <w:rsid w:val="004E588E"/>
    <w:rsid w:val="004E63E3"/>
    <w:rsid w:val="004E6933"/>
    <w:rsid w:val="004E6E31"/>
    <w:rsid w:val="004E7AC1"/>
    <w:rsid w:val="004F063C"/>
    <w:rsid w:val="004F0865"/>
    <w:rsid w:val="004F0878"/>
    <w:rsid w:val="004F2110"/>
    <w:rsid w:val="004F2FC7"/>
    <w:rsid w:val="004F427D"/>
    <w:rsid w:val="004F429A"/>
    <w:rsid w:val="004F4953"/>
    <w:rsid w:val="004F5F6B"/>
    <w:rsid w:val="004F62EC"/>
    <w:rsid w:val="004F6FB7"/>
    <w:rsid w:val="004F700A"/>
    <w:rsid w:val="004F7035"/>
    <w:rsid w:val="004F7165"/>
    <w:rsid w:val="004F771F"/>
    <w:rsid w:val="004F7F3A"/>
    <w:rsid w:val="005025B2"/>
    <w:rsid w:val="00503074"/>
    <w:rsid w:val="0050312F"/>
    <w:rsid w:val="005036A4"/>
    <w:rsid w:val="00503794"/>
    <w:rsid w:val="005037BF"/>
    <w:rsid w:val="00503DE4"/>
    <w:rsid w:val="0050517B"/>
    <w:rsid w:val="00505532"/>
    <w:rsid w:val="005056B1"/>
    <w:rsid w:val="005063D9"/>
    <w:rsid w:val="0050686C"/>
    <w:rsid w:val="00506AB2"/>
    <w:rsid w:val="00506C99"/>
    <w:rsid w:val="00507027"/>
    <w:rsid w:val="005070EB"/>
    <w:rsid w:val="00507602"/>
    <w:rsid w:val="00507764"/>
    <w:rsid w:val="00507AC2"/>
    <w:rsid w:val="00507C3D"/>
    <w:rsid w:val="00507E4A"/>
    <w:rsid w:val="00511010"/>
    <w:rsid w:val="00511026"/>
    <w:rsid w:val="005112CE"/>
    <w:rsid w:val="005119C1"/>
    <w:rsid w:val="005119EE"/>
    <w:rsid w:val="00511C61"/>
    <w:rsid w:val="00512C26"/>
    <w:rsid w:val="00512EC9"/>
    <w:rsid w:val="005130C6"/>
    <w:rsid w:val="0051312F"/>
    <w:rsid w:val="00513160"/>
    <w:rsid w:val="00513868"/>
    <w:rsid w:val="00513C62"/>
    <w:rsid w:val="00513E1B"/>
    <w:rsid w:val="00513EC6"/>
    <w:rsid w:val="00513FCE"/>
    <w:rsid w:val="005141B0"/>
    <w:rsid w:val="00515A3B"/>
    <w:rsid w:val="00515ACA"/>
    <w:rsid w:val="00516151"/>
    <w:rsid w:val="005161CF"/>
    <w:rsid w:val="0051624C"/>
    <w:rsid w:val="005163B4"/>
    <w:rsid w:val="00516928"/>
    <w:rsid w:val="00516D85"/>
    <w:rsid w:val="00517505"/>
    <w:rsid w:val="0051761F"/>
    <w:rsid w:val="00520439"/>
    <w:rsid w:val="0052065E"/>
    <w:rsid w:val="005211C5"/>
    <w:rsid w:val="00521779"/>
    <w:rsid w:val="00522647"/>
    <w:rsid w:val="00522E21"/>
    <w:rsid w:val="00522FDD"/>
    <w:rsid w:val="00523B37"/>
    <w:rsid w:val="00523B8E"/>
    <w:rsid w:val="00523D32"/>
    <w:rsid w:val="00524139"/>
    <w:rsid w:val="00524A53"/>
    <w:rsid w:val="0052536D"/>
    <w:rsid w:val="005253FD"/>
    <w:rsid w:val="00525BE3"/>
    <w:rsid w:val="005266EC"/>
    <w:rsid w:val="00526CC1"/>
    <w:rsid w:val="00526F49"/>
    <w:rsid w:val="005270CE"/>
    <w:rsid w:val="005278CD"/>
    <w:rsid w:val="005304B7"/>
    <w:rsid w:val="00530846"/>
    <w:rsid w:val="00530979"/>
    <w:rsid w:val="00530BD1"/>
    <w:rsid w:val="005313B0"/>
    <w:rsid w:val="00531A83"/>
    <w:rsid w:val="0053227B"/>
    <w:rsid w:val="00532685"/>
    <w:rsid w:val="00532C97"/>
    <w:rsid w:val="00532E38"/>
    <w:rsid w:val="00532F47"/>
    <w:rsid w:val="0053326E"/>
    <w:rsid w:val="005346AF"/>
    <w:rsid w:val="00534E66"/>
    <w:rsid w:val="00535B91"/>
    <w:rsid w:val="00535DAD"/>
    <w:rsid w:val="00536C50"/>
    <w:rsid w:val="00536E40"/>
    <w:rsid w:val="00536FD9"/>
    <w:rsid w:val="0053718B"/>
    <w:rsid w:val="00540182"/>
    <w:rsid w:val="005405DB"/>
    <w:rsid w:val="00540655"/>
    <w:rsid w:val="00540AF7"/>
    <w:rsid w:val="00540BB1"/>
    <w:rsid w:val="00540F3F"/>
    <w:rsid w:val="005425B2"/>
    <w:rsid w:val="0054279F"/>
    <w:rsid w:val="005428C8"/>
    <w:rsid w:val="00542D3A"/>
    <w:rsid w:val="00543655"/>
    <w:rsid w:val="00543E8D"/>
    <w:rsid w:val="00543FEF"/>
    <w:rsid w:val="00544546"/>
    <w:rsid w:val="0054512B"/>
    <w:rsid w:val="00545325"/>
    <w:rsid w:val="0054570A"/>
    <w:rsid w:val="00545AB5"/>
    <w:rsid w:val="00546A4C"/>
    <w:rsid w:val="00546D8B"/>
    <w:rsid w:val="005474F3"/>
    <w:rsid w:val="0054783A"/>
    <w:rsid w:val="00550685"/>
    <w:rsid w:val="00551238"/>
    <w:rsid w:val="005514AD"/>
    <w:rsid w:val="00551F26"/>
    <w:rsid w:val="00552368"/>
    <w:rsid w:val="00552F3C"/>
    <w:rsid w:val="0055302D"/>
    <w:rsid w:val="005533ED"/>
    <w:rsid w:val="00554597"/>
    <w:rsid w:val="005550F6"/>
    <w:rsid w:val="00555AFB"/>
    <w:rsid w:val="00556348"/>
    <w:rsid w:val="00556951"/>
    <w:rsid w:val="00556F7D"/>
    <w:rsid w:val="0055750C"/>
    <w:rsid w:val="00557A00"/>
    <w:rsid w:val="00560A7F"/>
    <w:rsid w:val="0056129D"/>
    <w:rsid w:val="005619B5"/>
    <w:rsid w:val="00561DFB"/>
    <w:rsid w:val="00562184"/>
    <w:rsid w:val="00562AA3"/>
    <w:rsid w:val="00562AE3"/>
    <w:rsid w:val="00562B12"/>
    <w:rsid w:val="00562FFA"/>
    <w:rsid w:val="00563722"/>
    <w:rsid w:val="0056381D"/>
    <w:rsid w:val="00563834"/>
    <w:rsid w:val="00564353"/>
    <w:rsid w:val="00564365"/>
    <w:rsid w:val="00564746"/>
    <w:rsid w:val="0056482F"/>
    <w:rsid w:val="00564C11"/>
    <w:rsid w:val="00564CD6"/>
    <w:rsid w:val="00564D67"/>
    <w:rsid w:val="00564DC0"/>
    <w:rsid w:val="00564FA3"/>
    <w:rsid w:val="00565099"/>
    <w:rsid w:val="005651B2"/>
    <w:rsid w:val="0056606D"/>
    <w:rsid w:val="00566751"/>
    <w:rsid w:val="00566A95"/>
    <w:rsid w:val="00566C48"/>
    <w:rsid w:val="00567408"/>
    <w:rsid w:val="005674B0"/>
    <w:rsid w:val="005679E7"/>
    <w:rsid w:val="00567B70"/>
    <w:rsid w:val="005709D7"/>
    <w:rsid w:val="005709FD"/>
    <w:rsid w:val="00570CD2"/>
    <w:rsid w:val="0057125C"/>
    <w:rsid w:val="00571A60"/>
    <w:rsid w:val="005726E2"/>
    <w:rsid w:val="00572961"/>
    <w:rsid w:val="005735C7"/>
    <w:rsid w:val="0057367D"/>
    <w:rsid w:val="00573AD3"/>
    <w:rsid w:val="00573FA1"/>
    <w:rsid w:val="005744F1"/>
    <w:rsid w:val="005745AD"/>
    <w:rsid w:val="00574E5E"/>
    <w:rsid w:val="0057575F"/>
    <w:rsid w:val="005759CD"/>
    <w:rsid w:val="00575F56"/>
    <w:rsid w:val="0057622F"/>
    <w:rsid w:val="00576DE4"/>
    <w:rsid w:val="005770F2"/>
    <w:rsid w:val="00577FAB"/>
    <w:rsid w:val="00580873"/>
    <w:rsid w:val="0058092B"/>
    <w:rsid w:val="005810B5"/>
    <w:rsid w:val="0058123D"/>
    <w:rsid w:val="0058176B"/>
    <w:rsid w:val="005817ED"/>
    <w:rsid w:val="00581D13"/>
    <w:rsid w:val="005825CB"/>
    <w:rsid w:val="00583413"/>
    <w:rsid w:val="005841BE"/>
    <w:rsid w:val="00584270"/>
    <w:rsid w:val="00584279"/>
    <w:rsid w:val="005846ED"/>
    <w:rsid w:val="005848DC"/>
    <w:rsid w:val="005850BD"/>
    <w:rsid w:val="005850CD"/>
    <w:rsid w:val="00585292"/>
    <w:rsid w:val="00585ADE"/>
    <w:rsid w:val="00586442"/>
    <w:rsid w:val="005869B1"/>
    <w:rsid w:val="005869B4"/>
    <w:rsid w:val="00586BC5"/>
    <w:rsid w:val="005872BD"/>
    <w:rsid w:val="005873D7"/>
    <w:rsid w:val="00587A74"/>
    <w:rsid w:val="0059008B"/>
    <w:rsid w:val="00590A46"/>
    <w:rsid w:val="00590B79"/>
    <w:rsid w:val="00590D5C"/>
    <w:rsid w:val="00590EAA"/>
    <w:rsid w:val="005920FB"/>
    <w:rsid w:val="00592A33"/>
    <w:rsid w:val="00592C28"/>
    <w:rsid w:val="00592DCD"/>
    <w:rsid w:val="00592FC5"/>
    <w:rsid w:val="00593248"/>
    <w:rsid w:val="005938E7"/>
    <w:rsid w:val="00593ED4"/>
    <w:rsid w:val="0059464E"/>
    <w:rsid w:val="00594DA3"/>
    <w:rsid w:val="00595A3C"/>
    <w:rsid w:val="00596C91"/>
    <w:rsid w:val="0059731A"/>
    <w:rsid w:val="00597A25"/>
    <w:rsid w:val="00597B0E"/>
    <w:rsid w:val="00597B63"/>
    <w:rsid w:val="00597C88"/>
    <w:rsid w:val="005A0017"/>
    <w:rsid w:val="005A0660"/>
    <w:rsid w:val="005A090F"/>
    <w:rsid w:val="005A1173"/>
    <w:rsid w:val="005A11AE"/>
    <w:rsid w:val="005A1425"/>
    <w:rsid w:val="005A148F"/>
    <w:rsid w:val="005A1D18"/>
    <w:rsid w:val="005A1D4A"/>
    <w:rsid w:val="005A2577"/>
    <w:rsid w:val="005A3A45"/>
    <w:rsid w:val="005A3B78"/>
    <w:rsid w:val="005A3FF4"/>
    <w:rsid w:val="005A46FA"/>
    <w:rsid w:val="005A4F2F"/>
    <w:rsid w:val="005A5423"/>
    <w:rsid w:val="005A569E"/>
    <w:rsid w:val="005A624C"/>
    <w:rsid w:val="005A63BE"/>
    <w:rsid w:val="005A6C46"/>
    <w:rsid w:val="005A7985"/>
    <w:rsid w:val="005A7E66"/>
    <w:rsid w:val="005B0031"/>
    <w:rsid w:val="005B0864"/>
    <w:rsid w:val="005B09AC"/>
    <w:rsid w:val="005B1C07"/>
    <w:rsid w:val="005B1DBE"/>
    <w:rsid w:val="005B1E27"/>
    <w:rsid w:val="005B23DE"/>
    <w:rsid w:val="005B2CAE"/>
    <w:rsid w:val="005B302A"/>
    <w:rsid w:val="005B3CA0"/>
    <w:rsid w:val="005B448F"/>
    <w:rsid w:val="005B5760"/>
    <w:rsid w:val="005B5783"/>
    <w:rsid w:val="005B604E"/>
    <w:rsid w:val="005B6536"/>
    <w:rsid w:val="005B6777"/>
    <w:rsid w:val="005B6F3E"/>
    <w:rsid w:val="005C009F"/>
    <w:rsid w:val="005C01E6"/>
    <w:rsid w:val="005C10ED"/>
    <w:rsid w:val="005C132F"/>
    <w:rsid w:val="005C17E9"/>
    <w:rsid w:val="005C20E8"/>
    <w:rsid w:val="005C2166"/>
    <w:rsid w:val="005C24A6"/>
    <w:rsid w:val="005C26F6"/>
    <w:rsid w:val="005C2C9C"/>
    <w:rsid w:val="005C2F92"/>
    <w:rsid w:val="005C36CF"/>
    <w:rsid w:val="005C3C0E"/>
    <w:rsid w:val="005C41DC"/>
    <w:rsid w:val="005C4201"/>
    <w:rsid w:val="005C43FA"/>
    <w:rsid w:val="005C49ED"/>
    <w:rsid w:val="005C599D"/>
    <w:rsid w:val="005C5A67"/>
    <w:rsid w:val="005C5D91"/>
    <w:rsid w:val="005C61A6"/>
    <w:rsid w:val="005C69CF"/>
    <w:rsid w:val="005C6C03"/>
    <w:rsid w:val="005C7985"/>
    <w:rsid w:val="005D0B23"/>
    <w:rsid w:val="005D0EEB"/>
    <w:rsid w:val="005D19B8"/>
    <w:rsid w:val="005D1FB9"/>
    <w:rsid w:val="005D2464"/>
    <w:rsid w:val="005D2791"/>
    <w:rsid w:val="005D29B6"/>
    <w:rsid w:val="005D328E"/>
    <w:rsid w:val="005D33F9"/>
    <w:rsid w:val="005D3A6F"/>
    <w:rsid w:val="005D42F8"/>
    <w:rsid w:val="005D463C"/>
    <w:rsid w:val="005D49C5"/>
    <w:rsid w:val="005D4C5B"/>
    <w:rsid w:val="005D4F96"/>
    <w:rsid w:val="005D5139"/>
    <w:rsid w:val="005D586F"/>
    <w:rsid w:val="005D5A22"/>
    <w:rsid w:val="005D5D29"/>
    <w:rsid w:val="005D61D2"/>
    <w:rsid w:val="005D64EB"/>
    <w:rsid w:val="005D7725"/>
    <w:rsid w:val="005D7E81"/>
    <w:rsid w:val="005E004D"/>
    <w:rsid w:val="005E0497"/>
    <w:rsid w:val="005E0588"/>
    <w:rsid w:val="005E06C1"/>
    <w:rsid w:val="005E0759"/>
    <w:rsid w:val="005E1D52"/>
    <w:rsid w:val="005E317C"/>
    <w:rsid w:val="005E3182"/>
    <w:rsid w:val="005E34E6"/>
    <w:rsid w:val="005E351F"/>
    <w:rsid w:val="005E3C60"/>
    <w:rsid w:val="005E42AD"/>
    <w:rsid w:val="005E436C"/>
    <w:rsid w:val="005E46EC"/>
    <w:rsid w:val="005E47DF"/>
    <w:rsid w:val="005E4C48"/>
    <w:rsid w:val="005E5674"/>
    <w:rsid w:val="005E5BF7"/>
    <w:rsid w:val="005E5CAD"/>
    <w:rsid w:val="005E5D43"/>
    <w:rsid w:val="005E5D91"/>
    <w:rsid w:val="005E600F"/>
    <w:rsid w:val="005E618A"/>
    <w:rsid w:val="005E6219"/>
    <w:rsid w:val="005E6778"/>
    <w:rsid w:val="005E6B78"/>
    <w:rsid w:val="005F0388"/>
    <w:rsid w:val="005F0B8B"/>
    <w:rsid w:val="005F1231"/>
    <w:rsid w:val="005F1352"/>
    <w:rsid w:val="005F22D2"/>
    <w:rsid w:val="005F2567"/>
    <w:rsid w:val="005F28D0"/>
    <w:rsid w:val="005F2E29"/>
    <w:rsid w:val="005F316B"/>
    <w:rsid w:val="005F3388"/>
    <w:rsid w:val="005F3BCA"/>
    <w:rsid w:val="005F3C24"/>
    <w:rsid w:val="005F4321"/>
    <w:rsid w:val="005F453E"/>
    <w:rsid w:val="005F4A9D"/>
    <w:rsid w:val="005F5142"/>
    <w:rsid w:val="005F5F35"/>
    <w:rsid w:val="005F5FBE"/>
    <w:rsid w:val="005F62B6"/>
    <w:rsid w:val="005F63CA"/>
    <w:rsid w:val="005F63FD"/>
    <w:rsid w:val="005F6647"/>
    <w:rsid w:val="005F7F44"/>
    <w:rsid w:val="00600BA7"/>
    <w:rsid w:val="00601244"/>
    <w:rsid w:val="00601637"/>
    <w:rsid w:val="006018A6"/>
    <w:rsid w:val="00602709"/>
    <w:rsid w:val="00602761"/>
    <w:rsid w:val="00602C47"/>
    <w:rsid w:val="00602C6A"/>
    <w:rsid w:val="006039C9"/>
    <w:rsid w:val="00604655"/>
    <w:rsid w:val="006047F5"/>
    <w:rsid w:val="0060562C"/>
    <w:rsid w:val="00605804"/>
    <w:rsid w:val="006059E5"/>
    <w:rsid w:val="00606020"/>
    <w:rsid w:val="0060647D"/>
    <w:rsid w:val="00606A85"/>
    <w:rsid w:val="00607155"/>
    <w:rsid w:val="00607A59"/>
    <w:rsid w:val="00607BA3"/>
    <w:rsid w:val="0061000A"/>
    <w:rsid w:val="006100AF"/>
    <w:rsid w:val="00610916"/>
    <w:rsid w:val="00612420"/>
    <w:rsid w:val="006127E3"/>
    <w:rsid w:val="00612E32"/>
    <w:rsid w:val="006138F7"/>
    <w:rsid w:val="00614088"/>
    <w:rsid w:val="006142B6"/>
    <w:rsid w:val="00614860"/>
    <w:rsid w:val="00614BB3"/>
    <w:rsid w:val="006156F6"/>
    <w:rsid w:val="0061587C"/>
    <w:rsid w:val="006159DE"/>
    <w:rsid w:val="00615BFD"/>
    <w:rsid w:val="00615C1F"/>
    <w:rsid w:val="00616A55"/>
    <w:rsid w:val="006172CA"/>
    <w:rsid w:val="00617B21"/>
    <w:rsid w:val="006201E9"/>
    <w:rsid w:val="00620958"/>
    <w:rsid w:val="00620D14"/>
    <w:rsid w:val="00620F05"/>
    <w:rsid w:val="006211CB"/>
    <w:rsid w:val="00621277"/>
    <w:rsid w:val="006215ED"/>
    <w:rsid w:val="00621CC4"/>
    <w:rsid w:val="00621E86"/>
    <w:rsid w:val="0062206C"/>
    <w:rsid w:val="0062209B"/>
    <w:rsid w:val="00622AD1"/>
    <w:rsid w:val="00624E43"/>
    <w:rsid w:val="0062503B"/>
    <w:rsid w:val="006250BC"/>
    <w:rsid w:val="00625198"/>
    <w:rsid w:val="0062538B"/>
    <w:rsid w:val="00625782"/>
    <w:rsid w:val="0062597D"/>
    <w:rsid w:val="00625D3A"/>
    <w:rsid w:val="00625FF3"/>
    <w:rsid w:val="006262F3"/>
    <w:rsid w:val="006267CF"/>
    <w:rsid w:val="00626D88"/>
    <w:rsid w:val="00627D22"/>
    <w:rsid w:val="00627DAF"/>
    <w:rsid w:val="0063005D"/>
    <w:rsid w:val="006309B8"/>
    <w:rsid w:val="00630CD8"/>
    <w:rsid w:val="00630E3A"/>
    <w:rsid w:val="00630EC7"/>
    <w:rsid w:val="00630FE7"/>
    <w:rsid w:val="006317F1"/>
    <w:rsid w:val="0063223D"/>
    <w:rsid w:val="006324AC"/>
    <w:rsid w:val="006327C8"/>
    <w:rsid w:val="00632D65"/>
    <w:rsid w:val="006339C4"/>
    <w:rsid w:val="00634079"/>
    <w:rsid w:val="006349BC"/>
    <w:rsid w:val="0063564C"/>
    <w:rsid w:val="00635899"/>
    <w:rsid w:val="00635CF6"/>
    <w:rsid w:val="00636033"/>
    <w:rsid w:val="006361A7"/>
    <w:rsid w:val="00636868"/>
    <w:rsid w:val="00636FFF"/>
    <w:rsid w:val="0063742A"/>
    <w:rsid w:val="006375C5"/>
    <w:rsid w:val="00637A97"/>
    <w:rsid w:val="00637E05"/>
    <w:rsid w:val="00640C19"/>
    <w:rsid w:val="006413FF"/>
    <w:rsid w:val="0064169A"/>
    <w:rsid w:val="00641753"/>
    <w:rsid w:val="00641AEC"/>
    <w:rsid w:val="00642261"/>
    <w:rsid w:val="00642543"/>
    <w:rsid w:val="00642C3F"/>
    <w:rsid w:val="00642CF4"/>
    <w:rsid w:val="00643095"/>
    <w:rsid w:val="0064344D"/>
    <w:rsid w:val="006435F8"/>
    <w:rsid w:val="00643884"/>
    <w:rsid w:val="00644389"/>
    <w:rsid w:val="00644979"/>
    <w:rsid w:val="00644F03"/>
    <w:rsid w:val="00646892"/>
    <w:rsid w:val="006469A2"/>
    <w:rsid w:val="00646C10"/>
    <w:rsid w:val="00646D58"/>
    <w:rsid w:val="006472D4"/>
    <w:rsid w:val="0064738B"/>
    <w:rsid w:val="006477E8"/>
    <w:rsid w:val="00647825"/>
    <w:rsid w:val="006478DC"/>
    <w:rsid w:val="00647FAA"/>
    <w:rsid w:val="00650216"/>
    <w:rsid w:val="0065076B"/>
    <w:rsid w:val="00650EEE"/>
    <w:rsid w:val="0065130E"/>
    <w:rsid w:val="00651E67"/>
    <w:rsid w:val="006525D5"/>
    <w:rsid w:val="00652DE1"/>
    <w:rsid w:val="00653111"/>
    <w:rsid w:val="006532C2"/>
    <w:rsid w:val="006535C4"/>
    <w:rsid w:val="00653910"/>
    <w:rsid w:val="00653D68"/>
    <w:rsid w:val="00654A2A"/>
    <w:rsid w:val="00654AF5"/>
    <w:rsid w:val="00655393"/>
    <w:rsid w:val="00655645"/>
    <w:rsid w:val="00655743"/>
    <w:rsid w:val="00655A69"/>
    <w:rsid w:val="00656684"/>
    <w:rsid w:val="006568D9"/>
    <w:rsid w:val="00656AEB"/>
    <w:rsid w:val="006570A2"/>
    <w:rsid w:val="00660026"/>
    <w:rsid w:val="006602D8"/>
    <w:rsid w:val="00660507"/>
    <w:rsid w:val="00660660"/>
    <w:rsid w:val="006617A7"/>
    <w:rsid w:val="00661B79"/>
    <w:rsid w:val="00661FE7"/>
    <w:rsid w:val="00662F71"/>
    <w:rsid w:val="006635AB"/>
    <w:rsid w:val="00663761"/>
    <w:rsid w:val="00663DCA"/>
    <w:rsid w:val="00663F78"/>
    <w:rsid w:val="006640C1"/>
    <w:rsid w:val="006646E7"/>
    <w:rsid w:val="00665422"/>
    <w:rsid w:val="00665B87"/>
    <w:rsid w:val="0066686A"/>
    <w:rsid w:val="00667C21"/>
    <w:rsid w:val="0067015D"/>
    <w:rsid w:val="0067024F"/>
    <w:rsid w:val="00670E78"/>
    <w:rsid w:val="006719CD"/>
    <w:rsid w:val="00671E82"/>
    <w:rsid w:val="00672A45"/>
    <w:rsid w:val="00672A9F"/>
    <w:rsid w:val="00672D50"/>
    <w:rsid w:val="00672D77"/>
    <w:rsid w:val="00672F3F"/>
    <w:rsid w:val="00673337"/>
    <w:rsid w:val="006733A7"/>
    <w:rsid w:val="00675000"/>
    <w:rsid w:val="006759C2"/>
    <w:rsid w:val="00676047"/>
    <w:rsid w:val="0067692B"/>
    <w:rsid w:val="00676CBE"/>
    <w:rsid w:val="00677072"/>
    <w:rsid w:val="00677E08"/>
    <w:rsid w:val="00677F14"/>
    <w:rsid w:val="0068038A"/>
    <w:rsid w:val="00680601"/>
    <w:rsid w:val="0068066B"/>
    <w:rsid w:val="0068135C"/>
    <w:rsid w:val="006815BC"/>
    <w:rsid w:val="0068174E"/>
    <w:rsid w:val="006820D6"/>
    <w:rsid w:val="00682A25"/>
    <w:rsid w:val="00682CE2"/>
    <w:rsid w:val="00683312"/>
    <w:rsid w:val="00683D3A"/>
    <w:rsid w:val="006850C8"/>
    <w:rsid w:val="0068555E"/>
    <w:rsid w:val="006857A6"/>
    <w:rsid w:val="00685ACE"/>
    <w:rsid w:val="00685DF9"/>
    <w:rsid w:val="0068664D"/>
    <w:rsid w:val="00686E44"/>
    <w:rsid w:val="00687264"/>
    <w:rsid w:val="006874D0"/>
    <w:rsid w:val="00687D8D"/>
    <w:rsid w:val="0069008D"/>
    <w:rsid w:val="0069010A"/>
    <w:rsid w:val="0069115A"/>
    <w:rsid w:val="00691BB7"/>
    <w:rsid w:val="0069282E"/>
    <w:rsid w:val="0069295E"/>
    <w:rsid w:val="00693296"/>
    <w:rsid w:val="006934E0"/>
    <w:rsid w:val="00693628"/>
    <w:rsid w:val="006938DF"/>
    <w:rsid w:val="00693C1C"/>
    <w:rsid w:val="00693EC8"/>
    <w:rsid w:val="00694120"/>
    <w:rsid w:val="00694492"/>
    <w:rsid w:val="00694C62"/>
    <w:rsid w:val="00694DE4"/>
    <w:rsid w:val="00694F6B"/>
    <w:rsid w:val="00694FF5"/>
    <w:rsid w:val="006954E8"/>
    <w:rsid w:val="006960A6"/>
    <w:rsid w:val="0069617C"/>
    <w:rsid w:val="006965AC"/>
    <w:rsid w:val="00696641"/>
    <w:rsid w:val="006968FD"/>
    <w:rsid w:val="00697117"/>
    <w:rsid w:val="006971ED"/>
    <w:rsid w:val="00697429"/>
    <w:rsid w:val="0069759B"/>
    <w:rsid w:val="006978D7"/>
    <w:rsid w:val="00697975"/>
    <w:rsid w:val="00697AAB"/>
    <w:rsid w:val="006A0583"/>
    <w:rsid w:val="006A0F40"/>
    <w:rsid w:val="006A0FF4"/>
    <w:rsid w:val="006A112D"/>
    <w:rsid w:val="006A158F"/>
    <w:rsid w:val="006A1856"/>
    <w:rsid w:val="006A1D72"/>
    <w:rsid w:val="006A1FDA"/>
    <w:rsid w:val="006A203F"/>
    <w:rsid w:val="006A23C5"/>
    <w:rsid w:val="006A28B2"/>
    <w:rsid w:val="006A35B2"/>
    <w:rsid w:val="006A361D"/>
    <w:rsid w:val="006A36C2"/>
    <w:rsid w:val="006A3C6A"/>
    <w:rsid w:val="006A3DDB"/>
    <w:rsid w:val="006A3DDC"/>
    <w:rsid w:val="006A466E"/>
    <w:rsid w:val="006A4BAD"/>
    <w:rsid w:val="006A4FFC"/>
    <w:rsid w:val="006A50B9"/>
    <w:rsid w:val="006A5E6D"/>
    <w:rsid w:val="006A629B"/>
    <w:rsid w:val="006A63DD"/>
    <w:rsid w:val="006A67B4"/>
    <w:rsid w:val="006A6917"/>
    <w:rsid w:val="006A6E79"/>
    <w:rsid w:val="006B034D"/>
    <w:rsid w:val="006B0E03"/>
    <w:rsid w:val="006B125B"/>
    <w:rsid w:val="006B1E6A"/>
    <w:rsid w:val="006B24A4"/>
    <w:rsid w:val="006B255A"/>
    <w:rsid w:val="006B303C"/>
    <w:rsid w:val="006B32E5"/>
    <w:rsid w:val="006B3552"/>
    <w:rsid w:val="006B380E"/>
    <w:rsid w:val="006B457D"/>
    <w:rsid w:val="006B4B65"/>
    <w:rsid w:val="006B4BA2"/>
    <w:rsid w:val="006B4F69"/>
    <w:rsid w:val="006B5116"/>
    <w:rsid w:val="006B5382"/>
    <w:rsid w:val="006B58DA"/>
    <w:rsid w:val="006B5A7D"/>
    <w:rsid w:val="006B6155"/>
    <w:rsid w:val="006B61EE"/>
    <w:rsid w:val="006B66B7"/>
    <w:rsid w:val="006B6B3B"/>
    <w:rsid w:val="006B6D9E"/>
    <w:rsid w:val="006B75AD"/>
    <w:rsid w:val="006B7807"/>
    <w:rsid w:val="006B7992"/>
    <w:rsid w:val="006B7EEC"/>
    <w:rsid w:val="006C0158"/>
    <w:rsid w:val="006C03A1"/>
    <w:rsid w:val="006C0707"/>
    <w:rsid w:val="006C085C"/>
    <w:rsid w:val="006C0AF4"/>
    <w:rsid w:val="006C1161"/>
    <w:rsid w:val="006C1E5A"/>
    <w:rsid w:val="006C2819"/>
    <w:rsid w:val="006C28EA"/>
    <w:rsid w:val="006C2E73"/>
    <w:rsid w:val="006C3020"/>
    <w:rsid w:val="006C3180"/>
    <w:rsid w:val="006C3420"/>
    <w:rsid w:val="006C3F99"/>
    <w:rsid w:val="006C499B"/>
    <w:rsid w:val="006C4F64"/>
    <w:rsid w:val="006C4F9A"/>
    <w:rsid w:val="006C5025"/>
    <w:rsid w:val="006C516D"/>
    <w:rsid w:val="006C5718"/>
    <w:rsid w:val="006C57CC"/>
    <w:rsid w:val="006C5C5F"/>
    <w:rsid w:val="006C7495"/>
    <w:rsid w:val="006C7846"/>
    <w:rsid w:val="006D00E4"/>
    <w:rsid w:val="006D09BB"/>
    <w:rsid w:val="006D138C"/>
    <w:rsid w:val="006D1660"/>
    <w:rsid w:val="006D1F98"/>
    <w:rsid w:val="006D2328"/>
    <w:rsid w:val="006D25F3"/>
    <w:rsid w:val="006D3047"/>
    <w:rsid w:val="006D4425"/>
    <w:rsid w:val="006D46BA"/>
    <w:rsid w:val="006D5290"/>
    <w:rsid w:val="006D5B5C"/>
    <w:rsid w:val="006D6261"/>
    <w:rsid w:val="006D6FAB"/>
    <w:rsid w:val="006D7869"/>
    <w:rsid w:val="006D7990"/>
    <w:rsid w:val="006E0BB1"/>
    <w:rsid w:val="006E0FC3"/>
    <w:rsid w:val="006E1210"/>
    <w:rsid w:val="006E1532"/>
    <w:rsid w:val="006E1A9B"/>
    <w:rsid w:val="006E247D"/>
    <w:rsid w:val="006E269F"/>
    <w:rsid w:val="006E277E"/>
    <w:rsid w:val="006E2CF6"/>
    <w:rsid w:val="006E2E0B"/>
    <w:rsid w:val="006E307D"/>
    <w:rsid w:val="006E3559"/>
    <w:rsid w:val="006E38A8"/>
    <w:rsid w:val="006E3B41"/>
    <w:rsid w:val="006E46D0"/>
    <w:rsid w:val="006E47A6"/>
    <w:rsid w:val="006E484C"/>
    <w:rsid w:val="006E4A50"/>
    <w:rsid w:val="006E4CEF"/>
    <w:rsid w:val="006E4D52"/>
    <w:rsid w:val="006E53D9"/>
    <w:rsid w:val="006E5969"/>
    <w:rsid w:val="006E5F7C"/>
    <w:rsid w:val="006E6007"/>
    <w:rsid w:val="006E6050"/>
    <w:rsid w:val="006E6449"/>
    <w:rsid w:val="006E676A"/>
    <w:rsid w:val="006E69E1"/>
    <w:rsid w:val="006E70A7"/>
    <w:rsid w:val="006E7969"/>
    <w:rsid w:val="006F002F"/>
    <w:rsid w:val="006F01DD"/>
    <w:rsid w:val="006F04B6"/>
    <w:rsid w:val="006F0FA5"/>
    <w:rsid w:val="006F1AC7"/>
    <w:rsid w:val="006F2167"/>
    <w:rsid w:val="006F235B"/>
    <w:rsid w:val="006F279F"/>
    <w:rsid w:val="006F2FF9"/>
    <w:rsid w:val="006F517C"/>
    <w:rsid w:val="006F5887"/>
    <w:rsid w:val="006F58D5"/>
    <w:rsid w:val="006F5B71"/>
    <w:rsid w:val="006F609F"/>
    <w:rsid w:val="006F6FDD"/>
    <w:rsid w:val="006F71AE"/>
    <w:rsid w:val="006F73CB"/>
    <w:rsid w:val="006F7CA2"/>
    <w:rsid w:val="0070001C"/>
    <w:rsid w:val="00700700"/>
    <w:rsid w:val="00700936"/>
    <w:rsid w:val="007009E6"/>
    <w:rsid w:val="00700E11"/>
    <w:rsid w:val="00700F02"/>
    <w:rsid w:val="0070153C"/>
    <w:rsid w:val="007022AC"/>
    <w:rsid w:val="007029B3"/>
    <w:rsid w:val="00702B23"/>
    <w:rsid w:val="007030FD"/>
    <w:rsid w:val="007032A1"/>
    <w:rsid w:val="00703841"/>
    <w:rsid w:val="007039E2"/>
    <w:rsid w:val="0070431F"/>
    <w:rsid w:val="007049B6"/>
    <w:rsid w:val="00704BC1"/>
    <w:rsid w:val="00704F23"/>
    <w:rsid w:val="007051DD"/>
    <w:rsid w:val="0070520B"/>
    <w:rsid w:val="007054AE"/>
    <w:rsid w:val="00705E0E"/>
    <w:rsid w:val="00706BAB"/>
    <w:rsid w:val="00706BEC"/>
    <w:rsid w:val="00706D96"/>
    <w:rsid w:val="007103FC"/>
    <w:rsid w:val="00710491"/>
    <w:rsid w:val="00710AE7"/>
    <w:rsid w:val="00711004"/>
    <w:rsid w:val="007112D1"/>
    <w:rsid w:val="007113C3"/>
    <w:rsid w:val="00711992"/>
    <w:rsid w:val="0071233A"/>
    <w:rsid w:val="0071270C"/>
    <w:rsid w:val="00712B3F"/>
    <w:rsid w:val="00713676"/>
    <w:rsid w:val="0071395D"/>
    <w:rsid w:val="00713AAE"/>
    <w:rsid w:val="00713CE1"/>
    <w:rsid w:val="00714263"/>
    <w:rsid w:val="0071457E"/>
    <w:rsid w:val="00715552"/>
    <w:rsid w:val="007159EF"/>
    <w:rsid w:val="00715A75"/>
    <w:rsid w:val="00715C15"/>
    <w:rsid w:val="00715EFB"/>
    <w:rsid w:val="007160F0"/>
    <w:rsid w:val="007162B5"/>
    <w:rsid w:val="00716E30"/>
    <w:rsid w:val="007173BF"/>
    <w:rsid w:val="007175BF"/>
    <w:rsid w:val="0071764F"/>
    <w:rsid w:val="00717A49"/>
    <w:rsid w:val="00720E84"/>
    <w:rsid w:val="00722309"/>
    <w:rsid w:val="007227FC"/>
    <w:rsid w:val="00722E3E"/>
    <w:rsid w:val="0072373B"/>
    <w:rsid w:val="00723C79"/>
    <w:rsid w:val="007242B7"/>
    <w:rsid w:val="0072438A"/>
    <w:rsid w:val="0072464E"/>
    <w:rsid w:val="007249F0"/>
    <w:rsid w:val="00724EF0"/>
    <w:rsid w:val="0072517D"/>
    <w:rsid w:val="00725A8C"/>
    <w:rsid w:val="00725CA8"/>
    <w:rsid w:val="007269CC"/>
    <w:rsid w:val="00727476"/>
    <w:rsid w:val="0072749E"/>
    <w:rsid w:val="007274B4"/>
    <w:rsid w:val="00727A1A"/>
    <w:rsid w:val="00727B37"/>
    <w:rsid w:val="00727BE5"/>
    <w:rsid w:val="00727EB6"/>
    <w:rsid w:val="00730280"/>
    <w:rsid w:val="007306B9"/>
    <w:rsid w:val="00730CC9"/>
    <w:rsid w:val="00732C4B"/>
    <w:rsid w:val="00733220"/>
    <w:rsid w:val="0073327D"/>
    <w:rsid w:val="00733350"/>
    <w:rsid w:val="00733575"/>
    <w:rsid w:val="00733C28"/>
    <w:rsid w:val="00734593"/>
    <w:rsid w:val="00734883"/>
    <w:rsid w:val="00734889"/>
    <w:rsid w:val="0073507D"/>
    <w:rsid w:val="007362E1"/>
    <w:rsid w:val="00736480"/>
    <w:rsid w:val="00736D4B"/>
    <w:rsid w:val="007402D2"/>
    <w:rsid w:val="007406F6"/>
    <w:rsid w:val="007410A8"/>
    <w:rsid w:val="00741A82"/>
    <w:rsid w:val="00741CFE"/>
    <w:rsid w:val="007427E4"/>
    <w:rsid w:val="00742A6C"/>
    <w:rsid w:val="00742E1A"/>
    <w:rsid w:val="00742E86"/>
    <w:rsid w:val="00743A4C"/>
    <w:rsid w:val="00743B0D"/>
    <w:rsid w:val="00743C86"/>
    <w:rsid w:val="00743DD9"/>
    <w:rsid w:val="007440B9"/>
    <w:rsid w:val="0074438A"/>
    <w:rsid w:val="0074450A"/>
    <w:rsid w:val="0074476E"/>
    <w:rsid w:val="00744E7B"/>
    <w:rsid w:val="00745CAF"/>
    <w:rsid w:val="007473E0"/>
    <w:rsid w:val="00747E31"/>
    <w:rsid w:val="007505EE"/>
    <w:rsid w:val="00750A6F"/>
    <w:rsid w:val="00750A79"/>
    <w:rsid w:val="00750D1B"/>
    <w:rsid w:val="0075160A"/>
    <w:rsid w:val="00751AC9"/>
    <w:rsid w:val="00751B66"/>
    <w:rsid w:val="007523C6"/>
    <w:rsid w:val="00752EC7"/>
    <w:rsid w:val="00753EB7"/>
    <w:rsid w:val="00753EC8"/>
    <w:rsid w:val="0075446A"/>
    <w:rsid w:val="00754770"/>
    <w:rsid w:val="00754C59"/>
    <w:rsid w:val="0075523D"/>
    <w:rsid w:val="007552D4"/>
    <w:rsid w:val="00755C7D"/>
    <w:rsid w:val="00756397"/>
    <w:rsid w:val="00757287"/>
    <w:rsid w:val="00757C47"/>
    <w:rsid w:val="0076008F"/>
    <w:rsid w:val="007603BF"/>
    <w:rsid w:val="0076146F"/>
    <w:rsid w:val="007614E0"/>
    <w:rsid w:val="0076177C"/>
    <w:rsid w:val="00761CBB"/>
    <w:rsid w:val="00761CE4"/>
    <w:rsid w:val="00762050"/>
    <w:rsid w:val="00762DC7"/>
    <w:rsid w:val="007631A8"/>
    <w:rsid w:val="0076366E"/>
    <w:rsid w:val="0076373B"/>
    <w:rsid w:val="00763898"/>
    <w:rsid w:val="00763A8D"/>
    <w:rsid w:val="00763A93"/>
    <w:rsid w:val="00764247"/>
    <w:rsid w:val="00764411"/>
    <w:rsid w:val="00764C8F"/>
    <w:rsid w:val="00765356"/>
    <w:rsid w:val="0076593F"/>
    <w:rsid w:val="00765B0D"/>
    <w:rsid w:val="00766FCA"/>
    <w:rsid w:val="00771428"/>
    <w:rsid w:val="007718AF"/>
    <w:rsid w:val="00771A28"/>
    <w:rsid w:val="00771A75"/>
    <w:rsid w:val="00772EF9"/>
    <w:rsid w:val="0077374D"/>
    <w:rsid w:val="00773B50"/>
    <w:rsid w:val="00773B62"/>
    <w:rsid w:val="00773D77"/>
    <w:rsid w:val="00773EA5"/>
    <w:rsid w:val="007740FA"/>
    <w:rsid w:val="0077481C"/>
    <w:rsid w:val="00774C3B"/>
    <w:rsid w:val="007753ED"/>
    <w:rsid w:val="00775740"/>
    <w:rsid w:val="00775BC5"/>
    <w:rsid w:val="0077687C"/>
    <w:rsid w:val="00776D24"/>
    <w:rsid w:val="00776EF9"/>
    <w:rsid w:val="0077729A"/>
    <w:rsid w:val="00777BCB"/>
    <w:rsid w:val="00777DEA"/>
    <w:rsid w:val="00777DF1"/>
    <w:rsid w:val="00777E69"/>
    <w:rsid w:val="00777F16"/>
    <w:rsid w:val="00780178"/>
    <w:rsid w:val="0078083F"/>
    <w:rsid w:val="00780EFC"/>
    <w:rsid w:val="00781497"/>
    <w:rsid w:val="007818E8"/>
    <w:rsid w:val="00782DBF"/>
    <w:rsid w:val="00782EA6"/>
    <w:rsid w:val="007830E9"/>
    <w:rsid w:val="0078389F"/>
    <w:rsid w:val="0078456C"/>
    <w:rsid w:val="00784887"/>
    <w:rsid w:val="00784CD2"/>
    <w:rsid w:val="00785021"/>
    <w:rsid w:val="007856EF"/>
    <w:rsid w:val="00785A62"/>
    <w:rsid w:val="0078629E"/>
    <w:rsid w:val="007862C0"/>
    <w:rsid w:val="007868F0"/>
    <w:rsid w:val="00786DEF"/>
    <w:rsid w:val="007878FB"/>
    <w:rsid w:val="00787A02"/>
    <w:rsid w:val="00790976"/>
    <w:rsid w:val="007910F4"/>
    <w:rsid w:val="00791477"/>
    <w:rsid w:val="00791516"/>
    <w:rsid w:val="00791602"/>
    <w:rsid w:val="0079163E"/>
    <w:rsid w:val="00791919"/>
    <w:rsid w:val="00791FB5"/>
    <w:rsid w:val="00792092"/>
    <w:rsid w:val="0079308B"/>
    <w:rsid w:val="007930B9"/>
    <w:rsid w:val="00793A46"/>
    <w:rsid w:val="00793CB1"/>
    <w:rsid w:val="007942F3"/>
    <w:rsid w:val="007943BD"/>
    <w:rsid w:val="007943E5"/>
    <w:rsid w:val="0079476D"/>
    <w:rsid w:val="00795A4F"/>
    <w:rsid w:val="00795CAD"/>
    <w:rsid w:val="00795FD8"/>
    <w:rsid w:val="0079604B"/>
    <w:rsid w:val="00797614"/>
    <w:rsid w:val="00797842"/>
    <w:rsid w:val="0079788D"/>
    <w:rsid w:val="007A002E"/>
    <w:rsid w:val="007A0056"/>
    <w:rsid w:val="007A0AC7"/>
    <w:rsid w:val="007A0B4C"/>
    <w:rsid w:val="007A0C73"/>
    <w:rsid w:val="007A1530"/>
    <w:rsid w:val="007A1BE3"/>
    <w:rsid w:val="007A1E11"/>
    <w:rsid w:val="007A22B9"/>
    <w:rsid w:val="007A2700"/>
    <w:rsid w:val="007A2B32"/>
    <w:rsid w:val="007A352E"/>
    <w:rsid w:val="007A3B3E"/>
    <w:rsid w:val="007A45EB"/>
    <w:rsid w:val="007A483A"/>
    <w:rsid w:val="007A497F"/>
    <w:rsid w:val="007A4B69"/>
    <w:rsid w:val="007A4E96"/>
    <w:rsid w:val="007A5027"/>
    <w:rsid w:val="007A5450"/>
    <w:rsid w:val="007A614F"/>
    <w:rsid w:val="007A6261"/>
    <w:rsid w:val="007A64F7"/>
    <w:rsid w:val="007A6924"/>
    <w:rsid w:val="007A6C35"/>
    <w:rsid w:val="007A6F25"/>
    <w:rsid w:val="007A7266"/>
    <w:rsid w:val="007B0218"/>
    <w:rsid w:val="007B192D"/>
    <w:rsid w:val="007B1ADB"/>
    <w:rsid w:val="007B24F7"/>
    <w:rsid w:val="007B2841"/>
    <w:rsid w:val="007B2FA4"/>
    <w:rsid w:val="007B469E"/>
    <w:rsid w:val="007B497F"/>
    <w:rsid w:val="007B52EE"/>
    <w:rsid w:val="007B532A"/>
    <w:rsid w:val="007B672A"/>
    <w:rsid w:val="007B6E64"/>
    <w:rsid w:val="007B7044"/>
    <w:rsid w:val="007B7150"/>
    <w:rsid w:val="007B725D"/>
    <w:rsid w:val="007B72B8"/>
    <w:rsid w:val="007B7454"/>
    <w:rsid w:val="007C01C4"/>
    <w:rsid w:val="007C03BD"/>
    <w:rsid w:val="007C06FB"/>
    <w:rsid w:val="007C0F44"/>
    <w:rsid w:val="007C10B1"/>
    <w:rsid w:val="007C1C37"/>
    <w:rsid w:val="007C1C5A"/>
    <w:rsid w:val="007C24A6"/>
    <w:rsid w:val="007C2776"/>
    <w:rsid w:val="007C2D34"/>
    <w:rsid w:val="007C3307"/>
    <w:rsid w:val="007C360D"/>
    <w:rsid w:val="007C377C"/>
    <w:rsid w:val="007C3E7D"/>
    <w:rsid w:val="007C4838"/>
    <w:rsid w:val="007C4A72"/>
    <w:rsid w:val="007C4FED"/>
    <w:rsid w:val="007C52BF"/>
    <w:rsid w:val="007C568D"/>
    <w:rsid w:val="007C6120"/>
    <w:rsid w:val="007C6226"/>
    <w:rsid w:val="007C6571"/>
    <w:rsid w:val="007C6BFF"/>
    <w:rsid w:val="007C756E"/>
    <w:rsid w:val="007C7927"/>
    <w:rsid w:val="007D01F2"/>
    <w:rsid w:val="007D069E"/>
    <w:rsid w:val="007D08B0"/>
    <w:rsid w:val="007D1848"/>
    <w:rsid w:val="007D19EA"/>
    <w:rsid w:val="007D1ADD"/>
    <w:rsid w:val="007D1E23"/>
    <w:rsid w:val="007D2104"/>
    <w:rsid w:val="007D215F"/>
    <w:rsid w:val="007D2449"/>
    <w:rsid w:val="007D2BCF"/>
    <w:rsid w:val="007D2D7C"/>
    <w:rsid w:val="007D2DAB"/>
    <w:rsid w:val="007D3428"/>
    <w:rsid w:val="007D3EE6"/>
    <w:rsid w:val="007D43EF"/>
    <w:rsid w:val="007D4668"/>
    <w:rsid w:val="007D49DB"/>
    <w:rsid w:val="007D4DBE"/>
    <w:rsid w:val="007D4DE8"/>
    <w:rsid w:val="007D5836"/>
    <w:rsid w:val="007D5BC5"/>
    <w:rsid w:val="007D641E"/>
    <w:rsid w:val="007D6D50"/>
    <w:rsid w:val="007D6F6F"/>
    <w:rsid w:val="007D7009"/>
    <w:rsid w:val="007D7102"/>
    <w:rsid w:val="007D741E"/>
    <w:rsid w:val="007D7938"/>
    <w:rsid w:val="007D7D0E"/>
    <w:rsid w:val="007E05CE"/>
    <w:rsid w:val="007E098D"/>
    <w:rsid w:val="007E09BF"/>
    <w:rsid w:val="007E0D82"/>
    <w:rsid w:val="007E106D"/>
    <w:rsid w:val="007E1418"/>
    <w:rsid w:val="007E1744"/>
    <w:rsid w:val="007E1898"/>
    <w:rsid w:val="007E1ED2"/>
    <w:rsid w:val="007E26BA"/>
    <w:rsid w:val="007E28FD"/>
    <w:rsid w:val="007E302D"/>
    <w:rsid w:val="007E3512"/>
    <w:rsid w:val="007E41AC"/>
    <w:rsid w:val="007E561D"/>
    <w:rsid w:val="007E564D"/>
    <w:rsid w:val="007E57B9"/>
    <w:rsid w:val="007E5CE4"/>
    <w:rsid w:val="007E5DB8"/>
    <w:rsid w:val="007E691A"/>
    <w:rsid w:val="007E6DB4"/>
    <w:rsid w:val="007E6F77"/>
    <w:rsid w:val="007F02DC"/>
    <w:rsid w:val="007F03A2"/>
    <w:rsid w:val="007F0727"/>
    <w:rsid w:val="007F117E"/>
    <w:rsid w:val="007F1787"/>
    <w:rsid w:val="007F209A"/>
    <w:rsid w:val="007F2122"/>
    <w:rsid w:val="007F2747"/>
    <w:rsid w:val="007F2BCE"/>
    <w:rsid w:val="007F2F9F"/>
    <w:rsid w:val="007F3005"/>
    <w:rsid w:val="007F3036"/>
    <w:rsid w:val="007F3127"/>
    <w:rsid w:val="007F35F0"/>
    <w:rsid w:val="007F36E8"/>
    <w:rsid w:val="007F38C5"/>
    <w:rsid w:val="007F3B46"/>
    <w:rsid w:val="007F3D52"/>
    <w:rsid w:val="007F4CED"/>
    <w:rsid w:val="007F5310"/>
    <w:rsid w:val="007F54BC"/>
    <w:rsid w:val="007F5573"/>
    <w:rsid w:val="007F5B33"/>
    <w:rsid w:val="007F6237"/>
    <w:rsid w:val="007F6D0F"/>
    <w:rsid w:val="007F7902"/>
    <w:rsid w:val="008000C3"/>
    <w:rsid w:val="00800790"/>
    <w:rsid w:val="00800D23"/>
    <w:rsid w:val="008010A0"/>
    <w:rsid w:val="0080113F"/>
    <w:rsid w:val="00801901"/>
    <w:rsid w:val="00801AF5"/>
    <w:rsid w:val="0080227D"/>
    <w:rsid w:val="008023B8"/>
    <w:rsid w:val="00802745"/>
    <w:rsid w:val="00802755"/>
    <w:rsid w:val="0080285C"/>
    <w:rsid w:val="00803303"/>
    <w:rsid w:val="008037D2"/>
    <w:rsid w:val="00803BB7"/>
    <w:rsid w:val="00803F6D"/>
    <w:rsid w:val="00804740"/>
    <w:rsid w:val="00805217"/>
    <w:rsid w:val="00805646"/>
    <w:rsid w:val="008064BC"/>
    <w:rsid w:val="00806627"/>
    <w:rsid w:val="0080674B"/>
    <w:rsid w:val="00807328"/>
    <w:rsid w:val="00807722"/>
    <w:rsid w:val="008077B5"/>
    <w:rsid w:val="00807DBF"/>
    <w:rsid w:val="00810533"/>
    <w:rsid w:val="0081055E"/>
    <w:rsid w:val="0081070F"/>
    <w:rsid w:val="008109ED"/>
    <w:rsid w:val="0081102E"/>
    <w:rsid w:val="00811039"/>
    <w:rsid w:val="008114E6"/>
    <w:rsid w:val="00811A55"/>
    <w:rsid w:val="00811DDF"/>
    <w:rsid w:val="008124DF"/>
    <w:rsid w:val="008128B8"/>
    <w:rsid w:val="00812B76"/>
    <w:rsid w:val="00812C9C"/>
    <w:rsid w:val="00812D4F"/>
    <w:rsid w:val="00813B2A"/>
    <w:rsid w:val="00813CA5"/>
    <w:rsid w:val="00815781"/>
    <w:rsid w:val="00815C6F"/>
    <w:rsid w:val="00816E4C"/>
    <w:rsid w:val="00817190"/>
    <w:rsid w:val="00820403"/>
    <w:rsid w:val="00820555"/>
    <w:rsid w:val="00820AFE"/>
    <w:rsid w:val="00822F22"/>
    <w:rsid w:val="0082301F"/>
    <w:rsid w:val="008238C9"/>
    <w:rsid w:val="00823A9F"/>
    <w:rsid w:val="0082425F"/>
    <w:rsid w:val="00825131"/>
    <w:rsid w:val="008261D9"/>
    <w:rsid w:val="008261E3"/>
    <w:rsid w:val="00826290"/>
    <w:rsid w:val="008265D6"/>
    <w:rsid w:val="00826F01"/>
    <w:rsid w:val="0082700A"/>
    <w:rsid w:val="00827440"/>
    <w:rsid w:val="00827500"/>
    <w:rsid w:val="00827D3E"/>
    <w:rsid w:val="00827F40"/>
    <w:rsid w:val="00830738"/>
    <w:rsid w:val="00831252"/>
    <w:rsid w:val="0083163B"/>
    <w:rsid w:val="00831B27"/>
    <w:rsid w:val="00831F72"/>
    <w:rsid w:val="008326E8"/>
    <w:rsid w:val="00832703"/>
    <w:rsid w:val="0083271E"/>
    <w:rsid w:val="00832748"/>
    <w:rsid w:val="00833175"/>
    <w:rsid w:val="008335AB"/>
    <w:rsid w:val="008342C1"/>
    <w:rsid w:val="00834927"/>
    <w:rsid w:val="00834BB8"/>
    <w:rsid w:val="00834EBF"/>
    <w:rsid w:val="0083505E"/>
    <w:rsid w:val="0083509C"/>
    <w:rsid w:val="008350AF"/>
    <w:rsid w:val="0083528C"/>
    <w:rsid w:val="0083531A"/>
    <w:rsid w:val="008369F3"/>
    <w:rsid w:val="00836E4C"/>
    <w:rsid w:val="0083746A"/>
    <w:rsid w:val="008379C8"/>
    <w:rsid w:val="00837A4A"/>
    <w:rsid w:val="00837C2A"/>
    <w:rsid w:val="00840579"/>
    <w:rsid w:val="008408C1"/>
    <w:rsid w:val="00840AB8"/>
    <w:rsid w:val="00840FA7"/>
    <w:rsid w:val="00841E45"/>
    <w:rsid w:val="00842B5E"/>
    <w:rsid w:val="008437E4"/>
    <w:rsid w:val="008439D2"/>
    <w:rsid w:val="00843CA7"/>
    <w:rsid w:val="00843CAF"/>
    <w:rsid w:val="008449E8"/>
    <w:rsid w:val="00844AF0"/>
    <w:rsid w:val="00845498"/>
    <w:rsid w:val="00845D7A"/>
    <w:rsid w:val="00846944"/>
    <w:rsid w:val="00846C61"/>
    <w:rsid w:val="00846E9B"/>
    <w:rsid w:val="00847C56"/>
    <w:rsid w:val="0085013D"/>
    <w:rsid w:val="00850242"/>
    <w:rsid w:val="0085047B"/>
    <w:rsid w:val="00850907"/>
    <w:rsid w:val="00850D78"/>
    <w:rsid w:val="00851FCE"/>
    <w:rsid w:val="00852062"/>
    <w:rsid w:val="00852A79"/>
    <w:rsid w:val="00852BFE"/>
    <w:rsid w:val="008533B9"/>
    <w:rsid w:val="0085342E"/>
    <w:rsid w:val="008538D3"/>
    <w:rsid w:val="00853A0F"/>
    <w:rsid w:val="00854B7F"/>
    <w:rsid w:val="00854C11"/>
    <w:rsid w:val="00854CAC"/>
    <w:rsid w:val="00855015"/>
    <w:rsid w:val="008550A6"/>
    <w:rsid w:val="008554F7"/>
    <w:rsid w:val="00855797"/>
    <w:rsid w:val="00856137"/>
    <w:rsid w:val="0085696F"/>
    <w:rsid w:val="00856A18"/>
    <w:rsid w:val="00856B7A"/>
    <w:rsid w:val="00856D37"/>
    <w:rsid w:val="00857126"/>
    <w:rsid w:val="00857368"/>
    <w:rsid w:val="0085754D"/>
    <w:rsid w:val="0085757E"/>
    <w:rsid w:val="00857810"/>
    <w:rsid w:val="00857AA1"/>
    <w:rsid w:val="00857F0B"/>
    <w:rsid w:val="00860002"/>
    <w:rsid w:val="008609D7"/>
    <w:rsid w:val="008618E4"/>
    <w:rsid w:val="00861B12"/>
    <w:rsid w:val="0086223B"/>
    <w:rsid w:val="00863074"/>
    <w:rsid w:val="008632E7"/>
    <w:rsid w:val="00863694"/>
    <w:rsid w:val="00863B50"/>
    <w:rsid w:val="00863BCC"/>
    <w:rsid w:val="00864310"/>
    <w:rsid w:val="00864C84"/>
    <w:rsid w:val="00865197"/>
    <w:rsid w:val="008651F8"/>
    <w:rsid w:val="00865342"/>
    <w:rsid w:val="00865ADE"/>
    <w:rsid w:val="00865FB1"/>
    <w:rsid w:val="00866144"/>
    <w:rsid w:val="008669C1"/>
    <w:rsid w:val="00866B8C"/>
    <w:rsid w:val="00866F63"/>
    <w:rsid w:val="008672A4"/>
    <w:rsid w:val="00870783"/>
    <w:rsid w:val="00870A55"/>
    <w:rsid w:val="00870ABD"/>
    <w:rsid w:val="00870AD9"/>
    <w:rsid w:val="0087110E"/>
    <w:rsid w:val="0087116B"/>
    <w:rsid w:val="0087311E"/>
    <w:rsid w:val="00873408"/>
    <w:rsid w:val="00874662"/>
    <w:rsid w:val="008747A3"/>
    <w:rsid w:val="00874DC9"/>
    <w:rsid w:val="008754F6"/>
    <w:rsid w:val="00875906"/>
    <w:rsid w:val="00875C85"/>
    <w:rsid w:val="00875D0C"/>
    <w:rsid w:val="00876457"/>
    <w:rsid w:val="0087682F"/>
    <w:rsid w:val="00877173"/>
    <w:rsid w:val="008775DE"/>
    <w:rsid w:val="008804D3"/>
    <w:rsid w:val="00880A09"/>
    <w:rsid w:val="00880AE0"/>
    <w:rsid w:val="00880CFC"/>
    <w:rsid w:val="008813D8"/>
    <w:rsid w:val="00881F5B"/>
    <w:rsid w:val="00882428"/>
    <w:rsid w:val="00882797"/>
    <w:rsid w:val="00883032"/>
    <w:rsid w:val="00883C6E"/>
    <w:rsid w:val="00884376"/>
    <w:rsid w:val="00884C03"/>
    <w:rsid w:val="00884FF2"/>
    <w:rsid w:val="0088573A"/>
    <w:rsid w:val="00885B4D"/>
    <w:rsid w:val="00886FE1"/>
    <w:rsid w:val="00887083"/>
    <w:rsid w:val="008870B6"/>
    <w:rsid w:val="00887889"/>
    <w:rsid w:val="00887BBE"/>
    <w:rsid w:val="00890AB1"/>
    <w:rsid w:val="0089119C"/>
    <w:rsid w:val="008911C4"/>
    <w:rsid w:val="00891298"/>
    <w:rsid w:val="0089205A"/>
    <w:rsid w:val="008925C9"/>
    <w:rsid w:val="00892D2F"/>
    <w:rsid w:val="00893738"/>
    <w:rsid w:val="00893B47"/>
    <w:rsid w:val="00893E90"/>
    <w:rsid w:val="008941BD"/>
    <w:rsid w:val="00894F20"/>
    <w:rsid w:val="0089521D"/>
    <w:rsid w:val="00895478"/>
    <w:rsid w:val="00895A4A"/>
    <w:rsid w:val="00895A98"/>
    <w:rsid w:val="00896400"/>
    <w:rsid w:val="0089697C"/>
    <w:rsid w:val="00896CC0"/>
    <w:rsid w:val="00896EE2"/>
    <w:rsid w:val="00896F49"/>
    <w:rsid w:val="00897806"/>
    <w:rsid w:val="00897DB1"/>
    <w:rsid w:val="008A00EA"/>
    <w:rsid w:val="008A020D"/>
    <w:rsid w:val="008A052A"/>
    <w:rsid w:val="008A0870"/>
    <w:rsid w:val="008A0A57"/>
    <w:rsid w:val="008A1381"/>
    <w:rsid w:val="008A186A"/>
    <w:rsid w:val="008A188D"/>
    <w:rsid w:val="008A1EDF"/>
    <w:rsid w:val="008A1F7F"/>
    <w:rsid w:val="008A2028"/>
    <w:rsid w:val="008A210C"/>
    <w:rsid w:val="008A21BE"/>
    <w:rsid w:val="008A21D2"/>
    <w:rsid w:val="008A2772"/>
    <w:rsid w:val="008A2799"/>
    <w:rsid w:val="008A3076"/>
    <w:rsid w:val="008A3329"/>
    <w:rsid w:val="008A3330"/>
    <w:rsid w:val="008A361A"/>
    <w:rsid w:val="008A4038"/>
    <w:rsid w:val="008A5221"/>
    <w:rsid w:val="008A61C5"/>
    <w:rsid w:val="008A6440"/>
    <w:rsid w:val="008A6501"/>
    <w:rsid w:val="008A6771"/>
    <w:rsid w:val="008A6850"/>
    <w:rsid w:val="008A6E60"/>
    <w:rsid w:val="008A6F8F"/>
    <w:rsid w:val="008A76B6"/>
    <w:rsid w:val="008A7947"/>
    <w:rsid w:val="008A7A52"/>
    <w:rsid w:val="008A7FA3"/>
    <w:rsid w:val="008A7FCD"/>
    <w:rsid w:val="008B0193"/>
    <w:rsid w:val="008B0F9E"/>
    <w:rsid w:val="008B102C"/>
    <w:rsid w:val="008B1626"/>
    <w:rsid w:val="008B16BB"/>
    <w:rsid w:val="008B20D0"/>
    <w:rsid w:val="008B2AC9"/>
    <w:rsid w:val="008B37BB"/>
    <w:rsid w:val="008B3CBF"/>
    <w:rsid w:val="008B40CC"/>
    <w:rsid w:val="008B442C"/>
    <w:rsid w:val="008B4A97"/>
    <w:rsid w:val="008B51C5"/>
    <w:rsid w:val="008B55AD"/>
    <w:rsid w:val="008B5F3B"/>
    <w:rsid w:val="008B61B5"/>
    <w:rsid w:val="008B65CA"/>
    <w:rsid w:val="008B69F4"/>
    <w:rsid w:val="008B732E"/>
    <w:rsid w:val="008B76DE"/>
    <w:rsid w:val="008C0065"/>
    <w:rsid w:val="008C00B1"/>
    <w:rsid w:val="008C05FD"/>
    <w:rsid w:val="008C0866"/>
    <w:rsid w:val="008C15CE"/>
    <w:rsid w:val="008C28E1"/>
    <w:rsid w:val="008C2B39"/>
    <w:rsid w:val="008C2F82"/>
    <w:rsid w:val="008C36F7"/>
    <w:rsid w:val="008C3987"/>
    <w:rsid w:val="008C3CCA"/>
    <w:rsid w:val="008C400D"/>
    <w:rsid w:val="008C5718"/>
    <w:rsid w:val="008C5AB0"/>
    <w:rsid w:val="008C5DC6"/>
    <w:rsid w:val="008C6C32"/>
    <w:rsid w:val="008C6DFA"/>
    <w:rsid w:val="008C6E0D"/>
    <w:rsid w:val="008C735C"/>
    <w:rsid w:val="008C73CE"/>
    <w:rsid w:val="008D0C76"/>
    <w:rsid w:val="008D1A91"/>
    <w:rsid w:val="008D2E61"/>
    <w:rsid w:val="008D310C"/>
    <w:rsid w:val="008D31D5"/>
    <w:rsid w:val="008D3476"/>
    <w:rsid w:val="008D3A89"/>
    <w:rsid w:val="008D3D3D"/>
    <w:rsid w:val="008D4387"/>
    <w:rsid w:val="008D439B"/>
    <w:rsid w:val="008D4635"/>
    <w:rsid w:val="008D47A7"/>
    <w:rsid w:val="008D4BD3"/>
    <w:rsid w:val="008D65C6"/>
    <w:rsid w:val="008D6D38"/>
    <w:rsid w:val="008D6FEB"/>
    <w:rsid w:val="008D74A8"/>
    <w:rsid w:val="008D7600"/>
    <w:rsid w:val="008D78B4"/>
    <w:rsid w:val="008E02F3"/>
    <w:rsid w:val="008E0CFF"/>
    <w:rsid w:val="008E1223"/>
    <w:rsid w:val="008E1AD5"/>
    <w:rsid w:val="008E1BBD"/>
    <w:rsid w:val="008E1CA1"/>
    <w:rsid w:val="008E2643"/>
    <w:rsid w:val="008E2B77"/>
    <w:rsid w:val="008E4753"/>
    <w:rsid w:val="008E59F7"/>
    <w:rsid w:val="008E5D42"/>
    <w:rsid w:val="008E6E82"/>
    <w:rsid w:val="008E6F13"/>
    <w:rsid w:val="008E78EB"/>
    <w:rsid w:val="008E7B30"/>
    <w:rsid w:val="008F0613"/>
    <w:rsid w:val="008F0839"/>
    <w:rsid w:val="008F1BF2"/>
    <w:rsid w:val="008F2556"/>
    <w:rsid w:val="008F3AFD"/>
    <w:rsid w:val="008F51E3"/>
    <w:rsid w:val="008F5AFD"/>
    <w:rsid w:val="008F5D11"/>
    <w:rsid w:val="008F5DBF"/>
    <w:rsid w:val="008F6821"/>
    <w:rsid w:val="008F6AE4"/>
    <w:rsid w:val="008F6E52"/>
    <w:rsid w:val="008F7640"/>
    <w:rsid w:val="008F76F1"/>
    <w:rsid w:val="008F79C1"/>
    <w:rsid w:val="00900D38"/>
    <w:rsid w:val="00902827"/>
    <w:rsid w:val="00903150"/>
    <w:rsid w:val="009035A3"/>
    <w:rsid w:val="00903E7D"/>
    <w:rsid w:val="009045D9"/>
    <w:rsid w:val="00904B0E"/>
    <w:rsid w:val="00905090"/>
    <w:rsid w:val="00905402"/>
    <w:rsid w:val="00905598"/>
    <w:rsid w:val="00905A28"/>
    <w:rsid w:val="00906C0D"/>
    <w:rsid w:val="00906FEA"/>
    <w:rsid w:val="0090766E"/>
    <w:rsid w:val="00907B85"/>
    <w:rsid w:val="009108ED"/>
    <w:rsid w:val="0091098D"/>
    <w:rsid w:val="00910B69"/>
    <w:rsid w:val="0091105E"/>
    <w:rsid w:val="00911406"/>
    <w:rsid w:val="00912620"/>
    <w:rsid w:val="00913DD6"/>
    <w:rsid w:val="0091423C"/>
    <w:rsid w:val="00914E6F"/>
    <w:rsid w:val="00915DF5"/>
    <w:rsid w:val="00916013"/>
    <w:rsid w:val="00916015"/>
    <w:rsid w:val="00916BFE"/>
    <w:rsid w:val="0091755D"/>
    <w:rsid w:val="00917831"/>
    <w:rsid w:val="00917EF7"/>
    <w:rsid w:val="00920350"/>
    <w:rsid w:val="00920721"/>
    <w:rsid w:val="0092091B"/>
    <w:rsid w:val="00920EFE"/>
    <w:rsid w:val="00921089"/>
    <w:rsid w:val="009212EC"/>
    <w:rsid w:val="0092134C"/>
    <w:rsid w:val="0092144B"/>
    <w:rsid w:val="00921461"/>
    <w:rsid w:val="00921B96"/>
    <w:rsid w:val="00921E5C"/>
    <w:rsid w:val="009226AE"/>
    <w:rsid w:val="0092378D"/>
    <w:rsid w:val="00923B1E"/>
    <w:rsid w:val="00923B26"/>
    <w:rsid w:val="00923F6A"/>
    <w:rsid w:val="009243B8"/>
    <w:rsid w:val="00924467"/>
    <w:rsid w:val="009252F8"/>
    <w:rsid w:val="0092592E"/>
    <w:rsid w:val="009268C5"/>
    <w:rsid w:val="00926944"/>
    <w:rsid w:val="00926D0E"/>
    <w:rsid w:val="00927D27"/>
    <w:rsid w:val="00927D6B"/>
    <w:rsid w:val="009307C3"/>
    <w:rsid w:val="00930BD2"/>
    <w:rsid w:val="00930C31"/>
    <w:rsid w:val="00931284"/>
    <w:rsid w:val="009315E6"/>
    <w:rsid w:val="00932303"/>
    <w:rsid w:val="00932459"/>
    <w:rsid w:val="00932772"/>
    <w:rsid w:val="00932B71"/>
    <w:rsid w:val="00933B28"/>
    <w:rsid w:val="00933E5D"/>
    <w:rsid w:val="0093412D"/>
    <w:rsid w:val="00935220"/>
    <w:rsid w:val="00935E91"/>
    <w:rsid w:val="009374E6"/>
    <w:rsid w:val="009377B0"/>
    <w:rsid w:val="00937AD8"/>
    <w:rsid w:val="00937F5D"/>
    <w:rsid w:val="00937FFA"/>
    <w:rsid w:val="009400EE"/>
    <w:rsid w:val="0094040D"/>
    <w:rsid w:val="00940761"/>
    <w:rsid w:val="00943794"/>
    <w:rsid w:val="00943A6A"/>
    <w:rsid w:val="0094447D"/>
    <w:rsid w:val="00945976"/>
    <w:rsid w:val="0094644D"/>
    <w:rsid w:val="009466D3"/>
    <w:rsid w:val="00946A49"/>
    <w:rsid w:val="00946B43"/>
    <w:rsid w:val="00946ECD"/>
    <w:rsid w:val="00947D53"/>
    <w:rsid w:val="00947F4C"/>
    <w:rsid w:val="00950DE7"/>
    <w:rsid w:val="00950EFB"/>
    <w:rsid w:val="009510D5"/>
    <w:rsid w:val="0095143B"/>
    <w:rsid w:val="0095148F"/>
    <w:rsid w:val="00951610"/>
    <w:rsid w:val="00951718"/>
    <w:rsid w:val="00951EE7"/>
    <w:rsid w:val="009524E5"/>
    <w:rsid w:val="009526BE"/>
    <w:rsid w:val="00954222"/>
    <w:rsid w:val="00954671"/>
    <w:rsid w:val="009546E4"/>
    <w:rsid w:val="00954824"/>
    <w:rsid w:val="00955002"/>
    <w:rsid w:val="00955053"/>
    <w:rsid w:val="00955793"/>
    <w:rsid w:val="00955983"/>
    <w:rsid w:val="009561F0"/>
    <w:rsid w:val="00956D21"/>
    <w:rsid w:val="00960F11"/>
    <w:rsid w:val="00961F6A"/>
    <w:rsid w:val="00962372"/>
    <w:rsid w:val="0096295B"/>
    <w:rsid w:val="00962B1C"/>
    <w:rsid w:val="009634BD"/>
    <w:rsid w:val="00963B72"/>
    <w:rsid w:val="0096420C"/>
    <w:rsid w:val="00964A71"/>
    <w:rsid w:val="00964EDB"/>
    <w:rsid w:val="00965545"/>
    <w:rsid w:val="00965A02"/>
    <w:rsid w:val="00965DCC"/>
    <w:rsid w:val="009666CF"/>
    <w:rsid w:val="009667A1"/>
    <w:rsid w:val="00966BE7"/>
    <w:rsid w:val="009670A8"/>
    <w:rsid w:val="0096724B"/>
    <w:rsid w:val="009674AF"/>
    <w:rsid w:val="009674B2"/>
    <w:rsid w:val="00967DD6"/>
    <w:rsid w:val="009709F5"/>
    <w:rsid w:val="009709FA"/>
    <w:rsid w:val="00970D31"/>
    <w:rsid w:val="009712F8"/>
    <w:rsid w:val="009715D2"/>
    <w:rsid w:val="009722F2"/>
    <w:rsid w:val="00972EC6"/>
    <w:rsid w:val="009731E7"/>
    <w:rsid w:val="00973234"/>
    <w:rsid w:val="00973B92"/>
    <w:rsid w:val="00974403"/>
    <w:rsid w:val="00974711"/>
    <w:rsid w:val="009748F7"/>
    <w:rsid w:val="00975B6C"/>
    <w:rsid w:val="00975CB6"/>
    <w:rsid w:val="0097641A"/>
    <w:rsid w:val="0097644C"/>
    <w:rsid w:val="009765E6"/>
    <w:rsid w:val="009771EF"/>
    <w:rsid w:val="009776F4"/>
    <w:rsid w:val="00977BBE"/>
    <w:rsid w:val="00980189"/>
    <w:rsid w:val="009804A9"/>
    <w:rsid w:val="009805C5"/>
    <w:rsid w:val="009814F0"/>
    <w:rsid w:val="00981BD1"/>
    <w:rsid w:val="00982307"/>
    <w:rsid w:val="00982DD7"/>
    <w:rsid w:val="00983283"/>
    <w:rsid w:val="0098328F"/>
    <w:rsid w:val="00983484"/>
    <w:rsid w:val="00983BEB"/>
    <w:rsid w:val="00984446"/>
    <w:rsid w:val="00984E1D"/>
    <w:rsid w:val="00984F5C"/>
    <w:rsid w:val="0098593D"/>
    <w:rsid w:val="00985E16"/>
    <w:rsid w:val="00986233"/>
    <w:rsid w:val="0098631F"/>
    <w:rsid w:val="00986FBD"/>
    <w:rsid w:val="00986FCC"/>
    <w:rsid w:val="009873E6"/>
    <w:rsid w:val="009876A9"/>
    <w:rsid w:val="009879B7"/>
    <w:rsid w:val="009879F1"/>
    <w:rsid w:val="00987B54"/>
    <w:rsid w:val="00987CBD"/>
    <w:rsid w:val="009904D6"/>
    <w:rsid w:val="0099051A"/>
    <w:rsid w:val="00990992"/>
    <w:rsid w:val="00991E36"/>
    <w:rsid w:val="009926F0"/>
    <w:rsid w:val="0099373F"/>
    <w:rsid w:val="00993F06"/>
    <w:rsid w:val="0099481D"/>
    <w:rsid w:val="00994A6F"/>
    <w:rsid w:val="00996688"/>
    <w:rsid w:val="00996889"/>
    <w:rsid w:val="00996DC8"/>
    <w:rsid w:val="0099745F"/>
    <w:rsid w:val="00997C2E"/>
    <w:rsid w:val="00997CBA"/>
    <w:rsid w:val="00997F9A"/>
    <w:rsid w:val="009A0147"/>
    <w:rsid w:val="009A08B1"/>
    <w:rsid w:val="009A0A46"/>
    <w:rsid w:val="009A197C"/>
    <w:rsid w:val="009A1D37"/>
    <w:rsid w:val="009A1E3A"/>
    <w:rsid w:val="009A2935"/>
    <w:rsid w:val="009A3067"/>
    <w:rsid w:val="009A310A"/>
    <w:rsid w:val="009A399D"/>
    <w:rsid w:val="009A416A"/>
    <w:rsid w:val="009A4180"/>
    <w:rsid w:val="009A4C03"/>
    <w:rsid w:val="009A4ECA"/>
    <w:rsid w:val="009A51A6"/>
    <w:rsid w:val="009A6297"/>
    <w:rsid w:val="009A69AC"/>
    <w:rsid w:val="009A6C81"/>
    <w:rsid w:val="009A6E78"/>
    <w:rsid w:val="009A7390"/>
    <w:rsid w:val="009A795F"/>
    <w:rsid w:val="009A7AD5"/>
    <w:rsid w:val="009B0426"/>
    <w:rsid w:val="009B05B5"/>
    <w:rsid w:val="009B0D13"/>
    <w:rsid w:val="009B10B6"/>
    <w:rsid w:val="009B14B6"/>
    <w:rsid w:val="009B15BC"/>
    <w:rsid w:val="009B16AF"/>
    <w:rsid w:val="009B18A4"/>
    <w:rsid w:val="009B1DA9"/>
    <w:rsid w:val="009B1F44"/>
    <w:rsid w:val="009B26F9"/>
    <w:rsid w:val="009B2F31"/>
    <w:rsid w:val="009B45C9"/>
    <w:rsid w:val="009B5062"/>
    <w:rsid w:val="009B57EB"/>
    <w:rsid w:val="009B63FA"/>
    <w:rsid w:val="009B6788"/>
    <w:rsid w:val="009B7006"/>
    <w:rsid w:val="009B71E8"/>
    <w:rsid w:val="009B7B20"/>
    <w:rsid w:val="009C03D5"/>
    <w:rsid w:val="009C0A80"/>
    <w:rsid w:val="009C0BED"/>
    <w:rsid w:val="009C1664"/>
    <w:rsid w:val="009C286D"/>
    <w:rsid w:val="009C2F7C"/>
    <w:rsid w:val="009C3488"/>
    <w:rsid w:val="009C3ED0"/>
    <w:rsid w:val="009C42B3"/>
    <w:rsid w:val="009C43A8"/>
    <w:rsid w:val="009C457A"/>
    <w:rsid w:val="009C4926"/>
    <w:rsid w:val="009C4AD6"/>
    <w:rsid w:val="009C4CA7"/>
    <w:rsid w:val="009C5245"/>
    <w:rsid w:val="009C55B8"/>
    <w:rsid w:val="009C5B8E"/>
    <w:rsid w:val="009C6617"/>
    <w:rsid w:val="009C690B"/>
    <w:rsid w:val="009C6FEA"/>
    <w:rsid w:val="009C708C"/>
    <w:rsid w:val="009C7123"/>
    <w:rsid w:val="009C7136"/>
    <w:rsid w:val="009C77FD"/>
    <w:rsid w:val="009D049E"/>
    <w:rsid w:val="009D083C"/>
    <w:rsid w:val="009D0D1F"/>
    <w:rsid w:val="009D15CE"/>
    <w:rsid w:val="009D18CF"/>
    <w:rsid w:val="009D278E"/>
    <w:rsid w:val="009D2FF8"/>
    <w:rsid w:val="009D38CE"/>
    <w:rsid w:val="009D4465"/>
    <w:rsid w:val="009D47FF"/>
    <w:rsid w:val="009D4D68"/>
    <w:rsid w:val="009D5051"/>
    <w:rsid w:val="009D55F1"/>
    <w:rsid w:val="009D587F"/>
    <w:rsid w:val="009D5923"/>
    <w:rsid w:val="009D647D"/>
    <w:rsid w:val="009D6570"/>
    <w:rsid w:val="009D690E"/>
    <w:rsid w:val="009D6E6A"/>
    <w:rsid w:val="009D6F8F"/>
    <w:rsid w:val="009D6FE6"/>
    <w:rsid w:val="009D714C"/>
    <w:rsid w:val="009D7326"/>
    <w:rsid w:val="009D7555"/>
    <w:rsid w:val="009D7BA8"/>
    <w:rsid w:val="009D7EC8"/>
    <w:rsid w:val="009D7FE7"/>
    <w:rsid w:val="009E05C8"/>
    <w:rsid w:val="009E0792"/>
    <w:rsid w:val="009E0CAC"/>
    <w:rsid w:val="009E13C2"/>
    <w:rsid w:val="009E1AC2"/>
    <w:rsid w:val="009E1D42"/>
    <w:rsid w:val="009E1F3C"/>
    <w:rsid w:val="009E22D1"/>
    <w:rsid w:val="009E271F"/>
    <w:rsid w:val="009E3260"/>
    <w:rsid w:val="009E45F3"/>
    <w:rsid w:val="009E4715"/>
    <w:rsid w:val="009E4B5C"/>
    <w:rsid w:val="009E4D67"/>
    <w:rsid w:val="009E6599"/>
    <w:rsid w:val="009E6A4E"/>
    <w:rsid w:val="009E71B6"/>
    <w:rsid w:val="009E732F"/>
    <w:rsid w:val="009E78EA"/>
    <w:rsid w:val="009F00FF"/>
    <w:rsid w:val="009F0309"/>
    <w:rsid w:val="009F0543"/>
    <w:rsid w:val="009F05D9"/>
    <w:rsid w:val="009F0DE4"/>
    <w:rsid w:val="009F1AC4"/>
    <w:rsid w:val="009F2FB7"/>
    <w:rsid w:val="009F31A2"/>
    <w:rsid w:val="009F3AB7"/>
    <w:rsid w:val="009F423B"/>
    <w:rsid w:val="009F43D7"/>
    <w:rsid w:val="009F445D"/>
    <w:rsid w:val="009F4E51"/>
    <w:rsid w:val="009F5621"/>
    <w:rsid w:val="009F587F"/>
    <w:rsid w:val="009F5F39"/>
    <w:rsid w:val="009F614C"/>
    <w:rsid w:val="009F6FA7"/>
    <w:rsid w:val="009F7234"/>
    <w:rsid w:val="009F7962"/>
    <w:rsid w:val="009F7A7B"/>
    <w:rsid w:val="00A000F1"/>
    <w:rsid w:val="00A00128"/>
    <w:rsid w:val="00A007F0"/>
    <w:rsid w:val="00A008F3"/>
    <w:rsid w:val="00A00FF7"/>
    <w:rsid w:val="00A01356"/>
    <w:rsid w:val="00A01754"/>
    <w:rsid w:val="00A01C4F"/>
    <w:rsid w:val="00A01D03"/>
    <w:rsid w:val="00A02003"/>
    <w:rsid w:val="00A02F80"/>
    <w:rsid w:val="00A03638"/>
    <w:rsid w:val="00A0419B"/>
    <w:rsid w:val="00A042A9"/>
    <w:rsid w:val="00A0487F"/>
    <w:rsid w:val="00A051D5"/>
    <w:rsid w:val="00A05273"/>
    <w:rsid w:val="00A0558D"/>
    <w:rsid w:val="00A057B4"/>
    <w:rsid w:val="00A058C6"/>
    <w:rsid w:val="00A06384"/>
    <w:rsid w:val="00A063E1"/>
    <w:rsid w:val="00A06AF3"/>
    <w:rsid w:val="00A074A4"/>
    <w:rsid w:val="00A07675"/>
    <w:rsid w:val="00A1010D"/>
    <w:rsid w:val="00A1017D"/>
    <w:rsid w:val="00A10560"/>
    <w:rsid w:val="00A108E2"/>
    <w:rsid w:val="00A11662"/>
    <w:rsid w:val="00A11A38"/>
    <w:rsid w:val="00A11A3C"/>
    <w:rsid w:val="00A12168"/>
    <w:rsid w:val="00A123BE"/>
    <w:rsid w:val="00A13382"/>
    <w:rsid w:val="00A13610"/>
    <w:rsid w:val="00A139CA"/>
    <w:rsid w:val="00A13AAA"/>
    <w:rsid w:val="00A144B3"/>
    <w:rsid w:val="00A14714"/>
    <w:rsid w:val="00A149B0"/>
    <w:rsid w:val="00A155AC"/>
    <w:rsid w:val="00A15EBD"/>
    <w:rsid w:val="00A17B57"/>
    <w:rsid w:val="00A17CE6"/>
    <w:rsid w:val="00A20861"/>
    <w:rsid w:val="00A20B73"/>
    <w:rsid w:val="00A20EC8"/>
    <w:rsid w:val="00A216BF"/>
    <w:rsid w:val="00A2208F"/>
    <w:rsid w:val="00A22108"/>
    <w:rsid w:val="00A22874"/>
    <w:rsid w:val="00A22ABE"/>
    <w:rsid w:val="00A22CD8"/>
    <w:rsid w:val="00A23490"/>
    <w:rsid w:val="00A236F4"/>
    <w:rsid w:val="00A23856"/>
    <w:rsid w:val="00A238A0"/>
    <w:rsid w:val="00A24522"/>
    <w:rsid w:val="00A24FE3"/>
    <w:rsid w:val="00A2560D"/>
    <w:rsid w:val="00A2578A"/>
    <w:rsid w:val="00A25E98"/>
    <w:rsid w:val="00A2647D"/>
    <w:rsid w:val="00A2697E"/>
    <w:rsid w:val="00A272DC"/>
    <w:rsid w:val="00A2797C"/>
    <w:rsid w:val="00A27CFF"/>
    <w:rsid w:val="00A30905"/>
    <w:rsid w:val="00A30E3B"/>
    <w:rsid w:val="00A31767"/>
    <w:rsid w:val="00A31899"/>
    <w:rsid w:val="00A3195B"/>
    <w:rsid w:val="00A32347"/>
    <w:rsid w:val="00A32446"/>
    <w:rsid w:val="00A32449"/>
    <w:rsid w:val="00A32989"/>
    <w:rsid w:val="00A32A06"/>
    <w:rsid w:val="00A32CD2"/>
    <w:rsid w:val="00A32DB8"/>
    <w:rsid w:val="00A33784"/>
    <w:rsid w:val="00A34051"/>
    <w:rsid w:val="00A34229"/>
    <w:rsid w:val="00A3460B"/>
    <w:rsid w:val="00A34671"/>
    <w:rsid w:val="00A34B5E"/>
    <w:rsid w:val="00A35622"/>
    <w:rsid w:val="00A3564E"/>
    <w:rsid w:val="00A35F94"/>
    <w:rsid w:val="00A36251"/>
    <w:rsid w:val="00A364AF"/>
    <w:rsid w:val="00A36AF7"/>
    <w:rsid w:val="00A3743C"/>
    <w:rsid w:val="00A37449"/>
    <w:rsid w:val="00A37A0E"/>
    <w:rsid w:val="00A37A5A"/>
    <w:rsid w:val="00A40566"/>
    <w:rsid w:val="00A40FF2"/>
    <w:rsid w:val="00A41173"/>
    <w:rsid w:val="00A41B2B"/>
    <w:rsid w:val="00A41E2C"/>
    <w:rsid w:val="00A422AD"/>
    <w:rsid w:val="00A422FA"/>
    <w:rsid w:val="00A42B2E"/>
    <w:rsid w:val="00A431B1"/>
    <w:rsid w:val="00A432DE"/>
    <w:rsid w:val="00A43BA1"/>
    <w:rsid w:val="00A441F3"/>
    <w:rsid w:val="00A44666"/>
    <w:rsid w:val="00A44C10"/>
    <w:rsid w:val="00A44DA8"/>
    <w:rsid w:val="00A46189"/>
    <w:rsid w:val="00A4725C"/>
    <w:rsid w:val="00A47341"/>
    <w:rsid w:val="00A4737C"/>
    <w:rsid w:val="00A47B9F"/>
    <w:rsid w:val="00A47EBB"/>
    <w:rsid w:val="00A50A61"/>
    <w:rsid w:val="00A5122B"/>
    <w:rsid w:val="00A51A30"/>
    <w:rsid w:val="00A522FD"/>
    <w:rsid w:val="00A525A8"/>
    <w:rsid w:val="00A52C5C"/>
    <w:rsid w:val="00A52F4D"/>
    <w:rsid w:val="00A52FB5"/>
    <w:rsid w:val="00A549CF"/>
    <w:rsid w:val="00A54D9F"/>
    <w:rsid w:val="00A54F2D"/>
    <w:rsid w:val="00A55D87"/>
    <w:rsid w:val="00A55E5F"/>
    <w:rsid w:val="00A56406"/>
    <w:rsid w:val="00A56D8D"/>
    <w:rsid w:val="00A56DFF"/>
    <w:rsid w:val="00A57796"/>
    <w:rsid w:val="00A57E34"/>
    <w:rsid w:val="00A604F2"/>
    <w:rsid w:val="00A6185B"/>
    <w:rsid w:val="00A61D31"/>
    <w:rsid w:val="00A6273F"/>
    <w:rsid w:val="00A63D11"/>
    <w:rsid w:val="00A646FD"/>
    <w:rsid w:val="00A64791"/>
    <w:rsid w:val="00A65922"/>
    <w:rsid w:val="00A65C27"/>
    <w:rsid w:val="00A662CE"/>
    <w:rsid w:val="00A6680E"/>
    <w:rsid w:val="00A66E23"/>
    <w:rsid w:val="00A66E33"/>
    <w:rsid w:val="00A66FCE"/>
    <w:rsid w:val="00A700FE"/>
    <w:rsid w:val="00A7018C"/>
    <w:rsid w:val="00A701B5"/>
    <w:rsid w:val="00A703FE"/>
    <w:rsid w:val="00A704EA"/>
    <w:rsid w:val="00A706F6"/>
    <w:rsid w:val="00A70D18"/>
    <w:rsid w:val="00A70F45"/>
    <w:rsid w:val="00A7499F"/>
    <w:rsid w:val="00A74FC9"/>
    <w:rsid w:val="00A756B0"/>
    <w:rsid w:val="00A75DE9"/>
    <w:rsid w:val="00A76DB7"/>
    <w:rsid w:val="00A76E94"/>
    <w:rsid w:val="00A76EED"/>
    <w:rsid w:val="00A773C1"/>
    <w:rsid w:val="00A774EC"/>
    <w:rsid w:val="00A7766A"/>
    <w:rsid w:val="00A77698"/>
    <w:rsid w:val="00A7770A"/>
    <w:rsid w:val="00A77961"/>
    <w:rsid w:val="00A77972"/>
    <w:rsid w:val="00A77E19"/>
    <w:rsid w:val="00A80937"/>
    <w:rsid w:val="00A809F3"/>
    <w:rsid w:val="00A80C3B"/>
    <w:rsid w:val="00A80D37"/>
    <w:rsid w:val="00A81C7A"/>
    <w:rsid w:val="00A82375"/>
    <w:rsid w:val="00A8251A"/>
    <w:rsid w:val="00A8286A"/>
    <w:rsid w:val="00A83722"/>
    <w:rsid w:val="00A83EBB"/>
    <w:rsid w:val="00A8420E"/>
    <w:rsid w:val="00A8479A"/>
    <w:rsid w:val="00A84AAB"/>
    <w:rsid w:val="00A84E4F"/>
    <w:rsid w:val="00A8567D"/>
    <w:rsid w:val="00A86174"/>
    <w:rsid w:val="00A87668"/>
    <w:rsid w:val="00A90051"/>
    <w:rsid w:val="00A902B7"/>
    <w:rsid w:val="00A908FE"/>
    <w:rsid w:val="00A918EF"/>
    <w:rsid w:val="00A91D14"/>
    <w:rsid w:val="00A91F0E"/>
    <w:rsid w:val="00A92313"/>
    <w:rsid w:val="00A9282B"/>
    <w:rsid w:val="00A935AE"/>
    <w:rsid w:val="00A939E1"/>
    <w:rsid w:val="00A93F87"/>
    <w:rsid w:val="00A945C3"/>
    <w:rsid w:val="00A945D1"/>
    <w:rsid w:val="00A94A24"/>
    <w:rsid w:val="00A94CD0"/>
    <w:rsid w:val="00A94EA9"/>
    <w:rsid w:val="00A95A6F"/>
    <w:rsid w:val="00A95E85"/>
    <w:rsid w:val="00A963D1"/>
    <w:rsid w:val="00A96591"/>
    <w:rsid w:val="00A9762F"/>
    <w:rsid w:val="00A97932"/>
    <w:rsid w:val="00A97BE1"/>
    <w:rsid w:val="00AA146C"/>
    <w:rsid w:val="00AA14D0"/>
    <w:rsid w:val="00AA1E02"/>
    <w:rsid w:val="00AA20B1"/>
    <w:rsid w:val="00AA2EE1"/>
    <w:rsid w:val="00AA30C2"/>
    <w:rsid w:val="00AA3CE0"/>
    <w:rsid w:val="00AA452B"/>
    <w:rsid w:val="00AA475C"/>
    <w:rsid w:val="00AA493B"/>
    <w:rsid w:val="00AA4BEA"/>
    <w:rsid w:val="00AA5027"/>
    <w:rsid w:val="00AA5149"/>
    <w:rsid w:val="00AA5360"/>
    <w:rsid w:val="00AA637F"/>
    <w:rsid w:val="00AA643B"/>
    <w:rsid w:val="00AA6EBB"/>
    <w:rsid w:val="00AA706A"/>
    <w:rsid w:val="00AA76E3"/>
    <w:rsid w:val="00AA772B"/>
    <w:rsid w:val="00AA79A6"/>
    <w:rsid w:val="00AA7BFF"/>
    <w:rsid w:val="00AA7C5D"/>
    <w:rsid w:val="00AA7F87"/>
    <w:rsid w:val="00AB0682"/>
    <w:rsid w:val="00AB0A51"/>
    <w:rsid w:val="00AB0DDF"/>
    <w:rsid w:val="00AB0F91"/>
    <w:rsid w:val="00AB1140"/>
    <w:rsid w:val="00AB1A83"/>
    <w:rsid w:val="00AB1B2E"/>
    <w:rsid w:val="00AB2643"/>
    <w:rsid w:val="00AB29DE"/>
    <w:rsid w:val="00AB2FA6"/>
    <w:rsid w:val="00AB313F"/>
    <w:rsid w:val="00AB3392"/>
    <w:rsid w:val="00AB372C"/>
    <w:rsid w:val="00AB3A5C"/>
    <w:rsid w:val="00AB3ED0"/>
    <w:rsid w:val="00AB4660"/>
    <w:rsid w:val="00AB5105"/>
    <w:rsid w:val="00AB51CD"/>
    <w:rsid w:val="00AB58DC"/>
    <w:rsid w:val="00AB5B6F"/>
    <w:rsid w:val="00AB5CBA"/>
    <w:rsid w:val="00AB6425"/>
    <w:rsid w:val="00AB6C00"/>
    <w:rsid w:val="00AB6F7F"/>
    <w:rsid w:val="00AB75D5"/>
    <w:rsid w:val="00AC0587"/>
    <w:rsid w:val="00AC1649"/>
    <w:rsid w:val="00AC1B26"/>
    <w:rsid w:val="00AC1EFF"/>
    <w:rsid w:val="00AC283A"/>
    <w:rsid w:val="00AC31CC"/>
    <w:rsid w:val="00AC37DA"/>
    <w:rsid w:val="00AC382B"/>
    <w:rsid w:val="00AC3977"/>
    <w:rsid w:val="00AC39CF"/>
    <w:rsid w:val="00AC5B08"/>
    <w:rsid w:val="00AC6165"/>
    <w:rsid w:val="00AC61DA"/>
    <w:rsid w:val="00AC673E"/>
    <w:rsid w:val="00AC6799"/>
    <w:rsid w:val="00AC6F21"/>
    <w:rsid w:val="00AC72C0"/>
    <w:rsid w:val="00AC7A8B"/>
    <w:rsid w:val="00AC7B6D"/>
    <w:rsid w:val="00AC7BA2"/>
    <w:rsid w:val="00AC7C9A"/>
    <w:rsid w:val="00AD0C1F"/>
    <w:rsid w:val="00AD0C92"/>
    <w:rsid w:val="00AD0E84"/>
    <w:rsid w:val="00AD1642"/>
    <w:rsid w:val="00AD224B"/>
    <w:rsid w:val="00AD2C44"/>
    <w:rsid w:val="00AD2E63"/>
    <w:rsid w:val="00AD2F52"/>
    <w:rsid w:val="00AD3675"/>
    <w:rsid w:val="00AD37AE"/>
    <w:rsid w:val="00AD4388"/>
    <w:rsid w:val="00AD44BA"/>
    <w:rsid w:val="00AD5561"/>
    <w:rsid w:val="00AD58B1"/>
    <w:rsid w:val="00AD5F36"/>
    <w:rsid w:val="00AD609C"/>
    <w:rsid w:val="00AD6E2E"/>
    <w:rsid w:val="00AD721D"/>
    <w:rsid w:val="00AD783F"/>
    <w:rsid w:val="00AD7BFF"/>
    <w:rsid w:val="00AE0004"/>
    <w:rsid w:val="00AE0D5E"/>
    <w:rsid w:val="00AE0E8E"/>
    <w:rsid w:val="00AE1894"/>
    <w:rsid w:val="00AE18CC"/>
    <w:rsid w:val="00AE1A70"/>
    <w:rsid w:val="00AE1B95"/>
    <w:rsid w:val="00AE1B9D"/>
    <w:rsid w:val="00AE20E3"/>
    <w:rsid w:val="00AE2799"/>
    <w:rsid w:val="00AE369F"/>
    <w:rsid w:val="00AE3847"/>
    <w:rsid w:val="00AE3D8F"/>
    <w:rsid w:val="00AE40BE"/>
    <w:rsid w:val="00AE41B3"/>
    <w:rsid w:val="00AE42F4"/>
    <w:rsid w:val="00AE437A"/>
    <w:rsid w:val="00AE4A7F"/>
    <w:rsid w:val="00AE5B32"/>
    <w:rsid w:val="00AE6087"/>
    <w:rsid w:val="00AE6997"/>
    <w:rsid w:val="00AE69C4"/>
    <w:rsid w:val="00AE6A4E"/>
    <w:rsid w:val="00AE6C0F"/>
    <w:rsid w:val="00AE6E5A"/>
    <w:rsid w:val="00AE7DC9"/>
    <w:rsid w:val="00AF05FB"/>
    <w:rsid w:val="00AF09C6"/>
    <w:rsid w:val="00AF0BF8"/>
    <w:rsid w:val="00AF1701"/>
    <w:rsid w:val="00AF1898"/>
    <w:rsid w:val="00AF25D1"/>
    <w:rsid w:val="00AF2C77"/>
    <w:rsid w:val="00AF312B"/>
    <w:rsid w:val="00AF3150"/>
    <w:rsid w:val="00AF3A20"/>
    <w:rsid w:val="00AF482F"/>
    <w:rsid w:val="00AF57EB"/>
    <w:rsid w:val="00AF5F95"/>
    <w:rsid w:val="00AF6BDE"/>
    <w:rsid w:val="00AF6CF2"/>
    <w:rsid w:val="00AF72CC"/>
    <w:rsid w:val="00B00014"/>
    <w:rsid w:val="00B003B5"/>
    <w:rsid w:val="00B02069"/>
    <w:rsid w:val="00B020DD"/>
    <w:rsid w:val="00B02482"/>
    <w:rsid w:val="00B024EA"/>
    <w:rsid w:val="00B02608"/>
    <w:rsid w:val="00B02823"/>
    <w:rsid w:val="00B02B53"/>
    <w:rsid w:val="00B02DE1"/>
    <w:rsid w:val="00B031ED"/>
    <w:rsid w:val="00B0346A"/>
    <w:rsid w:val="00B03482"/>
    <w:rsid w:val="00B03C65"/>
    <w:rsid w:val="00B0413C"/>
    <w:rsid w:val="00B0483B"/>
    <w:rsid w:val="00B04989"/>
    <w:rsid w:val="00B04C28"/>
    <w:rsid w:val="00B057ED"/>
    <w:rsid w:val="00B05A6E"/>
    <w:rsid w:val="00B067A0"/>
    <w:rsid w:val="00B06D38"/>
    <w:rsid w:val="00B06F69"/>
    <w:rsid w:val="00B0735C"/>
    <w:rsid w:val="00B07360"/>
    <w:rsid w:val="00B07487"/>
    <w:rsid w:val="00B07DF9"/>
    <w:rsid w:val="00B1036E"/>
    <w:rsid w:val="00B10D47"/>
    <w:rsid w:val="00B10ED6"/>
    <w:rsid w:val="00B10FA8"/>
    <w:rsid w:val="00B112E1"/>
    <w:rsid w:val="00B11340"/>
    <w:rsid w:val="00B115BE"/>
    <w:rsid w:val="00B11A28"/>
    <w:rsid w:val="00B11C5D"/>
    <w:rsid w:val="00B11F3B"/>
    <w:rsid w:val="00B12722"/>
    <w:rsid w:val="00B12CCD"/>
    <w:rsid w:val="00B1328B"/>
    <w:rsid w:val="00B137C8"/>
    <w:rsid w:val="00B1441C"/>
    <w:rsid w:val="00B1461F"/>
    <w:rsid w:val="00B14D68"/>
    <w:rsid w:val="00B14DEB"/>
    <w:rsid w:val="00B156B0"/>
    <w:rsid w:val="00B15D56"/>
    <w:rsid w:val="00B164EC"/>
    <w:rsid w:val="00B16AFE"/>
    <w:rsid w:val="00B16C28"/>
    <w:rsid w:val="00B16CCE"/>
    <w:rsid w:val="00B16E3B"/>
    <w:rsid w:val="00B16F0E"/>
    <w:rsid w:val="00B20013"/>
    <w:rsid w:val="00B203B6"/>
    <w:rsid w:val="00B2055C"/>
    <w:rsid w:val="00B205A2"/>
    <w:rsid w:val="00B20D06"/>
    <w:rsid w:val="00B20EAE"/>
    <w:rsid w:val="00B2105C"/>
    <w:rsid w:val="00B211B9"/>
    <w:rsid w:val="00B21347"/>
    <w:rsid w:val="00B21854"/>
    <w:rsid w:val="00B21A35"/>
    <w:rsid w:val="00B22232"/>
    <w:rsid w:val="00B2265C"/>
    <w:rsid w:val="00B22740"/>
    <w:rsid w:val="00B22771"/>
    <w:rsid w:val="00B22AF2"/>
    <w:rsid w:val="00B22C9A"/>
    <w:rsid w:val="00B22DF3"/>
    <w:rsid w:val="00B23CCE"/>
    <w:rsid w:val="00B24DBE"/>
    <w:rsid w:val="00B250EE"/>
    <w:rsid w:val="00B25A2A"/>
    <w:rsid w:val="00B25A5F"/>
    <w:rsid w:val="00B261C4"/>
    <w:rsid w:val="00B26405"/>
    <w:rsid w:val="00B26425"/>
    <w:rsid w:val="00B26A99"/>
    <w:rsid w:val="00B303B3"/>
    <w:rsid w:val="00B308C3"/>
    <w:rsid w:val="00B30B91"/>
    <w:rsid w:val="00B319CC"/>
    <w:rsid w:val="00B31F4A"/>
    <w:rsid w:val="00B32494"/>
    <w:rsid w:val="00B33A21"/>
    <w:rsid w:val="00B34131"/>
    <w:rsid w:val="00B34AAF"/>
    <w:rsid w:val="00B3521C"/>
    <w:rsid w:val="00B357FC"/>
    <w:rsid w:val="00B35AF8"/>
    <w:rsid w:val="00B361E3"/>
    <w:rsid w:val="00B36B0E"/>
    <w:rsid w:val="00B370B9"/>
    <w:rsid w:val="00B3751A"/>
    <w:rsid w:val="00B4028D"/>
    <w:rsid w:val="00B40312"/>
    <w:rsid w:val="00B404D9"/>
    <w:rsid w:val="00B40D7D"/>
    <w:rsid w:val="00B40E2E"/>
    <w:rsid w:val="00B42D85"/>
    <w:rsid w:val="00B4339E"/>
    <w:rsid w:val="00B4419D"/>
    <w:rsid w:val="00B4493E"/>
    <w:rsid w:val="00B44C6D"/>
    <w:rsid w:val="00B44C7C"/>
    <w:rsid w:val="00B4520B"/>
    <w:rsid w:val="00B4534D"/>
    <w:rsid w:val="00B457F7"/>
    <w:rsid w:val="00B4656E"/>
    <w:rsid w:val="00B46DA4"/>
    <w:rsid w:val="00B4742F"/>
    <w:rsid w:val="00B47DC7"/>
    <w:rsid w:val="00B50382"/>
    <w:rsid w:val="00B50CC0"/>
    <w:rsid w:val="00B51C0F"/>
    <w:rsid w:val="00B51E2C"/>
    <w:rsid w:val="00B51EA7"/>
    <w:rsid w:val="00B51F6A"/>
    <w:rsid w:val="00B51F87"/>
    <w:rsid w:val="00B522FB"/>
    <w:rsid w:val="00B5309E"/>
    <w:rsid w:val="00B53233"/>
    <w:rsid w:val="00B53355"/>
    <w:rsid w:val="00B53383"/>
    <w:rsid w:val="00B533FB"/>
    <w:rsid w:val="00B5415A"/>
    <w:rsid w:val="00B542AB"/>
    <w:rsid w:val="00B54635"/>
    <w:rsid w:val="00B5466E"/>
    <w:rsid w:val="00B54B90"/>
    <w:rsid w:val="00B56CE5"/>
    <w:rsid w:val="00B6021D"/>
    <w:rsid w:val="00B60C26"/>
    <w:rsid w:val="00B6139A"/>
    <w:rsid w:val="00B61EB3"/>
    <w:rsid w:val="00B620D3"/>
    <w:rsid w:val="00B625E4"/>
    <w:rsid w:val="00B62F92"/>
    <w:rsid w:val="00B631A7"/>
    <w:rsid w:val="00B63D48"/>
    <w:rsid w:val="00B6459C"/>
    <w:rsid w:val="00B65CF7"/>
    <w:rsid w:val="00B65D17"/>
    <w:rsid w:val="00B66251"/>
    <w:rsid w:val="00B66396"/>
    <w:rsid w:val="00B665DC"/>
    <w:rsid w:val="00B6681A"/>
    <w:rsid w:val="00B66B50"/>
    <w:rsid w:val="00B672FF"/>
    <w:rsid w:val="00B674B1"/>
    <w:rsid w:val="00B6798C"/>
    <w:rsid w:val="00B67B7E"/>
    <w:rsid w:val="00B67CB3"/>
    <w:rsid w:val="00B67D65"/>
    <w:rsid w:val="00B67DC8"/>
    <w:rsid w:val="00B70A10"/>
    <w:rsid w:val="00B7128B"/>
    <w:rsid w:val="00B71517"/>
    <w:rsid w:val="00B715DC"/>
    <w:rsid w:val="00B721DE"/>
    <w:rsid w:val="00B722FD"/>
    <w:rsid w:val="00B72E98"/>
    <w:rsid w:val="00B72EC7"/>
    <w:rsid w:val="00B737F8"/>
    <w:rsid w:val="00B7426D"/>
    <w:rsid w:val="00B75CD3"/>
    <w:rsid w:val="00B75F16"/>
    <w:rsid w:val="00B76007"/>
    <w:rsid w:val="00B76943"/>
    <w:rsid w:val="00B77437"/>
    <w:rsid w:val="00B77873"/>
    <w:rsid w:val="00B77EF9"/>
    <w:rsid w:val="00B80572"/>
    <w:rsid w:val="00B809AC"/>
    <w:rsid w:val="00B80FC4"/>
    <w:rsid w:val="00B811F4"/>
    <w:rsid w:val="00B81A3C"/>
    <w:rsid w:val="00B81B3E"/>
    <w:rsid w:val="00B81B47"/>
    <w:rsid w:val="00B81D7B"/>
    <w:rsid w:val="00B82823"/>
    <w:rsid w:val="00B82A13"/>
    <w:rsid w:val="00B82F26"/>
    <w:rsid w:val="00B8303D"/>
    <w:rsid w:val="00B83207"/>
    <w:rsid w:val="00B8329E"/>
    <w:rsid w:val="00B836CB"/>
    <w:rsid w:val="00B83AE0"/>
    <w:rsid w:val="00B83ED0"/>
    <w:rsid w:val="00B841A3"/>
    <w:rsid w:val="00B8532F"/>
    <w:rsid w:val="00B858D6"/>
    <w:rsid w:val="00B85CAD"/>
    <w:rsid w:val="00B860FF"/>
    <w:rsid w:val="00B861B6"/>
    <w:rsid w:val="00B866F7"/>
    <w:rsid w:val="00B86B94"/>
    <w:rsid w:val="00B86E90"/>
    <w:rsid w:val="00B86F77"/>
    <w:rsid w:val="00B874DC"/>
    <w:rsid w:val="00B90426"/>
    <w:rsid w:val="00B90A59"/>
    <w:rsid w:val="00B90AF2"/>
    <w:rsid w:val="00B90D35"/>
    <w:rsid w:val="00B912DB"/>
    <w:rsid w:val="00B915CD"/>
    <w:rsid w:val="00B91DAA"/>
    <w:rsid w:val="00B920C2"/>
    <w:rsid w:val="00B929EE"/>
    <w:rsid w:val="00B930B4"/>
    <w:rsid w:val="00B9357C"/>
    <w:rsid w:val="00B942EC"/>
    <w:rsid w:val="00B943BF"/>
    <w:rsid w:val="00B943CF"/>
    <w:rsid w:val="00B94944"/>
    <w:rsid w:val="00B949D8"/>
    <w:rsid w:val="00B953A6"/>
    <w:rsid w:val="00B959AC"/>
    <w:rsid w:val="00B95D8C"/>
    <w:rsid w:val="00B962D3"/>
    <w:rsid w:val="00B967A8"/>
    <w:rsid w:val="00B96815"/>
    <w:rsid w:val="00B97047"/>
    <w:rsid w:val="00B9720C"/>
    <w:rsid w:val="00B9730A"/>
    <w:rsid w:val="00B9735D"/>
    <w:rsid w:val="00B9742E"/>
    <w:rsid w:val="00B97430"/>
    <w:rsid w:val="00B97499"/>
    <w:rsid w:val="00B97B53"/>
    <w:rsid w:val="00B97C03"/>
    <w:rsid w:val="00BA0067"/>
    <w:rsid w:val="00BA00B7"/>
    <w:rsid w:val="00BA061B"/>
    <w:rsid w:val="00BA0A82"/>
    <w:rsid w:val="00BA0DFA"/>
    <w:rsid w:val="00BA0EC4"/>
    <w:rsid w:val="00BA15AF"/>
    <w:rsid w:val="00BA2AA3"/>
    <w:rsid w:val="00BA36F1"/>
    <w:rsid w:val="00BA3F2B"/>
    <w:rsid w:val="00BA4ED2"/>
    <w:rsid w:val="00BA6779"/>
    <w:rsid w:val="00BA67AB"/>
    <w:rsid w:val="00BA69A8"/>
    <w:rsid w:val="00BA793B"/>
    <w:rsid w:val="00BB01C2"/>
    <w:rsid w:val="00BB0B1C"/>
    <w:rsid w:val="00BB111E"/>
    <w:rsid w:val="00BB19B4"/>
    <w:rsid w:val="00BB1A86"/>
    <w:rsid w:val="00BB219F"/>
    <w:rsid w:val="00BB21A4"/>
    <w:rsid w:val="00BB2624"/>
    <w:rsid w:val="00BB2AA5"/>
    <w:rsid w:val="00BB3134"/>
    <w:rsid w:val="00BB395D"/>
    <w:rsid w:val="00BB3DE4"/>
    <w:rsid w:val="00BB3DEE"/>
    <w:rsid w:val="00BB4559"/>
    <w:rsid w:val="00BB4721"/>
    <w:rsid w:val="00BB4E2F"/>
    <w:rsid w:val="00BB501B"/>
    <w:rsid w:val="00BB5327"/>
    <w:rsid w:val="00BB5679"/>
    <w:rsid w:val="00BB5E17"/>
    <w:rsid w:val="00BB5EDB"/>
    <w:rsid w:val="00BB611D"/>
    <w:rsid w:val="00BB6396"/>
    <w:rsid w:val="00BB7520"/>
    <w:rsid w:val="00BB7582"/>
    <w:rsid w:val="00BC0354"/>
    <w:rsid w:val="00BC143B"/>
    <w:rsid w:val="00BC2FCA"/>
    <w:rsid w:val="00BC30CC"/>
    <w:rsid w:val="00BC3AEA"/>
    <w:rsid w:val="00BC4075"/>
    <w:rsid w:val="00BC40A9"/>
    <w:rsid w:val="00BC41F7"/>
    <w:rsid w:val="00BC4658"/>
    <w:rsid w:val="00BC4A05"/>
    <w:rsid w:val="00BC4D5D"/>
    <w:rsid w:val="00BC4E3C"/>
    <w:rsid w:val="00BC4FE4"/>
    <w:rsid w:val="00BC4FFF"/>
    <w:rsid w:val="00BC50B6"/>
    <w:rsid w:val="00BC512A"/>
    <w:rsid w:val="00BC5A38"/>
    <w:rsid w:val="00BC6E39"/>
    <w:rsid w:val="00BC74E0"/>
    <w:rsid w:val="00BC7B5A"/>
    <w:rsid w:val="00BC7EFA"/>
    <w:rsid w:val="00BD0133"/>
    <w:rsid w:val="00BD0241"/>
    <w:rsid w:val="00BD036A"/>
    <w:rsid w:val="00BD2245"/>
    <w:rsid w:val="00BD26E4"/>
    <w:rsid w:val="00BD2F72"/>
    <w:rsid w:val="00BD31EB"/>
    <w:rsid w:val="00BD4165"/>
    <w:rsid w:val="00BD472F"/>
    <w:rsid w:val="00BD4779"/>
    <w:rsid w:val="00BD6067"/>
    <w:rsid w:val="00BD71B9"/>
    <w:rsid w:val="00BD7399"/>
    <w:rsid w:val="00BD78DF"/>
    <w:rsid w:val="00BD791F"/>
    <w:rsid w:val="00BD7B0C"/>
    <w:rsid w:val="00BD7B1E"/>
    <w:rsid w:val="00BD7EEB"/>
    <w:rsid w:val="00BE16BF"/>
    <w:rsid w:val="00BE19F2"/>
    <w:rsid w:val="00BE1B6C"/>
    <w:rsid w:val="00BE1D9A"/>
    <w:rsid w:val="00BE1F8F"/>
    <w:rsid w:val="00BE306A"/>
    <w:rsid w:val="00BE31B6"/>
    <w:rsid w:val="00BE3483"/>
    <w:rsid w:val="00BE3BA6"/>
    <w:rsid w:val="00BE432B"/>
    <w:rsid w:val="00BE4BBE"/>
    <w:rsid w:val="00BE507B"/>
    <w:rsid w:val="00BE618D"/>
    <w:rsid w:val="00BE65B2"/>
    <w:rsid w:val="00BE6C34"/>
    <w:rsid w:val="00BE79AD"/>
    <w:rsid w:val="00BE79FF"/>
    <w:rsid w:val="00BE7C4B"/>
    <w:rsid w:val="00BE7CBF"/>
    <w:rsid w:val="00BF08DB"/>
    <w:rsid w:val="00BF0A26"/>
    <w:rsid w:val="00BF15D8"/>
    <w:rsid w:val="00BF1715"/>
    <w:rsid w:val="00BF1FF2"/>
    <w:rsid w:val="00BF2AC1"/>
    <w:rsid w:val="00BF2B81"/>
    <w:rsid w:val="00BF2E2F"/>
    <w:rsid w:val="00BF38B7"/>
    <w:rsid w:val="00BF3A2C"/>
    <w:rsid w:val="00BF3AC4"/>
    <w:rsid w:val="00BF3BA9"/>
    <w:rsid w:val="00BF46E1"/>
    <w:rsid w:val="00BF4DD1"/>
    <w:rsid w:val="00BF569E"/>
    <w:rsid w:val="00BF6143"/>
    <w:rsid w:val="00BF642B"/>
    <w:rsid w:val="00BF652C"/>
    <w:rsid w:val="00BF70F7"/>
    <w:rsid w:val="00BF7D3F"/>
    <w:rsid w:val="00C01503"/>
    <w:rsid w:val="00C0157D"/>
    <w:rsid w:val="00C028DB"/>
    <w:rsid w:val="00C0310E"/>
    <w:rsid w:val="00C0315B"/>
    <w:rsid w:val="00C03449"/>
    <w:rsid w:val="00C03B55"/>
    <w:rsid w:val="00C03B77"/>
    <w:rsid w:val="00C03F77"/>
    <w:rsid w:val="00C045E7"/>
    <w:rsid w:val="00C04A09"/>
    <w:rsid w:val="00C04A25"/>
    <w:rsid w:val="00C05E06"/>
    <w:rsid w:val="00C06A0D"/>
    <w:rsid w:val="00C06DEC"/>
    <w:rsid w:val="00C07315"/>
    <w:rsid w:val="00C07365"/>
    <w:rsid w:val="00C10018"/>
    <w:rsid w:val="00C108E4"/>
    <w:rsid w:val="00C10BFB"/>
    <w:rsid w:val="00C10E20"/>
    <w:rsid w:val="00C119CB"/>
    <w:rsid w:val="00C11D3F"/>
    <w:rsid w:val="00C11EC0"/>
    <w:rsid w:val="00C11FB5"/>
    <w:rsid w:val="00C1271B"/>
    <w:rsid w:val="00C1284D"/>
    <w:rsid w:val="00C13637"/>
    <w:rsid w:val="00C13A91"/>
    <w:rsid w:val="00C13AD4"/>
    <w:rsid w:val="00C1400A"/>
    <w:rsid w:val="00C14FA3"/>
    <w:rsid w:val="00C15413"/>
    <w:rsid w:val="00C15611"/>
    <w:rsid w:val="00C15CAE"/>
    <w:rsid w:val="00C1631B"/>
    <w:rsid w:val="00C16B0F"/>
    <w:rsid w:val="00C16CAB"/>
    <w:rsid w:val="00C16F6E"/>
    <w:rsid w:val="00C17127"/>
    <w:rsid w:val="00C178B7"/>
    <w:rsid w:val="00C17D4F"/>
    <w:rsid w:val="00C20427"/>
    <w:rsid w:val="00C22B4A"/>
    <w:rsid w:val="00C24826"/>
    <w:rsid w:val="00C24E91"/>
    <w:rsid w:val="00C25253"/>
    <w:rsid w:val="00C255D4"/>
    <w:rsid w:val="00C25742"/>
    <w:rsid w:val="00C26134"/>
    <w:rsid w:val="00C2649B"/>
    <w:rsid w:val="00C2672E"/>
    <w:rsid w:val="00C26DA6"/>
    <w:rsid w:val="00C26DB1"/>
    <w:rsid w:val="00C26EC7"/>
    <w:rsid w:val="00C27A8C"/>
    <w:rsid w:val="00C30327"/>
    <w:rsid w:val="00C30BD8"/>
    <w:rsid w:val="00C31076"/>
    <w:rsid w:val="00C312D1"/>
    <w:rsid w:val="00C314DA"/>
    <w:rsid w:val="00C321D7"/>
    <w:rsid w:val="00C32220"/>
    <w:rsid w:val="00C32A28"/>
    <w:rsid w:val="00C32BC7"/>
    <w:rsid w:val="00C3306F"/>
    <w:rsid w:val="00C33DC7"/>
    <w:rsid w:val="00C34570"/>
    <w:rsid w:val="00C3514D"/>
    <w:rsid w:val="00C352C2"/>
    <w:rsid w:val="00C35D4E"/>
    <w:rsid w:val="00C362CF"/>
    <w:rsid w:val="00C36958"/>
    <w:rsid w:val="00C36DC0"/>
    <w:rsid w:val="00C3709E"/>
    <w:rsid w:val="00C37BDC"/>
    <w:rsid w:val="00C37C21"/>
    <w:rsid w:val="00C403CD"/>
    <w:rsid w:val="00C4159F"/>
    <w:rsid w:val="00C41D8D"/>
    <w:rsid w:val="00C4253A"/>
    <w:rsid w:val="00C428C5"/>
    <w:rsid w:val="00C42D4C"/>
    <w:rsid w:val="00C431B0"/>
    <w:rsid w:val="00C431C2"/>
    <w:rsid w:val="00C43601"/>
    <w:rsid w:val="00C442D2"/>
    <w:rsid w:val="00C4462C"/>
    <w:rsid w:val="00C4466E"/>
    <w:rsid w:val="00C44796"/>
    <w:rsid w:val="00C4513B"/>
    <w:rsid w:val="00C452EA"/>
    <w:rsid w:val="00C46494"/>
    <w:rsid w:val="00C46C84"/>
    <w:rsid w:val="00C46D2A"/>
    <w:rsid w:val="00C470AB"/>
    <w:rsid w:val="00C47175"/>
    <w:rsid w:val="00C475B6"/>
    <w:rsid w:val="00C47B89"/>
    <w:rsid w:val="00C47E96"/>
    <w:rsid w:val="00C5004A"/>
    <w:rsid w:val="00C50226"/>
    <w:rsid w:val="00C5113B"/>
    <w:rsid w:val="00C51DC9"/>
    <w:rsid w:val="00C51F4B"/>
    <w:rsid w:val="00C51FF3"/>
    <w:rsid w:val="00C52AF6"/>
    <w:rsid w:val="00C52BEA"/>
    <w:rsid w:val="00C53277"/>
    <w:rsid w:val="00C53A7A"/>
    <w:rsid w:val="00C53D13"/>
    <w:rsid w:val="00C54A51"/>
    <w:rsid w:val="00C55037"/>
    <w:rsid w:val="00C55263"/>
    <w:rsid w:val="00C552A3"/>
    <w:rsid w:val="00C5572B"/>
    <w:rsid w:val="00C56152"/>
    <w:rsid w:val="00C564B8"/>
    <w:rsid w:val="00C568B4"/>
    <w:rsid w:val="00C56B45"/>
    <w:rsid w:val="00C56B8F"/>
    <w:rsid w:val="00C575B8"/>
    <w:rsid w:val="00C57887"/>
    <w:rsid w:val="00C57DD8"/>
    <w:rsid w:val="00C60622"/>
    <w:rsid w:val="00C60799"/>
    <w:rsid w:val="00C60850"/>
    <w:rsid w:val="00C60D2A"/>
    <w:rsid w:val="00C60D55"/>
    <w:rsid w:val="00C61434"/>
    <w:rsid w:val="00C6148B"/>
    <w:rsid w:val="00C6277D"/>
    <w:rsid w:val="00C6296A"/>
    <w:rsid w:val="00C62994"/>
    <w:rsid w:val="00C630D6"/>
    <w:rsid w:val="00C630D9"/>
    <w:rsid w:val="00C631BD"/>
    <w:rsid w:val="00C632E2"/>
    <w:rsid w:val="00C639F9"/>
    <w:rsid w:val="00C63AA9"/>
    <w:rsid w:val="00C64087"/>
    <w:rsid w:val="00C64126"/>
    <w:rsid w:val="00C6462F"/>
    <w:rsid w:val="00C64773"/>
    <w:rsid w:val="00C64B72"/>
    <w:rsid w:val="00C65278"/>
    <w:rsid w:val="00C65644"/>
    <w:rsid w:val="00C65840"/>
    <w:rsid w:val="00C65A06"/>
    <w:rsid w:val="00C66074"/>
    <w:rsid w:val="00C66106"/>
    <w:rsid w:val="00C66696"/>
    <w:rsid w:val="00C66750"/>
    <w:rsid w:val="00C66CCB"/>
    <w:rsid w:val="00C671DD"/>
    <w:rsid w:val="00C67343"/>
    <w:rsid w:val="00C67C6F"/>
    <w:rsid w:val="00C67E51"/>
    <w:rsid w:val="00C67F07"/>
    <w:rsid w:val="00C70344"/>
    <w:rsid w:val="00C707E3"/>
    <w:rsid w:val="00C70D8D"/>
    <w:rsid w:val="00C716C7"/>
    <w:rsid w:val="00C72636"/>
    <w:rsid w:val="00C728CB"/>
    <w:rsid w:val="00C72B53"/>
    <w:rsid w:val="00C73E1E"/>
    <w:rsid w:val="00C74ABE"/>
    <w:rsid w:val="00C74E03"/>
    <w:rsid w:val="00C751D6"/>
    <w:rsid w:val="00C756CC"/>
    <w:rsid w:val="00C759CC"/>
    <w:rsid w:val="00C75F42"/>
    <w:rsid w:val="00C7639F"/>
    <w:rsid w:val="00C76C54"/>
    <w:rsid w:val="00C76FEF"/>
    <w:rsid w:val="00C77E73"/>
    <w:rsid w:val="00C8039F"/>
    <w:rsid w:val="00C805DD"/>
    <w:rsid w:val="00C806AF"/>
    <w:rsid w:val="00C815C0"/>
    <w:rsid w:val="00C815EC"/>
    <w:rsid w:val="00C818DC"/>
    <w:rsid w:val="00C81FE0"/>
    <w:rsid w:val="00C820DD"/>
    <w:rsid w:val="00C825B8"/>
    <w:rsid w:val="00C82861"/>
    <w:rsid w:val="00C828AA"/>
    <w:rsid w:val="00C833C3"/>
    <w:rsid w:val="00C8419F"/>
    <w:rsid w:val="00C859D8"/>
    <w:rsid w:val="00C85BAA"/>
    <w:rsid w:val="00C861DE"/>
    <w:rsid w:val="00C8630C"/>
    <w:rsid w:val="00C86932"/>
    <w:rsid w:val="00C87200"/>
    <w:rsid w:val="00C878C1"/>
    <w:rsid w:val="00C902FF"/>
    <w:rsid w:val="00C90463"/>
    <w:rsid w:val="00C90E31"/>
    <w:rsid w:val="00C914B2"/>
    <w:rsid w:val="00C91EA0"/>
    <w:rsid w:val="00C9272D"/>
    <w:rsid w:val="00C929D2"/>
    <w:rsid w:val="00C93C65"/>
    <w:rsid w:val="00C93E9D"/>
    <w:rsid w:val="00C94305"/>
    <w:rsid w:val="00C94307"/>
    <w:rsid w:val="00C9445F"/>
    <w:rsid w:val="00C946EE"/>
    <w:rsid w:val="00C9516B"/>
    <w:rsid w:val="00C95247"/>
    <w:rsid w:val="00C954BB"/>
    <w:rsid w:val="00C95A50"/>
    <w:rsid w:val="00C95A69"/>
    <w:rsid w:val="00C96457"/>
    <w:rsid w:val="00C96853"/>
    <w:rsid w:val="00C96A6A"/>
    <w:rsid w:val="00C96FA5"/>
    <w:rsid w:val="00CA0228"/>
    <w:rsid w:val="00CA09C4"/>
    <w:rsid w:val="00CA0D83"/>
    <w:rsid w:val="00CA116F"/>
    <w:rsid w:val="00CA1A7A"/>
    <w:rsid w:val="00CA20DF"/>
    <w:rsid w:val="00CA2636"/>
    <w:rsid w:val="00CA2BF8"/>
    <w:rsid w:val="00CA2C2A"/>
    <w:rsid w:val="00CA2DB5"/>
    <w:rsid w:val="00CA31E5"/>
    <w:rsid w:val="00CA32D7"/>
    <w:rsid w:val="00CA39CD"/>
    <w:rsid w:val="00CA438C"/>
    <w:rsid w:val="00CA4564"/>
    <w:rsid w:val="00CA4590"/>
    <w:rsid w:val="00CA46E2"/>
    <w:rsid w:val="00CA4962"/>
    <w:rsid w:val="00CA4DB6"/>
    <w:rsid w:val="00CA4E0F"/>
    <w:rsid w:val="00CA526D"/>
    <w:rsid w:val="00CA694A"/>
    <w:rsid w:val="00CA6C23"/>
    <w:rsid w:val="00CA7777"/>
    <w:rsid w:val="00CA7B83"/>
    <w:rsid w:val="00CB001B"/>
    <w:rsid w:val="00CB0025"/>
    <w:rsid w:val="00CB01E1"/>
    <w:rsid w:val="00CB0427"/>
    <w:rsid w:val="00CB0B8A"/>
    <w:rsid w:val="00CB0D0A"/>
    <w:rsid w:val="00CB0F74"/>
    <w:rsid w:val="00CB14D8"/>
    <w:rsid w:val="00CB1B02"/>
    <w:rsid w:val="00CB1CAD"/>
    <w:rsid w:val="00CB219C"/>
    <w:rsid w:val="00CB24E3"/>
    <w:rsid w:val="00CB273E"/>
    <w:rsid w:val="00CB2A60"/>
    <w:rsid w:val="00CB2DFB"/>
    <w:rsid w:val="00CB30F6"/>
    <w:rsid w:val="00CB35A8"/>
    <w:rsid w:val="00CB3744"/>
    <w:rsid w:val="00CB38B2"/>
    <w:rsid w:val="00CB3AAE"/>
    <w:rsid w:val="00CB42FF"/>
    <w:rsid w:val="00CB4E76"/>
    <w:rsid w:val="00CB5029"/>
    <w:rsid w:val="00CB537D"/>
    <w:rsid w:val="00CB645D"/>
    <w:rsid w:val="00CB6644"/>
    <w:rsid w:val="00CB66BA"/>
    <w:rsid w:val="00CB6A31"/>
    <w:rsid w:val="00CB74C7"/>
    <w:rsid w:val="00CB77C7"/>
    <w:rsid w:val="00CB78C8"/>
    <w:rsid w:val="00CC0125"/>
    <w:rsid w:val="00CC03E6"/>
    <w:rsid w:val="00CC1E35"/>
    <w:rsid w:val="00CC1E8A"/>
    <w:rsid w:val="00CC20A0"/>
    <w:rsid w:val="00CC2FED"/>
    <w:rsid w:val="00CC3163"/>
    <w:rsid w:val="00CC326B"/>
    <w:rsid w:val="00CC36C9"/>
    <w:rsid w:val="00CC3871"/>
    <w:rsid w:val="00CC39E6"/>
    <w:rsid w:val="00CC3D20"/>
    <w:rsid w:val="00CC3E22"/>
    <w:rsid w:val="00CC48D1"/>
    <w:rsid w:val="00CC4CC7"/>
    <w:rsid w:val="00CC5146"/>
    <w:rsid w:val="00CC52A4"/>
    <w:rsid w:val="00CC5F23"/>
    <w:rsid w:val="00CC6518"/>
    <w:rsid w:val="00CC6D02"/>
    <w:rsid w:val="00CC72AC"/>
    <w:rsid w:val="00CC7755"/>
    <w:rsid w:val="00CC7934"/>
    <w:rsid w:val="00CC7CEE"/>
    <w:rsid w:val="00CD02D5"/>
    <w:rsid w:val="00CD05DC"/>
    <w:rsid w:val="00CD0CD1"/>
    <w:rsid w:val="00CD1270"/>
    <w:rsid w:val="00CD128B"/>
    <w:rsid w:val="00CD181F"/>
    <w:rsid w:val="00CD1828"/>
    <w:rsid w:val="00CD305E"/>
    <w:rsid w:val="00CD3770"/>
    <w:rsid w:val="00CD3B93"/>
    <w:rsid w:val="00CD464D"/>
    <w:rsid w:val="00CD4736"/>
    <w:rsid w:val="00CD49F7"/>
    <w:rsid w:val="00CD4DBE"/>
    <w:rsid w:val="00CD4EAA"/>
    <w:rsid w:val="00CD526D"/>
    <w:rsid w:val="00CD5B6F"/>
    <w:rsid w:val="00CD5B9F"/>
    <w:rsid w:val="00CD6482"/>
    <w:rsid w:val="00CD6930"/>
    <w:rsid w:val="00CD6B96"/>
    <w:rsid w:val="00CD71BE"/>
    <w:rsid w:val="00CD75EA"/>
    <w:rsid w:val="00CD7797"/>
    <w:rsid w:val="00CE0485"/>
    <w:rsid w:val="00CE0918"/>
    <w:rsid w:val="00CE0CDA"/>
    <w:rsid w:val="00CE1BB4"/>
    <w:rsid w:val="00CE22AE"/>
    <w:rsid w:val="00CE2865"/>
    <w:rsid w:val="00CE2B68"/>
    <w:rsid w:val="00CE3D0C"/>
    <w:rsid w:val="00CE4D28"/>
    <w:rsid w:val="00CE5489"/>
    <w:rsid w:val="00CE6386"/>
    <w:rsid w:val="00CE6594"/>
    <w:rsid w:val="00CE6628"/>
    <w:rsid w:val="00CE766E"/>
    <w:rsid w:val="00CE7A36"/>
    <w:rsid w:val="00CE7C83"/>
    <w:rsid w:val="00CF0F74"/>
    <w:rsid w:val="00CF110C"/>
    <w:rsid w:val="00CF1DE6"/>
    <w:rsid w:val="00CF1DF2"/>
    <w:rsid w:val="00CF1F9C"/>
    <w:rsid w:val="00CF1FAF"/>
    <w:rsid w:val="00CF2312"/>
    <w:rsid w:val="00CF29A2"/>
    <w:rsid w:val="00CF2F23"/>
    <w:rsid w:val="00CF3579"/>
    <w:rsid w:val="00CF3E31"/>
    <w:rsid w:val="00CF4B3D"/>
    <w:rsid w:val="00CF4B82"/>
    <w:rsid w:val="00CF54B3"/>
    <w:rsid w:val="00CF54C4"/>
    <w:rsid w:val="00CF55F4"/>
    <w:rsid w:val="00CF5667"/>
    <w:rsid w:val="00CF639B"/>
    <w:rsid w:val="00CF678A"/>
    <w:rsid w:val="00CF68B9"/>
    <w:rsid w:val="00CF68C0"/>
    <w:rsid w:val="00CF6E41"/>
    <w:rsid w:val="00CF7738"/>
    <w:rsid w:val="00CF7ABD"/>
    <w:rsid w:val="00CF7BA7"/>
    <w:rsid w:val="00CF7D5E"/>
    <w:rsid w:val="00CF7E66"/>
    <w:rsid w:val="00CF7EFC"/>
    <w:rsid w:val="00D008B7"/>
    <w:rsid w:val="00D00B6B"/>
    <w:rsid w:val="00D0111B"/>
    <w:rsid w:val="00D01B49"/>
    <w:rsid w:val="00D01DF1"/>
    <w:rsid w:val="00D01EF2"/>
    <w:rsid w:val="00D024AC"/>
    <w:rsid w:val="00D03D1F"/>
    <w:rsid w:val="00D044C1"/>
    <w:rsid w:val="00D0507F"/>
    <w:rsid w:val="00D058C6"/>
    <w:rsid w:val="00D05D92"/>
    <w:rsid w:val="00D05E1C"/>
    <w:rsid w:val="00D0682C"/>
    <w:rsid w:val="00D07490"/>
    <w:rsid w:val="00D074AC"/>
    <w:rsid w:val="00D07BE8"/>
    <w:rsid w:val="00D07C67"/>
    <w:rsid w:val="00D07CFB"/>
    <w:rsid w:val="00D10188"/>
    <w:rsid w:val="00D10522"/>
    <w:rsid w:val="00D10C17"/>
    <w:rsid w:val="00D10F07"/>
    <w:rsid w:val="00D11570"/>
    <w:rsid w:val="00D117F5"/>
    <w:rsid w:val="00D119CD"/>
    <w:rsid w:val="00D12522"/>
    <w:rsid w:val="00D12D93"/>
    <w:rsid w:val="00D134AE"/>
    <w:rsid w:val="00D139A2"/>
    <w:rsid w:val="00D1418C"/>
    <w:rsid w:val="00D143FA"/>
    <w:rsid w:val="00D14913"/>
    <w:rsid w:val="00D14ACE"/>
    <w:rsid w:val="00D14E3F"/>
    <w:rsid w:val="00D151A9"/>
    <w:rsid w:val="00D15CA7"/>
    <w:rsid w:val="00D15F74"/>
    <w:rsid w:val="00D16356"/>
    <w:rsid w:val="00D164BE"/>
    <w:rsid w:val="00D16918"/>
    <w:rsid w:val="00D17004"/>
    <w:rsid w:val="00D204A7"/>
    <w:rsid w:val="00D20C6B"/>
    <w:rsid w:val="00D210D8"/>
    <w:rsid w:val="00D215EF"/>
    <w:rsid w:val="00D229E0"/>
    <w:rsid w:val="00D22B20"/>
    <w:rsid w:val="00D22EB3"/>
    <w:rsid w:val="00D2337A"/>
    <w:rsid w:val="00D23412"/>
    <w:rsid w:val="00D23C08"/>
    <w:rsid w:val="00D244AB"/>
    <w:rsid w:val="00D2566C"/>
    <w:rsid w:val="00D25A33"/>
    <w:rsid w:val="00D26362"/>
    <w:rsid w:val="00D263D7"/>
    <w:rsid w:val="00D26489"/>
    <w:rsid w:val="00D27BE6"/>
    <w:rsid w:val="00D308DA"/>
    <w:rsid w:val="00D30AA8"/>
    <w:rsid w:val="00D3110B"/>
    <w:rsid w:val="00D31457"/>
    <w:rsid w:val="00D32317"/>
    <w:rsid w:val="00D3237D"/>
    <w:rsid w:val="00D32E58"/>
    <w:rsid w:val="00D3308B"/>
    <w:rsid w:val="00D33AE6"/>
    <w:rsid w:val="00D33BFB"/>
    <w:rsid w:val="00D34012"/>
    <w:rsid w:val="00D34457"/>
    <w:rsid w:val="00D34BE3"/>
    <w:rsid w:val="00D34C47"/>
    <w:rsid w:val="00D34CDC"/>
    <w:rsid w:val="00D34D0E"/>
    <w:rsid w:val="00D35AFD"/>
    <w:rsid w:val="00D35EC4"/>
    <w:rsid w:val="00D36A23"/>
    <w:rsid w:val="00D37600"/>
    <w:rsid w:val="00D37B45"/>
    <w:rsid w:val="00D37ED1"/>
    <w:rsid w:val="00D4137F"/>
    <w:rsid w:val="00D4159F"/>
    <w:rsid w:val="00D42771"/>
    <w:rsid w:val="00D4291A"/>
    <w:rsid w:val="00D432F5"/>
    <w:rsid w:val="00D439B2"/>
    <w:rsid w:val="00D43B1D"/>
    <w:rsid w:val="00D44445"/>
    <w:rsid w:val="00D44887"/>
    <w:rsid w:val="00D44E1E"/>
    <w:rsid w:val="00D45344"/>
    <w:rsid w:val="00D45409"/>
    <w:rsid w:val="00D4593E"/>
    <w:rsid w:val="00D45BCE"/>
    <w:rsid w:val="00D4635A"/>
    <w:rsid w:val="00D46522"/>
    <w:rsid w:val="00D4664B"/>
    <w:rsid w:val="00D46C65"/>
    <w:rsid w:val="00D46F43"/>
    <w:rsid w:val="00D4705A"/>
    <w:rsid w:val="00D47588"/>
    <w:rsid w:val="00D47A91"/>
    <w:rsid w:val="00D47B5D"/>
    <w:rsid w:val="00D47BDE"/>
    <w:rsid w:val="00D50AC7"/>
    <w:rsid w:val="00D51206"/>
    <w:rsid w:val="00D51284"/>
    <w:rsid w:val="00D51531"/>
    <w:rsid w:val="00D5221F"/>
    <w:rsid w:val="00D52354"/>
    <w:rsid w:val="00D525D6"/>
    <w:rsid w:val="00D52951"/>
    <w:rsid w:val="00D52DB5"/>
    <w:rsid w:val="00D52DCF"/>
    <w:rsid w:val="00D532F9"/>
    <w:rsid w:val="00D5340F"/>
    <w:rsid w:val="00D535A6"/>
    <w:rsid w:val="00D537B6"/>
    <w:rsid w:val="00D5380F"/>
    <w:rsid w:val="00D543CD"/>
    <w:rsid w:val="00D54982"/>
    <w:rsid w:val="00D54C71"/>
    <w:rsid w:val="00D55204"/>
    <w:rsid w:val="00D553FF"/>
    <w:rsid w:val="00D555BD"/>
    <w:rsid w:val="00D555EC"/>
    <w:rsid w:val="00D56265"/>
    <w:rsid w:val="00D563E6"/>
    <w:rsid w:val="00D56AA6"/>
    <w:rsid w:val="00D57091"/>
    <w:rsid w:val="00D57F5E"/>
    <w:rsid w:val="00D601AE"/>
    <w:rsid w:val="00D60370"/>
    <w:rsid w:val="00D6044C"/>
    <w:rsid w:val="00D607C5"/>
    <w:rsid w:val="00D609E8"/>
    <w:rsid w:val="00D60A1F"/>
    <w:rsid w:val="00D611B7"/>
    <w:rsid w:val="00D616C5"/>
    <w:rsid w:val="00D6175E"/>
    <w:rsid w:val="00D61EAD"/>
    <w:rsid w:val="00D62458"/>
    <w:rsid w:val="00D6322D"/>
    <w:rsid w:val="00D635EB"/>
    <w:rsid w:val="00D639AF"/>
    <w:rsid w:val="00D64837"/>
    <w:rsid w:val="00D66268"/>
    <w:rsid w:val="00D66566"/>
    <w:rsid w:val="00D66A9F"/>
    <w:rsid w:val="00D67D24"/>
    <w:rsid w:val="00D70E87"/>
    <w:rsid w:val="00D7107A"/>
    <w:rsid w:val="00D713D7"/>
    <w:rsid w:val="00D71681"/>
    <w:rsid w:val="00D718EE"/>
    <w:rsid w:val="00D719C8"/>
    <w:rsid w:val="00D72757"/>
    <w:rsid w:val="00D72B01"/>
    <w:rsid w:val="00D72D31"/>
    <w:rsid w:val="00D73A82"/>
    <w:rsid w:val="00D74C11"/>
    <w:rsid w:val="00D74C28"/>
    <w:rsid w:val="00D74C66"/>
    <w:rsid w:val="00D75672"/>
    <w:rsid w:val="00D75790"/>
    <w:rsid w:val="00D75831"/>
    <w:rsid w:val="00D75D3B"/>
    <w:rsid w:val="00D76703"/>
    <w:rsid w:val="00D774F2"/>
    <w:rsid w:val="00D808BF"/>
    <w:rsid w:val="00D80BF1"/>
    <w:rsid w:val="00D813DB"/>
    <w:rsid w:val="00D81DC8"/>
    <w:rsid w:val="00D81EF8"/>
    <w:rsid w:val="00D829C8"/>
    <w:rsid w:val="00D8307F"/>
    <w:rsid w:val="00D833B3"/>
    <w:rsid w:val="00D83989"/>
    <w:rsid w:val="00D844B1"/>
    <w:rsid w:val="00D845ED"/>
    <w:rsid w:val="00D851E8"/>
    <w:rsid w:val="00D852AA"/>
    <w:rsid w:val="00D863DD"/>
    <w:rsid w:val="00D86461"/>
    <w:rsid w:val="00D86480"/>
    <w:rsid w:val="00D867F4"/>
    <w:rsid w:val="00D86913"/>
    <w:rsid w:val="00D86DEC"/>
    <w:rsid w:val="00D87027"/>
    <w:rsid w:val="00D87618"/>
    <w:rsid w:val="00D879D9"/>
    <w:rsid w:val="00D905DD"/>
    <w:rsid w:val="00D9111A"/>
    <w:rsid w:val="00D912B5"/>
    <w:rsid w:val="00D915BF"/>
    <w:rsid w:val="00D91B78"/>
    <w:rsid w:val="00D92458"/>
    <w:rsid w:val="00D92584"/>
    <w:rsid w:val="00D9292E"/>
    <w:rsid w:val="00D92ABB"/>
    <w:rsid w:val="00D92D1A"/>
    <w:rsid w:val="00D92DCE"/>
    <w:rsid w:val="00D92F34"/>
    <w:rsid w:val="00D9312F"/>
    <w:rsid w:val="00D9375E"/>
    <w:rsid w:val="00D9435A"/>
    <w:rsid w:val="00D946FA"/>
    <w:rsid w:val="00D965C9"/>
    <w:rsid w:val="00D968DD"/>
    <w:rsid w:val="00DA0C9D"/>
    <w:rsid w:val="00DA0F85"/>
    <w:rsid w:val="00DA1387"/>
    <w:rsid w:val="00DA1A1D"/>
    <w:rsid w:val="00DA1CA7"/>
    <w:rsid w:val="00DA1FF6"/>
    <w:rsid w:val="00DA2155"/>
    <w:rsid w:val="00DA22B8"/>
    <w:rsid w:val="00DA2703"/>
    <w:rsid w:val="00DA4216"/>
    <w:rsid w:val="00DA4786"/>
    <w:rsid w:val="00DA5B2E"/>
    <w:rsid w:val="00DA5F69"/>
    <w:rsid w:val="00DA605A"/>
    <w:rsid w:val="00DA6381"/>
    <w:rsid w:val="00DA7962"/>
    <w:rsid w:val="00DA7E2E"/>
    <w:rsid w:val="00DA7F35"/>
    <w:rsid w:val="00DB07F9"/>
    <w:rsid w:val="00DB13A9"/>
    <w:rsid w:val="00DB16CA"/>
    <w:rsid w:val="00DB2056"/>
    <w:rsid w:val="00DB2583"/>
    <w:rsid w:val="00DB2C6C"/>
    <w:rsid w:val="00DB3A2F"/>
    <w:rsid w:val="00DB3C35"/>
    <w:rsid w:val="00DB4026"/>
    <w:rsid w:val="00DB483E"/>
    <w:rsid w:val="00DB4D6C"/>
    <w:rsid w:val="00DB5379"/>
    <w:rsid w:val="00DB5B3E"/>
    <w:rsid w:val="00DB6027"/>
    <w:rsid w:val="00DB62C7"/>
    <w:rsid w:val="00DB62D6"/>
    <w:rsid w:val="00DB692B"/>
    <w:rsid w:val="00DB706D"/>
    <w:rsid w:val="00DB798B"/>
    <w:rsid w:val="00DC04CC"/>
    <w:rsid w:val="00DC0E01"/>
    <w:rsid w:val="00DC1016"/>
    <w:rsid w:val="00DC108D"/>
    <w:rsid w:val="00DC1473"/>
    <w:rsid w:val="00DC15D1"/>
    <w:rsid w:val="00DC21B0"/>
    <w:rsid w:val="00DC2286"/>
    <w:rsid w:val="00DC2465"/>
    <w:rsid w:val="00DC2B24"/>
    <w:rsid w:val="00DC2BAE"/>
    <w:rsid w:val="00DC3AFA"/>
    <w:rsid w:val="00DC446C"/>
    <w:rsid w:val="00DC4962"/>
    <w:rsid w:val="00DC4F5B"/>
    <w:rsid w:val="00DC5036"/>
    <w:rsid w:val="00DC6306"/>
    <w:rsid w:val="00DC64B0"/>
    <w:rsid w:val="00DC676E"/>
    <w:rsid w:val="00DC6CEB"/>
    <w:rsid w:val="00DC6EA6"/>
    <w:rsid w:val="00DC75F8"/>
    <w:rsid w:val="00DC7A02"/>
    <w:rsid w:val="00DC7AB8"/>
    <w:rsid w:val="00DC7E1F"/>
    <w:rsid w:val="00DC7E51"/>
    <w:rsid w:val="00DD0CF6"/>
    <w:rsid w:val="00DD124E"/>
    <w:rsid w:val="00DD19D9"/>
    <w:rsid w:val="00DD2048"/>
    <w:rsid w:val="00DD3956"/>
    <w:rsid w:val="00DD3E71"/>
    <w:rsid w:val="00DD47EC"/>
    <w:rsid w:val="00DD48A3"/>
    <w:rsid w:val="00DD4FA1"/>
    <w:rsid w:val="00DD547A"/>
    <w:rsid w:val="00DD5D24"/>
    <w:rsid w:val="00DD62B4"/>
    <w:rsid w:val="00DD6C61"/>
    <w:rsid w:val="00DD6D87"/>
    <w:rsid w:val="00DD782B"/>
    <w:rsid w:val="00DD7EF8"/>
    <w:rsid w:val="00DE0324"/>
    <w:rsid w:val="00DE096B"/>
    <w:rsid w:val="00DE14CC"/>
    <w:rsid w:val="00DE1950"/>
    <w:rsid w:val="00DE221A"/>
    <w:rsid w:val="00DE3892"/>
    <w:rsid w:val="00DE4566"/>
    <w:rsid w:val="00DE5012"/>
    <w:rsid w:val="00DE505C"/>
    <w:rsid w:val="00DE52E3"/>
    <w:rsid w:val="00DE5381"/>
    <w:rsid w:val="00DE5763"/>
    <w:rsid w:val="00DE7010"/>
    <w:rsid w:val="00DE72E9"/>
    <w:rsid w:val="00DF0A2D"/>
    <w:rsid w:val="00DF1E25"/>
    <w:rsid w:val="00DF221D"/>
    <w:rsid w:val="00DF2518"/>
    <w:rsid w:val="00DF369A"/>
    <w:rsid w:val="00DF3D93"/>
    <w:rsid w:val="00DF4248"/>
    <w:rsid w:val="00DF4938"/>
    <w:rsid w:val="00DF4DE8"/>
    <w:rsid w:val="00DF4DF3"/>
    <w:rsid w:val="00DF4E63"/>
    <w:rsid w:val="00DF5936"/>
    <w:rsid w:val="00DF5978"/>
    <w:rsid w:val="00DF5B9E"/>
    <w:rsid w:val="00DF60E4"/>
    <w:rsid w:val="00DF62FF"/>
    <w:rsid w:val="00DF631A"/>
    <w:rsid w:val="00DF6730"/>
    <w:rsid w:val="00DF67A2"/>
    <w:rsid w:val="00DF6F17"/>
    <w:rsid w:val="00DF771F"/>
    <w:rsid w:val="00DF7845"/>
    <w:rsid w:val="00E004BF"/>
    <w:rsid w:val="00E00A86"/>
    <w:rsid w:val="00E00B41"/>
    <w:rsid w:val="00E01061"/>
    <w:rsid w:val="00E010E5"/>
    <w:rsid w:val="00E01807"/>
    <w:rsid w:val="00E01873"/>
    <w:rsid w:val="00E02022"/>
    <w:rsid w:val="00E021E3"/>
    <w:rsid w:val="00E0257A"/>
    <w:rsid w:val="00E027C9"/>
    <w:rsid w:val="00E02DC9"/>
    <w:rsid w:val="00E02EE8"/>
    <w:rsid w:val="00E02F0A"/>
    <w:rsid w:val="00E031D5"/>
    <w:rsid w:val="00E037E9"/>
    <w:rsid w:val="00E0467F"/>
    <w:rsid w:val="00E04CD0"/>
    <w:rsid w:val="00E0523C"/>
    <w:rsid w:val="00E0542B"/>
    <w:rsid w:val="00E0546B"/>
    <w:rsid w:val="00E054F3"/>
    <w:rsid w:val="00E073DD"/>
    <w:rsid w:val="00E07E42"/>
    <w:rsid w:val="00E07EE5"/>
    <w:rsid w:val="00E10927"/>
    <w:rsid w:val="00E10DFC"/>
    <w:rsid w:val="00E11070"/>
    <w:rsid w:val="00E112FE"/>
    <w:rsid w:val="00E1153F"/>
    <w:rsid w:val="00E11DD2"/>
    <w:rsid w:val="00E11FA4"/>
    <w:rsid w:val="00E120DD"/>
    <w:rsid w:val="00E12968"/>
    <w:rsid w:val="00E12DD4"/>
    <w:rsid w:val="00E133B4"/>
    <w:rsid w:val="00E137D7"/>
    <w:rsid w:val="00E151CB"/>
    <w:rsid w:val="00E157D6"/>
    <w:rsid w:val="00E15ED3"/>
    <w:rsid w:val="00E15FED"/>
    <w:rsid w:val="00E16117"/>
    <w:rsid w:val="00E164F6"/>
    <w:rsid w:val="00E16766"/>
    <w:rsid w:val="00E16959"/>
    <w:rsid w:val="00E16E22"/>
    <w:rsid w:val="00E171E4"/>
    <w:rsid w:val="00E171FC"/>
    <w:rsid w:val="00E173EF"/>
    <w:rsid w:val="00E202C7"/>
    <w:rsid w:val="00E20467"/>
    <w:rsid w:val="00E207F7"/>
    <w:rsid w:val="00E21DC8"/>
    <w:rsid w:val="00E22226"/>
    <w:rsid w:val="00E223A0"/>
    <w:rsid w:val="00E225BA"/>
    <w:rsid w:val="00E24112"/>
    <w:rsid w:val="00E24D2A"/>
    <w:rsid w:val="00E25179"/>
    <w:rsid w:val="00E259D9"/>
    <w:rsid w:val="00E25B50"/>
    <w:rsid w:val="00E25EC1"/>
    <w:rsid w:val="00E25FB6"/>
    <w:rsid w:val="00E2605F"/>
    <w:rsid w:val="00E26702"/>
    <w:rsid w:val="00E26879"/>
    <w:rsid w:val="00E26A3C"/>
    <w:rsid w:val="00E27429"/>
    <w:rsid w:val="00E275A8"/>
    <w:rsid w:val="00E27787"/>
    <w:rsid w:val="00E27889"/>
    <w:rsid w:val="00E27993"/>
    <w:rsid w:val="00E27A18"/>
    <w:rsid w:val="00E27B77"/>
    <w:rsid w:val="00E30453"/>
    <w:rsid w:val="00E30882"/>
    <w:rsid w:val="00E318ED"/>
    <w:rsid w:val="00E31BE9"/>
    <w:rsid w:val="00E31BED"/>
    <w:rsid w:val="00E32890"/>
    <w:rsid w:val="00E3295F"/>
    <w:rsid w:val="00E33756"/>
    <w:rsid w:val="00E33A77"/>
    <w:rsid w:val="00E34BE9"/>
    <w:rsid w:val="00E352AF"/>
    <w:rsid w:val="00E35A65"/>
    <w:rsid w:val="00E35C44"/>
    <w:rsid w:val="00E35FCA"/>
    <w:rsid w:val="00E360D9"/>
    <w:rsid w:val="00E364B3"/>
    <w:rsid w:val="00E36F82"/>
    <w:rsid w:val="00E376FA"/>
    <w:rsid w:val="00E37E02"/>
    <w:rsid w:val="00E40448"/>
    <w:rsid w:val="00E40CD5"/>
    <w:rsid w:val="00E40EF0"/>
    <w:rsid w:val="00E411B0"/>
    <w:rsid w:val="00E41C25"/>
    <w:rsid w:val="00E41C29"/>
    <w:rsid w:val="00E41D19"/>
    <w:rsid w:val="00E41D91"/>
    <w:rsid w:val="00E42366"/>
    <w:rsid w:val="00E42475"/>
    <w:rsid w:val="00E4247B"/>
    <w:rsid w:val="00E424DA"/>
    <w:rsid w:val="00E428BE"/>
    <w:rsid w:val="00E429E5"/>
    <w:rsid w:val="00E42E4C"/>
    <w:rsid w:val="00E43157"/>
    <w:rsid w:val="00E43830"/>
    <w:rsid w:val="00E43E78"/>
    <w:rsid w:val="00E44295"/>
    <w:rsid w:val="00E44693"/>
    <w:rsid w:val="00E44775"/>
    <w:rsid w:val="00E44EAC"/>
    <w:rsid w:val="00E4553C"/>
    <w:rsid w:val="00E458E9"/>
    <w:rsid w:val="00E45DD6"/>
    <w:rsid w:val="00E460BC"/>
    <w:rsid w:val="00E471CC"/>
    <w:rsid w:val="00E47342"/>
    <w:rsid w:val="00E47407"/>
    <w:rsid w:val="00E477EC"/>
    <w:rsid w:val="00E47F8F"/>
    <w:rsid w:val="00E50474"/>
    <w:rsid w:val="00E513AD"/>
    <w:rsid w:val="00E51925"/>
    <w:rsid w:val="00E51BC9"/>
    <w:rsid w:val="00E51D58"/>
    <w:rsid w:val="00E52BE0"/>
    <w:rsid w:val="00E52F99"/>
    <w:rsid w:val="00E5370A"/>
    <w:rsid w:val="00E5380D"/>
    <w:rsid w:val="00E541AB"/>
    <w:rsid w:val="00E541FE"/>
    <w:rsid w:val="00E54287"/>
    <w:rsid w:val="00E54E07"/>
    <w:rsid w:val="00E553E1"/>
    <w:rsid w:val="00E557AC"/>
    <w:rsid w:val="00E559B4"/>
    <w:rsid w:val="00E55A49"/>
    <w:rsid w:val="00E55EBF"/>
    <w:rsid w:val="00E567A0"/>
    <w:rsid w:val="00E569B4"/>
    <w:rsid w:val="00E5716C"/>
    <w:rsid w:val="00E57FB2"/>
    <w:rsid w:val="00E604C8"/>
    <w:rsid w:val="00E60E24"/>
    <w:rsid w:val="00E6107A"/>
    <w:rsid w:val="00E610B0"/>
    <w:rsid w:val="00E61894"/>
    <w:rsid w:val="00E61D59"/>
    <w:rsid w:val="00E62488"/>
    <w:rsid w:val="00E626E4"/>
    <w:rsid w:val="00E62A49"/>
    <w:rsid w:val="00E62C3F"/>
    <w:rsid w:val="00E62C83"/>
    <w:rsid w:val="00E6345B"/>
    <w:rsid w:val="00E635A0"/>
    <w:rsid w:val="00E63D01"/>
    <w:rsid w:val="00E6502E"/>
    <w:rsid w:val="00E65F3A"/>
    <w:rsid w:val="00E66AA6"/>
    <w:rsid w:val="00E66EBD"/>
    <w:rsid w:val="00E678F3"/>
    <w:rsid w:val="00E67C1C"/>
    <w:rsid w:val="00E67C84"/>
    <w:rsid w:val="00E67F2B"/>
    <w:rsid w:val="00E67F48"/>
    <w:rsid w:val="00E700F1"/>
    <w:rsid w:val="00E70139"/>
    <w:rsid w:val="00E7021F"/>
    <w:rsid w:val="00E70ABE"/>
    <w:rsid w:val="00E70EE1"/>
    <w:rsid w:val="00E70F5F"/>
    <w:rsid w:val="00E71236"/>
    <w:rsid w:val="00E71CE3"/>
    <w:rsid w:val="00E71F08"/>
    <w:rsid w:val="00E7262C"/>
    <w:rsid w:val="00E72872"/>
    <w:rsid w:val="00E738FA"/>
    <w:rsid w:val="00E73A73"/>
    <w:rsid w:val="00E73B78"/>
    <w:rsid w:val="00E75309"/>
    <w:rsid w:val="00E75591"/>
    <w:rsid w:val="00E7593D"/>
    <w:rsid w:val="00E75E6A"/>
    <w:rsid w:val="00E75EFB"/>
    <w:rsid w:val="00E76214"/>
    <w:rsid w:val="00E76291"/>
    <w:rsid w:val="00E76585"/>
    <w:rsid w:val="00E766CD"/>
    <w:rsid w:val="00E7733E"/>
    <w:rsid w:val="00E7742E"/>
    <w:rsid w:val="00E7776D"/>
    <w:rsid w:val="00E77860"/>
    <w:rsid w:val="00E779D3"/>
    <w:rsid w:val="00E77F1B"/>
    <w:rsid w:val="00E800D5"/>
    <w:rsid w:val="00E80F0A"/>
    <w:rsid w:val="00E81120"/>
    <w:rsid w:val="00E812E0"/>
    <w:rsid w:val="00E81734"/>
    <w:rsid w:val="00E82A02"/>
    <w:rsid w:val="00E82C4C"/>
    <w:rsid w:val="00E8343D"/>
    <w:rsid w:val="00E839EA"/>
    <w:rsid w:val="00E83B1E"/>
    <w:rsid w:val="00E841A6"/>
    <w:rsid w:val="00E843B9"/>
    <w:rsid w:val="00E8448F"/>
    <w:rsid w:val="00E8478F"/>
    <w:rsid w:val="00E85041"/>
    <w:rsid w:val="00E85843"/>
    <w:rsid w:val="00E85C85"/>
    <w:rsid w:val="00E8620D"/>
    <w:rsid w:val="00E863DB"/>
    <w:rsid w:val="00E8690B"/>
    <w:rsid w:val="00E86F14"/>
    <w:rsid w:val="00E87B7E"/>
    <w:rsid w:val="00E87D66"/>
    <w:rsid w:val="00E90117"/>
    <w:rsid w:val="00E904C0"/>
    <w:rsid w:val="00E90DA4"/>
    <w:rsid w:val="00E915A3"/>
    <w:rsid w:val="00E9168E"/>
    <w:rsid w:val="00E92425"/>
    <w:rsid w:val="00E92BB4"/>
    <w:rsid w:val="00E92D58"/>
    <w:rsid w:val="00E92E71"/>
    <w:rsid w:val="00E93443"/>
    <w:rsid w:val="00E937C7"/>
    <w:rsid w:val="00E93891"/>
    <w:rsid w:val="00E946C3"/>
    <w:rsid w:val="00E9576B"/>
    <w:rsid w:val="00E95D07"/>
    <w:rsid w:val="00E960B0"/>
    <w:rsid w:val="00E96918"/>
    <w:rsid w:val="00E96932"/>
    <w:rsid w:val="00E96FD3"/>
    <w:rsid w:val="00E97FCC"/>
    <w:rsid w:val="00EA0192"/>
    <w:rsid w:val="00EA0390"/>
    <w:rsid w:val="00EA10C9"/>
    <w:rsid w:val="00EA174F"/>
    <w:rsid w:val="00EA23F1"/>
    <w:rsid w:val="00EA2B6F"/>
    <w:rsid w:val="00EA2D45"/>
    <w:rsid w:val="00EA2DF5"/>
    <w:rsid w:val="00EA30B4"/>
    <w:rsid w:val="00EA3A36"/>
    <w:rsid w:val="00EA3FFF"/>
    <w:rsid w:val="00EA4054"/>
    <w:rsid w:val="00EA431A"/>
    <w:rsid w:val="00EA4C72"/>
    <w:rsid w:val="00EA4E3B"/>
    <w:rsid w:val="00EA6309"/>
    <w:rsid w:val="00EA6C96"/>
    <w:rsid w:val="00EA7555"/>
    <w:rsid w:val="00EB00D7"/>
    <w:rsid w:val="00EB036E"/>
    <w:rsid w:val="00EB0645"/>
    <w:rsid w:val="00EB10DE"/>
    <w:rsid w:val="00EB1D72"/>
    <w:rsid w:val="00EB211D"/>
    <w:rsid w:val="00EB21CE"/>
    <w:rsid w:val="00EB2CF9"/>
    <w:rsid w:val="00EB2E02"/>
    <w:rsid w:val="00EB378F"/>
    <w:rsid w:val="00EB3AF4"/>
    <w:rsid w:val="00EB4B1A"/>
    <w:rsid w:val="00EB4B8D"/>
    <w:rsid w:val="00EB4CB6"/>
    <w:rsid w:val="00EB5538"/>
    <w:rsid w:val="00EB5A36"/>
    <w:rsid w:val="00EB5A7F"/>
    <w:rsid w:val="00EB63B4"/>
    <w:rsid w:val="00EB666C"/>
    <w:rsid w:val="00EB6B15"/>
    <w:rsid w:val="00EB7895"/>
    <w:rsid w:val="00EB7A6C"/>
    <w:rsid w:val="00EC0374"/>
    <w:rsid w:val="00EC06E5"/>
    <w:rsid w:val="00EC073E"/>
    <w:rsid w:val="00EC14C9"/>
    <w:rsid w:val="00EC1835"/>
    <w:rsid w:val="00EC1CFB"/>
    <w:rsid w:val="00EC1F28"/>
    <w:rsid w:val="00EC2476"/>
    <w:rsid w:val="00EC247B"/>
    <w:rsid w:val="00EC3380"/>
    <w:rsid w:val="00EC3733"/>
    <w:rsid w:val="00EC42AD"/>
    <w:rsid w:val="00EC45D7"/>
    <w:rsid w:val="00EC5B96"/>
    <w:rsid w:val="00EC5F7F"/>
    <w:rsid w:val="00EC619E"/>
    <w:rsid w:val="00EC61F3"/>
    <w:rsid w:val="00EC636F"/>
    <w:rsid w:val="00EC6A59"/>
    <w:rsid w:val="00EC6BE2"/>
    <w:rsid w:val="00EC70BF"/>
    <w:rsid w:val="00EC730B"/>
    <w:rsid w:val="00EC7522"/>
    <w:rsid w:val="00EC7A36"/>
    <w:rsid w:val="00EC7EBF"/>
    <w:rsid w:val="00ED0379"/>
    <w:rsid w:val="00ED08B5"/>
    <w:rsid w:val="00ED0C1B"/>
    <w:rsid w:val="00ED0C82"/>
    <w:rsid w:val="00ED302F"/>
    <w:rsid w:val="00ED3035"/>
    <w:rsid w:val="00ED315F"/>
    <w:rsid w:val="00ED4007"/>
    <w:rsid w:val="00ED4687"/>
    <w:rsid w:val="00ED4815"/>
    <w:rsid w:val="00ED4D40"/>
    <w:rsid w:val="00ED4F93"/>
    <w:rsid w:val="00ED5458"/>
    <w:rsid w:val="00ED5AD9"/>
    <w:rsid w:val="00ED6164"/>
    <w:rsid w:val="00ED6404"/>
    <w:rsid w:val="00ED67F3"/>
    <w:rsid w:val="00ED6B5F"/>
    <w:rsid w:val="00ED6B6C"/>
    <w:rsid w:val="00ED6CA5"/>
    <w:rsid w:val="00ED7298"/>
    <w:rsid w:val="00ED7EE6"/>
    <w:rsid w:val="00EE01E7"/>
    <w:rsid w:val="00EE0606"/>
    <w:rsid w:val="00EE0A1B"/>
    <w:rsid w:val="00EE121D"/>
    <w:rsid w:val="00EE1947"/>
    <w:rsid w:val="00EE1A37"/>
    <w:rsid w:val="00EE1B3B"/>
    <w:rsid w:val="00EE1B9C"/>
    <w:rsid w:val="00EE1E64"/>
    <w:rsid w:val="00EE228A"/>
    <w:rsid w:val="00EE281B"/>
    <w:rsid w:val="00EE2F4B"/>
    <w:rsid w:val="00EE33E5"/>
    <w:rsid w:val="00EE38E7"/>
    <w:rsid w:val="00EE3F7A"/>
    <w:rsid w:val="00EE4BBB"/>
    <w:rsid w:val="00EE503B"/>
    <w:rsid w:val="00EE5237"/>
    <w:rsid w:val="00EE5569"/>
    <w:rsid w:val="00EE5D34"/>
    <w:rsid w:val="00EE63EB"/>
    <w:rsid w:val="00EE6BED"/>
    <w:rsid w:val="00EE6C19"/>
    <w:rsid w:val="00EE6CD3"/>
    <w:rsid w:val="00EE703C"/>
    <w:rsid w:val="00EE73F2"/>
    <w:rsid w:val="00EE75BC"/>
    <w:rsid w:val="00EE77D5"/>
    <w:rsid w:val="00EF0762"/>
    <w:rsid w:val="00EF0E41"/>
    <w:rsid w:val="00EF0F95"/>
    <w:rsid w:val="00EF1C18"/>
    <w:rsid w:val="00EF2078"/>
    <w:rsid w:val="00EF24E7"/>
    <w:rsid w:val="00EF3226"/>
    <w:rsid w:val="00EF3A24"/>
    <w:rsid w:val="00EF3C48"/>
    <w:rsid w:val="00EF3D9A"/>
    <w:rsid w:val="00EF3F86"/>
    <w:rsid w:val="00EF434A"/>
    <w:rsid w:val="00EF462A"/>
    <w:rsid w:val="00EF476D"/>
    <w:rsid w:val="00EF4911"/>
    <w:rsid w:val="00EF5317"/>
    <w:rsid w:val="00EF5730"/>
    <w:rsid w:val="00EF6109"/>
    <w:rsid w:val="00EF62ED"/>
    <w:rsid w:val="00EF6EED"/>
    <w:rsid w:val="00EF70EB"/>
    <w:rsid w:val="00EF74A8"/>
    <w:rsid w:val="00F00260"/>
    <w:rsid w:val="00F008A3"/>
    <w:rsid w:val="00F00CF2"/>
    <w:rsid w:val="00F01A6D"/>
    <w:rsid w:val="00F02984"/>
    <w:rsid w:val="00F03435"/>
    <w:rsid w:val="00F03F28"/>
    <w:rsid w:val="00F0452E"/>
    <w:rsid w:val="00F0537E"/>
    <w:rsid w:val="00F0591F"/>
    <w:rsid w:val="00F060AD"/>
    <w:rsid w:val="00F06226"/>
    <w:rsid w:val="00F0680C"/>
    <w:rsid w:val="00F0680F"/>
    <w:rsid w:val="00F07454"/>
    <w:rsid w:val="00F07492"/>
    <w:rsid w:val="00F07978"/>
    <w:rsid w:val="00F07A6C"/>
    <w:rsid w:val="00F07E48"/>
    <w:rsid w:val="00F10265"/>
    <w:rsid w:val="00F10390"/>
    <w:rsid w:val="00F11333"/>
    <w:rsid w:val="00F114C1"/>
    <w:rsid w:val="00F11942"/>
    <w:rsid w:val="00F1223F"/>
    <w:rsid w:val="00F12A78"/>
    <w:rsid w:val="00F12E18"/>
    <w:rsid w:val="00F132A8"/>
    <w:rsid w:val="00F14046"/>
    <w:rsid w:val="00F1449E"/>
    <w:rsid w:val="00F14FA9"/>
    <w:rsid w:val="00F15172"/>
    <w:rsid w:val="00F157C0"/>
    <w:rsid w:val="00F158BC"/>
    <w:rsid w:val="00F158D0"/>
    <w:rsid w:val="00F15E99"/>
    <w:rsid w:val="00F163D4"/>
    <w:rsid w:val="00F16D8D"/>
    <w:rsid w:val="00F17532"/>
    <w:rsid w:val="00F17630"/>
    <w:rsid w:val="00F17802"/>
    <w:rsid w:val="00F17A43"/>
    <w:rsid w:val="00F17EC1"/>
    <w:rsid w:val="00F17FC3"/>
    <w:rsid w:val="00F17FC8"/>
    <w:rsid w:val="00F20A7F"/>
    <w:rsid w:val="00F20BBB"/>
    <w:rsid w:val="00F21C31"/>
    <w:rsid w:val="00F21F84"/>
    <w:rsid w:val="00F22054"/>
    <w:rsid w:val="00F23DD5"/>
    <w:rsid w:val="00F240FA"/>
    <w:rsid w:val="00F24779"/>
    <w:rsid w:val="00F25424"/>
    <w:rsid w:val="00F2593D"/>
    <w:rsid w:val="00F259DD"/>
    <w:rsid w:val="00F26BBE"/>
    <w:rsid w:val="00F26D1F"/>
    <w:rsid w:val="00F306D9"/>
    <w:rsid w:val="00F30AFD"/>
    <w:rsid w:val="00F30E8A"/>
    <w:rsid w:val="00F3158A"/>
    <w:rsid w:val="00F31E40"/>
    <w:rsid w:val="00F320A0"/>
    <w:rsid w:val="00F32ED2"/>
    <w:rsid w:val="00F33188"/>
    <w:rsid w:val="00F3345F"/>
    <w:rsid w:val="00F3350E"/>
    <w:rsid w:val="00F3357C"/>
    <w:rsid w:val="00F33665"/>
    <w:rsid w:val="00F3446B"/>
    <w:rsid w:val="00F347B1"/>
    <w:rsid w:val="00F34D1F"/>
    <w:rsid w:val="00F34E0C"/>
    <w:rsid w:val="00F358CC"/>
    <w:rsid w:val="00F35ACA"/>
    <w:rsid w:val="00F35E98"/>
    <w:rsid w:val="00F35EC2"/>
    <w:rsid w:val="00F3603A"/>
    <w:rsid w:val="00F3605A"/>
    <w:rsid w:val="00F36277"/>
    <w:rsid w:val="00F362AE"/>
    <w:rsid w:val="00F36479"/>
    <w:rsid w:val="00F36920"/>
    <w:rsid w:val="00F36FE1"/>
    <w:rsid w:val="00F374F7"/>
    <w:rsid w:val="00F37EA7"/>
    <w:rsid w:val="00F40728"/>
    <w:rsid w:val="00F40BF9"/>
    <w:rsid w:val="00F40F37"/>
    <w:rsid w:val="00F41022"/>
    <w:rsid w:val="00F417D5"/>
    <w:rsid w:val="00F41D87"/>
    <w:rsid w:val="00F42D4D"/>
    <w:rsid w:val="00F4304A"/>
    <w:rsid w:val="00F43423"/>
    <w:rsid w:val="00F43C37"/>
    <w:rsid w:val="00F448A7"/>
    <w:rsid w:val="00F44923"/>
    <w:rsid w:val="00F44C00"/>
    <w:rsid w:val="00F451F4"/>
    <w:rsid w:val="00F4526D"/>
    <w:rsid w:val="00F45765"/>
    <w:rsid w:val="00F45A2B"/>
    <w:rsid w:val="00F46481"/>
    <w:rsid w:val="00F466CA"/>
    <w:rsid w:val="00F469B9"/>
    <w:rsid w:val="00F470E3"/>
    <w:rsid w:val="00F47243"/>
    <w:rsid w:val="00F4786C"/>
    <w:rsid w:val="00F47AB3"/>
    <w:rsid w:val="00F47E9A"/>
    <w:rsid w:val="00F505E8"/>
    <w:rsid w:val="00F5075D"/>
    <w:rsid w:val="00F50D2D"/>
    <w:rsid w:val="00F513E4"/>
    <w:rsid w:val="00F516DB"/>
    <w:rsid w:val="00F5176A"/>
    <w:rsid w:val="00F521DD"/>
    <w:rsid w:val="00F52475"/>
    <w:rsid w:val="00F525A4"/>
    <w:rsid w:val="00F52CE0"/>
    <w:rsid w:val="00F531C4"/>
    <w:rsid w:val="00F53230"/>
    <w:rsid w:val="00F548F3"/>
    <w:rsid w:val="00F54950"/>
    <w:rsid w:val="00F54AAF"/>
    <w:rsid w:val="00F54B7D"/>
    <w:rsid w:val="00F55A17"/>
    <w:rsid w:val="00F55E13"/>
    <w:rsid w:val="00F55F50"/>
    <w:rsid w:val="00F568E5"/>
    <w:rsid w:val="00F56DB9"/>
    <w:rsid w:val="00F570CC"/>
    <w:rsid w:val="00F57974"/>
    <w:rsid w:val="00F579A0"/>
    <w:rsid w:val="00F57B51"/>
    <w:rsid w:val="00F57F90"/>
    <w:rsid w:val="00F60357"/>
    <w:rsid w:val="00F60AC4"/>
    <w:rsid w:val="00F60E7D"/>
    <w:rsid w:val="00F6244B"/>
    <w:rsid w:val="00F62FDF"/>
    <w:rsid w:val="00F63090"/>
    <w:rsid w:val="00F63403"/>
    <w:rsid w:val="00F63425"/>
    <w:rsid w:val="00F63BDE"/>
    <w:rsid w:val="00F64293"/>
    <w:rsid w:val="00F64969"/>
    <w:rsid w:val="00F64CD6"/>
    <w:rsid w:val="00F64CF6"/>
    <w:rsid w:val="00F6553F"/>
    <w:rsid w:val="00F659C5"/>
    <w:rsid w:val="00F66024"/>
    <w:rsid w:val="00F66496"/>
    <w:rsid w:val="00F66506"/>
    <w:rsid w:val="00F665FE"/>
    <w:rsid w:val="00F66600"/>
    <w:rsid w:val="00F66CBF"/>
    <w:rsid w:val="00F67061"/>
    <w:rsid w:val="00F6733C"/>
    <w:rsid w:val="00F677A4"/>
    <w:rsid w:val="00F70006"/>
    <w:rsid w:val="00F704D7"/>
    <w:rsid w:val="00F71540"/>
    <w:rsid w:val="00F71639"/>
    <w:rsid w:val="00F71C62"/>
    <w:rsid w:val="00F7263A"/>
    <w:rsid w:val="00F7311E"/>
    <w:rsid w:val="00F73396"/>
    <w:rsid w:val="00F73C6C"/>
    <w:rsid w:val="00F743DB"/>
    <w:rsid w:val="00F74B04"/>
    <w:rsid w:val="00F751E4"/>
    <w:rsid w:val="00F753EA"/>
    <w:rsid w:val="00F7603C"/>
    <w:rsid w:val="00F7693F"/>
    <w:rsid w:val="00F77930"/>
    <w:rsid w:val="00F80CC3"/>
    <w:rsid w:val="00F80D92"/>
    <w:rsid w:val="00F80DBA"/>
    <w:rsid w:val="00F818AE"/>
    <w:rsid w:val="00F81B3A"/>
    <w:rsid w:val="00F824B1"/>
    <w:rsid w:val="00F82A6F"/>
    <w:rsid w:val="00F83179"/>
    <w:rsid w:val="00F8323B"/>
    <w:rsid w:val="00F834AF"/>
    <w:rsid w:val="00F83A93"/>
    <w:rsid w:val="00F8453B"/>
    <w:rsid w:val="00F84CC6"/>
    <w:rsid w:val="00F8574D"/>
    <w:rsid w:val="00F85763"/>
    <w:rsid w:val="00F857C2"/>
    <w:rsid w:val="00F865F9"/>
    <w:rsid w:val="00F86789"/>
    <w:rsid w:val="00F868C7"/>
    <w:rsid w:val="00F86B72"/>
    <w:rsid w:val="00F86BFD"/>
    <w:rsid w:val="00F86E8D"/>
    <w:rsid w:val="00F8730E"/>
    <w:rsid w:val="00F873B1"/>
    <w:rsid w:val="00F878E1"/>
    <w:rsid w:val="00F87FA9"/>
    <w:rsid w:val="00F90684"/>
    <w:rsid w:val="00F90C4D"/>
    <w:rsid w:val="00F928C1"/>
    <w:rsid w:val="00F93953"/>
    <w:rsid w:val="00F93B68"/>
    <w:rsid w:val="00F947C6"/>
    <w:rsid w:val="00F947D0"/>
    <w:rsid w:val="00F95150"/>
    <w:rsid w:val="00F9518F"/>
    <w:rsid w:val="00F95418"/>
    <w:rsid w:val="00F95515"/>
    <w:rsid w:val="00F95A48"/>
    <w:rsid w:val="00F95A86"/>
    <w:rsid w:val="00F95CE3"/>
    <w:rsid w:val="00F95D44"/>
    <w:rsid w:val="00F96379"/>
    <w:rsid w:val="00F96410"/>
    <w:rsid w:val="00F96640"/>
    <w:rsid w:val="00F9667E"/>
    <w:rsid w:val="00F969E1"/>
    <w:rsid w:val="00F96AFF"/>
    <w:rsid w:val="00F96BDD"/>
    <w:rsid w:val="00F96F41"/>
    <w:rsid w:val="00F979E6"/>
    <w:rsid w:val="00F97BCE"/>
    <w:rsid w:val="00F97C56"/>
    <w:rsid w:val="00F97FB3"/>
    <w:rsid w:val="00FA00A3"/>
    <w:rsid w:val="00FA0B53"/>
    <w:rsid w:val="00FA10CA"/>
    <w:rsid w:val="00FA16A0"/>
    <w:rsid w:val="00FA1CF1"/>
    <w:rsid w:val="00FA1DD7"/>
    <w:rsid w:val="00FA1E7D"/>
    <w:rsid w:val="00FA2246"/>
    <w:rsid w:val="00FA22CD"/>
    <w:rsid w:val="00FA2743"/>
    <w:rsid w:val="00FA2D66"/>
    <w:rsid w:val="00FA3DF2"/>
    <w:rsid w:val="00FA43E5"/>
    <w:rsid w:val="00FA4C45"/>
    <w:rsid w:val="00FA53A5"/>
    <w:rsid w:val="00FA69FC"/>
    <w:rsid w:val="00FA6A97"/>
    <w:rsid w:val="00FA793F"/>
    <w:rsid w:val="00FA7B03"/>
    <w:rsid w:val="00FB0278"/>
    <w:rsid w:val="00FB146A"/>
    <w:rsid w:val="00FB1DF9"/>
    <w:rsid w:val="00FB1FFA"/>
    <w:rsid w:val="00FB2037"/>
    <w:rsid w:val="00FB30A8"/>
    <w:rsid w:val="00FB3243"/>
    <w:rsid w:val="00FB39A2"/>
    <w:rsid w:val="00FB5169"/>
    <w:rsid w:val="00FB5238"/>
    <w:rsid w:val="00FB536D"/>
    <w:rsid w:val="00FB5442"/>
    <w:rsid w:val="00FB5A59"/>
    <w:rsid w:val="00FB6222"/>
    <w:rsid w:val="00FB63D1"/>
    <w:rsid w:val="00FB6D2F"/>
    <w:rsid w:val="00FB783B"/>
    <w:rsid w:val="00FB7A1B"/>
    <w:rsid w:val="00FB7A2D"/>
    <w:rsid w:val="00FB7AF6"/>
    <w:rsid w:val="00FB7E44"/>
    <w:rsid w:val="00FB7F8D"/>
    <w:rsid w:val="00FC0437"/>
    <w:rsid w:val="00FC0963"/>
    <w:rsid w:val="00FC0DB9"/>
    <w:rsid w:val="00FC1F7D"/>
    <w:rsid w:val="00FC32C6"/>
    <w:rsid w:val="00FC333B"/>
    <w:rsid w:val="00FC401C"/>
    <w:rsid w:val="00FC49D1"/>
    <w:rsid w:val="00FC4AA2"/>
    <w:rsid w:val="00FC560C"/>
    <w:rsid w:val="00FC5F51"/>
    <w:rsid w:val="00FC5F62"/>
    <w:rsid w:val="00FC6B5E"/>
    <w:rsid w:val="00FC740D"/>
    <w:rsid w:val="00FD08C5"/>
    <w:rsid w:val="00FD0912"/>
    <w:rsid w:val="00FD1095"/>
    <w:rsid w:val="00FD1350"/>
    <w:rsid w:val="00FD19F1"/>
    <w:rsid w:val="00FD24E9"/>
    <w:rsid w:val="00FD2F4F"/>
    <w:rsid w:val="00FD316E"/>
    <w:rsid w:val="00FD31F1"/>
    <w:rsid w:val="00FD39CD"/>
    <w:rsid w:val="00FD3F48"/>
    <w:rsid w:val="00FD4035"/>
    <w:rsid w:val="00FD444D"/>
    <w:rsid w:val="00FD475B"/>
    <w:rsid w:val="00FD492E"/>
    <w:rsid w:val="00FD4A92"/>
    <w:rsid w:val="00FD5178"/>
    <w:rsid w:val="00FD5D94"/>
    <w:rsid w:val="00FD6438"/>
    <w:rsid w:val="00FD644D"/>
    <w:rsid w:val="00FD6470"/>
    <w:rsid w:val="00FD7196"/>
    <w:rsid w:val="00FD7270"/>
    <w:rsid w:val="00FD79A6"/>
    <w:rsid w:val="00FE1F4B"/>
    <w:rsid w:val="00FE2A28"/>
    <w:rsid w:val="00FE3166"/>
    <w:rsid w:val="00FE3795"/>
    <w:rsid w:val="00FE3AEB"/>
    <w:rsid w:val="00FE3BB4"/>
    <w:rsid w:val="00FE4033"/>
    <w:rsid w:val="00FE4B41"/>
    <w:rsid w:val="00FE51E2"/>
    <w:rsid w:val="00FE5317"/>
    <w:rsid w:val="00FE6012"/>
    <w:rsid w:val="00FE60A0"/>
    <w:rsid w:val="00FE652F"/>
    <w:rsid w:val="00FE66D0"/>
    <w:rsid w:val="00FE672B"/>
    <w:rsid w:val="00FE67D7"/>
    <w:rsid w:val="00FE67E8"/>
    <w:rsid w:val="00FE7CE5"/>
    <w:rsid w:val="00FE7DBF"/>
    <w:rsid w:val="00FF029B"/>
    <w:rsid w:val="00FF0EB6"/>
    <w:rsid w:val="00FF1099"/>
    <w:rsid w:val="00FF1168"/>
    <w:rsid w:val="00FF16AD"/>
    <w:rsid w:val="00FF1762"/>
    <w:rsid w:val="00FF1AE7"/>
    <w:rsid w:val="00FF1BE0"/>
    <w:rsid w:val="00FF1CBC"/>
    <w:rsid w:val="00FF28F1"/>
    <w:rsid w:val="00FF29EF"/>
    <w:rsid w:val="00FF2ACE"/>
    <w:rsid w:val="00FF2D45"/>
    <w:rsid w:val="00FF312D"/>
    <w:rsid w:val="00FF32AF"/>
    <w:rsid w:val="00FF3821"/>
    <w:rsid w:val="00FF3E2D"/>
    <w:rsid w:val="00FF408D"/>
    <w:rsid w:val="00FF4A00"/>
    <w:rsid w:val="00FF4C6D"/>
    <w:rsid w:val="00FF547F"/>
    <w:rsid w:val="00FF5DEC"/>
    <w:rsid w:val="00FF6063"/>
    <w:rsid w:val="00FF698D"/>
    <w:rsid w:val="00FF6D0A"/>
    <w:rsid w:val="00FF6F91"/>
    <w:rsid w:val="00FF76D8"/>
    <w:rsid w:val="00FF7A6A"/>
    <w:rsid w:val="01E814A9"/>
    <w:rsid w:val="04CE3D21"/>
    <w:rsid w:val="058A6BB8"/>
    <w:rsid w:val="06A50AB1"/>
    <w:rsid w:val="073262BE"/>
    <w:rsid w:val="084028C1"/>
    <w:rsid w:val="09573AC5"/>
    <w:rsid w:val="0A7713FF"/>
    <w:rsid w:val="0B9171DD"/>
    <w:rsid w:val="0D48115C"/>
    <w:rsid w:val="0E9656DB"/>
    <w:rsid w:val="0F531D3C"/>
    <w:rsid w:val="119D6F55"/>
    <w:rsid w:val="134523ED"/>
    <w:rsid w:val="137F63B4"/>
    <w:rsid w:val="141231C7"/>
    <w:rsid w:val="187A1D9E"/>
    <w:rsid w:val="1A104801"/>
    <w:rsid w:val="1EBD2E56"/>
    <w:rsid w:val="1F4A48CC"/>
    <w:rsid w:val="1F5C4098"/>
    <w:rsid w:val="201A7212"/>
    <w:rsid w:val="204A64FA"/>
    <w:rsid w:val="269144D8"/>
    <w:rsid w:val="280D0539"/>
    <w:rsid w:val="28132F8E"/>
    <w:rsid w:val="28862066"/>
    <w:rsid w:val="2A2D247C"/>
    <w:rsid w:val="2A6549D8"/>
    <w:rsid w:val="2ADB571C"/>
    <w:rsid w:val="2C0E487F"/>
    <w:rsid w:val="2D536238"/>
    <w:rsid w:val="2E46732E"/>
    <w:rsid w:val="2EB60081"/>
    <w:rsid w:val="2F8F5CD7"/>
    <w:rsid w:val="35883AD8"/>
    <w:rsid w:val="39394D72"/>
    <w:rsid w:val="3C1E0EE9"/>
    <w:rsid w:val="3E8C1FCF"/>
    <w:rsid w:val="410240EC"/>
    <w:rsid w:val="4103349D"/>
    <w:rsid w:val="41207E31"/>
    <w:rsid w:val="416200AE"/>
    <w:rsid w:val="432F0696"/>
    <w:rsid w:val="438D2007"/>
    <w:rsid w:val="43AD15B6"/>
    <w:rsid w:val="44A25AC3"/>
    <w:rsid w:val="47C1088D"/>
    <w:rsid w:val="48C75639"/>
    <w:rsid w:val="49665FA1"/>
    <w:rsid w:val="49B321F5"/>
    <w:rsid w:val="49D840AA"/>
    <w:rsid w:val="4A1E7312"/>
    <w:rsid w:val="4A443D6D"/>
    <w:rsid w:val="4AF018C8"/>
    <w:rsid w:val="4CD75F98"/>
    <w:rsid w:val="4DD3727F"/>
    <w:rsid w:val="4E10608B"/>
    <w:rsid w:val="4E261535"/>
    <w:rsid w:val="50FC6F9E"/>
    <w:rsid w:val="54A912A0"/>
    <w:rsid w:val="57AF6C74"/>
    <w:rsid w:val="57D8072B"/>
    <w:rsid w:val="59223DB2"/>
    <w:rsid w:val="5D1A2544"/>
    <w:rsid w:val="5D555CF6"/>
    <w:rsid w:val="5D8C56AA"/>
    <w:rsid w:val="5EAB402C"/>
    <w:rsid w:val="5F300033"/>
    <w:rsid w:val="643757F9"/>
    <w:rsid w:val="65645D8B"/>
    <w:rsid w:val="68467A23"/>
    <w:rsid w:val="6CFC41A6"/>
    <w:rsid w:val="716B13F9"/>
    <w:rsid w:val="73C17D49"/>
    <w:rsid w:val="75F02034"/>
    <w:rsid w:val="76A6312F"/>
    <w:rsid w:val="76C42FF8"/>
    <w:rsid w:val="798412AA"/>
    <w:rsid w:val="79B0603F"/>
    <w:rsid w:val="7C016086"/>
    <w:rsid w:val="7E985D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nhideWhenUsed="0" w:uiPriority="0" w:semiHidden="0" w:name="heading 4"/>
    <w:lsdException w:qFormat="1" w:uiPriority="0" w:semiHidden="0" w:name="heading 5"/>
    <w:lsdException w:qFormat="1" w:unhideWhenUsed="0" w:uiPriority="9" w:semiHidden="0" w:name="heading 6"/>
    <w:lsdException w:qFormat="1" w:unhideWhenUsed="0" w:uiPriority="0" w:semiHidden="0" w:name="heading 7"/>
    <w:lsdException w:uiPriority="9" w:name="heading 8"/>
    <w:lsdException w:qFormat="1" w:uiPriority="9"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name="footnote text"/>
    <w:lsdException w:qFormat="1" w:uiPriority="0" w:semiHidden="0" w:name="annotation text"/>
    <w:lsdException w:qFormat="1" w:uiPriority="0" w:semiHidden="0" w:name="header"/>
    <w:lsdException w:qFormat="1" w:uiPriority="0" w:semiHidden="0" w:name="footer"/>
    <w:lsdException w:uiPriority="99" w:name="index heading"/>
    <w:lsdException w:qFormat="1" w:unhideWhenUsed="0" w:uiPriority="0" w:semiHidden="0" w:name="caption"/>
    <w:lsdException w:qFormat="1" w:unhideWhenUsed="0" w:uiPriority="0" w:name="table of figures"/>
    <w:lsdException w:uiPriority="99" w:name="envelope address"/>
    <w:lsdException w:uiPriority="99" w:name="envelope return"/>
    <w:lsdException w:qFormat="1" w:uiPriority="0"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qFormat="1" w:unhideWhenUsed="0" w:uiPriority="0" w:semiHidden="0" w:name="table of authorities"/>
    <w:lsdException w:uiPriority="99" w:name="macro"/>
    <w:lsdException w:qFormat="1" w:unhideWhenUsed="0" w:uiPriority="0" w:semiHidden="0" w:name="toa heading"/>
    <w:lsdException w:qFormat="1" w:unhideWhenUsed="0" w:uiPriority="0" w:semiHidden="0" w:name="List"/>
    <w:lsdException w:uiPriority="99" w:name="List Bullet"/>
    <w:lsdException w:uiPriority="99" w:name="List Number"/>
    <w:lsdException w:qFormat="1" w:unhideWhenUsed="0" w:uiPriority="0" w:semiHidden="0" w:name="List 2"/>
    <w:lsdException w:qFormat="1" w:unhideWhenUsed="0" w:uiPriority="0" w:semiHidden="0" w:name="List 3"/>
    <w:lsdException w:uiPriority="99" w:name="List 4"/>
    <w:lsdException w:uiPriority="99" w:name="List 5"/>
    <w:lsdException w:uiPriority="99" w:name="List Bullet 2"/>
    <w:lsdException w:qFormat="1" w:unhideWhenUsed="0" w:uiPriority="0" w:semiHidden="0" w:name="List Bullet 3"/>
    <w:lsdException w:uiPriority="99" w:name="List Bullet 4"/>
    <w:lsdException w:uiPriority="99" w:name="List Bullet 5"/>
    <w:lsdException w:uiPriority="99" w:name="List Number 2"/>
    <w:lsdException w:uiPriority="99" w:name="List Number 3"/>
    <w:lsdException w:uiPriority="99" w:name="List Number 4"/>
    <w:lsdException w:qFormat="1" w:unhideWhenUsed="0" w:uiPriority="0" w:semiHidden="0" w:name="List Number 5"/>
    <w:lsdException w:qFormat="1" w:unhideWhenUsed="0" w:uiPriority="10" w:semiHidden="0" w:name="Title"/>
    <w:lsdException w:uiPriority="99" w:name="Closing"/>
    <w:lsdException w:uiPriority="99" w:name="Signature"/>
    <w:lsdException w:uiPriority="1" w:semiHidden="0" w:name="Default Paragraph Font"/>
    <w:lsdException w:qFormat="1" w:unhideWhenUsed="0"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qFormat="1" w:unhideWhenUsed="0" w:uiPriority="0" w:semiHidden="0" w:name="Salutation"/>
    <w:lsdException w:qFormat="1" w:uiPriority="0" w:semiHidden="0" w:name="Date"/>
    <w:lsdException w:qFormat="1" w:unhideWhenUsed="0" w:uiPriority="0" w:semiHidden="0" w:name="Body Text First Indent"/>
    <w:lsdException w:qFormat="1"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iPriority="0" w:semiHidden="0" w:name="Document Map"/>
    <w:lsdException w:qFormat="1"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qFormat="1" w:unhideWhenUsed="0" w:uiPriority="0" w:semiHidden="0"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uiPriority="99"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uiPriority="99" w:name="Table Grid 8"/>
    <w:lsdException w:uiPriority="99" w:name="Table List 1"/>
    <w:lsdException w:uiPriority="99" w:name="Table List 2"/>
    <w:lsdException w:qFormat="1"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39" w:semiHidden="0" w:name="Table Grid"/>
    <w:lsdException w:qFormat="1" w:unhideWhenUsed="0" w:uiPriority="0" w:semiHidden="0" w:name="Table Theme"/>
    <w:lsdException w:qFormat="1" w:unhideWhenUsed="0" w:uiPriority="99" w:name="Placeholder Text"/>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200" w:firstLineChars="200"/>
      <w:jc w:val="both"/>
    </w:pPr>
    <w:rPr>
      <w:rFonts w:ascii="Times New Roman" w:hAnsi="Times New Roman" w:eastAsia="宋体" w:cstheme="minorBidi"/>
      <w:kern w:val="2"/>
      <w:sz w:val="24"/>
      <w:szCs w:val="22"/>
      <w:lang w:val="en-US" w:eastAsia="zh-CN" w:bidi="ar-SA"/>
    </w:rPr>
  </w:style>
  <w:style w:type="paragraph" w:styleId="2">
    <w:name w:val="heading 1"/>
    <w:next w:val="1"/>
    <w:link w:val="66"/>
    <w:qFormat/>
    <w:uiPriority w:val="9"/>
    <w:pPr>
      <w:keepNext/>
      <w:keepLines/>
      <w:widowControl w:val="0"/>
      <w:spacing w:before="340" w:after="340" w:line="360" w:lineRule="auto"/>
      <w:jc w:val="center"/>
      <w:outlineLvl w:val="0"/>
    </w:pPr>
    <w:rPr>
      <w:rFonts w:ascii="Times New Roman" w:hAnsi="Times New Roman" w:eastAsia="宋体" w:cs="Times New Roman"/>
      <w:b/>
      <w:bCs/>
      <w:kern w:val="44"/>
      <w:sz w:val="36"/>
      <w:szCs w:val="44"/>
      <w:lang w:val="en-US" w:eastAsia="zh-CN" w:bidi="ar-SA"/>
    </w:rPr>
  </w:style>
  <w:style w:type="paragraph" w:styleId="3">
    <w:name w:val="heading 2"/>
    <w:next w:val="1"/>
    <w:link w:val="65"/>
    <w:unhideWhenUsed/>
    <w:qFormat/>
    <w:uiPriority w:val="0"/>
    <w:pPr>
      <w:keepNext/>
      <w:keepLines/>
      <w:adjustRightInd w:val="0"/>
      <w:snapToGrid w:val="0"/>
      <w:spacing w:line="360" w:lineRule="auto"/>
      <w:outlineLvl w:val="1"/>
    </w:pPr>
    <w:rPr>
      <w:rFonts w:ascii="Times New Roman" w:hAnsi="Times New Roman" w:eastAsia="宋体" w:cs="Times New Roman"/>
      <w:b/>
      <w:bCs/>
      <w:color w:val="000000" w:themeColor="text1"/>
      <w:sz w:val="28"/>
      <w:szCs w:val="32"/>
      <w:lang w:val="en-US" w:eastAsia="zh-CN" w:bidi="ar-SA"/>
      <w14:textFill>
        <w14:solidFill>
          <w14:schemeClr w14:val="tx1"/>
        </w14:solidFill>
      </w14:textFill>
    </w:rPr>
  </w:style>
  <w:style w:type="paragraph" w:styleId="4">
    <w:name w:val="heading 3"/>
    <w:next w:val="1"/>
    <w:link w:val="67"/>
    <w:unhideWhenUsed/>
    <w:qFormat/>
    <w:uiPriority w:val="0"/>
    <w:pPr>
      <w:keepNext/>
      <w:keepLines/>
      <w:adjustRightInd w:val="0"/>
      <w:snapToGrid w:val="0"/>
      <w:spacing w:line="360" w:lineRule="auto"/>
      <w:outlineLvl w:val="2"/>
    </w:pPr>
    <w:rPr>
      <w:rFonts w:ascii="Times New Roman" w:hAnsi="Times New Roman" w:eastAsia="宋体" w:cs="Times New Roman"/>
      <w:b/>
      <w:bCs/>
      <w:color w:val="000000" w:themeColor="text1"/>
      <w:sz w:val="24"/>
      <w:szCs w:val="24"/>
      <w:lang w:val="en-US" w:eastAsia="zh-CN" w:bidi="ar-SA"/>
      <w14:textFill>
        <w14:solidFill>
          <w14:schemeClr w14:val="tx1"/>
        </w14:solidFill>
      </w14:textFill>
    </w:rPr>
  </w:style>
  <w:style w:type="paragraph" w:styleId="5">
    <w:name w:val="heading 4"/>
    <w:basedOn w:val="1"/>
    <w:next w:val="1"/>
    <w:link w:val="68"/>
    <w:qFormat/>
    <w:uiPriority w:val="0"/>
    <w:pPr>
      <w:keepNext/>
      <w:keepLines/>
      <w:spacing w:before="120" w:beforeLines="50"/>
      <w:ind w:firstLine="480"/>
      <w:jc w:val="left"/>
      <w:outlineLvl w:val="3"/>
    </w:pPr>
    <w:rPr>
      <w:rFonts w:cs="Times New Roman"/>
      <w:bCs/>
      <w:szCs w:val="24"/>
    </w:rPr>
  </w:style>
  <w:style w:type="paragraph" w:styleId="6">
    <w:name w:val="heading 5"/>
    <w:basedOn w:val="1"/>
    <w:next w:val="1"/>
    <w:link w:val="69"/>
    <w:unhideWhenUsed/>
    <w:qFormat/>
    <w:uiPriority w:val="0"/>
    <w:pPr>
      <w:keepNext/>
      <w:keepLines/>
      <w:widowControl/>
      <w:spacing w:before="280" w:after="290" w:line="376" w:lineRule="auto"/>
      <w:jc w:val="left"/>
      <w:outlineLvl w:val="4"/>
    </w:pPr>
    <w:rPr>
      <w:rFonts w:ascii="Calibri" w:hAnsi="Calibri" w:cs="Times New Roman"/>
      <w:b/>
      <w:bCs/>
      <w:kern w:val="0"/>
      <w:sz w:val="28"/>
      <w:szCs w:val="28"/>
      <w:lang w:eastAsia="en-US"/>
    </w:rPr>
  </w:style>
  <w:style w:type="paragraph" w:styleId="7">
    <w:name w:val="heading 6"/>
    <w:basedOn w:val="1"/>
    <w:next w:val="1"/>
    <w:link w:val="70"/>
    <w:qFormat/>
    <w:uiPriority w:val="9"/>
    <w:pPr>
      <w:ind w:left="740"/>
      <w:outlineLvl w:val="5"/>
    </w:pPr>
    <w:rPr>
      <w:rFonts w:ascii="宋体" w:hAnsi="宋体" w:cs="宋体"/>
      <w:b/>
      <w:bCs/>
      <w:szCs w:val="24"/>
      <w:lang w:val="zh-CN" w:bidi="zh-CN"/>
    </w:rPr>
  </w:style>
  <w:style w:type="paragraph" w:styleId="8">
    <w:name w:val="heading 7"/>
    <w:basedOn w:val="1"/>
    <w:next w:val="1"/>
    <w:link w:val="296"/>
    <w:qFormat/>
    <w:uiPriority w:val="0"/>
    <w:pPr>
      <w:keepNext/>
      <w:keepLines/>
      <w:spacing w:before="240" w:after="64" w:line="319" w:lineRule="auto"/>
      <w:outlineLvl w:val="6"/>
    </w:pPr>
    <w:rPr>
      <w:rFonts w:cs="Times New Roman"/>
      <w:b/>
      <w:bCs/>
      <w:szCs w:val="24"/>
    </w:rPr>
  </w:style>
  <w:style w:type="character" w:default="1" w:styleId="57">
    <w:name w:val="Default Paragraph Font"/>
    <w:unhideWhenUsed/>
    <w:uiPriority w:val="1"/>
  </w:style>
  <w:style w:type="table" w:default="1" w:styleId="52">
    <w:name w:val="Normal Table"/>
    <w:semiHidden/>
    <w:unhideWhenUsed/>
    <w:uiPriority w:val="99"/>
    <w:tblPr>
      <w:tblCellMar>
        <w:top w:w="0" w:type="dxa"/>
        <w:left w:w="108" w:type="dxa"/>
        <w:bottom w:w="0" w:type="dxa"/>
        <w:right w:w="108" w:type="dxa"/>
      </w:tblCellMar>
    </w:tblPr>
  </w:style>
  <w:style w:type="paragraph" w:styleId="9">
    <w:name w:val="List 3"/>
    <w:basedOn w:val="1"/>
    <w:next w:val="1"/>
    <w:qFormat/>
    <w:uiPriority w:val="0"/>
    <w:pPr>
      <w:autoSpaceDE w:val="0"/>
      <w:autoSpaceDN w:val="0"/>
      <w:spacing w:line="288" w:lineRule="auto"/>
      <w:ind w:left="1260" w:hanging="420"/>
      <w:textAlignment w:val="baseline"/>
    </w:pPr>
    <w:rPr>
      <w:rFonts w:ascii="Calibri" w:hAnsi="Calibri" w:eastAsia="仿宋" w:cs="宋体"/>
      <w:szCs w:val="20"/>
    </w:rPr>
  </w:style>
  <w:style w:type="paragraph" w:styleId="10">
    <w:name w:val="toc 7"/>
    <w:basedOn w:val="1"/>
    <w:next w:val="1"/>
    <w:unhideWhenUsed/>
    <w:qFormat/>
    <w:uiPriority w:val="39"/>
    <w:pPr>
      <w:ind w:left="2520" w:leftChars="1200"/>
    </w:pPr>
    <w:rPr>
      <w:rFonts w:ascii="等线" w:hAnsi="等线" w:eastAsia="等线" w:cs="Times New Roman"/>
    </w:rPr>
  </w:style>
  <w:style w:type="paragraph" w:styleId="11">
    <w:name w:val="table of authorities"/>
    <w:basedOn w:val="1"/>
    <w:next w:val="1"/>
    <w:qFormat/>
    <w:uiPriority w:val="0"/>
    <w:pPr>
      <w:ind w:left="420" w:leftChars="200"/>
    </w:pPr>
    <w:rPr>
      <w:rFonts w:cs="Times New Roman"/>
      <w:szCs w:val="24"/>
    </w:rPr>
  </w:style>
  <w:style w:type="paragraph" w:styleId="12">
    <w:name w:val="Note Heading"/>
    <w:basedOn w:val="1"/>
    <w:next w:val="1"/>
    <w:link w:val="297"/>
    <w:qFormat/>
    <w:uiPriority w:val="0"/>
    <w:pPr>
      <w:jc w:val="center"/>
    </w:pPr>
    <w:rPr>
      <w:rFonts w:cs="Times New Roman"/>
      <w:sz w:val="30"/>
      <w:szCs w:val="20"/>
    </w:rPr>
  </w:style>
  <w:style w:type="paragraph" w:styleId="13">
    <w:name w:val="Normal Indent"/>
    <w:basedOn w:val="1"/>
    <w:link w:val="71"/>
    <w:qFormat/>
    <w:uiPriority w:val="0"/>
    <w:pPr>
      <w:ind w:firstLine="420"/>
    </w:pPr>
    <w:rPr>
      <w:rFonts w:cs="Times New Roman"/>
      <w:szCs w:val="24"/>
    </w:rPr>
  </w:style>
  <w:style w:type="paragraph" w:styleId="14">
    <w:name w:val="caption"/>
    <w:basedOn w:val="1"/>
    <w:next w:val="1"/>
    <w:link w:val="72"/>
    <w:qFormat/>
    <w:uiPriority w:val="0"/>
    <w:pPr>
      <w:jc w:val="center"/>
    </w:pPr>
    <w:rPr>
      <w:rFonts w:ascii="Calibri" w:hAnsi="Calibri" w:cs="Times New Roman"/>
      <w:szCs w:val="24"/>
    </w:rPr>
  </w:style>
  <w:style w:type="paragraph" w:styleId="15">
    <w:name w:val="Document Map"/>
    <w:basedOn w:val="1"/>
    <w:link w:val="73"/>
    <w:unhideWhenUsed/>
    <w:qFormat/>
    <w:uiPriority w:val="0"/>
    <w:pPr>
      <w:widowControl/>
      <w:jc w:val="left"/>
    </w:pPr>
    <w:rPr>
      <w:rFonts w:ascii="宋体" w:hAnsi="Calibri" w:cs="Times New Roman"/>
      <w:kern w:val="0"/>
      <w:sz w:val="18"/>
      <w:szCs w:val="18"/>
      <w:lang w:eastAsia="en-US"/>
    </w:rPr>
  </w:style>
  <w:style w:type="paragraph" w:styleId="16">
    <w:name w:val="toa heading"/>
    <w:basedOn w:val="1"/>
    <w:next w:val="1"/>
    <w:qFormat/>
    <w:uiPriority w:val="0"/>
    <w:pPr>
      <w:spacing w:before="120"/>
    </w:pPr>
    <w:rPr>
      <w:rFonts w:ascii="Arial" w:hAnsi="Arial" w:cs="Arial"/>
      <w:szCs w:val="24"/>
    </w:rPr>
  </w:style>
  <w:style w:type="paragraph" w:styleId="17">
    <w:name w:val="annotation text"/>
    <w:basedOn w:val="1"/>
    <w:link w:val="74"/>
    <w:unhideWhenUsed/>
    <w:qFormat/>
    <w:uiPriority w:val="0"/>
    <w:pPr>
      <w:widowControl/>
      <w:jc w:val="left"/>
    </w:pPr>
    <w:rPr>
      <w:rFonts w:ascii="Calibri" w:hAnsi="Calibri" w:cs="Times New Roman"/>
      <w:kern w:val="0"/>
      <w:sz w:val="22"/>
      <w:lang w:eastAsia="en-US"/>
    </w:rPr>
  </w:style>
  <w:style w:type="paragraph" w:styleId="18">
    <w:name w:val="Salutation"/>
    <w:basedOn w:val="1"/>
    <w:next w:val="1"/>
    <w:link w:val="562"/>
    <w:qFormat/>
    <w:uiPriority w:val="0"/>
    <w:pPr>
      <w:widowControl/>
      <w:spacing w:line="300" w:lineRule="auto"/>
      <w:jc w:val="left"/>
      <w:textAlignment w:val="baseline"/>
    </w:pPr>
    <w:rPr>
      <w:rFonts w:ascii="宋体" w:cs="Times New Roman"/>
      <w:sz w:val="28"/>
      <w:szCs w:val="28"/>
    </w:rPr>
  </w:style>
  <w:style w:type="paragraph" w:styleId="19">
    <w:name w:val="Body Text 3"/>
    <w:basedOn w:val="1"/>
    <w:link w:val="75"/>
    <w:qFormat/>
    <w:uiPriority w:val="0"/>
    <w:pPr>
      <w:spacing w:after="120"/>
    </w:pPr>
    <w:rPr>
      <w:rFonts w:cs="Times New Roman"/>
      <w:sz w:val="16"/>
      <w:szCs w:val="16"/>
    </w:rPr>
  </w:style>
  <w:style w:type="paragraph" w:styleId="20">
    <w:name w:val="List Bullet 3"/>
    <w:basedOn w:val="1"/>
    <w:qFormat/>
    <w:uiPriority w:val="0"/>
    <w:pPr>
      <w:tabs>
        <w:tab w:val="left" w:pos="1280"/>
      </w:tabs>
      <w:ind w:left="1280" w:hanging="720"/>
    </w:pPr>
    <w:rPr>
      <w:rFonts w:cs="Times New Roman"/>
      <w:szCs w:val="20"/>
    </w:rPr>
  </w:style>
  <w:style w:type="paragraph" w:styleId="21">
    <w:name w:val="Body Text"/>
    <w:basedOn w:val="1"/>
    <w:next w:val="1"/>
    <w:link w:val="76"/>
    <w:qFormat/>
    <w:uiPriority w:val="0"/>
    <w:pPr>
      <w:widowControl/>
      <w:spacing w:before="35"/>
      <w:ind w:left="138"/>
      <w:jc w:val="left"/>
    </w:pPr>
    <w:rPr>
      <w:rFonts w:ascii="宋体" w:hAnsi="宋体" w:cs="Times New Roman"/>
      <w:kern w:val="0"/>
      <w:szCs w:val="24"/>
      <w:lang w:eastAsia="en-US"/>
    </w:rPr>
  </w:style>
  <w:style w:type="paragraph" w:styleId="22">
    <w:name w:val="Body Text Indent"/>
    <w:basedOn w:val="1"/>
    <w:link w:val="77"/>
    <w:unhideWhenUsed/>
    <w:qFormat/>
    <w:uiPriority w:val="0"/>
    <w:pPr>
      <w:widowControl/>
      <w:spacing w:after="120"/>
      <w:ind w:left="420" w:leftChars="200"/>
      <w:jc w:val="left"/>
    </w:pPr>
    <w:rPr>
      <w:rFonts w:ascii="Calibri" w:hAnsi="Calibri" w:cs="Times New Roman"/>
      <w:kern w:val="0"/>
      <w:sz w:val="22"/>
      <w:lang w:eastAsia="en-US"/>
    </w:rPr>
  </w:style>
  <w:style w:type="paragraph" w:styleId="23">
    <w:name w:val="List 2"/>
    <w:basedOn w:val="1"/>
    <w:qFormat/>
    <w:uiPriority w:val="0"/>
    <w:pPr>
      <w:ind w:left="840" w:hanging="420"/>
    </w:pPr>
    <w:rPr>
      <w:rFonts w:cs="Times New Roman"/>
      <w:sz w:val="26"/>
      <w:szCs w:val="20"/>
    </w:rPr>
  </w:style>
  <w:style w:type="paragraph" w:styleId="24">
    <w:name w:val="Block Text"/>
    <w:basedOn w:val="1"/>
    <w:qFormat/>
    <w:uiPriority w:val="0"/>
    <w:pPr>
      <w:ind w:left="718" w:leftChars="342" w:right="680" w:rightChars="324"/>
    </w:pPr>
    <w:rPr>
      <w:rFonts w:ascii="宋体" w:hAnsi="宋体" w:cs="Times New Roman"/>
      <w:szCs w:val="24"/>
    </w:rPr>
  </w:style>
  <w:style w:type="paragraph" w:styleId="25">
    <w:name w:val="toc 5"/>
    <w:basedOn w:val="1"/>
    <w:next w:val="1"/>
    <w:unhideWhenUsed/>
    <w:qFormat/>
    <w:uiPriority w:val="39"/>
    <w:pPr>
      <w:ind w:left="1680" w:leftChars="800"/>
    </w:pPr>
    <w:rPr>
      <w:rFonts w:ascii="等线" w:hAnsi="等线" w:eastAsia="等线" w:cs="Times New Roman"/>
    </w:rPr>
  </w:style>
  <w:style w:type="paragraph" w:styleId="26">
    <w:name w:val="toc 3"/>
    <w:basedOn w:val="1"/>
    <w:next w:val="1"/>
    <w:unhideWhenUsed/>
    <w:qFormat/>
    <w:uiPriority w:val="39"/>
    <w:pPr>
      <w:widowControl/>
      <w:ind w:left="840" w:leftChars="400"/>
      <w:jc w:val="left"/>
    </w:pPr>
    <w:rPr>
      <w:rFonts w:ascii="Calibri" w:hAnsi="Calibri" w:cs="Times New Roman"/>
      <w:kern w:val="0"/>
      <w:sz w:val="22"/>
      <w:lang w:eastAsia="en-US"/>
    </w:rPr>
  </w:style>
  <w:style w:type="paragraph" w:styleId="27">
    <w:name w:val="Plain Text"/>
    <w:basedOn w:val="1"/>
    <w:next w:val="1"/>
    <w:link w:val="78"/>
    <w:unhideWhenUsed/>
    <w:qFormat/>
    <w:uiPriority w:val="0"/>
    <w:rPr>
      <w:rFonts w:ascii="宋体" w:hAnsi="Courier New" w:cs="Times New Roman"/>
      <w:szCs w:val="20"/>
    </w:rPr>
  </w:style>
  <w:style w:type="paragraph" w:styleId="28">
    <w:name w:val="toc 8"/>
    <w:basedOn w:val="1"/>
    <w:next w:val="1"/>
    <w:unhideWhenUsed/>
    <w:qFormat/>
    <w:uiPriority w:val="39"/>
    <w:pPr>
      <w:ind w:left="2940" w:leftChars="1400"/>
    </w:pPr>
    <w:rPr>
      <w:rFonts w:ascii="等线" w:hAnsi="等线" w:eastAsia="等线" w:cs="Times New Roman"/>
    </w:rPr>
  </w:style>
  <w:style w:type="paragraph" w:styleId="29">
    <w:name w:val="Date"/>
    <w:basedOn w:val="1"/>
    <w:next w:val="1"/>
    <w:link w:val="256"/>
    <w:unhideWhenUsed/>
    <w:qFormat/>
    <w:uiPriority w:val="0"/>
    <w:pPr>
      <w:topLinePunct/>
      <w:ind w:left="100" w:leftChars="2500"/>
    </w:pPr>
    <w:rPr>
      <w:rFonts w:ascii="宋体" w:cs="宋体"/>
      <w:kern w:val="0"/>
      <w:szCs w:val="24"/>
    </w:rPr>
  </w:style>
  <w:style w:type="paragraph" w:styleId="30">
    <w:name w:val="Body Text Indent 2"/>
    <w:basedOn w:val="1"/>
    <w:link w:val="79"/>
    <w:qFormat/>
    <w:uiPriority w:val="0"/>
    <w:pPr>
      <w:spacing w:line="300" w:lineRule="auto"/>
      <w:ind w:firstLine="480"/>
    </w:pPr>
    <w:rPr>
      <w:rFonts w:ascii="仿宋体" w:eastAsia="仿宋体" w:cs="Times New Roman"/>
      <w:b/>
      <w:bCs/>
      <w:szCs w:val="24"/>
    </w:rPr>
  </w:style>
  <w:style w:type="paragraph" w:styleId="31">
    <w:name w:val="Balloon Text"/>
    <w:basedOn w:val="1"/>
    <w:link w:val="80"/>
    <w:unhideWhenUsed/>
    <w:qFormat/>
    <w:uiPriority w:val="0"/>
    <w:pPr>
      <w:widowControl/>
      <w:jc w:val="left"/>
    </w:pPr>
    <w:rPr>
      <w:rFonts w:ascii="Calibri" w:hAnsi="Calibri" w:cs="Times New Roman"/>
      <w:kern w:val="0"/>
      <w:sz w:val="18"/>
      <w:szCs w:val="18"/>
      <w:lang w:eastAsia="en-US"/>
    </w:rPr>
  </w:style>
  <w:style w:type="paragraph" w:styleId="32">
    <w:name w:val="footer"/>
    <w:basedOn w:val="1"/>
    <w:link w:val="81"/>
    <w:unhideWhenUsed/>
    <w:qFormat/>
    <w:uiPriority w:val="0"/>
    <w:pPr>
      <w:widowControl/>
      <w:tabs>
        <w:tab w:val="center" w:pos="4153"/>
        <w:tab w:val="right" w:pos="8306"/>
      </w:tabs>
      <w:spacing w:line="240" w:lineRule="auto"/>
      <w:ind w:firstLine="0" w:firstLineChars="0"/>
      <w:jc w:val="left"/>
    </w:pPr>
    <w:rPr>
      <w:rFonts w:ascii="Calibri" w:hAnsi="Calibri" w:cs="Times New Roman"/>
      <w:kern w:val="0"/>
      <w:sz w:val="18"/>
      <w:szCs w:val="18"/>
      <w:lang w:eastAsia="en-US"/>
    </w:rPr>
  </w:style>
  <w:style w:type="paragraph" w:styleId="33">
    <w:name w:val="header"/>
    <w:basedOn w:val="1"/>
    <w:link w:val="82"/>
    <w:unhideWhenUsed/>
    <w:qFormat/>
    <w:uiPriority w:val="0"/>
    <w:pPr>
      <w:widowControl/>
      <w:pBdr>
        <w:bottom w:val="single" w:color="auto" w:sz="6" w:space="1"/>
      </w:pBdr>
      <w:tabs>
        <w:tab w:val="center" w:pos="4153"/>
        <w:tab w:val="right" w:pos="8306"/>
      </w:tabs>
      <w:jc w:val="center"/>
    </w:pPr>
    <w:rPr>
      <w:rFonts w:ascii="Calibri" w:hAnsi="Calibri" w:cs="Times New Roman"/>
      <w:kern w:val="0"/>
      <w:sz w:val="18"/>
      <w:szCs w:val="18"/>
      <w:lang w:eastAsia="en-US"/>
    </w:rPr>
  </w:style>
  <w:style w:type="paragraph" w:styleId="34">
    <w:name w:val="toc 1"/>
    <w:basedOn w:val="1"/>
    <w:next w:val="1"/>
    <w:unhideWhenUsed/>
    <w:qFormat/>
    <w:uiPriority w:val="39"/>
    <w:pPr>
      <w:widowControl/>
      <w:jc w:val="left"/>
    </w:pPr>
    <w:rPr>
      <w:rFonts w:ascii="Calibri" w:hAnsi="Calibri" w:cs="Times New Roman"/>
      <w:kern w:val="0"/>
      <w:sz w:val="22"/>
      <w:lang w:eastAsia="en-US"/>
    </w:rPr>
  </w:style>
  <w:style w:type="paragraph" w:styleId="35">
    <w:name w:val="toc 4"/>
    <w:basedOn w:val="1"/>
    <w:next w:val="1"/>
    <w:unhideWhenUsed/>
    <w:qFormat/>
    <w:uiPriority w:val="39"/>
    <w:pPr>
      <w:ind w:left="1260" w:leftChars="600"/>
    </w:pPr>
    <w:rPr>
      <w:rFonts w:ascii="等线" w:hAnsi="等线" w:eastAsia="等线" w:cs="Times New Roman"/>
    </w:rPr>
  </w:style>
  <w:style w:type="paragraph" w:styleId="36">
    <w:name w:val="List Number 5"/>
    <w:basedOn w:val="1"/>
    <w:qFormat/>
    <w:uiPriority w:val="0"/>
    <w:pPr>
      <w:numPr>
        <w:ilvl w:val="0"/>
        <w:numId w:val="1"/>
      </w:numPr>
      <w:tabs>
        <w:tab w:val="left" w:pos="2040"/>
      </w:tabs>
    </w:pPr>
    <w:rPr>
      <w:rFonts w:cs="Times New Roman"/>
      <w:szCs w:val="24"/>
    </w:rPr>
  </w:style>
  <w:style w:type="paragraph" w:styleId="37">
    <w:name w:val="List"/>
    <w:basedOn w:val="1"/>
    <w:qFormat/>
    <w:uiPriority w:val="0"/>
    <w:pPr>
      <w:ind w:left="200" w:hanging="200" w:hangingChars="200"/>
    </w:pPr>
    <w:rPr>
      <w:rFonts w:cs="Times New Roman"/>
      <w:szCs w:val="24"/>
    </w:rPr>
  </w:style>
  <w:style w:type="paragraph" w:styleId="38">
    <w:name w:val="footnote text"/>
    <w:basedOn w:val="1"/>
    <w:link w:val="83"/>
    <w:semiHidden/>
    <w:qFormat/>
    <w:uiPriority w:val="0"/>
    <w:pPr>
      <w:jc w:val="left"/>
    </w:pPr>
    <w:rPr>
      <w:rFonts w:cs="Times New Roman"/>
      <w:sz w:val="18"/>
      <w:szCs w:val="18"/>
    </w:rPr>
  </w:style>
  <w:style w:type="paragraph" w:styleId="39">
    <w:name w:val="toc 6"/>
    <w:basedOn w:val="1"/>
    <w:next w:val="1"/>
    <w:unhideWhenUsed/>
    <w:qFormat/>
    <w:uiPriority w:val="39"/>
    <w:pPr>
      <w:ind w:left="2100" w:leftChars="1000"/>
    </w:pPr>
    <w:rPr>
      <w:rFonts w:ascii="等线" w:hAnsi="等线" w:eastAsia="等线" w:cs="Times New Roman"/>
    </w:rPr>
  </w:style>
  <w:style w:type="paragraph" w:styleId="40">
    <w:name w:val="Body Text Indent 3"/>
    <w:basedOn w:val="1"/>
    <w:link w:val="84"/>
    <w:qFormat/>
    <w:uiPriority w:val="0"/>
    <w:pPr>
      <w:spacing w:after="120"/>
      <w:ind w:left="420" w:leftChars="200"/>
    </w:pPr>
    <w:rPr>
      <w:rFonts w:cs="Times New Roman"/>
      <w:sz w:val="16"/>
      <w:szCs w:val="16"/>
    </w:rPr>
  </w:style>
  <w:style w:type="paragraph" w:styleId="41">
    <w:name w:val="table of figures"/>
    <w:basedOn w:val="1"/>
    <w:next w:val="1"/>
    <w:semiHidden/>
    <w:qFormat/>
    <w:uiPriority w:val="0"/>
    <w:pPr>
      <w:ind w:left="420" w:hanging="420"/>
      <w:jc w:val="left"/>
    </w:pPr>
    <w:rPr>
      <w:rFonts w:cs="Times New Roman"/>
      <w:smallCaps/>
      <w:sz w:val="20"/>
      <w:szCs w:val="20"/>
    </w:rPr>
  </w:style>
  <w:style w:type="paragraph" w:styleId="42">
    <w:name w:val="toc 2"/>
    <w:basedOn w:val="1"/>
    <w:next w:val="1"/>
    <w:unhideWhenUsed/>
    <w:qFormat/>
    <w:uiPriority w:val="39"/>
    <w:pPr>
      <w:widowControl/>
      <w:ind w:left="420" w:leftChars="200"/>
      <w:jc w:val="left"/>
    </w:pPr>
    <w:rPr>
      <w:rFonts w:ascii="Calibri" w:hAnsi="Calibri" w:cs="Times New Roman"/>
      <w:kern w:val="0"/>
      <w:sz w:val="22"/>
      <w:lang w:eastAsia="en-US"/>
    </w:rPr>
  </w:style>
  <w:style w:type="paragraph" w:styleId="43">
    <w:name w:val="toc 9"/>
    <w:basedOn w:val="1"/>
    <w:next w:val="1"/>
    <w:unhideWhenUsed/>
    <w:qFormat/>
    <w:uiPriority w:val="39"/>
    <w:pPr>
      <w:ind w:left="3360" w:leftChars="1600"/>
    </w:pPr>
    <w:rPr>
      <w:rFonts w:ascii="等线" w:hAnsi="等线" w:eastAsia="等线" w:cs="Times New Roman"/>
    </w:rPr>
  </w:style>
  <w:style w:type="paragraph" w:styleId="44">
    <w:name w:val="Body Text 2"/>
    <w:basedOn w:val="1"/>
    <w:link w:val="85"/>
    <w:qFormat/>
    <w:uiPriority w:val="0"/>
    <w:pPr>
      <w:spacing w:after="120" w:line="480" w:lineRule="auto"/>
    </w:pPr>
    <w:rPr>
      <w:rFonts w:cs="Times New Roman"/>
      <w:szCs w:val="24"/>
    </w:rPr>
  </w:style>
  <w:style w:type="paragraph" w:styleId="45">
    <w:name w:val="HTML Preformatted"/>
    <w:basedOn w:val="1"/>
    <w:link w:val="30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Cs w:val="24"/>
    </w:rPr>
  </w:style>
  <w:style w:type="paragraph" w:styleId="46">
    <w:name w:val="Normal (Web)"/>
    <w:basedOn w:val="1"/>
    <w:link w:val="86"/>
    <w:qFormat/>
    <w:uiPriority w:val="99"/>
    <w:pPr>
      <w:widowControl/>
      <w:spacing w:before="100" w:beforeAutospacing="1" w:after="100" w:afterAutospacing="1"/>
      <w:jc w:val="left"/>
    </w:pPr>
    <w:rPr>
      <w:rFonts w:ascii="宋体" w:hAnsi="宋体" w:cs="Times New Roman"/>
      <w:kern w:val="0"/>
      <w:szCs w:val="24"/>
    </w:rPr>
  </w:style>
  <w:style w:type="paragraph" w:styleId="47">
    <w:name w:val="index 1"/>
    <w:basedOn w:val="1"/>
    <w:next w:val="1"/>
    <w:qFormat/>
    <w:uiPriority w:val="0"/>
    <w:pPr>
      <w:jc w:val="center"/>
    </w:pPr>
    <w:rPr>
      <w:rFonts w:cs="Times New Roman"/>
      <w:szCs w:val="24"/>
    </w:rPr>
  </w:style>
  <w:style w:type="paragraph" w:styleId="48">
    <w:name w:val="Title"/>
    <w:basedOn w:val="1"/>
    <w:link w:val="243"/>
    <w:qFormat/>
    <w:uiPriority w:val="10"/>
    <w:pPr>
      <w:spacing w:before="240" w:after="60" w:line="312" w:lineRule="atLeast"/>
      <w:jc w:val="center"/>
      <w:textAlignment w:val="baseline"/>
      <w:outlineLvl w:val="0"/>
    </w:pPr>
    <w:rPr>
      <w:rFonts w:ascii="Arial" w:hAnsi="Arial" w:cs="Times New Roman"/>
      <w:b/>
      <w:kern w:val="0"/>
      <w:sz w:val="32"/>
      <w:szCs w:val="20"/>
    </w:rPr>
  </w:style>
  <w:style w:type="paragraph" w:styleId="49">
    <w:name w:val="annotation subject"/>
    <w:basedOn w:val="17"/>
    <w:next w:val="17"/>
    <w:link w:val="87"/>
    <w:unhideWhenUsed/>
    <w:qFormat/>
    <w:uiPriority w:val="0"/>
    <w:rPr>
      <w:b/>
      <w:bCs/>
    </w:rPr>
  </w:style>
  <w:style w:type="paragraph" w:styleId="50">
    <w:name w:val="Body Text First Indent"/>
    <w:basedOn w:val="21"/>
    <w:link w:val="300"/>
    <w:qFormat/>
    <w:uiPriority w:val="0"/>
    <w:pPr>
      <w:widowControl w:val="0"/>
      <w:spacing w:before="0" w:after="120"/>
      <w:ind w:left="0" w:firstLine="420" w:firstLineChars="100"/>
      <w:jc w:val="both"/>
    </w:pPr>
    <w:rPr>
      <w:rFonts w:ascii="Times New Roman" w:hAnsi="Times New Roman"/>
      <w:kern w:val="2"/>
      <w:sz w:val="21"/>
      <w:lang w:eastAsia="zh-CN"/>
    </w:rPr>
  </w:style>
  <w:style w:type="paragraph" w:styleId="51">
    <w:name w:val="Body Text First Indent 2"/>
    <w:basedOn w:val="22"/>
    <w:link w:val="88"/>
    <w:unhideWhenUsed/>
    <w:qFormat/>
    <w:uiPriority w:val="0"/>
    <w:pPr>
      <w:ind w:firstLine="420"/>
    </w:pPr>
  </w:style>
  <w:style w:type="table" w:styleId="53">
    <w:name w:val="Table Grid"/>
    <w:basedOn w:val="5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4">
    <w:name w:val="Table Theme"/>
    <w:basedOn w:val="5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5">
    <w:name w:val="Table List 3"/>
    <w:basedOn w:val="52"/>
    <w:semiHidden/>
    <w:unhideWhenUsed/>
    <w:qFormat/>
    <w:uiPriority w:val="99"/>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56">
    <w:name w:val="Table Grid 5"/>
    <w:basedOn w:val="52"/>
    <w:qFormat/>
    <w:uiPriority w:val="0"/>
    <w:pPr>
      <w:widowControl w:val="0"/>
      <w:adjustRightInd w:val="0"/>
      <w:snapToGrid w:val="0"/>
      <w:spacing w:line="460" w:lineRule="exact"/>
      <w:ind w:firstLine="52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58">
    <w:name w:val="Strong"/>
    <w:basedOn w:val="57"/>
    <w:qFormat/>
    <w:uiPriority w:val="0"/>
    <w:rPr>
      <w:b/>
    </w:rPr>
  </w:style>
  <w:style w:type="character" w:styleId="59">
    <w:name w:val="page number"/>
    <w:basedOn w:val="57"/>
    <w:qFormat/>
    <w:uiPriority w:val="0"/>
  </w:style>
  <w:style w:type="character" w:styleId="60">
    <w:name w:val="FollowedHyperlink"/>
    <w:qFormat/>
    <w:uiPriority w:val="0"/>
    <w:rPr>
      <w:color w:val="800080"/>
      <w:u w:val="single"/>
    </w:rPr>
  </w:style>
  <w:style w:type="character" w:styleId="61">
    <w:name w:val="Emphasis"/>
    <w:basedOn w:val="57"/>
    <w:qFormat/>
    <w:uiPriority w:val="0"/>
    <w:rPr>
      <w:i/>
    </w:rPr>
  </w:style>
  <w:style w:type="character" w:styleId="62">
    <w:name w:val="Hyperlink"/>
    <w:unhideWhenUsed/>
    <w:qFormat/>
    <w:uiPriority w:val="99"/>
    <w:rPr>
      <w:color w:val="0000FF"/>
      <w:u w:val="single"/>
    </w:rPr>
  </w:style>
  <w:style w:type="character" w:styleId="63">
    <w:name w:val="annotation reference"/>
    <w:unhideWhenUsed/>
    <w:qFormat/>
    <w:uiPriority w:val="0"/>
    <w:rPr>
      <w:sz w:val="21"/>
      <w:szCs w:val="21"/>
    </w:rPr>
  </w:style>
  <w:style w:type="character" w:styleId="64">
    <w:name w:val="HTML Cite"/>
    <w:qFormat/>
    <w:uiPriority w:val="0"/>
    <w:rPr>
      <w:color w:val="008000"/>
    </w:rPr>
  </w:style>
  <w:style w:type="character" w:customStyle="1" w:styleId="65">
    <w:name w:val="标题 2 字符"/>
    <w:link w:val="3"/>
    <w:qFormat/>
    <w:uiPriority w:val="0"/>
    <w:rPr>
      <w:b/>
      <w:bCs/>
      <w:color w:val="000000" w:themeColor="text1"/>
      <w:sz w:val="28"/>
      <w:szCs w:val="32"/>
      <w14:textFill>
        <w14:solidFill>
          <w14:schemeClr w14:val="tx1"/>
        </w14:solidFill>
      </w14:textFill>
    </w:rPr>
  </w:style>
  <w:style w:type="character" w:customStyle="1" w:styleId="66">
    <w:name w:val="标题 1 字符"/>
    <w:link w:val="2"/>
    <w:qFormat/>
    <w:uiPriority w:val="9"/>
    <w:rPr>
      <w:b/>
      <w:bCs/>
      <w:kern w:val="44"/>
      <w:sz w:val="36"/>
      <w:szCs w:val="44"/>
    </w:rPr>
  </w:style>
  <w:style w:type="character" w:customStyle="1" w:styleId="67">
    <w:name w:val="标题 3 字符"/>
    <w:link w:val="4"/>
    <w:qFormat/>
    <w:uiPriority w:val="0"/>
    <w:rPr>
      <w:b/>
      <w:bCs/>
      <w:color w:val="000000" w:themeColor="text1"/>
      <w:sz w:val="24"/>
      <w:szCs w:val="24"/>
      <w14:textFill>
        <w14:solidFill>
          <w14:schemeClr w14:val="tx1"/>
        </w14:solidFill>
      </w14:textFill>
    </w:rPr>
  </w:style>
  <w:style w:type="character" w:customStyle="1" w:styleId="68">
    <w:name w:val="标题 4 字符"/>
    <w:basedOn w:val="57"/>
    <w:link w:val="5"/>
    <w:qFormat/>
    <w:uiPriority w:val="0"/>
    <w:rPr>
      <w:bCs/>
      <w:kern w:val="2"/>
      <w:sz w:val="24"/>
      <w:szCs w:val="24"/>
    </w:rPr>
  </w:style>
  <w:style w:type="character" w:customStyle="1" w:styleId="69">
    <w:name w:val="标题 5 字符"/>
    <w:basedOn w:val="57"/>
    <w:link w:val="6"/>
    <w:qFormat/>
    <w:uiPriority w:val="9"/>
    <w:rPr>
      <w:b/>
      <w:bCs/>
      <w:sz w:val="28"/>
      <w:szCs w:val="28"/>
      <w:lang w:eastAsia="en-US"/>
    </w:rPr>
  </w:style>
  <w:style w:type="character" w:customStyle="1" w:styleId="70">
    <w:name w:val="标题 6 字符"/>
    <w:basedOn w:val="57"/>
    <w:link w:val="7"/>
    <w:qFormat/>
    <w:uiPriority w:val="9"/>
    <w:rPr>
      <w:rFonts w:ascii="宋体" w:hAnsi="宋体" w:cs="宋体"/>
      <w:b/>
      <w:bCs/>
      <w:kern w:val="2"/>
      <w:sz w:val="24"/>
      <w:szCs w:val="24"/>
      <w:lang w:val="zh-CN" w:bidi="zh-CN"/>
    </w:rPr>
  </w:style>
  <w:style w:type="character" w:customStyle="1" w:styleId="71">
    <w:name w:val="正文缩进 字符"/>
    <w:link w:val="13"/>
    <w:qFormat/>
    <w:uiPriority w:val="0"/>
    <w:rPr>
      <w:rFonts w:ascii="Times New Roman" w:hAnsi="Times New Roman"/>
      <w:kern w:val="2"/>
      <w:sz w:val="21"/>
      <w:szCs w:val="24"/>
    </w:rPr>
  </w:style>
  <w:style w:type="character" w:customStyle="1" w:styleId="72">
    <w:name w:val="题注 字符"/>
    <w:link w:val="14"/>
    <w:qFormat/>
    <w:uiPriority w:val="0"/>
    <w:rPr>
      <w:kern w:val="2"/>
      <w:sz w:val="21"/>
      <w:szCs w:val="24"/>
    </w:rPr>
  </w:style>
  <w:style w:type="character" w:customStyle="1" w:styleId="73">
    <w:name w:val="文档结构图 字符"/>
    <w:link w:val="15"/>
    <w:qFormat/>
    <w:uiPriority w:val="0"/>
    <w:rPr>
      <w:rFonts w:ascii="宋体" w:eastAsia="宋体"/>
      <w:sz w:val="18"/>
      <w:szCs w:val="18"/>
    </w:rPr>
  </w:style>
  <w:style w:type="character" w:customStyle="1" w:styleId="74">
    <w:name w:val="批注文字 字符"/>
    <w:basedOn w:val="57"/>
    <w:link w:val="17"/>
    <w:qFormat/>
    <w:uiPriority w:val="0"/>
  </w:style>
  <w:style w:type="character" w:customStyle="1" w:styleId="75">
    <w:name w:val="正文文本 3 字符"/>
    <w:basedOn w:val="57"/>
    <w:link w:val="19"/>
    <w:qFormat/>
    <w:uiPriority w:val="0"/>
    <w:rPr>
      <w:rFonts w:ascii="Times New Roman" w:hAnsi="Times New Roman"/>
      <w:kern w:val="2"/>
      <w:sz w:val="16"/>
      <w:szCs w:val="16"/>
    </w:rPr>
  </w:style>
  <w:style w:type="character" w:customStyle="1" w:styleId="76">
    <w:name w:val="正文文本 字符"/>
    <w:link w:val="21"/>
    <w:qFormat/>
    <w:uiPriority w:val="99"/>
    <w:rPr>
      <w:rFonts w:ascii="宋体" w:hAnsi="宋体"/>
      <w:sz w:val="24"/>
      <w:szCs w:val="24"/>
      <w:lang w:eastAsia="en-US"/>
    </w:rPr>
  </w:style>
  <w:style w:type="character" w:customStyle="1" w:styleId="77">
    <w:name w:val="正文文本缩进 字符"/>
    <w:basedOn w:val="57"/>
    <w:link w:val="22"/>
    <w:qFormat/>
    <w:uiPriority w:val="0"/>
  </w:style>
  <w:style w:type="character" w:customStyle="1" w:styleId="78">
    <w:name w:val="纯文本 字符"/>
    <w:basedOn w:val="57"/>
    <w:link w:val="27"/>
    <w:qFormat/>
    <w:uiPriority w:val="0"/>
    <w:rPr>
      <w:rFonts w:ascii="宋体" w:hAnsi="Courier New"/>
      <w:kern w:val="2"/>
      <w:sz w:val="24"/>
    </w:rPr>
  </w:style>
  <w:style w:type="character" w:customStyle="1" w:styleId="79">
    <w:name w:val="正文文本缩进 2 字符"/>
    <w:basedOn w:val="57"/>
    <w:link w:val="30"/>
    <w:qFormat/>
    <w:uiPriority w:val="0"/>
    <w:rPr>
      <w:rFonts w:ascii="仿宋体" w:hAnsi="Times New Roman" w:eastAsia="仿宋体"/>
      <w:b/>
      <w:bCs/>
      <w:kern w:val="2"/>
      <w:sz w:val="24"/>
      <w:szCs w:val="24"/>
    </w:rPr>
  </w:style>
  <w:style w:type="character" w:customStyle="1" w:styleId="80">
    <w:name w:val="批注框文本 字符"/>
    <w:link w:val="31"/>
    <w:qFormat/>
    <w:uiPriority w:val="99"/>
    <w:rPr>
      <w:sz w:val="18"/>
      <w:szCs w:val="18"/>
    </w:rPr>
  </w:style>
  <w:style w:type="character" w:customStyle="1" w:styleId="81">
    <w:name w:val="页脚 字符"/>
    <w:link w:val="32"/>
    <w:qFormat/>
    <w:uiPriority w:val="99"/>
    <w:rPr>
      <w:rFonts w:ascii="Calibri" w:hAnsi="Calibri"/>
      <w:sz w:val="18"/>
      <w:szCs w:val="18"/>
      <w:lang w:eastAsia="en-US"/>
    </w:rPr>
  </w:style>
  <w:style w:type="character" w:customStyle="1" w:styleId="82">
    <w:name w:val="页眉 字符"/>
    <w:link w:val="33"/>
    <w:qFormat/>
    <w:uiPriority w:val="99"/>
    <w:rPr>
      <w:sz w:val="18"/>
      <w:szCs w:val="18"/>
    </w:rPr>
  </w:style>
  <w:style w:type="character" w:customStyle="1" w:styleId="83">
    <w:name w:val="脚注文本 字符"/>
    <w:basedOn w:val="57"/>
    <w:link w:val="38"/>
    <w:semiHidden/>
    <w:qFormat/>
    <w:uiPriority w:val="0"/>
    <w:rPr>
      <w:rFonts w:ascii="Times New Roman" w:hAnsi="Times New Roman"/>
      <w:kern w:val="2"/>
      <w:sz w:val="18"/>
      <w:szCs w:val="18"/>
    </w:rPr>
  </w:style>
  <w:style w:type="character" w:customStyle="1" w:styleId="84">
    <w:name w:val="正文文本缩进 3 字符"/>
    <w:basedOn w:val="57"/>
    <w:link w:val="40"/>
    <w:qFormat/>
    <w:uiPriority w:val="0"/>
    <w:rPr>
      <w:rFonts w:ascii="Times New Roman" w:hAnsi="Times New Roman"/>
      <w:kern w:val="2"/>
      <w:sz w:val="16"/>
      <w:szCs w:val="16"/>
    </w:rPr>
  </w:style>
  <w:style w:type="character" w:customStyle="1" w:styleId="85">
    <w:name w:val="正文文本 2 字符1"/>
    <w:link w:val="44"/>
    <w:qFormat/>
    <w:uiPriority w:val="0"/>
    <w:rPr>
      <w:rFonts w:ascii="Times New Roman" w:hAnsi="Times New Roman"/>
      <w:kern w:val="2"/>
      <w:sz w:val="21"/>
      <w:szCs w:val="24"/>
    </w:rPr>
  </w:style>
  <w:style w:type="character" w:customStyle="1" w:styleId="86">
    <w:name w:val="普通(网站) 字符"/>
    <w:link w:val="46"/>
    <w:qFormat/>
    <w:uiPriority w:val="0"/>
    <w:rPr>
      <w:rFonts w:ascii="宋体" w:hAnsi="宋体"/>
      <w:sz w:val="24"/>
      <w:szCs w:val="24"/>
    </w:rPr>
  </w:style>
  <w:style w:type="character" w:customStyle="1" w:styleId="87">
    <w:name w:val="批注主题 字符"/>
    <w:link w:val="49"/>
    <w:qFormat/>
    <w:uiPriority w:val="99"/>
    <w:rPr>
      <w:b/>
      <w:bCs/>
    </w:rPr>
  </w:style>
  <w:style w:type="character" w:customStyle="1" w:styleId="88">
    <w:name w:val="正文首行缩进 2 字符"/>
    <w:basedOn w:val="77"/>
    <w:link w:val="51"/>
    <w:qFormat/>
    <w:uiPriority w:val="0"/>
    <w:rPr>
      <w:sz w:val="22"/>
      <w:szCs w:val="22"/>
      <w:lang w:eastAsia="en-US"/>
    </w:rPr>
  </w:style>
  <w:style w:type="table" w:customStyle="1" w:styleId="89">
    <w:name w:val="Table Normal"/>
    <w:unhideWhenUsed/>
    <w:qFormat/>
    <w:uiPriority w:val="0"/>
    <w:rPr>
      <w:sz w:val="22"/>
      <w:szCs w:val="22"/>
      <w:lang w:eastAsia="en-US"/>
    </w:rPr>
    <w:tblPr>
      <w:tblCellMar>
        <w:top w:w="0" w:type="dxa"/>
        <w:left w:w="0" w:type="dxa"/>
        <w:bottom w:w="0" w:type="dxa"/>
        <w:right w:w="0" w:type="dxa"/>
      </w:tblCellMar>
    </w:tblPr>
  </w:style>
  <w:style w:type="paragraph" w:customStyle="1" w:styleId="90">
    <w:name w:val="TOC 11"/>
    <w:basedOn w:val="1"/>
    <w:qFormat/>
    <w:uiPriority w:val="39"/>
    <w:pPr>
      <w:widowControl/>
      <w:spacing w:before="102"/>
      <w:jc w:val="left"/>
    </w:pPr>
    <w:rPr>
      <w:rFonts w:ascii="宋体" w:hAnsi="宋体" w:cs="Times New Roman"/>
      <w:b/>
      <w:bCs/>
      <w:kern w:val="0"/>
      <w:sz w:val="20"/>
      <w:szCs w:val="20"/>
      <w:lang w:eastAsia="en-US"/>
    </w:rPr>
  </w:style>
  <w:style w:type="paragraph" w:customStyle="1" w:styleId="91">
    <w:name w:val="TOC 21"/>
    <w:basedOn w:val="1"/>
    <w:qFormat/>
    <w:uiPriority w:val="39"/>
    <w:pPr>
      <w:widowControl/>
      <w:ind w:left="387"/>
      <w:jc w:val="left"/>
    </w:pPr>
    <w:rPr>
      <w:rFonts w:ascii="宋体" w:hAnsi="宋体" w:cs="Times New Roman"/>
      <w:kern w:val="0"/>
      <w:sz w:val="20"/>
      <w:szCs w:val="20"/>
      <w:lang w:eastAsia="en-US"/>
    </w:rPr>
  </w:style>
  <w:style w:type="paragraph" w:customStyle="1" w:styleId="92">
    <w:name w:val="图片居中"/>
    <w:link w:val="602"/>
    <w:qFormat/>
    <w:uiPriority w:val="0"/>
    <w:pPr>
      <w:adjustRightInd w:val="0"/>
      <w:snapToGrid w:val="0"/>
      <w:jc w:val="center"/>
    </w:pPr>
    <w:rPr>
      <w:rFonts w:ascii="Times New Roman" w:hAnsi="Times New Roman" w:eastAsia="Times New Roman" w:cs="Times New Roman"/>
      <w:sz w:val="29"/>
      <w:szCs w:val="29"/>
      <w:lang w:val="en-US" w:eastAsia="en-US" w:bidi="ar-SA"/>
    </w:rPr>
  </w:style>
  <w:style w:type="paragraph" w:customStyle="1" w:styleId="93">
    <w:name w:val="标题 21"/>
    <w:basedOn w:val="1"/>
    <w:qFormat/>
    <w:uiPriority w:val="1"/>
    <w:pPr>
      <w:widowControl/>
      <w:spacing w:before="13"/>
      <w:ind w:left="138"/>
      <w:jc w:val="left"/>
      <w:outlineLvl w:val="2"/>
    </w:pPr>
    <w:rPr>
      <w:rFonts w:ascii="黑体" w:hAnsi="黑体" w:eastAsia="黑体" w:cs="Times New Roman"/>
      <w:kern w:val="0"/>
      <w:sz w:val="28"/>
      <w:szCs w:val="28"/>
      <w:lang w:eastAsia="en-US"/>
    </w:rPr>
  </w:style>
  <w:style w:type="paragraph" w:customStyle="1" w:styleId="94">
    <w:name w:val="标题 31"/>
    <w:basedOn w:val="1"/>
    <w:qFormat/>
    <w:uiPriority w:val="1"/>
    <w:pPr>
      <w:widowControl/>
      <w:spacing w:before="134"/>
      <w:ind w:left="620"/>
      <w:jc w:val="left"/>
      <w:outlineLvl w:val="3"/>
    </w:pPr>
    <w:rPr>
      <w:rFonts w:ascii="宋体" w:hAnsi="宋体" w:cs="Times New Roman"/>
      <w:b/>
      <w:bCs/>
      <w:kern w:val="0"/>
      <w:szCs w:val="24"/>
      <w:lang w:eastAsia="en-US"/>
    </w:rPr>
  </w:style>
  <w:style w:type="paragraph" w:styleId="95">
    <w:name w:val="List Paragraph"/>
    <w:basedOn w:val="1"/>
    <w:qFormat/>
    <w:uiPriority w:val="34"/>
    <w:pPr>
      <w:widowControl/>
      <w:spacing w:before="120" w:beforeLines="50"/>
      <w:ind w:firstLine="0" w:firstLineChars="0"/>
      <w:jc w:val="center"/>
    </w:pPr>
    <w:rPr>
      <w:rFonts w:cs="Times New Roman"/>
      <w:color w:val="000000" w:themeColor="text1"/>
      <w:szCs w:val="24"/>
      <w14:textFill>
        <w14:solidFill>
          <w14:schemeClr w14:val="tx1"/>
        </w14:solidFill>
      </w14:textFill>
    </w:rPr>
  </w:style>
  <w:style w:type="paragraph" w:customStyle="1" w:styleId="96">
    <w:name w:val="Table Paragraph"/>
    <w:basedOn w:val="1"/>
    <w:qFormat/>
    <w:uiPriority w:val="1"/>
    <w:pPr>
      <w:widowControl/>
      <w:jc w:val="left"/>
    </w:pPr>
    <w:rPr>
      <w:rFonts w:ascii="Calibri" w:hAnsi="Calibri" w:cs="Times New Roman"/>
      <w:kern w:val="0"/>
      <w:sz w:val="22"/>
      <w:lang w:eastAsia="en-US"/>
    </w:rPr>
  </w:style>
  <w:style w:type="paragraph" w:customStyle="1" w:styleId="97">
    <w:name w:val="TOC 31"/>
    <w:basedOn w:val="1"/>
    <w:qFormat/>
    <w:uiPriority w:val="39"/>
    <w:pPr>
      <w:widowControl/>
      <w:spacing w:before="147"/>
      <w:ind w:left="638"/>
      <w:jc w:val="left"/>
    </w:pPr>
    <w:rPr>
      <w:rFonts w:ascii="宋体" w:hAnsi="宋体" w:cs="Times New Roman"/>
      <w:b/>
      <w:bCs/>
      <w:kern w:val="0"/>
      <w:szCs w:val="24"/>
      <w:lang w:eastAsia="en-US"/>
    </w:rPr>
  </w:style>
  <w:style w:type="table" w:customStyle="1" w:styleId="98">
    <w:name w:val="Table Normal1"/>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99">
    <w:name w:val="Table Normal2"/>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0">
    <w:name w:val="Table Normal3"/>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1">
    <w:name w:val="Table Normal4"/>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2">
    <w:name w:val="Table Normal5"/>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3">
    <w:name w:val="Table Normal6"/>
    <w:semiHidden/>
    <w:unhideWhenUsed/>
    <w:qFormat/>
    <w:uiPriority w:val="2"/>
    <w:pPr>
      <w:widowControl w:val="0"/>
    </w:pPr>
    <w:rPr>
      <w:sz w:val="22"/>
      <w:szCs w:val="22"/>
      <w:lang w:eastAsia="en-US"/>
    </w:rPr>
    <w:tblPr>
      <w:tblCellMar>
        <w:top w:w="0" w:type="dxa"/>
        <w:left w:w="0" w:type="dxa"/>
        <w:bottom w:w="0" w:type="dxa"/>
        <w:right w:w="0" w:type="dxa"/>
      </w:tblCellMar>
    </w:tblPr>
  </w:style>
  <w:style w:type="paragraph" w:customStyle="1" w:styleId="104">
    <w:name w:val="TOC 标题1"/>
    <w:basedOn w:val="2"/>
    <w:next w:val="1"/>
    <w:unhideWhenUsed/>
    <w:qFormat/>
    <w:uiPriority w:val="39"/>
    <w:pPr>
      <w:spacing w:before="480" w:after="0" w:line="276" w:lineRule="auto"/>
      <w:outlineLvl w:val="9"/>
    </w:pPr>
    <w:rPr>
      <w:rFonts w:ascii="Cambria" w:hAnsi="Cambria"/>
      <w:color w:val="365F91"/>
      <w:kern w:val="0"/>
      <w:szCs w:val="28"/>
    </w:rPr>
  </w:style>
  <w:style w:type="table" w:customStyle="1" w:styleId="105">
    <w:name w:val="Table Normal7"/>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6">
    <w:name w:val="Table Normal8"/>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7">
    <w:name w:val="Table Normal9"/>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8">
    <w:name w:val="Table Normal10"/>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9">
    <w:name w:val="Table Normal11"/>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0">
    <w:name w:val="Table Normal12"/>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1">
    <w:name w:val="Table Normal13"/>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2">
    <w:name w:val="Table Normal14"/>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3">
    <w:name w:val="Table Normal15"/>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4">
    <w:name w:val="Table Normal16"/>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5">
    <w:name w:val="Table Normal17"/>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6">
    <w:name w:val="Table Normal18"/>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7">
    <w:name w:val="Table Normal19"/>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8">
    <w:name w:val="Table Normal20"/>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9">
    <w:name w:val="Table Normal21"/>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20">
    <w:name w:val="Table Normal22"/>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21">
    <w:name w:val="Table Normal23"/>
    <w:semiHidden/>
    <w:unhideWhenUsed/>
    <w:qFormat/>
    <w:uiPriority w:val="2"/>
    <w:pPr>
      <w:widowControl w:val="0"/>
    </w:pPr>
    <w:rPr>
      <w:sz w:val="22"/>
      <w:szCs w:val="22"/>
      <w:lang w:eastAsia="en-US"/>
    </w:rPr>
    <w:tblPr>
      <w:tblCellMar>
        <w:top w:w="0" w:type="dxa"/>
        <w:left w:w="0" w:type="dxa"/>
        <w:bottom w:w="0" w:type="dxa"/>
        <w:right w:w="0" w:type="dxa"/>
      </w:tblCellMar>
    </w:tblPr>
  </w:style>
  <w:style w:type="paragraph" w:customStyle="1" w:styleId="122">
    <w:name w:val="0正文"/>
    <w:basedOn w:val="1"/>
    <w:link w:val="123"/>
    <w:qFormat/>
    <w:uiPriority w:val="0"/>
    <w:pPr>
      <w:ind w:firstLine="480"/>
    </w:pPr>
    <w:rPr>
      <w:rFonts w:cs="Times New Roman"/>
      <w:szCs w:val="24"/>
    </w:rPr>
  </w:style>
  <w:style w:type="character" w:customStyle="1" w:styleId="123">
    <w:name w:val="0正文 Char"/>
    <w:link w:val="122"/>
    <w:qFormat/>
    <w:uiPriority w:val="0"/>
    <w:rPr>
      <w:rFonts w:ascii="Times New Roman" w:hAnsi="Times New Roman"/>
      <w:kern w:val="2"/>
      <w:sz w:val="24"/>
      <w:szCs w:val="24"/>
    </w:rPr>
  </w:style>
  <w:style w:type="paragraph" w:customStyle="1" w:styleId="124">
    <w:name w:val="0表/图标题"/>
    <w:basedOn w:val="122"/>
    <w:link w:val="125"/>
    <w:qFormat/>
    <w:uiPriority w:val="0"/>
    <w:pPr>
      <w:spacing w:line="240" w:lineRule="auto"/>
      <w:ind w:firstLine="0" w:firstLineChars="0"/>
      <w:jc w:val="center"/>
    </w:pPr>
    <w:rPr>
      <w:b/>
      <w:sz w:val="21"/>
    </w:rPr>
  </w:style>
  <w:style w:type="character" w:customStyle="1" w:styleId="125">
    <w:name w:val="0表/图标题 Char"/>
    <w:link w:val="124"/>
    <w:qFormat/>
    <w:uiPriority w:val="0"/>
    <w:rPr>
      <w:rFonts w:ascii="Times New Roman" w:hAnsi="Times New Roman"/>
      <w:b/>
      <w:kern w:val="2"/>
      <w:sz w:val="21"/>
      <w:szCs w:val="24"/>
    </w:rPr>
  </w:style>
  <w:style w:type="paragraph" w:customStyle="1" w:styleId="126">
    <w:name w:val="0 表格"/>
    <w:basedOn w:val="122"/>
    <w:link w:val="127"/>
    <w:qFormat/>
    <w:uiPriority w:val="0"/>
    <w:pPr>
      <w:spacing w:line="240" w:lineRule="auto"/>
      <w:ind w:firstLine="0" w:firstLineChars="0"/>
      <w:jc w:val="center"/>
    </w:pPr>
    <w:rPr>
      <w:sz w:val="21"/>
      <w:szCs w:val="21"/>
    </w:rPr>
  </w:style>
  <w:style w:type="character" w:customStyle="1" w:styleId="127">
    <w:name w:val="0 表格 Char"/>
    <w:link w:val="126"/>
    <w:qFormat/>
    <w:uiPriority w:val="0"/>
    <w:rPr>
      <w:rFonts w:ascii="Times New Roman" w:hAnsi="Times New Roman"/>
      <w:kern w:val="2"/>
      <w:sz w:val="21"/>
      <w:szCs w:val="21"/>
    </w:rPr>
  </w:style>
  <w:style w:type="character" w:customStyle="1" w:styleId="128">
    <w:name w:val="未处理的提及1"/>
    <w:semiHidden/>
    <w:unhideWhenUsed/>
    <w:qFormat/>
    <w:uiPriority w:val="99"/>
    <w:rPr>
      <w:color w:val="605E5C"/>
      <w:shd w:val="clear" w:color="auto" w:fill="E1DFDD"/>
    </w:rPr>
  </w:style>
  <w:style w:type="paragraph" w:customStyle="1" w:styleId="129">
    <w:name w:val="4"/>
    <w:basedOn w:val="1"/>
    <w:qFormat/>
    <w:uiPriority w:val="0"/>
    <w:rPr>
      <w:rFonts w:cs="Times New Roman"/>
      <w:szCs w:val="20"/>
    </w:rPr>
  </w:style>
  <w:style w:type="paragraph" w:customStyle="1" w:styleId="130">
    <w:name w:val="小表文居中"/>
    <w:basedOn w:val="1"/>
    <w:qFormat/>
    <w:uiPriority w:val="0"/>
    <w:pPr>
      <w:spacing w:before="20"/>
      <w:jc w:val="center"/>
    </w:pPr>
    <w:rPr>
      <w:rFonts w:cs="Times New Roman"/>
      <w:sz w:val="18"/>
      <w:szCs w:val="24"/>
    </w:rPr>
  </w:style>
  <w:style w:type="character" w:customStyle="1" w:styleId="131">
    <w:name w:val="报告书正文 Char"/>
    <w:basedOn w:val="57"/>
    <w:link w:val="132"/>
    <w:qFormat/>
    <w:uiPriority w:val="0"/>
    <w:rPr>
      <w:kern w:val="2"/>
      <w:sz w:val="24"/>
    </w:rPr>
  </w:style>
  <w:style w:type="paragraph" w:customStyle="1" w:styleId="132">
    <w:name w:val="报告书正文"/>
    <w:basedOn w:val="1"/>
    <w:link w:val="131"/>
    <w:qFormat/>
    <w:uiPriority w:val="0"/>
    <w:pPr>
      <w:spacing w:line="300" w:lineRule="auto"/>
    </w:pPr>
    <w:rPr>
      <w:rFonts w:ascii="Calibri" w:hAnsi="Calibri" w:cs="Times New Roman"/>
      <w:szCs w:val="20"/>
    </w:rPr>
  </w:style>
  <w:style w:type="paragraph" w:customStyle="1" w:styleId="133">
    <w:name w:val="样式2"/>
    <w:basedOn w:val="1"/>
    <w:link w:val="335"/>
    <w:qFormat/>
    <w:uiPriority w:val="0"/>
    <w:pPr>
      <w:tabs>
        <w:tab w:val="left" w:pos="1935"/>
      </w:tabs>
      <w:jc w:val="left"/>
    </w:pPr>
    <w:rPr>
      <w:rFonts w:cs="Times New Roman"/>
      <w:color w:val="000000"/>
      <w:sz w:val="28"/>
      <w:szCs w:val="28"/>
      <w:lang w:val="zh-CN"/>
    </w:rPr>
  </w:style>
  <w:style w:type="paragraph" w:customStyle="1" w:styleId="134">
    <w:name w:val="样式4"/>
    <w:basedOn w:val="133"/>
    <w:link w:val="383"/>
    <w:qFormat/>
    <w:uiPriority w:val="0"/>
    <w:pPr>
      <w:tabs>
        <w:tab w:val="left" w:pos="567"/>
      </w:tabs>
      <w:ind w:firstLine="480"/>
      <w:jc w:val="both"/>
    </w:pPr>
    <w:rPr>
      <w:bCs/>
      <w:color w:val="auto"/>
      <w:sz w:val="24"/>
      <w:szCs w:val="24"/>
    </w:rPr>
  </w:style>
  <w:style w:type="paragraph" w:customStyle="1" w:styleId="135">
    <w:name w:val="Default"/>
    <w:next w:val="136"/>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136">
    <w:name w:val="样式 样式 首行缩进:  2 字符 + 首行缩进:  2 字符"/>
    <w:basedOn w:val="1"/>
    <w:next w:val="34"/>
    <w:qFormat/>
    <w:uiPriority w:val="0"/>
    <w:pPr>
      <w:ind w:firstLine="560"/>
    </w:pPr>
    <w:rPr>
      <w:rFonts w:cs="Times New Roman"/>
      <w:sz w:val="28"/>
      <w:szCs w:val="24"/>
    </w:rPr>
  </w:style>
  <w:style w:type="paragraph" w:customStyle="1" w:styleId="137">
    <w:name w:val="表ma"/>
    <w:basedOn w:val="1"/>
    <w:qFormat/>
    <w:uiPriority w:val="0"/>
    <w:pPr>
      <w:widowControl/>
    </w:pPr>
    <w:rPr>
      <w:rFonts w:cs="Times New Roman"/>
      <w:kern w:val="0"/>
      <w:szCs w:val="20"/>
    </w:rPr>
  </w:style>
  <w:style w:type="paragraph" w:customStyle="1" w:styleId="138">
    <w:name w:val="小表文"/>
    <w:basedOn w:val="1"/>
    <w:qFormat/>
    <w:uiPriority w:val="0"/>
    <w:pPr>
      <w:spacing w:before="20"/>
    </w:pPr>
    <w:rPr>
      <w:rFonts w:cs="Times New Roman"/>
      <w:sz w:val="18"/>
      <w:szCs w:val="24"/>
    </w:rPr>
  </w:style>
  <w:style w:type="paragraph" w:customStyle="1" w:styleId="139">
    <w:name w:val="最新表格"/>
    <w:basedOn w:val="1"/>
    <w:qFormat/>
    <w:uiPriority w:val="0"/>
    <w:pPr>
      <w:jc w:val="center"/>
    </w:pPr>
    <w:rPr>
      <w:rFonts w:cs="Times New Roman"/>
      <w:szCs w:val="21"/>
    </w:rPr>
  </w:style>
  <w:style w:type="paragraph" w:customStyle="1" w:styleId="140">
    <w:name w:val="表文"/>
    <w:basedOn w:val="1"/>
    <w:link w:val="141"/>
    <w:qFormat/>
    <w:uiPriority w:val="0"/>
    <w:pPr>
      <w:spacing w:before="20"/>
      <w:jc w:val="center"/>
    </w:pPr>
    <w:rPr>
      <w:rFonts w:cs="Times New Roman"/>
      <w:bCs/>
      <w:sz w:val="18"/>
      <w:szCs w:val="24"/>
    </w:rPr>
  </w:style>
  <w:style w:type="character" w:customStyle="1" w:styleId="141">
    <w:name w:val="表文 Char"/>
    <w:link w:val="140"/>
    <w:qFormat/>
    <w:uiPriority w:val="0"/>
    <w:rPr>
      <w:rFonts w:ascii="Times New Roman" w:hAnsi="Times New Roman"/>
      <w:bCs/>
      <w:kern w:val="2"/>
      <w:sz w:val="18"/>
      <w:szCs w:val="24"/>
    </w:rPr>
  </w:style>
  <w:style w:type="paragraph" w:customStyle="1" w:styleId="142">
    <w:name w:val="表号"/>
    <w:basedOn w:val="1"/>
    <w:link w:val="353"/>
    <w:qFormat/>
    <w:uiPriority w:val="0"/>
    <w:pPr>
      <w:overflowPunct w:val="0"/>
      <w:ind w:firstLine="113"/>
      <w:outlineLvl w:val="6"/>
    </w:pPr>
    <w:rPr>
      <w:rFonts w:cs="Times New Roman"/>
      <w:szCs w:val="24"/>
    </w:rPr>
  </w:style>
  <w:style w:type="paragraph" w:customStyle="1" w:styleId="143">
    <w:name w:val="G（正文）"/>
    <w:basedOn w:val="21"/>
    <w:qFormat/>
    <w:uiPriority w:val="0"/>
    <w:pPr>
      <w:widowControl w:val="0"/>
      <w:tabs>
        <w:tab w:val="left" w:pos="4530"/>
      </w:tabs>
      <w:spacing w:before="0" w:line="480" w:lineRule="exact"/>
      <w:ind w:left="0"/>
      <w:jc w:val="both"/>
    </w:pPr>
    <w:rPr>
      <w:rFonts w:ascii="Times New Roman" w:hAnsi="Times New Roman"/>
      <w:kern w:val="2"/>
      <w:sz w:val="28"/>
      <w:szCs w:val="28"/>
      <w:lang w:eastAsia="zh-CN"/>
    </w:rPr>
  </w:style>
  <w:style w:type="paragraph" w:customStyle="1" w:styleId="144">
    <w:name w:val="！表head"/>
    <w:basedOn w:val="1"/>
    <w:qFormat/>
    <w:uiPriority w:val="0"/>
    <w:pPr>
      <w:ind w:left="-100" w:leftChars="-50"/>
    </w:pPr>
    <w:rPr>
      <w:rFonts w:ascii="宋体" w:hAnsi="宋体" w:eastAsia="黑体" w:cs="宋体"/>
      <w:color w:val="000000"/>
      <w:kern w:val="0"/>
      <w:szCs w:val="20"/>
    </w:rPr>
  </w:style>
  <w:style w:type="paragraph" w:customStyle="1" w:styleId="145">
    <w:name w:val="p0"/>
    <w:basedOn w:val="1"/>
    <w:qFormat/>
    <w:uiPriority w:val="0"/>
    <w:pPr>
      <w:widowControl/>
    </w:pPr>
    <w:rPr>
      <w:rFonts w:cs="Times New Roman"/>
      <w:szCs w:val="21"/>
    </w:rPr>
  </w:style>
  <w:style w:type="paragraph" w:customStyle="1" w:styleId="146">
    <w:name w:val="表名"/>
    <w:basedOn w:val="1"/>
    <w:qFormat/>
    <w:uiPriority w:val="0"/>
    <w:pPr>
      <w:spacing w:before="163"/>
      <w:jc w:val="center"/>
    </w:pPr>
    <w:rPr>
      <w:rFonts w:ascii="Arial" w:hAnsi="Arial" w:eastAsia="黑体" w:cs="Times New Roman"/>
      <w:szCs w:val="24"/>
    </w:rPr>
  </w:style>
  <w:style w:type="paragraph" w:customStyle="1" w:styleId="147">
    <w:name w:val="z-窗体顶端1"/>
    <w:basedOn w:val="1"/>
    <w:link w:val="148"/>
    <w:qFormat/>
    <w:uiPriority w:val="0"/>
    <w:pPr>
      <w:spacing w:line="500" w:lineRule="exact"/>
      <w:ind w:firstLine="420"/>
    </w:pPr>
    <w:rPr>
      <w:rFonts w:ascii="Calibri" w:hAnsi="Calibri" w:eastAsia="仿宋_GB2312" w:cs="Times New Roman"/>
      <w:sz w:val="28"/>
    </w:rPr>
  </w:style>
  <w:style w:type="character" w:customStyle="1" w:styleId="148">
    <w:name w:val="z-窗体顶端 字符"/>
    <w:basedOn w:val="57"/>
    <w:link w:val="147"/>
    <w:qFormat/>
    <w:uiPriority w:val="0"/>
    <w:rPr>
      <w:rFonts w:eastAsia="仿宋_GB2312"/>
      <w:kern w:val="2"/>
      <w:sz w:val="28"/>
      <w:szCs w:val="22"/>
    </w:rPr>
  </w:style>
  <w:style w:type="paragraph" w:customStyle="1" w:styleId="149">
    <w:name w:val="表左对齐"/>
    <w:basedOn w:val="137"/>
    <w:qFormat/>
    <w:uiPriority w:val="0"/>
    <w:pPr>
      <w:widowControl w:val="0"/>
      <w:jc w:val="left"/>
    </w:pPr>
    <w:rPr>
      <w:rFonts w:cs="宋体"/>
      <w:sz w:val="21"/>
    </w:rPr>
  </w:style>
  <w:style w:type="paragraph" w:customStyle="1" w:styleId="150">
    <w:name w:val="首行缩进:2 字符"/>
    <w:basedOn w:val="1"/>
    <w:qFormat/>
    <w:uiPriority w:val="0"/>
    <w:pPr>
      <w:ind w:firstLine="560"/>
    </w:pPr>
    <w:rPr>
      <w:rFonts w:cs="Times New Roman"/>
      <w:sz w:val="28"/>
      <w:szCs w:val="20"/>
    </w:rPr>
  </w:style>
  <w:style w:type="paragraph" w:customStyle="1" w:styleId="151">
    <w:name w:val="xl30"/>
    <w:basedOn w:val="1"/>
    <w:qFormat/>
    <w:uiPriority w:val="0"/>
    <w:pPr>
      <w:widowControl/>
      <w:spacing w:before="100" w:beforeAutospacing="1" w:after="100" w:afterAutospacing="1"/>
      <w:jc w:val="center"/>
      <w:textAlignment w:val="center"/>
    </w:pPr>
    <w:rPr>
      <w:rFonts w:ascii="Arial Unicode MS" w:hAnsi="Arial Unicode MS" w:eastAsia="Arial Unicode MS" w:cs="Arial Unicode MS"/>
      <w:szCs w:val="21"/>
    </w:rPr>
  </w:style>
  <w:style w:type="paragraph" w:customStyle="1" w:styleId="152">
    <w:name w:val="正文(小)"/>
    <w:basedOn w:val="1"/>
    <w:qFormat/>
    <w:uiPriority w:val="0"/>
    <w:pPr>
      <w:spacing w:before="20"/>
    </w:pPr>
    <w:rPr>
      <w:rFonts w:cs="Times New Roman"/>
      <w:sz w:val="18"/>
      <w:szCs w:val="24"/>
    </w:rPr>
  </w:style>
  <w:style w:type="paragraph" w:customStyle="1" w:styleId="153">
    <w:name w:val="HH"/>
    <w:basedOn w:val="1"/>
    <w:qFormat/>
    <w:uiPriority w:val="0"/>
    <w:pPr>
      <w:ind w:firstLine="480"/>
    </w:pPr>
    <w:rPr>
      <w:rFonts w:cs="宋体"/>
      <w:szCs w:val="24"/>
    </w:rPr>
  </w:style>
  <w:style w:type="paragraph" w:customStyle="1" w:styleId="154">
    <w:name w:val="标题4"/>
    <w:basedOn w:val="5"/>
    <w:qFormat/>
    <w:uiPriority w:val="0"/>
  </w:style>
  <w:style w:type="table" w:customStyle="1" w:styleId="155">
    <w:name w:val="报告表格式新建"/>
    <w:basedOn w:val="52"/>
    <w:qFormat/>
    <w:uiPriority w:val="99"/>
    <w:pPr>
      <w:jc w:val="center"/>
    </w:pPr>
    <w:rPr>
      <w:sz w:val="18"/>
    </w:rPr>
    <w:tblPr>
      <w:tblBorders>
        <w:top w:val="single" w:color="auto" w:sz="12" w:space="0"/>
        <w:bottom w:val="single" w:color="auto" w:sz="12" w:space="0"/>
        <w:insideH w:val="single" w:color="auto" w:sz="8" w:space="0"/>
        <w:insideV w:val="single" w:color="auto" w:sz="8" w:space="0"/>
      </w:tblBorders>
    </w:tblPr>
    <w:tcPr>
      <w:vAlign w:val="center"/>
    </w:tcPr>
  </w:style>
  <w:style w:type="paragraph" w:customStyle="1" w:styleId="156">
    <w:name w:val="报告表格内容"/>
    <w:basedOn w:val="1"/>
    <w:next w:val="1"/>
    <w:qFormat/>
    <w:uiPriority w:val="0"/>
    <w:pPr>
      <w:autoSpaceDE w:val="0"/>
      <w:autoSpaceDN w:val="0"/>
      <w:jc w:val="center"/>
      <w:textAlignment w:val="bottom"/>
    </w:pPr>
    <w:rPr>
      <w:rFonts w:cs="Times New Roman"/>
      <w:kern w:val="0"/>
      <w:szCs w:val="20"/>
    </w:rPr>
  </w:style>
  <w:style w:type="paragraph" w:customStyle="1" w:styleId="157">
    <w:name w:val="空行样式"/>
    <w:basedOn w:val="1"/>
    <w:next w:val="1"/>
    <w:qFormat/>
    <w:uiPriority w:val="0"/>
    <w:rPr>
      <w:rFonts w:cs="Times New Roman"/>
      <w:szCs w:val="20"/>
    </w:rPr>
  </w:style>
  <w:style w:type="character" w:customStyle="1" w:styleId="158">
    <w:name w:val="样式7 Char"/>
    <w:link w:val="159"/>
    <w:qFormat/>
    <w:uiPriority w:val="0"/>
    <w:rPr>
      <w:kern w:val="2"/>
      <w:sz w:val="26"/>
      <w:szCs w:val="26"/>
    </w:rPr>
  </w:style>
  <w:style w:type="paragraph" w:customStyle="1" w:styleId="159">
    <w:name w:val="样式7"/>
    <w:basedOn w:val="1"/>
    <w:link w:val="158"/>
    <w:qFormat/>
    <w:uiPriority w:val="0"/>
    <w:pPr>
      <w:widowControl/>
      <w:spacing w:line="480" w:lineRule="exact"/>
      <w:jc w:val="center"/>
    </w:pPr>
    <w:rPr>
      <w:rFonts w:ascii="Calibri" w:hAnsi="Calibri" w:cs="Times New Roman"/>
      <w:sz w:val="26"/>
      <w:szCs w:val="26"/>
    </w:rPr>
  </w:style>
  <w:style w:type="paragraph" w:customStyle="1" w:styleId="160">
    <w:name w:val="表格样式"/>
    <w:basedOn w:val="1"/>
    <w:qFormat/>
    <w:uiPriority w:val="0"/>
    <w:pPr>
      <w:jc w:val="center"/>
      <w:textAlignment w:val="center"/>
    </w:pPr>
    <w:rPr>
      <w:rFonts w:cs="Times New Roman"/>
      <w:sz w:val="28"/>
      <w:szCs w:val="24"/>
    </w:rPr>
  </w:style>
  <w:style w:type="paragraph" w:customStyle="1" w:styleId="161">
    <w:name w:val="图标题11"/>
    <w:basedOn w:val="1"/>
    <w:next w:val="1"/>
    <w:link w:val="162"/>
    <w:qFormat/>
    <w:uiPriority w:val="99"/>
    <w:pPr>
      <w:ind w:firstLine="0" w:firstLineChars="0"/>
      <w:jc w:val="center"/>
    </w:pPr>
    <w:rPr>
      <w:rFonts w:eastAsia="黑体" w:cs="Times New Roman"/>
      <w:sz w:val="21"/>
      <w:szCs w:val="28"/>
    </w:rPr>
  </w:style>
  <w:style w:type="character" w:customStyle="1" w:styleId="162">
    <w:name w:val="图标题11 字符"/>
    <w:basedOn w:val="57"/>
    <w:link w:val="161"/>
    <w:qFormat/>
    <w:uiPriority w:val="99"/>
    <w:rPr>
      <w:rFonts w:eastAsia="黑体"/>
      <w:kern w:val="2"/>
      <w:sz w:val="21"/>
      <w:szCs w:val="28"/>
    </w:rPr>
  </w:style>
  <w:style w:type="paragraph" w:styleId="163">
    <w:name w:val="No Spacing"/>
    <w:basedOn w:val="1"/>
    <w:next w:val="1"/>
    <w:link w:val="164"/>
    <w:qFormat/>
    <w:uiPriority w:val="99"/>
    <w:pPr>
      <w:spacing w:line="240" w:lineRule="exact"/>
      <w:jc w:val="center"/>
    </w:pPr>
    <w:rPr>
      <w:rFonts w:eastAsia="仿宋_GB2312" w:cs="Times New Roman"/>
      <w:sz w:val="18"/>
      <w:szCs w:val="28"/>
    </w:rPr>
  </w:style>
  <w:style w:type="character" w:customStyle="1" w:styleId="164">
    <w:name w:val="无间隔 字符"/>
    <w:basedOn w:val="57"/>
    <w:link w:val="163"/>
    <w:qFormat/>
    <w:uiPriority w:val="1"/>
    <w:rPr>
      <w:rFonts w:ascii="Times New Roman" w:hAnsi="Times New Roman" w:eastAsia="仿宋_GB2312"/>
      <w:kern w:val="2"/>
      <w:sz w:val="18"/>
      <w:szCs w:val="28"/>
    </w:rPr>
  </w:style>
  <w:style w:type="table" w:customStyle="1" w:styleId="165">
    <w:name w:val="基本表"/>
    <w:basedOn w:val="52"/>
    <w:qFormat/>
    <w:uiPriority w:val="99"/>
    <w:pPr>
      <w:spacing w:line="240" w:lineRule="atLeast"/>
      <w:jc w:val="center"/>
    </w:pPr>
    <w:rPr>
      <w:rFonts w:cstheme="minorBidi"/>
      <w:kern w:val="2"/>
      <w:sz w:val="18"/>
      <w:szCs w:val="2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left w:w="0" w:type="dxa"/>
        <w:right w:w="0" w:type="dxa"/>
      </w:tblCellMar>
    </w:tblPr>
    <w:tcPr>
      <w:vAlign w:val="center"/>
    </w:tcPr>
  </w:style>
  <w:style w:type="paragraph" w:customStyle="1" w:styleId="166">
    <w:name w:val="表头"/>
    <w:basedOn w:val="1"/>
    <w:link w:val="167"/>
    <w:qFormat/>
    <w:uiPriority w:val="0"/>
    <w:pPr>
      <w:spacing w:before="50" w:beforeLines="50"/>
      <w:jc w:val="center"/>
    </w:pPr>
    <w:rPr>
      <w:rFonts w:cs="Times New Roman"/>
      <w:b/>
      <w:szCs w:val="21"/>
    </w:rPr>
  </w:style>
  <w:style w:type="character" w:customStyle="1" w:styleId="167">
    <w:name w:val="表头 Char Char"/>
    <w:link w:val="166"/>
    <w:qFormat/>
    <w:uiPriority w:val="0"/>
    <w:rPr>
      <w:rFonts w:ascii="Times New Roman" w:hAnsi="Times New Roman"/>
      <w:b/>
      <w:kern w:val="2"/>
      <w:sz w:val="21"/>
      <w:szCs w:val="21"/>
    </w:rPr>
  </w:style>
  <w:style w:type="paragraph" w:customStyle="1" w:styleId="168">
    <w:name w:val="表格内文字"/>
    <w:basedOn w:val="1"/>
    <w:qFormat/>
    <w:uiPriority w:val="0"/>
    <w:pPr>
      <w:jc w:val="center"/>
    </w:pPr>
    <w:rPr>
      <w:rFonts w:cs="Times New Roman"/>
      <w:szCs w:val="21"/>
    </w:rPr>
  </w:style>
  <w:style w:type="character" w:customStyle="1" w:styleId="169">
    <w:name w:val="未处理的提及2"/>
    <w:basedOn w:val="57"/>
    <w:semiHidden/>
    <w:unhideWhenUsed/>
    <w:qFormat/>
    <w:uiPriority w:val="99"/>
    <w:rPr>
      <w:color w:val="605E5C"/>
      <w:shd w:val="clear" w:color="auto" w:fill="E1DFDD"/>
    </w:rPr>
  </w:style>
  <w:style w:type="paragraph" w:customStyle="1" w:styleId="170">
    <w:name w:val="段落 Char"/>
    <w:basedOn w:val="1"/>
    <w:qFormat/>
    <w:uiPriority w:val="0"/>
    <w:pPr>
      <w:topLinePunct/>
    </w:pPr>
    <w:rPr>
      <w:rFonts w:cs="Times New Roman"/>
      <w:szCs w:val="24"/>
    </w:rPr>
  </w:style>
  <w:style w:type="character" w:customStyle="1" w:styleId="171">
    <w:name w:val="纯文本 Char"/>
    <w:qFormat/>
    <w:uiPriority w:val="0"/>
    <w:rPr>
      <w:rFonts w:ascii="宋体" w:hAnsi="Courier New" w:cs="Courier New"/>
      <w:kern w:val="2"/>
      <w:sz w:val="21"/>
      <w:szCs w:val="21"/>
    </w:rPr>
  </w:style>
  <w:style w:type="character" w:customStyle="1" w:styleId="172">
    <w:name w:val="description"/>
    <w:basedOn w:val="57"/>
    <w:qFormat/>
    <w:uiPriority w:val="0"/>
  </w:style>
  <w:style w:type="character" w:customStyle="1" w:styleId="173">
    <w:name w:val="样式 宋体 小三 加粗"/>
    <w:qFormat/>
    <w:uiPriority w:val="0"/>
    <w:rPr>
      <w:rFonts w:ascii="宋体" w:hAnsi="宋体" w:eastAsia="黑体"/>
      <w:b/>
      <w:bCs/>
      <w:spacing w:val="6"/>
      <w:kern w:val="2"/>
      <w:position w:val="10"/>
      <w:sz w:val="30"/>
      <w:lang w:val="en-US" w:eastAsia="zh-CN" w:bidi="ar-SA"/>
    </w:rPr>
  </w:style>
  <w:style w:type="character" w:customStyle="1" w:styleId="174">
    <w:name w:val="页码1"/>
    <w:basedOn w:val="57"/>
    <w:qFormat/>
    <w:uiPriority w:val="0"/>
  </w:style>
  <w:style w:type="character" w:customStyle="1" w:styleId="175">
    <w:name w:val="报告正文（小四） Char Char"/>
    <w:link w:val="176"/>
    <w:qFormat/>
    <w:uiPriority w:val="0"/>
    <w:rPr>
      <w:rFonts w:ascii="宋体" w:hAnsi="宋体" w:cs="宋体"/>
      <w:kern w:val="2"/>
      <w:sz w:val="24"/>
      <w:szCs w:val="24"/>
    </w:rPr>
  </w:style>
  <w:style w:type="paragraph" w:customStyle="1" w:styleId="176">
    <w:name w:val="报告正文（小四）"/>
    <w:basedOn w:val="1"/>
    <w:link w:val="175"/>
    <w:qFormat/>
    <w:uiPriority w:val="0"/>
    <w:pPr>
      <w:ind w:firstLine="480"/>
    </w:pPr>
    <w:rPr>
      <w:rFonts w:ascii="宋体" w:hAnsi="宋体" w:cs="宋体"/>
      <w:szCs w:val="24"/>
    </w:rPr>
  </w:style>
  <w:style w:type="character" w:customStyle="1" w:styleId="177">
    <w:name w:val="报告表正文 Char"/>
    <w:link w:val="178"/>
    <w:qFormat/>
    <w:uiPriority w:val="0"/>
    <w:rPr>
      <w:sz w:val="24"/>
    </w:rPr>
  </w:style>
  <w:style w:type="paragraph" w:customStyle="1" w:styleId="178">
    <w:name w:val="报告表正文"/>
    <w:basedOn w:val="1"/>
    <w:link w:val="177"/>
    <w:qFormat/>
    <w:uiPriority w:val="0"/>
    <w:pPr>
      <w:spacing w:line="312" w:lineRule="auto"/>
      <w:ind w:left="113" w:right="113" w:firstLine="482"/>
      <w:jc w:val="left"/>
      <w:textAlignment w:val="baseline"/>
    </w:pPr>
    <w:rPr>
      <w:rFonts w:ascii="Calibri" w:hAnsi="Calibri" w:cs="Times New Roman"/>
      <w:kern w:val="0"/>
      <w:szCs w:val="20"/>
    </w:rPr>
  </w:style>
  <w:style w:type="character" w:customStyle="1" w:styleId="179">
    <w:name w:val="标题 2 Char"/>
    <w:qFormat/>
    <w:uiPriority w:val="0"/>
    <w:rPr>
      <w:rFonts w:ascii="宋体" w:hAnsi="宋体" w:eastAsia="宋体"/>
      <w:kern w:val="2"/>
      <w:sz w:val="28"/>
      <w:szCs w:val="24"/>
      <w:lang w:val="en-US" w:eastAsia="zh-CN" w:bidi="ar-SA"/>
    </w:rPr>
  </w:style>
  <w:style w:type="character" w:customStyle="1" w:styleId="180">
    <w:name w:val="正文文本缩进 Char"/>
    <w:qFormat/>
    <w:uiPriority w:val="0"/>
    <w:rPr>
      <w:rFonts w:eastAsia="宋体"/>
      <w:kern w:val="2"/>
      <w:sz w:val="21"/>
      <w:szCs w:val="24"/>
      <w:lang w:val="en-US" w:eastAsia="zh-CN" w:bidi="ar-SA"/>
    </w:rPr>
  </w:style>
  <w:style w:type="character" w:customStyle="1" w:styleId="181">
    <w:name w:val="表格文字 Char Char"/>
    <w:qFormat/>
    <w:uiPriority w:val="0"/>
    <w:rPr>
      <w:rFonts w:ascii="宋体"/>
      <w:color w:val="000000"/>
      <w:sz w:val="24"/>
      <w:lang w:val="en-US" w:eastAsia="zh-CN" w:bidi="ar-SA"/>
    </w:rPr>
  </w:style>
  <w:style w:type="character" w:customStyle="1" w:styleId="182">
    <w:name w:val="表中文字[858D7CFB-ED40-4347-BF05-701D383B685F]"/>
    <w:link w:val="183"/>
    <w:qFormat/>
    <w:uiPriority w:val="0"/>
    <w:rPr>
      <w:kern w:val="2"/>
      <w:sz w:val="21"/>
    </w:rPr>
  </w:style>
  <w:style w:type="paragraph" w:customStyle="1" w:styleId="183">
    <w:name w:val="表中文字"/>
    <w:basedOn w:val="1"/>
    <w:link w:val="182"/>
    <w:qFormat/>
    <w:uiPriority w:val="0"/>
    <w:pPr>
      <w:jc w:val="center"/>
    </w:pPr>
    <w:rPr>
      <w:rFonts w:ascii="Calibri" w:hAnsi="Calibri" w:cs="Times New Roman"/>
      <w:szCs w:val="20"/>
    </w:rPr>
  </w:style>
  <w:style w:type="character" w:customStyle="1" w:styleId="184">
    <w:name w:val="content1"/>
    <w:qFormat/>
    <w:uiPriority w:val="0"/>
    <w:rPr>
      <w:rFonts w:hint="eastAsia" w:ascii="宋体" w:hAnsi="宋体" w:eastAsia="宋体"/>
      <w:color w:val="333333"/>
      <w:sz w:val="21"/>
      <w:szCs w:val="21"/>
    </w:rPr>
  </w:style>
  <w:style w:type="character" w:customStyle="1" w:styleId="185">
    <w:name w:val="表格文字2 Char"/>
    <w:link w:val="186"/>
    <w:qFormat/>
    <w:uiPriority w:val="0"/>
    <w:rPr>
      <w:rFonts w:ascii="宋体"/>
      <w:sz w:val="24"/>
    </w:rPr>
  </w:style>
  <w:style w:type="paragraph" w:customStyle="1" w:styleId="186">
    <w:name w:val="表格文字2"/>
    <w:basedOn w:val="163"/>
    <w:link w:val="185"/>
    <w:qFormat/>
    <w:uiPriority w:val="0"/>
    <w:pPr>
      <w:spacing w:before="60" w:line="240" w:lineRule="auto"/>
      <w:textAlignment w:val="baseline"/>
    </w:pPr>
    <w:rPr>
      <w:rFonts w:ascii="宋体" w:hAnsi="Calibri" w:eastAsia="宋体"/>
      <w:kern w:val="0"/>
      <w:sz w:val="24"/>
      <w:szCs w:val="20"/>
    </w:rPr>
  </w:style>
  <w:style w:type="character" w:customStyle="1" w:styleId="187">
    <w:name w:val="报告书 Char"/>
    <w:link w:val="188"/>
    <w:qFormat/>
    <w:uiPriority w:val="0"/>
    <w:rPr>
      <w:rFonts w:ascii="宋体" w:hAnsi="宋体" w:cs="宋体"/>
      <w:color w:val="0000FF"/>
      <w:sz w:val="24"/>
    </w:rPr>
  </w:style>
  <w:style w:type="paragraph" w:customStyle="1" w:styleId="188">
    <w:name w:val="报告书"/>
    <w:basedOn w:val="1"/>
    <w:link w:val="187"/>
    <w:qFormat/>
    <w:uiPriority w:val="0"/>
    <w:pPr>
      <w:autoSpaceDE w:val="0"/>
      <w:autoSpaceDN w:val="0"/>
      <w:spacing w:line="520" w:lineRule="exact"/>
      <w:ind w:firstLine="480"/>
      <w:jc w:val="left"/>
      <w:textAlignment w:val="bottom"/>
    </w:pPr>
    <w:rPr>
      <w:rFonts w:ascii="宋体" w:hAnsi="宋体" w:cs="宋体"/>
      <w:color w:val="0000FF"/>
      <w:kern w:val="0"/>
      <w:szCs w:val="20"/>
    </w:rPr>
  </w:style>
  <w:style w:type="character" w:customStyle="1" w:styleId="189">
    <w:name w:val="unnamed2"/>
    <w:basedOn w:val="57"/>
    <w:qFormat/>
    <w:uiPriority w:val="0"/>
  </w:style>
  <w:style w:type="character" w:customStyle="1" w:styleId="190">
    <w:name w:val="文本 Char"/>
    <w:link w:val="191"/>
    <w:qFormat/>
    <w:uiPriority w:val="0"/>
    <w:rPr>
      <w:kern w:val="2"/>
      <w:sz w:val="24"/>
      <w:szCs w:val="24"/>
    </w:rPr>
  </w:style>
  <w:style w:type="paragraph" w:customStyle="1" w:styleId="191">
    <w:name w:val="文本"/>
    <w:basedOn w:val="1"/>
    <w:next w:val="30"/>
    <w:link w:val="190"/>
    <w:qFormat/>
    <w:uiPriority w:val="0"/>
    <w:pPr>
      <w:ind w:firstLine="495"/>
    </w:pPr>
    <w:rPr>
      <w:rFonts w:ascii="Calibri" w:hAnsi="Calibri" w:cs="Times New Roman"/>
      <w:szCs w:val="24"/>
    </w:rPr>
  </w:style>
  <w:style w:type="paragraph" w:customStyle="1" w:styleId="192">
    <w:name w:val="段落1"/>
    <w:basedOn w:val="1"/>
    <w:qFormat/>
    <w:uiPriority w:val="0"/>
    <w:pPr>
      <w:spacing w:line="480" w:lineRule="exact"/>
    </w:pPr>
    <w:rPr>
      <w:rFonts w:eastAsia="楷体_GB2312" w:cs="Times New Roman"/>
      <w:spacing w:val="6"/>
      <w:sz w:val="28"/>
      <w:szCs w:val="24"/>
    </w:rPr>
  </w:style>
  <w:style w:type="paragraph" w:customStyle="1" w:styleId="193">
    <w:name w:val="表"/>
    <w:basedOn w:val="1"/>
    <w:qFormat/>
    <w:uiPriority w:val="0"/>
    <w:pPr>
      <w:jc w:val="center"/>
    </w:pPr>
    <w:rPr>
      <w:rFonts w:hAnsi="宋体" w:eastAsia="黑体" w:cs="Times New Roman"/>
      <w:color w:val="000000"/>
      <w:szCs w:val="24"/>
    </w:rPr>
  </w:style>
  <w:style w:type="paragraph" w:customStyle="1" w:styleId="194">
    <w:name w:val="Char Char Char Char"/>
    <w:basedOn w:val="1"/>
    <w:qFormat/>
    <w:uiPriority w:val="0"/>
    <w:pPr>
      <w:spacing w:line="540" w:lineRule="exact"/>
    </w:pPr>
    <w:rPr>
      <w:rFonts w:ascii="楷体_GB2312" w:eastAsia="楷体_GB2312" w:cs="Times New Roman"/>
      <w:kern w:val="0"/>
      <w:szCs w:val="24"/>
    </w:rPr>
  </w:style>
  <w:style w:type="paragraph" w:customStyle="1" w:styleId="195">
    <w:name w:val="报告书表格"/>
    <w:basedOn w:val="1"/>
    <w:qFormat/>
    <w:uiPriority w:val="0"/>
    <w:pPr>
      <w:spacing w:before="60" w:after="60" w:line="240" w:lineRule="atLeast"/>
      <w:jc w:val="center"/>
      <w:textAlignment w:val="baseline"/>
    </w:pPr>
    <w:rPr>
      <w:rFonts w:cs="Times New Roman"/>
      <w:kern w:val="0"/>
      <w:szCs w:val="20"/>
    </w:rPr>
  </w:style>
  <w:style w:type="paragraph" w:customStyle="1" w:styleId="196">
    <w:name w:val="Char1"/>
    <w:basedOn w:val="1"/>
    <w:qFormat/>
    <w:uiPriority w:val="0"/>
    <w:rPr>
      <w:rFonts w:cs="Times New Roman"/>
      <w:szCs w:val="24"/>
    </w:rPr>
  </w:style>
  <w:style w:type="paragraph" w:customStyle="1" w:styleId="197">
    <w:name w:val="表格式"/>
    <w:basedOn w:val="37"/>
    <w:qFormat/>
    <w:uiPriority w:val="0"/>
    <w:pPr>
      <w:spacing w:line="400" w:lineRule="exact"/>
      <w:ind w:left="0" w:firstLine="0" w:firstLineChars="0"/>
      <w:jc w:val="center"/>
    </w:pPr>
    <w:rPr>
      <w:rFonts w:ascii="宋体"/>
      <w:szCs w:val="20"/>
    </w:rPr>
  </w:style>
  <w:style w:type="paragraph" w:customStyle="1" w:styleId="198">
    <w:name w:val="样式 样式 行距: 1.5 倍行距 + 首行缩进:  2 字符"/>
    <w:basedOn w:val="1"/>
    <w:qFormat/>
    <w:uiPriority w:val="0"/>
    <w:pPr>
      <w:ind w:firstLine="420"/>
    </w:pPr>
    <w:rPr>
      <w:rFonts w:cs="宋体"/>
      <w:szCs w:val="20"/>
    </w:rPr>
  </w:style>
  <w:style w:type="paragraph" w:customStyle="1" w:styleId="199">
    <w:name w:val="Char4"/>
    <w:basedOn w:val="1"/>
    <w:qFormat/>
    <w:uiPriority w:val="0"/>
    <w:rPr>
      <w:rFonts w:cs="Times New Roman"/>
      <w:sz w:val="28"/>
      <w:szCs w:val="20"/>
    </w:rPr>
  </w:style>
  <w:style w:type="paragraph" w:customStyle="1" w:styleId="200">
    <w:name w:val="表格标题11"/>
    <w:next w:val="201"/>
    <w:qFormat/>
    <w:uiPriority w:val="0"/>
    <w:pPr>
      <w:keepNext/>
      <w:adjustRightInd w:val="0"/>
      <w:snapToGrid w:val="0"/>
      <w:spacing w:before="50" w:beforeLines="50"/>
      <w:jc w:val="center"/>
      <w:textAlignment w:val="baseline"/>
    </w:pPr>
    <w:rPr>
      <w:rFonts w:ascii="Times New Roman" w:hAnsi="Times New Roman" w:eastAsia="黑体" w:cs="Times New Roman"/>
      <w:kern w:val="2"/>
      <w:sz w:val="21"/>
      <w:szCs w:val="21"/>
      <w:lang w:val="en-US" w:eastAsia="zh-CN" w:bidi="ar-SA"/>
    </w:rPr>
  </w:style>
  <w:style w:type="paragraph" w:customStyle="1" w:styleId="201">
    <w:name w:val="报告表格"/>
    <w:basedOn w:val="1"/>
    <w:qFormat/>
    <w:uiPriority w:val="0"/>
    <w:pPr>
      <w:autoSpaceDE w:val="0"/>
      <w:autoSpaceDN w:val="0"/>
      <w:spacing w:before="40" w:after="40"/>
      <w:jc w:val="center"/>
      <w:textAlignment w:val="bottom"/>
    </w:pPr>
    <w:rPr>
      <w:rFonts w:cs="Times New Roman"/>
      <w:kern w:val="0"/>
      <w:szCs w:val="20"/>
    </w:rPr>
  </w:style>
  <w:style w:type="paragraph" w:customStyle="1" w:styleId="202">
    <w:name w:val="+正文"/>
    <w:basedOn w:val="1"/>
    <w:qFormat/>
    <w:uiPriority w:val="0"/>
    <w:rPr>
      <w:rFonts w:cs="Times New Roman"/>
      <w:szCs w:val="24"/>
    </w:rPr>
  </w:style>
  <w:style w:type="paragraph" w:customStyle="1" w:styleId="203">
    <w:name w:val="1"/>
    <w:basedOn w:val="1"/>
    <w:qFormat/>
    <w:uiPriority w:val="0"/>
    <w:pPr>
      <w:ind w:firstLine="538" w:firstLineChars="192"/>
    </w:pPr>
    <w:rPr>
      <w:rFonts w:ascii="宋体" w:hAnsi="宋体" w:cs="Times New Roman"/>
      <w:bCs/>
      <w:sz w:val="28"/>
      <w:szCs w:val="28"/>
    </w:rPr>
  </w:style>
  <w:style w:type="paragraph" w:customStyle="1" w:styleId="204">
    <w:name w:val="Char"/>
    <w:basedOn w:val="1"/>
    <w:qFormat/>
    <w:uiPriority w:val="0"/>
    <w:rPr>
      <w:rFonts w:cs="Times New Roman"/>
      <w:szCs w:val="24"/>
    </w:rPr>
  </w:style>
  <w:style w:type="paragraph" w:customStyle="1" w:styleId="205">
    <w:name w:val="edri-正文"/>
    <w:basedOn w:val="1"/>
    <w:qFormat/>
    <w:uiPriority w:val="0"/>
    <w:pPr>
      <w:jc w:val="center"/>
      <w:textAlignment w:val="baseline"/>
    </w:pPr>
    <w:rPr>
      <w:rFonts w:ascii="黑体" w:eastAsia="黑体" w:cs="Times New Roman"/>
      <w:snapToGrid w:val="0"/>
      <w:kern w:val="0"/>
      <w:szCs w:val="20"/>
    </w:rPr>
  </w:style>
  <w:style w:type="paragraph" w:customStyle="1" w:styleId="206">
    <w:name w:val="默认段落字体 Para Char Char Char Char"/>
    <w:basedOn w:val="1"/>
    <w:qFormat/>
    <w:uiPriority w:val="0"/>
    <w:rPr>
      <w:rFonts w:cs="Times New Roman"/>
      <w:szCs w:val="24"/>
    </w:rPr>
  </w:style>
  <w:style w:type="paragraph" w:customStyle="1" w:styleId="207">
    <w:name w:val="1表格"/>
    <w:basedOn w:val="1"/>
    <w:qFormat/>
    <w:uiPriority w:val="0"/>
    <w:pPr>
      <w:spacing w:line="160" w:lineRule="atLeast"/>
      <w:jc w:val="center"/>
    </w:pPr>
    <w:rPr>
      <w:rFonts w:eastAsia="仿宋_GB2312" w:cs="Times New Roman"/>
      <w:szCs w:val="20"/>
    </w:rPr>
  </w:style>
  <w:style w:type="paragraph" w:customStyle="1" w:styleId="208">
    <w:name w:val="Char Char Char Char Char Char1 Char"/>
    <w:basedOn w:val="1"/>
    <w:qFormat/>
    <w:uiPriority w:val="0"/>
    <w:pPr>
      <w:widowControl/>
      <w:spacing w:after="160" w:line="240" w:lineRule="exact"/>
      <w:jc w:val="left"/>
    </w:pPr>
    <w:rPr>
      <w:rFonts w:cs="Times New Roman"/>
      <w:szCs w:val="24"/>
    </w:rPr>
  </w:style>
  <w:style w:type="paragraph" w:customStyle="1" w:styleId="209">
    <w:name w:val="报告"/>
    <w:basedOn w:val="1"/>
    <w:qFormat/>
    <w:uiPriority w:val="0"/>
    <w:pPr>
      <w:ind w:firstLine="505"/>
      <w:textAlignment w:val="baseline"/>
    </w:pPr>
    <w:rPr>
      <w:rFonts w:cs="Times New Roman"/>
      <w:kern w:val="0"/>
      <w:szCs w:val="20"/>
    </w:rPr>
  </w:style>
  <w:style w:type="paragraph" w:customStyle="1" w:styleId="210">
    <w:name w:val="Char1 Char Char Char"/>
    <w:basedOn w:val="1"/>
    <w:qFormat/>
    <w:uiPriority w:val="0"/>
    <w:rPr>
      <w:rFonts w:cs="Times New Roman"/>
      <w:szCs w:val="24"/>
    </w:rPr>
  </w:style>
  <w:style w:type="paragraph" w:customStyle="1" w:styleId="211">
    <w:name w:val="char"/>
    <w:basedOn w:val="1"/>
    <w:qFormat/>
    <w:uiPriority w:val="0"/>
    <w:pPr>
      <w:widowControl/>
      <w:spacing w:after="160" w:line="240" w:lineRule="exact"/>
      <w:jc w:val="left"/>
    </w:pPr>
    <w:rPr>
      <w:rFonts w:cs="Times New Roman"/>
      <w:szCs w:val="24"/>
    </w:rPr>
  </w:style>
  <w:style w:type="paragraph" w:customStyle="1" w:styleId="212">
    <w:name w:val="正文(首行缩进)宋旭峰"/>
    <w:basedOn w:val="13"/>
    <w:qFormat/>
    <w:uiPriority w:val="99"/>
    <w:pPr>
      <w:ind w:firstLine="0"/>
    </w:pPr>
    <w:rPr>
      <w:snapToGrid w:val="0"/>
      <w:szCs w:val="20"/>
    </w:rPr>
  </w:style>
  <w:style w:type="paragraph" w:customStyle="1" w:styleId="213">
    <w:name w:val="列表段落1"/>
    <w:basedOn w:val="1"/>
    <w:qFormat/>
    <w:uiPriority w:val="34"/>
    <w:pPr>
      <w:ind w:firstLine="420"/>
    </w:pPr>
    <w:rPr>
      <w:rFonts w:cs="Times New Roman"/>
      <w:szCs w:val="24"/>
    </w:rPr>
  </w:style>
  <w:style w:type="character" w:customStyle="1" w:styleId="214">
    <w:name w:val="纯文本 Char1"/>
    <w:qFormat/>
    <w:uiPriority w:val="0"/>
    <w:rPr>
      <w:rFonts w:ascii="宋体" w:hAnsi="Courier New" w:cs="Courier New"/>
      <w:kern w:val="2"/>
      <w:sz w:val="21"/>
      <w:szCs w:val="21"/>
    </w:rPr>
  </w:style>
  <w:style w:type="character" w:customStyle="1" w:styleId="215">
    <w:name w:val="正文文本 2 字符"/>
    <w:basedOn w:val="57"/>
    <w:qFormat/>
    <w:uiPriority w:val="0"/>
    <w:rPr>
      <w:sz w:val="22"/>
      <w:szCs w:val="22"/>
      <w:lang w:eastAsia="en-US"/>
    </w:rPr>
  </w:style>
  <w:style w:type="character" w:customStyle="1" w:styleId="216">
    <w:name w:val="题注 Char"/>
    <w:qFormat/>
    <w:uiPriority w:val="0"/>
    <w:rPr>
      <w:rFonts w:ascii="Calibri" w:hAnsi="Calibri" w:cs="黑体"/>
      <w:kern w:val="2"/>
      <w:sz w:val="21"/>
      <w:szCs w:val="24"/>
      <w:lang w:val="en-US" w:eastAsia="zh-CN" w:bidi="ar-SA"/>
    </w:rPr>
  </w:style>
  <w:style w:type="character" w:customStyle="1" w:styleId="217">
    <w:name w:val="lh151"/>
    <w:basedOn w:val="57"/>
    <w:qFormat/>
    <w:uiPriority w:val="0"/>
  </w:style>
  <w:style w:type="character" w:customStyle="1" w:styleId="218">
    <w:name w:val="正文文本 字符1"/>
    <w:semiHidden/>
    <w:qFormat/>
    <w:uiPriority w:val="0"/>
    <w:rPr>
      <w:rFonts w:ascii="Times New Roman" w:hAnsi="Times New Roman" w:eastAsia="宋体" w:cs="Times New Roman"/>
      <w:sz w:val="24"/>
      <w:szCs w:val="24"/>
    </w:rPr>
  </w:style>
  <w:style w:type="paragraph" w:customStyle="1" w:styleId="219">
    <w:name w:val="本正文"/>
    <w:basedOn w:val="21"/>
    <w:qFormat/>
    <w:uiPriority w:val="0"/>
    <w:pPr>
      <w:spacing w:line="300" w:lineRule="auto"/>
      <w:ind w:firstLine="420"/>
    </w:pPr>
    <w:rPr>
      <w:szCs w:val="21"/>
    </w:rPr>
  </w:style>
  <w:style w:type="character" w:customStyle="1" w:styleId="220">
    <w:name w:val="fontstyle01"/>
    <w:basedOn w:val="57"/>
    <w:qFormat/>
    <w:uiPriority w:val="0"/>
    <w:rPr>
      <w:rFonts w:ascii="仿宋_GB2312" w:hAnsi="仿宋_GB2312" w:eastAsia="仿宋_GB2312" w:cs="仿宋_GB2312"/>
      <w:color w:val="000000"/>
      <w:sz w:val="28"/>
      <w:szCs w:val="28"/>
    </w:rPr>
  </w:style>
  <w:style w:type="character" w:customStyle="1" w:styleId="221">
    <w:name w:val="fontstyle21"/>
    <w:basedOn w:val="57"/>
    <w:qFormat/>
    <w:uiPriority w:val="0"/>
    <w:rPr>
      <w:rFonts w:ascii="Calibri" w:hAnsi="Calibri" w:cs="Calibri"/>
      <w:color w:val="000000"/>
      <w:sz w:val="22"/>
      <w:szCs w:val="22"/>
    </w:rPr>
  </w:style>
  <w:style w:type="paragraph" w:customStyle="1" w:styleId="222">
    <w:name w:val="0环评标题2"/>
    <w:basedOn w:val="3"/>
    <w:qFormat/>
    <w:uiPriority w:val="0"/>
    <w:pPr>
      <w:adjustRightInd/>
      <w:spacing w:line="480" w:lineRule="exact"/>
      <w:ind w:firstLine="200"/>
    </w:pPr>
    <w:rPr>
      <w:rFonts w:ascii="ˎ̥" w:hAnsi="ˎ̥" w:eastAsia="Arial" w:cs="Arial"/>
      <w:kern w:val="2"/>
      <w:sz w:val="26"/>
    </w:rPr>
  </w:style>
  <w:style w:type="paragraph" w:customStyle="1" w:styleId="223">
    <w:name w:val="样式 正文 首行缩进:  2 字符 SL CON + 首行缩进:  2 字符"/>
    <w:basedOn w:val="224"/>
    <w:qFormat/>
    <w:uiPriority w:val="0"/>
    <w:pPr>
      <w:tabs>
        <w:tab w:val="left" w:pos="377"/>
      </w:tabs>
      <w:ind w:firstLine="480"/>
    </w:pPr>
  </w:style>
  <w:style w:type="paragraph" w:customStyle="1" w:styleId="224">
    <w:name w:val="正文 首行缩进:  2 字符 SL CON"/>
    <w:basedOn w:val="1"/>
    <w:qFormat/>
    <w:uiPriority w:val="0"/>
    <w:pPr>
      <w:widowControl/>
      <w:tabs>
        <w:tab w:val="left" w:pos="377"/>
      </w:tabs>
      <w:jc w:val="left"/>
    </w:pPr>
    <w:rPr>
      <w:rFonts w:ascii="宋体" w:hAnsi="Calibri" w:cs="宋体"/>
      <w:kern w:val="0"/>
      <w:lang w:eastAsia="en-US"/>
    </w:rPr>
  </w:style>
  <w:style w:type="paragraph" w:customStyle="1" w:styleId="225">
    <w:name w:val="图名使用"/>
    <w:basedOn w:val="1"/>
    <w:qFormat/>
    <w:uiPriority w:val="0"/>
    <w:pPr>
      <w:widowControl/>
      <w:spacing w:line="440" w:lineRule="exact"/>
      <w:jc w:val="center"/>
    </w:pPr>
    <w:rPr>
      <w:rFonts w:ascii="Calibri" w:hAnsi="Calibri" w:eastAsia="黑体" w:cs="Times New Roman"/>
      <w:sz w:val="22"/>
      <w:szCs w:val="21"/>
      <w:lang w:eastAsia="en-US"/>
    </w:rPr>
  </w:style>
  <w:style w:type="paragraph" w:customStyle="1" w:styleId="226">
    <w:name w:val="Body Text 22"/>
    <w:basedOn w:val="1"/>
    <w:qFormat/>
    <w:uiPriority w:val="0"/>
    <w:pPr>
      <w:widowControl/>
      <w:spacing w:line="440" w:lineRule="atLeast"/>
      <w:ind w:firstLine="480"/>
      <w:jc w:val="left"/>
    </w:pPr>
    <w:rPr>
      <w:rFonts w:ascii="仿宋_GB2312" w:hAnsi="仿宋_GB2312" w:eastAsia="ˎ̥" w:cs="仿宋_GB2312"/>
      <w:sz w:val="22"/>
      <w:lang w:eastAsia="en-US"/>
    </w:rPr>
  </w:style>
  <w:style w:type="paragraph" w:customStyle="1" w:styleId="227">
    <w:name w:val="0环评正文"/>
    <w:basedOn w:val="1"/>
    <w:qFormat/>
    <w:uiPriority w:val="0"/>
    <w:pPr>
      <w:widowControl/>
      <w:spacing w:line="480" w:lineRule="exact"/>
      <w:jc w:val="left"/>
    </w:pPr>
    <w:rPr>
      <w:rFonts w:ascii="Calibri" w:hAnsi="Calibri" w:cs="Times New Roman"/>
      <w:sz w:val="26"/>
      <w:lang w:eastAsia="en-US"/>
    </w:rPr>
  </w:style>
  <w:style w:type="paragraph" w:customStyle="1" w:styleId="228">
    <w:name w:val="二级无标题条"/>
    <w:basedOn w:val="1"/>
    <w:qFormat/>
    <w:uiPriority w:val="0"/>
    <w:pPr>
      <w:widowControl/>
      <w:jc w:val="left"/>
    </w:pPr>
    <w:rPr>
      <w:rFonts w:ascii="Calibri" w:hAnsi="Calibri" w:cs="Times New Roman"/>
      <w:lang w:eastAsia="en-US"/>
    </w:rPr>
  </w:style>
  <w:style w:type="paragraph" w:customStyle="1" w:styleId="229">
    <w:name w:val="表头使用"/>
    <w:basedOn w:val="1"/>
    <w:qFormat/>
    <w:uiPriority w:val="0"/>
    <w:pPr>
      <w:widowControl/>
      <w:jc w:val="right"/>
    </w:pPr>
    <w:rPr>
      <w:rFonts w:ascii="Calibri" w:hAnsi="Calibri" w:eastAsia="黑体" w:cs="Times New Roman"/>
      <w:kern w:val="0"/>
      <w:sz w:val="22"/>
      <w:szCs w:val="24"/>
      <w:lang w:eastAsia="en-US"/>
    </w:rPr>
  </w:style>
  <w:style w:type="paragraph" w:customStyle="1" w:styleId="230">
    <w:name w:val="纯文本2"/>
    <w:basedOn w:val="1"/>
    <w:qFormat/>
    <w:uiPriority w:val="0"/>
    <w:pPr>
      <w:widowControl/>
      <w:jc w:val="left"/>
    </w:pPr>
    <w:rPr>
      <w:rFonts w:ascii="宋体" w:hAnsi="Courier New" w:cs="Courier New"/>
      <w:kern w:val="0"/>
      <w:sz w:val="20"/>
      <w:szCs w:val="21"/>
      <w:lang w:eastAsia="en-US"/>
    </w:rPr>
  </w:style>
  <w:style w:type="paragraph" w:customStyle="1" w:styleId="231">
    <w:name w:val="正文（科宏）"/>
    <w:qFormat/>
    <w:uiPriority w:val="0"/>
    <w:pPr>
      <w:widowControl w:val="0"/>
      <w:spacing w:line="360" w:lineRule="auto"/>
      <w:ind w:firstLine="200" w:firstLineChars="200"/>
      <w:jc w:val="both"/>
    </w:pPr>
    <w:rPr>
      <w:rFonts w:ascii="Arial" w:hAnsi="Arial" w:eastAsia="仿宋_GB2312" w:cs="Times New Roman"/>
      <w:sz w:val="28"/>
      <w:lang w:val="en-US" w:eastAsia="zh-CN" w:bidi="ar-SA"/>
    </w:rPr>
  </w:style>
  <w:style w:type="character" w:customStyle="1" w:styleId="232">
    <w:name w:val="样式 样式 正文 首行缩进:  2 字符 SL CON + 首行缩进:  2 字符 + 宋体 Char Char Char"/>
    <w:qFormat/>
    <w:uiPriority w:val="0"/>
    <w:rPr>
      <w:kern w:val="2"/>
      <w:sz w:val="24"/>
      <w:szCs w:val="21"/>
    </w:rPr>
  </w:style>
  <w:style w:type="paragraph" w:customStyle="1" w:styleId="233">
    <w:name w:val="样式 样式 正文 首行缩进:  2 字符 SL CON + 首行缩进:  2 字符 + 宋体"/>
    <w:basedOn w:val="223"/>
    <w:qFormat/>
    <w:uiPriority w:val="0"/>
    <w:rPr>
      <w:rFonts w:ascii="Calibri"/>
    </w:rPr>
  </w:style>
  <w:style w:type="paragraph" w:customStyle="1" w:styleId="234">
    <w:name w:val="普通(网站)2"/>
    <w:basedOn w:val="1"/>
    <w:qFormat/>
    <w:uiPriority w:val="0"/>
    <w:pPr>
      <w:widowControl/>
      <w:spacing w:before="100" w:beforeAutospacing="1" w:after="100" w:afterAutospacing="1"/>
      <w:jc w:val="left"/>
    </w:pPr>
    <w:rPr>
      <w:rFonts w:ascii="宋体" w:hAnsi="宋体" w:cs="Times New Roman"/>
      <w:szCs w:val="20"/>
    </w:rPr>
  </w:style>
  <w:style w:type="character" w:customStyle="1" w:styleId="235">
    <w:name w:val="样式 小四 Char Char"/>
    <w:link w:val="236"/>
    <w:qFormat/>
    <w:uiPriority w:val="0"/>
    <w:rPr>
      <w:szCs w:val="24"/>
      <w:lang w:val="zh-CN"/>
    </w:rPr>
  </w:style>
  <w:style w:type="paragraph" w:customStyle="1" w:styleId="236">
    <w:name w:val="样式 小四"/>
    <w:basedOn w:val="1"/>
    <w:link w:val="235"/>
    <w:qFormat/>
    <w:uiPriority w:val="0"/>
    <w:pPr>
      <w:ind w:firstLine="480"/>
    </w:pPr>
    <w:rPr>
      <w:rFonts w:cs="Times New Roman"/>
      <w:kern w:val="0"/>
      <w:sz w:val="20"/>
      <w:szCs w:val="24"/>
      <w:lang w:val="zh-CN"/>
    </w:rPr>
  </w:style>
  <w:style w:type="paragraph" w:customStyle="1" w:styleId="237">
    <w:name w:val="C正文"/>
    <w:basedOn w:val="1"/>
    <w:qFormat/>
    <w:uiPriority w:val="0"/>
    <w:pPr>
      <w:contextualSpacing/>
    </w:pPr>
    <w:rPr>
      <w:rFonts w:cs="Times New Roman"/>
      <w:szCs w:val="24"/>
    </w:rPr>
  </w:style>
  <w:style w:type="paragraph" w:customStyle="1" w:styleId="238">
    <w:name w:val="C表格"/>
    <w:basedOn w:val="1"/>
    <w:next w:val="237"/>
    <w:qFormat/>
    <w:uiPriority w:val="0"/>
    <w:pPr>
      <w:ind w:firstLine="480"/>
      <w:contextualSpacing/>
      <w:jc w:val="center"/>
    </w:pPr>
    <w:rPr>
      <w:rFonts w:eastAsia="黑体" w:cs="Times New Roman"/>
      <w:szCs w:val="24"/>
    </w:rPr>
  </w:style>
  <w:style w:type="character" w:customStyle="1" w:styleId="239">
    <w:name w:val="泸县焦化三级标题 Char Char"/>
    <w:link w:val="240"/>
    <w:qFormat/>
    <w:uiPriority w:val="0"/>
    <w:rPr>
      <w:b/>
      <w:bCs/>
      <w:sz w:val="24"/>
      <w:szCs w:val="24"/>
    </w:rPr>
  </w:style>
  <w:style w:type="paragraph" w:customStyle="1" w:styleId="240">
    <w:name w:val="泸县焦化三级标题"/>
    <w:basedOn w:val="1"/>
    <w:link w:val="239"/>
    <w:qFormat/>
    <w:uiPriority w:val="0"/>
    <w:pPr>
      <w:keepNext/>
      <w:keepLines/>
      <w:autoSpaceDE w:val="0"/>
      <w:autoSpaceDN w:val="0"/>
      <w:outlineLvl w:val="2"/>
    </w:pPr>
    <w:rPr>
      <w:rFonts w:cs="Times New Roman"/>
      <w:b/>
      <w:bCs/>
      <w:kern w:val="0"/>
      <w:szCs w:val="24"/>
    </w:rPr>
  </w:style>
  <w:style w:type="paragraph" w:customStyle="1" w:styleId="241">
    <w:name w:val="p_MsoNormal"/>
    <w:basedOn w:val="1"/>
    <w:qFormat/>
    <w:uiPriority w:val="0"/>
    <w:pPr>
      <w:widowControl/>
      <w:autoSpaceDE w:val="0"/>
      <w:autoSpaceDN w:val="0"/>
      <w:spacing w:line="400" w:lineRule="atLeast"/>
      <w:ind w:firstLine="482"/>
      <w:jc w:val="left"/>
      <w:textAlignment w:val="baseline"/>
    </w:pPr>
    <w:rPr>
      <w:rFonts w:ascii="宋体" w:hAnsi="宋体" w:cs="宋体"/>
      <w:kern w:val="0"/>
      <w:szCs w:val="24"/>
    </w:rPr>
  </w:style>
  <w:style w:type="character" w:customStyle="1" w:styleId="242">
    <w:name w:val="批注文字 Char1"/>
    <w:qFormat/>
    <w:uiPriority w:val="0"/>
    <w:rPr>
      <w:rFonts w:ascii="Times New Roman" w:hAnsi="Times New Roman" w:eastAsia="宋体" w:cs="Times New Roman"/>
      <w:szCs w:val="24"/>
    </w:rPr>
  </w:style>
  <w:style w:type="character" w:customStyle="1" w:styleId="243">
    <w:name w:val="标题 字符"/>
    <w:basedOn w:val="57"/>
    <w:link w:val="48"/>
    <w:qFormat/>
    <w:uiPriority w:val="10"/>
    <w:rPr>
      <w:rFonts w:ascii="Arial" w:hAnsi="Arial"/>
      <w:b/>
      <w:sz w:val="32"/>
    </w:rPr>
  </w:style>
  <w:style w:type="character" w:customStyle="1" w:styleId="244">
    <w:name w:val="sub"/>
    <w:qFormat/>
    <w:uiPriority w:val="0"/>
    <w:rPr>
      <w:rFonts w:ascii="宋体" w:hAnsi="宋体" w:eastAsia="宋体" w:cs="宋体"/>
      <w:color w:val="000000"/>
      <w:sz w:val="18"/>
      <w:szCs w:val="18"/>
    </w:rPr>
  </w:style>
  <w:style w:type="character" w:customStyle="1" w:styleId="245">
    <w:name w:val="sup"/>
    <w:qFormat/>
    <w:uiPriority w:val="0"/>
    <w:rPr>
      <w:rFonts w:ascii="宋体" w:hAnsi="宋体" w:eastAsia="宋体" w:cs="宋体"/>
      <w:color w:val="000000"/>
      <w:sz w:val="18"/>
      <w:szCs w:val="18"/>
    </w:rPr>
  </w:style>
  <w:style w:type="paragraph" w:customStyle="1" w:styleId="246">
    <w:name w:val="表格内格式"/>
    <w:basedOn w:val="1"/>
    <w:next w:val="1"/>
    <w:qFormat/>
    <w:uiPriority w:val="0"/>
    <w:pPr>
      <w:autoSpaceDE w:val="0"/>
      <w:autoSpaceDN w:val="0"/>
      <w:jc w:val="center"/>
      <w:textAlignment w:val="baseline"/>
    </w:pPr>
    <w:rPr>
      <w:rFonts w:cs="Times New Roman"/>
      <w:kern w:val="0"/>
      <w:szCs w:val="20"/>
    </w:rPr>
  </w:style>
  <w:style w:type="paragraph" w:customStyle="1" w:styleId="247">
    <w:name w:val="正文格式"/>
    <w:basedOn w:val="1"/>
    <w:qFormat/>
    <w:uiPriority w:val="0"/>
    <w:pPr>
      <w:autoSpaceDE w:val="0"/>
      <w:autoSpaceDN w:val="0"/>
      <w:ind w:firstLine="480"/>
      <w:textAlignment w:val="baseline"/>
    </w:pPr>
    <w:rPr>
      <w:rFonts w:cs="Times New Roman"/>
      <w:kern w:val="0"/>
      <w:szCs w:val="20"/>
    </w:rPr>
  </w:style>
  <w:style w:type="character" w:customStyle="1" w:styleId="248">
    <w:name w:val="Unresolved Mention"/>
    <w:basedOn w:val="57"/>
    <w:semiHidden/>
    <w:unhideWhenUsed/>
    <w:qFormat/>
    <w:uiPriority w:val="99"/>
    <w:rPr>
      <w:color w:val="605E5C"/>
      <w:shd w:val="clear" w:color="auto" w:fill="E1DFDD"/>
    </w:rPr>
  </w:style>
  <w:style w:type="paragraph" w:customStyle="1" w:styleId="249">
    <w:name w:val="正文（川油）"/>
    <w:qFormat/>
    <w:uiPriority w:val="0"/>
    <w:pPr>
      <w:widowControl w:val="0"/>
      <w:spacing w:line="360" w:lineRule="auto"/>
      <w:ind w:firstLine="200" w:firstLineChars="200"/>
      <w:jc w:val="both"/>
    </w:pPr>
    <w:rPr>
      <w:rFonts w:ascii="Times New Roman" w:hAnsi="Times New Roman" w:eastAsia="宋体" w:cs="Times New Roman"/>
      <w:sz w:val="24"/>
      <w:lang w:val="en-US" w:eastAsia="zh-CN" w:bidi="ar-SA"/>
    </w:rPr>
  </w:style>
  <w:style w:type="paragraph" w:customStyle="1" w:styleId="250">
    <w:name w:val="表标题名"/>
    <w:basedOn w:val="146"/>
    <w:link w:val="251"/>
    <w:qFormat/>
    <w:uiPriority w:val="0"/>
    <w:pPr>
      <w:tabs>
        <w:tab w:val="left" w:pos="1350"/>
      </w:tabs>
      <w:autoSpaceDE w:val="0"/>
      <w:autoSpaceDN w:val="0"/>
      <w:spacing w:before="0"/>
    </w:pPr>
    <w:rPr>
      <w:rFonts w:ascii="Times New Roman" w:hAnsi="Times New Roman" w:eastAsia="宋体"/>
      <w:shd w:val="clear" w:color="auto" w:fill="FFFFFF"/>
    </w:rPr>
  </w:style>
  <w:style w:type="character" w:customStyle="1" w:styleId="251">
    <w:name w:val="表标题名 Char"/>
    <w:link w:val="250"/>
    <w:qFormat/>
    <w:uiPriority w:val="0"/>
    <w:rPr>
      <w:kern w:val="2"/>
      <w:sz w:val="21"/>
      <w:szCs w:val="24"/>
    </w:rPr>
  </w:style>
  <w:style w:type="paragraph" w:customStyle="1" w:styleId="252">
    <w:name w:val="0表格正文"/>
    <w:link w:val="253"/>
    <w:qFormat/>
    <w:uiPriority w:val="0"/>
    <w:pPr>
      <w:jc w:val="center"/>
    </w:pPr>
    <w:rPr>
      <w:rFonts w:ascii="Times New Roman" w:hAnsi="Times New Roman" w:eastAsia="宋体" w:cstheme="minorBidi"/>
      <w:sz w:val="21"/>
      <w:szCs w:val="21"/>
      <w:lang w:val="en-US" w:eastAsia="zh-CN" w:bidi="ar-SA"/>
    </w:rPr>
  </w:style>
  <w:style w:type="character" w:customStyle="1" w:styleId="253">
    <w:name w:val="0表格正文 字符"/>
    <w:basedOn w:val="57"/>
    <w:link w:val="252"/>
    <w:qFormat/>
    <w:uiPriority w:val="0"/>
    <w:rPr>
      <w:rFonts w:cstheme="minorBidi"/>
      <w:sz w:val="21"/>
      <w:szCs w:val="21"/>
    </w:rPr>
  </w:style>
  <w:style w:type="character" w:customStyle="1" w:styleId="254">
    <w:name w:val="【表内字】 Char"/>
    <w:link w:val="255"/>
    <w:qFormat/>
    <w:uiPriority w:val="0"/>
    <w:rPr>
      <w:sz w:val="21"/>
      <w:szCs w:val="24"/>
    </w:rPr>
  </w:style>
  <w:style w:type="paragraph" w:customStyle="1" w:styleId="255">
    <w:name w:val="【表内字】"/>
    <w:basedOn w:val="1"/>
    <w:link w:val="254"/>
    <w:qFormat/>
    <w:uiPriority w:val="0"/>
    <w:pPr>
      <w:jc w:val="center"/>
    </w:pPr>
    <w:rPr>
      <w:rFonts w:cs="Times New Roman"/>
      <w:kern w:val="0"/>
      <w:szCs w:val="24"/>
    </w:rPr>
  </w:style>
  <w:style w:type="character" w:customStyle="1" w:styleId="256">
    <w:name w:val="日期 字符"/>
    <w:basedOn w:val="57"/>
    <w:link w:val="29"/>
    <w:qFormat/>
    <w:uiPriority w:val="99"/>
    <w:rPr>
      <w:rFonts w:ascii="宋体" w:cs="宋体" w:eastAsiaTheme="minorEastAsia"/>
      <w:sz w:val="24"/>
      <w:szCs w:val="24"/>
    </w:rPr>
  </w:style>
  <w:style w:type="paragraph" w:customStyle="1" w:styleId="257">
    <w:name w:val="1、L表名、图名"/>
    <w:basedOn w:val="1"/>
    <w:qFormat/>
    <w:uiPriority w:val="0"/>
    <w:pPr>
      <w:jc w:val="center"/>
    </w:pPr>
    <w:rPr>
      <w:rFonts w:cs="Times New Roman"/>
      <w:bCs/>
      <w:szCs w:val="18"/>
    </w:rPr>
  </w:style>
  <w:style w:type="paragraph" w:customStyle="1" w:styleId="258">
    <w:name w:val="Normal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paragraph" w:customStyle="1" w:styleId="259">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table" w:customStyle="1" w:styleId="260">
    <w:name w:val="S表格正文"/>
    <w:basedOn w:val="52"/>
    <w:qFormat/>
    <w:uiPriority w:val="99"/>
    <w:rPr>
      <w:rFonts w:cstheme="minorBidi"/>
      <w:kern w:val="2"/>
      <w:sz w:val="21"/>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vAlign w:val="center"/>
    </w:tcPr>
  </w:style>
  <w:style w:type="paragraph" w:customStyle="1" w:styleId="261">
    <w:name w:val="0表头"/>
    <w:basedOn w:val="252"/>
    <w:link w:val="262"/>
    <w:qFormat/>
    <w:uiPriority w:val="0"/>
    <w:rPr>
      <w:rFonts w:eastAsia="黑体"/>
      <w:b/>
    </w:rPr>
  </w:style>
  <w:style w:type="character" w:customStyle="1" w:styleId="262">
    <w:name w:val="0表头 字符"/>
    <w:basedOn w:val="253"/>
    <w:link w:val="261"/>
    <w:qFormat/>
    <w:uiPriority w:val="0"/>
    <w:rPr>
      <w:rFonts w:eastAsia="黑体" w:cstheme="minorBidi"/>
      <w:b/>
      <w:sz w:val="21"/>
      <w:szCs w:val="21"/>
    </w:rPr>
  </w:style>
  <w:style w:type="character" w:customStyle="1" w:styleId="263">
    <w:name w:val="SSEC 表字居中 字符"/>
    <w:link w:val="264"/>
    <w:qFormat/>
    <w:uiPriority w:val="0"/>
    <w:rPr>
      <w:rFonts w:ascii="宋体"/>
      <w:kern w:val="2"/>
      <w:sz w:val="21"/>
      <w:szCs w:val="21"/>
    </w:rPr>
  </w:style>
  <w:style w:type="paragraph" w:customStyle="1" w:styleId="264">
    <w:name w:val="SSEC 表字居中"/>
    <w:link w:val="263"/>
    <w:qFormat/>
    <w:uiPriority w:val="0"/>
    <w:pPr>
      <w:widowControl w:val="0"/>
      <w:adjustRightInd w:val="0"/>
      <w:snapToGrid w:val="0"/>
      <w:jc w:val="center"/>
      <w:textAlignment w:val="center"/>
    </w:pPr>
    <w:rPr>
      <w:rFonts w:ascii="宋体" w:hAnsi="Times New Roman" w:eastAsia="宋体" w:cs="Times New Roman"/>
      <w:kern w:val="2"/>
      <w:sz w:val="21"/>
      <w:szCs w:val="21"/>
      <w:lang w:val="en-US" w:eastAsia="zh-CN" w:bidi="ar-SA"/>
    </w:rPr>
  </w:style>
  <w:style w:type="paragraph" w:customStyle="1" w:styleId="265">
    <w:name w:val="1 Char Char Char Char"/>
    <w:basedOn w:val="1"/>
    <w:qFormat/>
    <w:uiPriority w:val="0"/>
    <w:rPr>
      <w:rFonts w:cs="Times New Roman"/>
      <w:szCs w:val="24"/>
    </w:rPr>
  </w:style>
  <w:style w:type="character" w:customStyle="1" w:styleId="266">
    <w:name w:val="SSEC表字居中 20150323 Char"/>
    <w:link w:val="267"/>
    <w:qFormat/>
    <w:locked/>
    <w:uiPriority w:val="0"/>
    <w:rPr>
      <w:rFonts w:ascii="宋体" w:hAnsi="宋体"/>
      <w:kern w:val="2"/>
      <w:sz w:val="21"/>
      <w:szCs w:val="21"/>
    </w:rPr>
  </w:style>
  <w:style w:type="paragraph" w:customStyle="1" w:styleId="267">
    <w:name w:val="SSEC表字居中 20150323"/>
    <w:link w:val="266"/>
    <w:qFormat/>
    <w:uiPriority w:val="0"/>
    <w:pPr>
      <w:adjustRightInd w:val="0"/>
      <w:snapToGrid w:val="0"/>
      <w:jc w:val="center"/>
    </w:pPr>
    <w:rPr>
      <w:rFonts w:ascii="宋体" w:hAnsi="宋体" w:eastAsia="宋体" w:cs="Times New Roman"/>
      <w:kern w:val="2"/>
      <w:sz w:val="21"/>
      <w:szCs w:val="21"/>
      <w:lang w:val="en-US" w:eastAsia="zh-CN" w:bidi="ar-SA"/>
    </w:rPr>
  </w:style>
  <w:style w:type="character" w:customStyle="1" w:styleId="268">
    <w:name w:val="【正文】 Char Char"/>
    <w:qFormat/>
    <w:uiPriority w:val="0"/>
    <w:rPr>
      <w:sz w:val="24"/>
      <w:lang w:bidi="ar-SA"/>
    </w:rPr>
  </w:style>
  <w:style w:type="paragraph" w:customStyle="1" w:styleId="269">
    <w:name w:val="TOC 标题11"/>
    <w:next w:val="1"/>
    <w:unhideWhenUsed/>
    <w:qFormat/>
    <w:uiPriority w:val="39"/>
    <w:pPr>
      <w:spacing w:line="360" w:lineRule="auto"/>
      <w:jc w:val="center"/>
    </w:pPr>
    <w:rPr>
      <w:rFonts w:ascii="Times New Roman" w:hAnsi="Times New Roman" w:eastAsia="Times New Roman" w:cstheme="majorBidi"/>
      <w:b/>
      <w:bCs/>
      <w:sz w:val="21"/>
      <w:szCs w:val="28"/>
      <w:lang w:val="en-US" w:eastAsia="zh-CN" w:bidi="ar-SA"/>
    </w:rPr>
  </w:style>
  <w:style w:type="table" w:customStyle="1" w:styleId="270">
    <w:name w:val="S表格样式"/>
    <w:basedOn w:val="52"/>
    <w:qFormat/>
    <w:uiPriority w:val="99"/>
    <w:rPr>
      <w:rFonts w:eastAsiaTheme="minorEastAsia" w:cstheme="minorBidi"/>
      <w:kern w:val="2"/>
      <w:sz w:val="21"/>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blHeader/>
      <w:jc w:val="center"/>
    </w:trPr>
    <w:tcPr>
      <w:vAlign w:val="center"/>
    </w:tcPr>
  </w:style>
  <w:style w:type="table" w:customStyle="1" w:styleId="271">
    <w:name w:val="表格正文"/>
    <w:basedOn w:val="53"/>
    <w:qFormat/>
    <w:uiPriority w:val="99"/>
    <w:pPr>
      <w:jc w:val="center"/>
    </w:pPr>
    <w:rPr>
      <w:rFonts w:eastAsiaTheme="minorEastAsia" w:cstheme="minorBidi"/>
      <w:sz w:val="21"/>
      <w:szCs w:val="21"/>
    </w:rPr>
    <w:tblPr>
      <w:jc w:val="center"/>
    </w:tblPr>
    <w:trPr>
      <w:jc w:val="center"/>
    </w:trPr>
    <w:tcPr>
      <w:vAlign w:val="center"/>
    </w:tcPr>
  </w:style>
  <w:style w:type="table" w:customStyle="1" w:styleId="272">
    <w:name w:val="样式1"/>
    <w:basedOn w:val="52"/>
    <w:qFormat/>
    <w:uiPriority w:val="99"/>
    <w:rPr>
      <w:rFonts w:asciiTheme="minorHAnsi" w:hAnsiTheme="minorHAnsi" w:eastAsiaTheme="minorEastAsia" w:cstheme="minorBidi"/>
      <w:kern w:val="2"/>
      <w:sz w:val="21"/>
      <w:szCs w:val="21"/>
    </w:rPr>
    <w:tblStylePr w:type="firstRow">
      <w:rPr>
        <w:rFonts w:ascii="Times New Roman" w:hAnsi="Times New Roman" w:eastAsia="宋体"/>
        <w:b/>
        <w:i w:val="0"/>
        <w:sz w:val="21"/>
      </w:rPr>
      <w:tblPr>
        <w:jc w:val="center"/>
      </w:tblPr>
      <w:trPr>
        <w:jc w:val="center"/>
      </w:trPr>
      <w:tcPr>
        <w:vAlign w:val="center"/>
      </w:tcPr>
    </w:tblStylePr>
  </w:style>
  <w:style w:type="table" w:customStyle="1" w:styleId="273">
    <w:name w:val="表格标题行"/>
    <w:basedOn w:val="52"/>
    <w:qFormat/>
    <w:uiPriority w:val="99"/>
    <w:rPr>
      <w:rFonts w:asciiTheme="minorHAnsi" w:hAnsiTheme="minorHAnsi" w:eastAsiaTheme="minorEastAsia" w:cstheme="minorBidi"/>
      <w:kern w:val="2"/>
      <w:sz w:val="21"/>
      <w:szCs w:val="21"/>
    </w:rPr>
    <w:tblStylePr w:type="firstRow">
      <w:pPr>
        <w:wordWrap/>
        <w:spacing w:line="240" w:lineRule="auto"/>
      </w:pPr>
      <w:rPr>
        <w:rFonts w:ascii="Times New Roman" w:hAnsi="Times New Roman" w:eastAsia="宋体"/>
        <w:b/>
        <w:i w:val="0"/>
        <w:sz w:val="21"/>
      </w:rPr>
      <w:tblPr>
        <w:jc w:val="center"/>
      </w:tblPr>
      <w:trPr>
        <w:jc w:val="center"/>
      </w:trPr>
      <w:tcPr>
        <w:tcBorders>
          <w:top w:val="nil"/>
          <w:left w:val="nil"/>
          <w:bottom w:val="nil"/>
          <w:right w:val="nil"/>
          <w:insideH w:val="nil"/>
          <w:insideV w:val="nil"/>
        </w:tcBorders>
        <w:vAlign w:val="center"/>
      </w:tcPr>
    </w:tblStylePr>
  </w:style>
  <w:style w:type="paragraph" w:customStyle="1" w:styleId="274">
    <w:name w:val="表格标题"/>
    <w:basedOn w:val="1"/>
    <w:link w:val="275"/>
    <w:qFormat/>
    <w:uiPriority w:val="0"/>
    <w:pPr>
      <w:jc w:val="center"/>
    </w:pPr>
    <w:rPr>
      <w:kern w:val="0"/>
      <w:szCs w:val="21"/>
    </w:rPr>
  </w:style>
  <w:style w:type="character" w:customStyle="1" w:styleId="275">
    <w:name w:val="表格标题 字符"/>
    <w:basedOn w:val="57"/>
    <w:link w:val="274"/>
    <w:qFormat/>
    <w:uiPriority w:val="0"/>
    <w:rPr>
      <w:rFonts w:cstheme="minorBidi"/>
      <w:sz w:val="24"/>
      <w:szCs w:val="21"/>
    </w:rPr>
  </w:style>
  <w:style w:type="paragraph" w:customStyle="1" w:styleId="276">
    <w:name w:val="文本框"/>
    <w:basedOn w:val="27"/>
    <w:qFormat/>
    <w:uiPriority w:val="0"/>
    <w:pPr>
      <w:framePr w:wrap="around" w:vAnchor="text" w:hAnchor="text" w:y="1"/>
    </w:pPr>
    <w:rPr>
      <w:rFonts w:ascii="Times New Roman" w:hAnsi="Times New Roman" w:eastAsia="华文仿宋"/>
      <w:kern w:val="0"/>
      <w:szCs w:val="21"/>
    </w:rPr>
  </w:style>
  <w:style w:type="paragraph" w:customStyle="1" w:styleId="277">
    <w:name w:val="正文_1"/>
    <w:qFormat/>
    <w:uiPriority w:val="0"/>
    <w:pPr>
      <w:widowControl w:val="0"/>
      <w:jc w:val="both"/>
    </w:pPr>
    <w:rPr>
      <w:rFonts w:ascii="Times New Roman" w:hAnsi="Times New Roman" w:eastAsia="宋体" w:cs="Times New Roman"/>
      <w:kern w:val="2"/>
      <w:sz w:val="21"/>
      <w:szCs w:val="24"/>
      <w:lang w:val="en-US" w:eastAsia="zh-CN" w:bidi="ar-SA"/>
    </w:rPr>
  </w:style>
  <w:style w:type="table" w:customStyle="1" w:styleId="278">
    <w:name w:val="表格内容V"/>
    <w:basedOn w:val="52"/>
    <w:qFormat/>
    <w:uiPriority w:val="99"/>
    <w:rPr>
      <w:rFonts w:asciiTheme="minorHAnsi" w:hAnsiTheme="minorHAnsi" w:eastAsiaTheme="minorEastAsia" w:cstheme="minorBidi"/>
      <w:kern w:val="2"/>
      <w:sz w:val="21"/>
      <w:szCs w:val="21"/>
    </w:rPr>
    <w:tblPr>
      <w:jc w:val="center"/>
      <w:tblCellSpacing w:w="11" w:type="dxa"/>
    </w:tblPr>
    <w:trPr>
      <w:tblCellSpacing w:w="11" w:type="dxa"/>
      <w:jc w:val="center"/>
    </w:trPr>
    <w:tcPr>
      <w:vAlign w:val="center"/>
    </w:tcPr>
  </w:style>
  <w:style w:type="table" w:customStyle="1" w:styleId="279">
    <w:name w:val="0表格内容"/>
    <w:basedOn w:val="52"/>
    <w:qFormat/>
    <w:uiPriority w:val="99"/>
    <w:rPr>
      <w:rFonts w:cstheme="minorBidi"/>
      <w:sz w:val="21"/>
      <w:szCs w:val="21"/>
    </w:rPr>
    <w:tblPr>
      <w:jc w:val="center"/>
    </w:tblPr>
    <w:trPr>
      <w:jc w:val="center"/>
    </w:trPr>
    <w:tcPr>
      <w:vAlign w:val="center"/>
    </w:tcPr>
  </w:style>
  <w:style w:type="table" w:customStyle="1" w:styleId="280">
    <w:name w:val="表格正文1"/>
    <w:basedOn w:val="53"/>
    <w:qFormat/>
    <w:uiPriority w:val="99"/>
    <w:pPr>
      <w:jc w:val="center"/>
    </w:pPr>
    <w:rPr>
      <w:rFonts w:eastAsiaTheme="minorEastAsia" w:cstheme="minorBidi"/>
      <w:sz w:val="21"/>
      <w:szCs w:val="21"/>
    </w:rPr>
    <w:tblPr>
      <w:jc w:val="center"/>
    </w:tblPr>
    <w:trPr>
      <w:jc w:val="center"/>
    </w:trPr>
    <w:tcPr>
      <w:vAlign w:val="center"/>
    </w:tcPr>
  </w:style>
  <w:style w:type="character" w:styleId="281">
    <w:name w:val="Placeholder Text"/>
    <w:basedOn w:val="57"/>
    <w:semiHidden/>
    <w:qFormat/>
    <w:uiPriority w:val="99"/>
    <w:rPr>
      <w:color w:val="808080"/>
    </w:rPr>
  </w:style>
  <w:style w:type="table" w:customStyle="1" w:styleId="282">
    <w:name w:val="网格型1"/>
    <w:basedOn w:val="52"/>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3">
    <w:name w:val="网格型2"/>
    <w:basedOn w:val="52"/>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4">
    <w:name w:val="网格型3"/>
    <w:basedOn w:val="52"/>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5">
    <w:name w:val="S表格正文1"/>
    <w:basedOn w:val="52"/>
    <w:qFormat/>
    <w:uiPriority w:val="99"/>
    <w:rPr>
      <w:rFonts w:cstheme="minorBidi"/>
      <w:kern w:val="2"/>
      <w:sz w:val="21"/>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vAlign w:val="center"/>
    </w:tcPr>
  </w:style>
  <w:style w:type="paragraph" w:customStyle="1" w:styleId="286">
    <w:name w:val="TOC 标题2"/>
    <w:basedOn w:val="2"/>
    <w:next w:val="1"/>
    <w:unhideWhenUsed/>
    <w:qFormat/>
    <w:uiPriority w:val="39"/>
    <w:pPr>
      <w:spacing w:before="240" w:beforeLines="100" w:after="0" w:line="259" w:lineRule="auto"/>
      <w:outlineLvl w:val="9"/>
    </w:pPr>
    <w:rPr>
      <w:rFonts w:asciiTheme="majorHAnsi" w:hAnsiTheme="majorHAnsi" w:eastAsiaTheme="majorEastAsia" w:cstheme="majorBidi"/>
      <w:b w:val="0"/>
      <w:bCs w:val="0"/>
      <w:color w:val="2F5597" w:themeColor="accent1" w:themeShade="BF"/>
      <w:kern w:val="0"/>
      <w:szCs w:val="32"/>
    </w:rPr>
  </w:style>
  <w:style w:type="paragraph" w:customStyle="1" w:styleId="287">
    <w:name w:val="正文_0"/>
    <w:qFormat/>
    <w:uiPriority w:val="0"/>
    <w:pPr>
      <w:widowControl w:val="0"/>
      <w:spacing w:line="360" w:lineRule="auto"/>
      <w:jc w:val="both"/>
    </w:pPr>
    <w:rPr>
      <w:rFonts w:ascii="Times New Roman" w:hAnsi="Times New Roman" w:eastAsia="宋体" w:cs="Times New Roman"/>
      <w:kern w:val="2"/>
      <w:sz w:val="21"/>
      <w:szCs w:val="24"/>
      <w:lang w:val="en-US" w:eastAsia="zh-CN" w:bidi="ar-SA"/>
    </w:rPr>
  </w:style>
  <w:style w:type="paragraph" w:customStyle="1" w:styleId="288">
    <w:name w:val="Normal_2"/>
    <w:qFormat/>
    <w:uiPriority w:val="0"/>
    <w:pPr>
      <w:widowControl w:val="0"/>
      <w:jc w:val="both"/>
    </w:pPr>
    <w:rPr>
      <w:rFonts w:ascii="Times New Roman" w:hAnsi="Times New Roman" w:eastAsia="宋体" w:cs="Times New Roman"/>
      <w:kern w:val="2"/>
      <w:sz w:val="21"/>
      <w:szCs w:val="24"/>
      <w:lang w:val="en-US" w:eastAsia="zh-CN" w:bidi="ar-SA"/>
    </w:rPr>
  </w:style>
  <w:style w:type="table" w:customStyle="1" w:styleId="289">
    <w:name w:val="表格正文2"/>
    <w:basedOn w:val="53"/>
    <w:qFormat/>
    <w:uiPriority w:val="99"/>
    <w:pPr>
      <w:jc w:val="center"/>
    </w:pPr>
    <w:rPr>
      <w:rFonts w:eastAsiaTheme="minorEastAsia" w:cstheme="minorBidi"/>
      <w:sz w:val="21"/>
      <w:szCs w:val="21"/>
    </w:rPr>
    <w:tblPr>
      <w:jc w:val="center"/>
    </w:tblPr>
    <w:trPr>
      <w:jc w:val="center"/>
    </w:trPr>
    <w:tcPr>
      <w:vAlign w:val="center"/>
    </w:tcPr>
  </w:style>
  <w:style w:type="character" w:customStyle="1" w:styleId="290">
    <w:name w:val="表格 Char Char"/>
    <w:link w:val="291"/>
    <w:qFormat/>
    <w:uiPriority w:val="0"/>
    <w:rPr>
      <w:rFonts w:ascii="宋体" w:hAnsi="宋体" w:cs="宋体"/>
      <w:sz w:val="24"/>
    </w:rPr>
  </w:style>
  <w:style w:type="paragraph" w:customStyle="1" w:styleId="291">
    <w:name w:val="表格"/>
    <w:basedOn w:val="1"/>
    <w:link w:val="290"/>
    <w:qFormat/>
    <w:uiPriority w:val="0"/>
    <w:pPr>
      <w:widowControl/>
      <w:jc w:val="center"/>
      <w:textAlignment w:val="baseline"/>
    </w:pPr>
    <w:rPr>
      <w:rFonts w:ascii="宋体" w:hAnsi="宋体" w:cs="宋体"/>
      <w:kern w:val="0"/>
      <w:szCs w:val="20"/>
    </w:rPr>
  </w:style>
  <w:style w:type="paragraph" w:customStyle="1" w:styleId="292">
    <w:name w:val="表内文字"/>
    <w:basedOn w:val="1"/>
    <w:qFormat/>
    <w:uiPriority w:val="0"/>
    <w:pPr>
      <w:widowControl/>
      <w:ind w:left="57" w:right="57"/>
      <w:jc w:val="center"/>
    </w:pPr>
    <w:rPr>
      <w:rFonts w:ascii="Times" w:hAnsi="Times" w:cs="Times"/>
      <w:snapToGrid w:val="0"/>
      <w:spacing w:val="-20"/>
      <w:kern w:val="0"/>
      <w:szCs w:val="21"/>
    </w:rPr>
  </w:style>
  <w:style w:type="paragraph" w:customStyle="1" w:styleId="293">
    <w:name w:val="L-正文"/>
    <w:basedOn w:val="1"/>
    <w:qFormat/>
    <w:uiPriority w:val="0"/>
    <w:pPr>
      <w:ind w:firstLine="480"/>
    </w:pPr>
    <w:rPr>
      <w:rFonts w:ascii="宋体" w:cs="Tahoma"/>
      <w:color w:val="444444"/>
      <w:kern w:val="0"/>
      <w:szCs w:val="27"/>
      <w:shd w:val="clear" w:color="auto" w:fill="FFFFFF"/>
    </w:rPr>
  </w:style>
  <w:style w:type="paragraph" w:customStyle="1" w:styleId="294">
    <w:name w:val="表格内容11"/>
    <w:next w:val="21"/>
    <w:qFormat/>
    <w:uiPriority w:val="0"/>
    <w:pPr>
      <w:adjustRightInd w:val="0"/>
      <w:snapToGrid w:val="0"/>
      <w:jc w:val="center"/>
      <w:textAlignment w:val="baseline"/>
    </w:pPr>
    <w:rPr>
      <w:rFonts w:ascii="Times New Roman" w:hAnsi="Times New Roman" w:eastAsia="宋体" w:cs="Times New Roman"/>
      <w:kern w:val="2"/>
      <w:sz w:val="21"/>
      <w:lang w:val="en-US" w:eastAsia="zh-CN" w:bidi="ar-SA"/>
    </w:rPr>
  </w:style>
  <w:style w:type="table" w:customStyle="1" w:styleId="295">
    <w:name w:val="网格型ZHJICIA1"/>
    <w:basedOn w:val="52"/>
    <w:qFormat/>
    <w:uiPriority w:val="59"/>
    <w:pPr>
      <w:widowControl w:val="0"/>
      <w:spacing w:before="120" w:after="120" w:line="360" w:lineRule="exact"/>
      <w:ind w:firstLine="482"/>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96">
    <w:name w:val="标题 7 字符"/>
    <w:basedOn w:val="57"/>
    <w:link w:val="8"/>
    <w:qFormat/>
    <w:uiPriority w:val="0"/>
    <w:rPr>
      <w:b/>
      <w:bCs/>
      <w:kern w:val="2"/>
      <w:sz w:val="24"/>
      <w:szCs w:val="24"/>
    </w:rPr>
  </w:style>
  <w:style w:type="character" w:customStyle="1" w:styleId="297">
    <w:name w:val="注释标题 字符"/>
    <w:basedOn w:val="57"/>
    <w:link w:val="12"/>
    <w:qFormat/>
    <w:uiPriority w:val="0"/>
    <w:rPr>
      <w:kern w:val="2"/>
      <w:sz w:val="30"/>
    </w:rPr>
  </w:style>
  <w:style w:type="paragraph" w:customStyle="1" w:styleId="298">
    <w:name w:val="正文1"/>
    <w:basedOn w:val="22"/>
    <w:qFormat/>
    <w:uiPriority w:val="0"/>
    <w:pPr>
      <w:widowControl w:val="0"/>
      <w:spacing w:line="500" w:lineRule="exact"/>
      <w:ind w:firstLine="520"/>
      <w:jc w:val="both"/>
    </w:pPr>
    <w:rPr>
      <w:rFonts w:ascii="Times New Roman" w:hAnsi="Times New Roman"/>
      <w:kern w:val="2"/>
      <w:sz w:val="26"/>
      <w:szCs w:val="26"/>
      <w:lang w:eastAsia="zh-CN"/>
    </w:rPr>
  </w:style>
  <w:style w:type="paragraph" w:customStyle="1" w:styleId="299">
    <w:name w:val="报告正文"/>
    <w:basedOn w:val="50"/>
    <w:qFormat/>
    <w:uiPriority w:val="0"/>
    <w:pPr>
      <w:ind w:firstLine="480" w:firstLineChars="200"/>
    </w:pPr>
    <w:rPr>
      <w:rFonts w:ascii="宋体" w:hAnsi="宋体"/>
      <w:sz w:val="24"/>
    </w:rPr>
  </w:style>
  <w:style w:type="character" w:customStyle="1" w:styleId="300">
    <w:name w:val="正文首行缩进 字符"/>
    <w:basedOn w:val="76"/>
    <w:link w:val="50"/>
    <w:qFormat/>
    <w:uiPriority w:val="0"/>
    <w:rPr>
      <w:rFonts w:ascii="宋体" w:hAnsi="宋体"/>
      <w:kern w:val="2"/>
      <w:sz w:val="21"/>
      <w:szCs w:val="24"/>
      <w:lang w:eastAsia="en-US"/>
    </w:rPr>
  </w:style>
  <w:style w:type="character" w:customStyle="1" w:styleId="301">
    <w:name w:val="HTML 预设格式 字符"/>
    <w:basedOn w:val="57"/>
    <w:link w:val="45"/>
    <w:qFormat/>
    <w:uiPriority w:val="0"/>
    <w:rPr>
      <w:rFonts w:ascii="Arial" w:hAnsi="Arial" w:cs="Arial"/>
      <w:sz w:val="24"/>
      <w:szCs w:val="24"/>
    </w:rPr>
  </w:style>
  <w:style w:type="character" w:customStyle="1" w:styleId="302">
    <w:name w:val="样式 Char4 Char Char Char + Times New Roman Char"/>
    <w:link w:val="303"/>
    <w:qFormat/>
    <w:uiPriority w:val="0"/>
    <w:rPr>
      <w:rFonts w:cs="宋体"/>
      <w:kern w:val="2"/>
      <w:sz w:val="24"/>
      <w:szCs w:val="26"/>
    </w:rPr>
  </w:style>
  <w:style w:type="paragraph" w:customStyle="1" w:styleId="303">
    <w:name w:val="样式 Char4 Char Char Char + Times New Roman"/>
    <w:basedOn w:val="304"/>
    <w:link w:val="302"/>
    <w:qFormat/>
    <w:uiPriority w:val="0"/>
    <w:rPr>
      <w:rFonts w:ascii="Times New Roman" w:hAnsi="Times New Roman"/>
    </w:rPr>
  </w:style>
  <w:style w:type="paragraph" w:customStyle="1" w:styleId="304">
    <w:name w:val="Char4 Char Char Char"/>
    <w:basedOn w:val="1"/>
    <w:qFormat/>
    <w:uiPriority w:val="0"/>
    <w:pPr>
      <w:spacing w:line="400" w:lineRule="exact"/>
    </w:pPr>
    <w:rPr>
      <w:rFonts w:ascii="宋体" w:hAnsi="宋体" w:cs="宋体"/>
      <w:szCs w:val="26"/>
    </w:rPr>
  </w:style>
  <w:style w:type="character" w:customStyle="1" w:styleId="305">
    <w:name w:val="标准样式 Char Char"/>
    <w:qFormat/>
    <w:uiPriority w:val="0"/>
    <w:rPr>
      <w:rFonts w:eastAsia="宋体"/>
      <w:kern w:val="2"/>
      <w:sz w:val="28"/>
      <w:lang w:val="en-US" w:eastAsia="zh-CN" w:bidi="ar-SA"/>
    </w:rPr>
  </w:style>
  <w:style w:type="character" w:customStyle="1" w:styleId="306">
    <w:name w:val="样式105 Char"/>
    <w:link w:val="307"/>
    <w:qFormat/>
    <w:uiPriority w:val="0"/>
    <w:rPr>
      <w:rFonts w:ascii="宋体" w:hAnsi="宋体" w:cs="宋体"/>
      <w:sz w:val="26"/>
      <w:szCs w:val="26"/>
    </w:rPr>
  </w:style>
  <w:style w:type="paragraph" w:customStyle="1" w:styleId="307">
    <w:name w:val="样式105"/>
    <w:link w:val="306"/>
    <w:qFormat/>
    <w:uiPriority w:val="0"/>
    <w:pPr>
      <w:adjustRightInd w:val="0"/>
      <w:snapToGrid w:val="0"/>
      <w:spacing w:line="460" w:lineRule="exact"/>
      <w:ind w:firstLine="520" w:firstLineChars="200"/>
    </w:pPr>
    <w:rPr>
      <w:rFonts w:ascii="宋体" w:hAnsi="宋体" w:eastAsia="宋体" w:cs="宋体"/>
      <w:sz w:val="26"/>
      <w:szCs w:val="26"/>
      <w:lang w:val="en-US" w:eastAsia="zh-CN" w:bidi="ar-SA"/>
    </w:rPr>
  </w:style>
  <w:style w:type="character" w:customStyle="1" w:styleId="308">
    <w:name w:val="样式1 Char"/>
    <w:qFormat/>
    <w:uiPriority w:val="0"/>
    <w:rPr>
      <w:rFonts w:eastAsia="黑体"/>
      <w:kern w:val="2"/>
      <w:sz w:val="28"/>
      <w:lang w:val="en-US" w:eastAsia="zh-CN" w:bidi="ar-SA"/>
    </w:rPr>
  </w:style>
  <w:style w:type="character" w:customStyle="1" w:styleId="309">
    <w:name w:val="fontstyle11"/>
    <w:qFormat/>
    <w:uiPriority w:val="0"/>
    <w:rPr>
      <w:rFonts w:hint="default" w:ascii="Times New Roman" w:hAnsi="Times New Roman" w:cs="Times New Roman"/>
      <w:color w:val="000000"/>
      <w:sz w:val="22"/>
      <w:szCs w:val="22"/>
    </w:rPr>
  </w:style>
  <w:style w:type="character" w:customStyle="1" w:styleId="310">
    <w:name w:val="font01"/>
    <w:qFormat/>
    <w:uiPriority w:val="0"/>
    <w:rPr>
      <w:rFonts w:hint="eastAsia" w:ascii="宋体" w:hAnsi="宋体" w:eastAsia="宋体" w:cs="宋体"/>
      <w:color w:val="000000"/>
      <w:sz w:val="24"/>
      <w:szCs w:val="24"/>
      <w:u w:val="none"/>
      <w:vertAlign w:val="superscript"/>
    </w:rPr>
  </w:style>
  <w:style w:type="character" w:customStyle="1" w:styleId="311">
    <w:name w:val="标准样式 Char1"/>
    <w:link w:val="312"/>
    <w:qFormat/>
    <w:uiPriority w:val="0"/>
    <w:rPr>
      <w:rFonts w:ascii="宋体"/>
      <w:sz w:val="28"/>
    </w:rPr>
  </w:style>
  <w:style w:type="paragraph" w:customStyle="1" w:styleId="312">
    <w:name w:val="标准样式"/>
    <w:link w:val="311"/>
    <w:qFormat/>
    <w:uiPriority w:val="0"/>
    <w:pPr>
      <w:widowControl w:val="0"/>
      <w:spacing w:line="600" w:lineRule="exact"/>
      <w:ind w:firstLine="567"/>
      <w:jc w:val="both"/>
    </w:pPr>
    <w:rPr>
      <w:rFonts w:ascii="宋体" w:hAnsi="Times New Roman" w:eastAsia="宋体" w:cs="Times New Roman"/>
      <w:sz w:val="28"/>
      <w:lang w:val="en-US" w:eastAsia="zh-CN" w:bidi="ar-SA"/>
    </w:rPr>
  </w:style>
  <w:style w:type="character" w:customStyle="1" w:styleId="313">
    <w:name w:val="标题节 Char"/>
    <w:qFormat/>
    <w:uiPriority w:val="0"/>
    <w:rPr>
      <w:rFonts w:eastAsia="宋体"/>
      <w:b/>
      <w:kern w:val="2"/>
      <w:sz w:val="26"/>
      <w:szCs w:val="32"/>
      <w:lang w:val="en-US" w:eastAsia="zh-CN" w:bidi="ar-SA"/>
    </w:rPr>
  </w:style>
  <w:style w:type="character" w:customStyle="1" w:styleId="314">
    <w:name w:val="页码2"/>
    <w:basedOn w:val="57"/>
    <w:qFormat/>
    <w:uiPriority w:val="0"/>
  </w:style>
  <w:style w:type="character" w:customStyle="1" w:styleId="315">
    <w:name w:val="三级标题 Char"/>
    <w:qFormat/>
    <w:uiPriority w:val="0"/>
    <w:rPr>
      <w:rFonts w:eastAsia="宋体"/>
      <w:b/>
      <w:kern w:val="2"/>
      <w:sz w:val="26"/>
      <w:szCs w:val="26"/>
      <w:lang w:val="en-US" w:eastAsia="zh-CN" w:bidi="ar-SA"/>
    </w:rPr>
  </w:style>
  <w:style w:type="character" w:customStyle="1" w:styleId="316">
    <w:name w:val="apple-style-span"/>
    <w:basedOn w:val="57"/>
    <w:qFormat/>
    <w:uiPriority w:val="0"/>
  </w:style>
  <w:style w:type="character" w:customStyle="1" w:styleId="317">
    <w:name w:val="正文（首行缩进2字） Char"/>
    <w:link w:val="318"/>
    <w:qFormat/>
    <w:uiPriority w:val="0"/>
    <w:rPr>
      <w:kern w:val="2"/>
      <w:sz w:val="28"/>
      <w:szCs w:val="30"/>
    </w:rPr>
  </w:style>
  <w:style w:type="paragraph" w:customStyle="1" w:styleId="318">
    <w:name w:val="正文（首行缩进2字）"/>
    <w:basedOn w:val="1"/>
    <w:link w:val="317"/>
    <w:qFormat/>
    <w:uiPriority w:val="0"/>
    <w:pPr>
      <w:spacing w:line="500" w:lineRule="exact"/>
      <w:ind w:firstLine="560"/>
    </w:pPr>
    <w:rPr>
      <w:rFonts w:cs="Times New Roman"/>
      <w:sz w:val="28"/>
      <w:szCs w:val="30"/>
    </w:rPr>
  </w:style>
  <w:style w:type="character" w:customStyle="1" w:styleId="319">
    <w:name w:val="引用 Char"/>
    <w:link w:val="320"/>
    <w:qFormat/>
    <w:uiPriority w:val="0"/>
    <w:rPr>
      <w:iCs/>
      <w:color w:val="000000"/>
      <w:kern w:val="2"/>
      <w:sz w:val="22"/>
      <w:szCs w:val="24"/>
    </w:rPr>
  </w:style>
  <w:style w:type="paragraph" w:customStyle="1" w:styleId="320">
    <w:name w:val="引用1"/>
    <w:basedOn w:val="1"/>
    <w:next w:val="1"/>
    <w:link w:val="319"/>
    <w:qFormat/>
    <w:uiPriority w:val="0"/>
    <w:rPr>
      <w:rFonts w:cs="Times New Roman"/>
      <w:iCs/>
      <w:color w:val="000000"/>
      <w:sz w:val="22"/>
      <w:szCs w:val="24"/>
    </w:rPr>
  </w:style>
  <w:style w:type="character" w:customStyle="1" w:styleId="321">
    <w:name w:val="样式 标题 1 + 段后: 1.5 行 Char"/>
    <w:qFormat/>
    <w:uiPriority w:val="0"/>
    <w:rPr>
      <w:rFonts w:ascii="宋体" w:hAnsi="宋体" w:eastAsia="宋体" w:cs="宋体"/>
      <w:b/>
      <w:bCs/>
      <w:kern w:val="44"/>
      <w:sz w:val="32"/>
      <w:szCs w:val="44"/>
      <w:lang w:val="en-US" w:eastAsia="zh-CN" w:bidi="ar-SA"/>
    </w:rPr>
  </w:style>
  <w:style w:type="character" w:customStyle="1" w:styleId="322">
    <w:name w:val="style81"/>
    <w:qFormat/>
    <w:uiPriority w:val="0"/>
    <w:rPr>
      <w:sz w:val="20"/>
      <w:szCs w:val="20"/>
    </w:rPr>
  </w:style>
  <w:style w:type="character" w:customStyle="1" w:styleId="323">
    <w:name w:val="表头排版 Char"/>
    <w:link w:val="324"/>
    <w:qFormat/>
    <w:uiPriority w:val="0"/>
    <w:rPr>
      <w:kern w:val="2"/>
      <w:sz w:val="26"/>
      <w:szCs w:val="21"/>
    </w:rPr>
  </w:style>
  <w:style w:type="paragraph" w:customStyle="1" w:styleId="324">
    <w:name w:val="表头排版"/>
    <w:basedOn w:val="1"/>
    <w:link w:val="323"/>
    <w:qFormat/>
    <w:uiPriority w:val="0"/>
    <w:pPr>
      <w:spacing w:line="480" w:lineRule="exact"/>
      <w:jc w:val="right"/>
    </w:pPr>
    <w:rPr>
      <w:rFonts w:cs="Times New Roman"/>
      <w:sz w:val="26"/>
      <w:szCs w:val="21"/>
    </w:rPr>
  </w:style>
  <w:style w:type="character" w:customStyle="1" w:styleId="325">
    <w:name w:val="style61"/>
    <w:qFormat/>
    <w:uiPriority w:val="0"/>
    <w:rPr>
      <w:color w:val="333333"/>
      <w:sz w:val="21"/>
      <w:szCs w:val="21"/>
    </w:rPr>
  </w:style>
  <w:style w:type="character" w:customStyle="1" w:styleId="326">
    <w:name w:val="f91"/>
    <w:qFormat/>
    <w:uiPriority w:val="0"/>
    <w:rPr>
      <w:rFonts w:hint="default"/>
      <w:sz w:val="18"/>
      <w:szCs w:val="18"/>
    </w:rPr>
  </w:style>
  <w:style w:type="character" w:customStyle="1" w:styleId="327">
    <w:name w:val="标题1"/>
    <w:basedOn w:val="57"/>
    <w:qFormat/>
    <w:uiPriority w:val="0"/>
  </w:style>
  <w:style w:type="character" w:customStyle="1" w:styleId="328">
    <w:name w:val="样式2 Char Char"/>
    <w:qFormat/>
    <w:uiPriority w:val="0"/>
    <w:rPr>
      <w:rFonts w:ascii="黑体" w:hAnsi="宋体" w:eastAsia="黑体"/>
      <w:b/>
      <w:kern w:val="2"/>
      <w:sz w:val="28"/>
      <w:szCs w:val="28"/>
      <w:lang w:val="en-US" w:eastAsia="zh-CN" w:bidi="ar-SA"/>
    </w:rPr>
  </w:style>
  <w:style w:type="character" w:customStyle="1" w:styleId="329">
    <w:name w:val="样式92 Char"/>
    <w:link w:val="330"/>
    <w:qFormat/>
    <w:uiPriority w:val="0"/>
    <w:rPr>
      <w:rFonts w:cs="宋体"/>
      <w:sz w:val="26"/>
      <w:szCs w:val="26"/>
    </w:rPr>
  </w:style>
  <w:style w:type="paragraph" w:customStyle="1" w:styleId="330">
    <w:name w:val="样式92"/>
    <w:basedOn w:val="1"/>
    <w:link w:val="329"/>
    <w:qFormat/>
    <w:uiPriority w:val="0"/>
    <w:pPr>
      <w:widowControl/>
      <w:spacing w:line="460" w:lineRule="exact"/>
      <w:ind w:firstLine="567" w:firstLineChars="218"/>
      <w:jc w:val="left"/>
    </w:pPr>
    <w:rPr>
      <w:rFonts w:cs="宋体"/>
      <w:kern w:val="0"/>
      <w:sz w:val="26"/>
      <w:szCs w:val="26"/>
    </w:rPr>
  </w:style>
  <w:style w:type="character" w:customStyle="1" w:styleId="331">
    <w:name w:val="正文首行缩进 Char"/>
    <w:qFormat/>
    <w:uiPriority w:val="0"/>
    <w:rPr>
      <w:rFonts w:eastAsia="宋体"/>
      <w:kern w:val="2"/>
      <w:sz w:val="28"/>
      <w:szCs w:val="28"/>
      <w:lang w:val="en-US" w:eastAsia="zh-CN" w:bidi="ar-SA"/>
    </w:rPr>
  </w:style>
  <w:style w:type="character" w:customStyle="1" w:styleId="332">
    <w:name w:val="txtbreak"/>
    <w:basedOn w:val="57"/>
    <w:qFormat/>
    <w:uiPriority w:val="0"/>
  </w:style>
  <w:style w:type="character" w:customStyle="1" w:styleId="333">
    <w:name w:val="UserStyle_0"/>
    <w:qFormat/>
    <w:uiPriority w:val="0"/>
    <w:rPr>
      <w:rFonts w:ascii="宋体" w:hAnsi="宋体" w:eastAsia="宋体"/>
      <w:color w:val="000000"/>
      <w:sz w:val="24"/>
      <w:szCs w:val="24"/>
      <w:vertAlign w:val="superscript"/>
    </w:rPr>
  </w:style>
  <w:style w:type="character" w:customStyle="1" w:styleId="334">
    <w:name w:val="表格 Char"/>
    <w:qFormat/>
    <w:uiPriority w:val="0"/>
    <w:rPr>
      <w:kern w:val="2"/>
      <w:sz w:val="22"/>
      <w:szCs w:val="22"/>
      <w:lang w:val="en-US" w:eastAsia="zh-CN" w:bidi="ar-SA"/>
    </w:rPr>
  </w:style>
  <w:style w:type="character" w:customStyle="1" w:styleId="335">
    <w:name w:val="样式2 Char"/>
    <w:link w:val="133"/>
    <w:qFormat/>
    <w:uiPriority w:val="0"/>
    <w:rPr>
      <w:color w:val="000000"/>
      <w:kern w:val="2"/>
      <w:sz w:val="28"/>
      <w:szCs w:val="28"/>
      <w:lang w:val="zh-CN"/>
    </w:rPr>
  </w:style>
  <w:style w:type="paragraph" w:customStyle="1" w:styleId="336">
    <w:name w:val="样式 标题 2标题节标题 2 Char Char + 段前: 2 行"/>
    <w:basedOn w:val="3"/>
    <w:next w:val="1"/>
    <w:qFormat/>
    <w:uiPriority w:val="0"/>
    <w:pPr>
      <w:widowControl w:val="0"/>
      <w:spacing w:before="156" w:beforeLines="50" w:line="460" w:lineRule="exact"/>
      <w:ind w:firstLine="200"/>
      <w:jc w:val="both"/>
    </w:pPr>
    <w:rPr>
      <w:rFonts w:hAnsi="Arial"/>
      <w:b w:val="0"/>
      <w:bCs w:val="0"/>
      <w:kern w:val="2"/>
      <w:sz w:val="26"/>
      <w:szCs w:val="20"/>
    </w:rPr>
  </w:style>
  <w:style w:type="character" w:customStyle="1" w:styleId="337">
    <w:name w:val="排版正文 Char"/>
    <w:qFormat/>
    <w:uiPriority w:val="0"/>
    <w:rPr>
      <w:szCs w:val="24"/>
    </w:rPr>
  </w:style>
  <w:style w:type="character" w:customStyle="1" w:styleId="338">
    <w:name w:val="表头 Char1"/>
    <w:qFormat/>
    <w:uiPriority w:val="0"/>
    <w:rPr>
      <w:rFonts w:eastAsia="宋体"/>
      <w:spacing w:val="2"/>
      <w:kern w:val="2"/>
      <w:sz w:val="26"/>
      <w:szCs w:val="26"/>
      <w:lang w:val="en-US" w:eastAsia="zh-CN" w:bidi="ar-SA"/>
    </w:rPr>
  </w:style>
  <w:style w:type="character" w:customStyle="1" w:styleId="339">
    <w:name w:val="t141"/>
    <w:qFormat/>
    <w:uiPriority w:val="0"/>
    <w:rPr>
      <w:rFonts w:hint="default" w:ascii="ˎ̥" w:hAnsi="ˎ̥"/>
      <w:sz w:val="21"/>
      <w:szCs w:val="21"/>
    </w:rPr>
  </w:style>
  <w:style w:type="character" w:customStyle="1" w:styleId="340">
    <w:name w:val="标准样式1 Char"/>
    <w:link w:val="341"/>
    <w:qFormat/>
    <w:uiPriority w:val="0"/>
    <w:rPr>
      <w:rFonts w:ascii="宋体" w:hAnsi="宋体"/>
      <w:bCs/>
      <w:kern w:val="2"/>
      <w:sz w:val="28"/>
      <w:szCs w:val="24"/>
    </w:rPr>
  </w:style>
  <w:style w:type="paragraph" w:customStyle="1" w:styleId="341">
    <w:name w:val="标准样式1"/>
    <w:basedOn w:val="1"/>
    <w:link w:val="340"/>
    <w:qFormat/>
    <w:uiPriority w:val="0"/>
    <w:pPr>
      <w:spacing w:line="600" w:lineRule="exact"/>
      <w:ind w:firstLine="150" w:firstLineChars="150"/>
    </w:pPr>
    <w:rPr>
      <w:rFonts w:ascii="宋体" w:hAnsi="宋体" w:cs="Times New Roman"/>
      <w:bCs/>
      <w:sz w:val="28"/>
      <w:szCs w:val="24"/>
    </w:rPr>
  </w:style>
  <w:style w:type="character" w:customStyle="1" w:styleId="342">
    <w:name w:val="title10"/>
    <w:basedOn w:val="57"/>
    <w:qFormat/>
    <w:uiPriority w:val="0"/>
  </w:style>
  <w:style w:type="character" w:customStyle="1" w:styleId="343">
    <w:name w:val="表文字 Char"/>
    <w:link w:val="344"/>
    <w:qFormat/>
    <w:uiPriority w:val="0"/>
    <w:rPr>
      <w:kern w:val="2"/>
      <w:sz w:val="21"/>
      <w:szCs w:val="21"/>
    </w:rPr>
  </w:style>
  <w:style w:type="paragraph" w:customStyle="1" w:styleId="344">
    <w:name w:val="表文字"/>
    <w:basedOn w:val="1"/>
    <w:link w:val="343"/>
    <w:qFormat/>
    <w:uiPriority w:val="0"/>
    <w:pPr>
      <w:topLinePunct/>
      <w:spacing w:line="240" w:lineRule="exact"/>
      <w:textAlignment w:val="baseline"/>
    </w:pPr>
    <w:rPr>
      <w:rFonts w:cs="Times New Roman"/>
      <w:szCs w:val="21"/>
    </w:rPr>
  </w:style>
  <w:style w:type="character" w:customStyle="1" w:styleId="345">
    <w:name w:val="环评证文 Char"/>
    <w:link w:val="346"/>
    <w:qFormat/>
    <w:uiPriority w:val="0"/>
    <w:rPr>
      <w:rFonts w:ascii="宋体" w:hAnsi="宋体"/>
      <w:color w:val="000000"/>
      <w:kern w:val="2"/>
      <w:sz w:val="24"/>
      <w:szCs w:val="24"/>
    </w:rPr>
  </w:style>
  <w:style w:type="paragraph" w:customStyle="1" w:styleId="346">
    <w:name w:val="环评证文"/>
    <w:basedOn w:val="1"/>
    <w:link w:val="345"/>
    <w:qFormat/>
    <w:uiPriority w:val="0"/>
    <w:pPr>
      <w:spacing w:line="440" w:lineRule="exact"/>
      <w:ind w:firstLine="480"/>
    </w:pPr>
    <w:rPr>
      <w:rFonts w:ascii="宋体" w:hAnsi="宋体" w:cs="Times New Roman"/>
      <w:color w:val="000000"/>
      <w:szCs w:val="24"/>
    </w:rPr>
  </w:style>
  <w:style w:type="character" w:customStyle="1" w:styleId="347">
    <w:name w:val="环评正文 Char"/>
    <w:link w:val="348"/>
    <w:qFormat/>
    <w:uiPriority w:val="0"/>
    <w:rPr>
      <w:rFonts w:ascii="宋体" w:hAnsi="宋体"/>
      <w:color w:val="000000"/>
      <w:kern w:val="2"/>
      <w:sz w:val="24"/>
      <w:szCs w:val="24"/>
    </w:rPr>
  </w:style>
  <w:style w:type="paragraph" w:customStyle="1" w:styleId="348">
    <w:name w:val="环评正文"/>
    <w:basedOn w:val="1"/>
    <w:link w:val="347"/>
    <w:qFormat/>
    <w:uiPriority w:val="0"/>
    <w:pPr>
      <w:spacing w:line="440" w:lineRule="exact"/>
    </w:pPr>
    <w:rPr>
      <w:rFonts w:ascii="宋体" w:hAnsi="宋体" w:cs="Times New Roman"/>
      <w:color w:val="000000"/>
      <w:szCs w:val="24"/>
    </w:rPr>
  </w:style>
  <w:style w:type="character" w:customStyle="1" w:styleId="349">
    <w:name w:val="样式5 Char Char"/>
    <w:qFormat/>
    <w:uiPriority w:val="0"/>
    <w:rPr>
      <w:rFonts w:eastAsia="宋体"/>
      <w:color w:val="FF0000"/>
      <w:kern w:val="2"/>
      <w:sz w:val="24"/>
      <w:lang w:val="en-US" w:eastAsia="zh-CN" w:bidi="ar-SA"/>
    </w:rPr>
  </w:style>
  <w:style w:type="character" w:customStyle="1" w:styleId="350">
    <w:name w:val="NormalCharacter"/>
    <w:semiHidden/>
    <w:qFormat/>
    <w:uiPriority w:val="0"/>
  </w:style>
  <w:style w:type="character" w:customStyle="1" w:styleId="351">
    <w:name w:val="表内字 Char Char"/>
    <w:link w:val="352"/>
    <w:qFormat/>
    <w:uiPriority w:val="0"/>
    <w:rPr>
      <w:rFonts w:ascii="Tahoma" w:hAnsi="Tahoma"/>
      <w:sz w:val="21"/>
      <w:szCs w:val="21"/>
    </w:rPr>
  </w:style>
  <w:style w:type="paragraph" w:customStyle="1" w:styleId="352">
    <w:name w:val="表内字"/>
    <w:basedOn w:val="37"/>
    <w:link w:val="351"/>
    <w:qFormat/>
    <w:uiPriority w:val="0"/>
    <w:pPr>
      <w:autoSpaceDE w:val="0"/>
      <w:autoSpaceDN w:val="0"/>
      <w:ind w:left="0" w:firstLine="0" w:firstLineChars="0"/>
      <w:jc w:val="center"/>
    </w:pPr>
    <w:rPr>
      <w:rFonts w:ascii="Tahoma" w:hAnsi="Tahoma"/>
      <w:kern w:val="0"/>
      <w:szCs w:val="21"/>
    </w:rPr>
  </w:style>
  <w:style w:type="character" w:customStyle="1" w:styleId="353">
    <w:name w:val="表号 Char"/>
    <w:link w:val="142"/>
    <w:qFormat/>
    <w:locked/>
    <w:uiPriority w:val="0"/>
    <w:rPr>
      <w:kern w:val="2"/>
      <w:sz w:val="21"/>
      <w:szCs w:val="24"/>
    </w:rPr>
  </w:style>
  <w:style w:type="character" w:customStyle="1" w:styleId="354">
    <w:name w:val="正文1 Char"/>
    <w:qFormat/>
    <w:uiPriority w:val="0"/>
    <w:rPr>
      <w:rFonts w:eastAsia="宋体"/>
      <w:kern w:val="2"/>
      <w:sz w:val="26"/>
      <w:szCs w:val="26"/>
      <w:lang w:val="en-US" w:eastAsia="zh-CN" w:bidi="ar-SA"/>
    </w:rPr>
  </w:style>
  <w:style w:type="character" w:customStyle="1" w:styleId="355">
    <w:name w:val="标准样式 Char"/>
    <w:qFormat/>
    <w:uiPriority w:val="0"/>
    <w:rPr>
      <w:rFonts w:ascii="宋体" w:eastAsia="宋体"/>
      <w:sz w:val="28"/>
      <w:szCs w:val="28"/>
      <w:lang w:val="en-US" w:eastAsia="zh-CN" w:bidi="ar-SA"/>
    </w:rPr>
  </w:style>
  <w:style w:type="character" w:customStyle="1" w:styleId="356">
    <w:name w:val="样式115 Char"/>
    <w:link w:val="357"/>
    <w:qFormat/>
    <w:uiPriority w:val="0"/>
    <w:rPr>
      <w:rFonts w:cs="宋体"/>
      <w:sz w:val="26"/>
      <w:szCs w:val="26"/>
    </w:rPr>
  </w:style>
  <w:style w:type="paragraph" w:customStyle="1" w:styleId="357">
    <w:name w:val="样式115"/>
    <w:basedOn w:val="1"/>
    <w:link w:val="356"/>
    <w:qFormat/>
    <w:uiPriority w:val="0"/>
    <w:pPr>
      <w:widowControl/>
      <w:spacing w:line="460" w:lineRule="exact"/>
      <w:ind w:firstLine="567" w:firstLineChars="218"/>
      <w:jc w:val="left"/>
    </w:pPr>
    <w:rPr>
      <w:rFonts w:cs="宋体"/>
      <w:kern w:val="0"/>
      <w:sz w:val="26"/>
      <w:szCs w:val="26"/>
    </w:rPr>
  </w:style>
  <w:style w:type="character" w:customStyle="1" w:styleId="358">
    <w:name w:val="样式 13 磅 行距: 固定值 23 磅 Char"/>
    <w:qFormat/>
    <w:uiPriority w:val="0"/>
    <w:rPr>
      <w:rFonts w:eastAsia="宋体" w:cs="宋体"/>
      <w:kern w:val="2"/>
      <w:sz w:val="26"/>
      <w:lang w:val="en-US" w:eastAsia="zh-CN" w:bidi="ar-SA"/>
    </w:rPr>
  </w:style>
  <w:style w:type="character" w:customStyle="1" w:styleId="359">
    <w:name w:val="样式 表头 + 小四 Char"/>
    <w:link w:val="360"/>
    <w:qFormat/>
    <w:uiPriority w:val="0"/>
    <w:rPr>
      <w:b/>
      <w:bCs/>
      <w:spacing w:val="2"/>
      <w:kern w:val="2"/>
      <w:sz w:val="24"/>
      <w:szCs w:val="24"/>
    </w:rPr>
  </w:style>
  <w:style w:type="paragraph" w:customStyle="1" w:styleId="360">
    <w:name w:val="样式 表头 + 小四"/>
    <w:basedOn w:val="166"/>
    <w:link w:val="359"/>
    <w:qFormat/>
    <w:uiPriority w:val="0"/>
    <w:pPr>
      <w:tabs>
        <w:tab w:val="left" w:pos="2040"/>
      </w:tabs>
      <w:adjustRightInd/>
      <w:spacing w:after="50" w:afterLines="50"/>
      <w:ind w:firstLine="420"/>
    </w:pPr>
    <w:rPr>
      <w:bCs/>
      <w:spacing w:val="2"/>
      <w:szCs w:val="24"/>
    </w:rPr>
  </w:style>
  <w:style w:type="character" w:customStyle="1" w:styleId="361">
    <w:name w:val="样式18 Char Char"/>
    <w:qFormat/>
    <w:uiPriority w:val="0"/>
    <w:rPr>
      <w:sz w:val="26"/>
      <w:szCs w:val="26"/>
    </w:rPr>
  </w:style>
  <w:style w:type="character" w:customStyle="1" w:styleId="362">
    <w:name w:val="样式 四号"/>
    <w:qFormat/>
    <w:uiPriority w:val="0"/>
    <w:rPr>
      <w:rFonts w:eastAsia="仿宋_GB2312"/>
      <w:sz w:val="28"/>
    </w:rPr>
  </w:style>
  <w:style w:type="character" w:customStyle="1" w:styleId="363">
    <w:name w:val="标题 3 Char Char Char"/>
    <w:qFormat/>
    <w:uiPriority w:val="0"/>
    <w:rPr>
      <w:rFonts w:eastAsia="宋体"/>
      <w:b/>
      <w:sz w:val="26"/>
      <w:szCs w:val="28"/>
      <w:lang w:val="en-US" w:eastAsia="zh-CN" w:bidi="ar-SA"/>
    </w:rPr>
  </w:style>
  <w:style w:type="character" w:customStyle="1" w:styleId="364">
    <w:name w:val="txt1"/>
    <w:qFormat/>
    <w:uiPriority w:val="0"/>
    <w:rPr>
      <w:spacing w:val="60"/>
      <w:sz w:val="14"/>
      <w:szCs w:val="14"/>
    </w:rPr>
  </w:style>
  <w:style w:type="character" w:customStyle="1" w:styleId="365">
    <w:name w:val="fontstyle31"/>
    <w:qFormat/>
    <w:uiPriority w:val="0"/>
    <w:rPr>
      <w:rFonts w:hint="default" w:ascii="Times New Roman" w:hAnsi="Times New Roman" w:cs="Times New Roman"/>
      <w:b/>
      <w:bCs/>
      <w:color w:val="000000"/>
      <w:sz w:val="24"/>
      <w:szCs w:val="24"/>
    </w:rPr>
  </w:style>
  <w:style w:type="character" w:customStyle="1" w:styleId="366">
    <w:name w:val="表头 Char"/>
    <w:qFormat/>
    <w:uiPriority w:val="0"/>
    <w:rPr>
      <w:rFonts w:eastAsia="宋体"/>
      <w:spacing w:val="2"/>
      <w:kern w:val="2"/>
      <w:sz w:val="26"/>
      <w:szCs w:val="26"/>
      <w:lang w:val="en-US" w:eastAsia="zh-CN" w:bidi="ar-SA"/>
    </w:rPr>
  </w:style>
  <w:style w:type="character" w:customStyle="1" w:styleId="367">
    <w:name w:val="câ-¹"/>
    <w:basedOn w:val="57"/>
    <w:qFormat/>
    <w:uiPriority w:val="0"/>
  </w:style>
  <w:style w:type="character" w:customStyle="1" w:styleId="368">
    <w:name w:val="样式 13 磅 行距: 固定值 23 磅 Char1"/>
    <w:qFormat/>
    <w:uiPriority w:val="0"/>
    <w:rPr>
      <w:rFonts w:eastAsia="宋体" w:cs="宋体"/>
      <w:kern w:val="2"/>
      <w:sz w:val="26"/>
      <w:lang w:val="en-US" w:eastAsia="zh-CN" w:bidi="ar-SA"/>
    </w:rPr>
  </w:style>
  <w:style w:type="character" w:customStyle="1" w:styleId="369">
    <w:name w:val="标题11"/>
    <w:basedOn w:val="57"/>
    <w:qFormat/>
    <w:uiPriority w:val="0"/>
  </w:style>
  <w:style w:type="character" w:customStyle="1" w:styleId="370">
    <w:name w:val="样式5 Char"/>
    <w:link w:val="371"/>
    <w:qFormat/>
    <w:uiPriority w:val="0"/>
    <w:rPr>
      <w:kern w:val="2"/>
      <w:sz w:val="24"/>
    </w:rPr>
  </w:style>
  <w:style w:type="paragraph" w:customStyle="1" w:styleId="371">
    <w:name w:val="样式5"/>
    <w:basedOn w:val="30"/>
    <w:link w:val="370"/>
    <w:qFormat/>
    <w:uiPriority w:val="0"/>
    <w:pPr>
      <w:spacing w:line="500" w:lineRule="exact"/>
      <w:ind w:firstLine="200"/>
    </w:pPr>
    <w:rPr>
      <w:rFonts w:ascii="Times New Roman" w:eastAsia="宋体"/>
      <w:b w:val="0"/>
      <w:bCs w:val="0"/>
      <w:szCs w:val="20"/>
    </w:rPr>
  </w:style>
  <w:style w:type="character" w:customStyle="1" w:styleId="372">
    <w:name w:val="环评证文 Char Char Char"/>
    <w:qFormat/>
    <w:uiPriority w:val="0"/>
    <w:rPr>
      <w:rFonts w:ascii="宋体" w:hAnsi="宋体" w:eastAsia="宋体"/>
      <w:color w:val="000000"/>
      <w:kern w:val="2"/>
      <w:sz w:val="24"/>
      <w:szCs w:val="24"/>
      <w:lang w:val="en-US" w:eastAsia="zh-CN" w:bidi="ar-SA"/>
    </w:rPr>
  </w:style>
  <w:style w:type="character" w:customStyle="1" w:styleId="373">
    <w:name w:val="zhou11"/>
    <w:qFormat/>
    <w:uiPriority w:val="0"/>
    <w:rPr>
      <w:color w:val="000000"/>
      <w:sz w:val="21"/>
      <w:szCs w:val="21"/>
    </w:rPr>
  </w:style>
  <w:style w:type="character" w:customStyle="1" w:styleId="374">
    <w:name w:val="标题 3 Char1"/>
    <w:qFormat/>
    <w:uiPriority w:val="0"/>
    <w:rPr>
      <w:rFonts w:eastAsia="宋体"/>
      <w:b/>
      <w:sz w:val="26"/>
      <w:szCs w:val="28"/>
      <w:lang w:val="en-US" w:eastAsia="zh-CN" w:bidi="ar-SA"/>
    </w:rPr>
  </w:style>
  <w:style w:type="character" w:customStyle="1" w:styleId="375">
    <w:name w:val="标题 Char"/>
    <w:qFormat/>
    <w:uiPriority w:val="0"/>
    <w:rPr>
      <w:rFonts w:ascii="Arial" w:hAnsi="Arial"/>
      <w:bCs/>
      <w:kern w:val="2"/>
      <w:sz w:val="24"/>
      <w:szCs w:val="32"/>
    </w:rPr>
  </w:style>
  <w:style w:type="character" w:customStyle="1" w:styleId="376">
    <w:name w:val="样式 样式 Char4 Char Char Char + Times New Roman + (符号) 宋体 Char"/>
    <w:link w:val="377"/>
    <w:qFormat/>
    <w:uiPriority w:val="0"/>
    <w:rPr>
      <w:rFonts w:cs="宋体"/>
      <w:kern w:val="2"/>
      <w:sz w:val="24"/>
      <w:szCs w:val="26"/>
    </w:rPr>
  </w:style>
  <w:style w:type="paragraph" w:customStyle="1" w:styleId="377">
    <w:name w:val="样式 样式 Char4 Char Char Char + Times New Roman + (符号) 宋体"/>
    <w:basedOn w:val="1"/>
    <w:link w:val="376"/>
    <w:qFormat/>
    <w:uiPriority w:val="0"/>
    <w:pPr>
      <w:spacing w:line="400" w:lineRule="exact"/>
      <w:ind w:firstLine="480"/>
    </w:pPr>
    <w:rPr>
      <w:rFonts w:cs="宋体"/>
      <w:szCs w:val="26"/>
    </w:rPr>
  </w:style>
  <w:style w:type="character" w:customStyle="1" w:styleId="378">
    <w:name w:val="content3"/>
    <w:basedOn w:val="57"/>
    <w:qFormat/>
    <w:uiPriority w:val="0"/>
  </w:style>
  <w:style w:type="character" w:customStyle="1" w:styleId="379">
    <w:name w:val="普通文字 Char1"/>
    <w:qFormat/>
    <w:uiPriority w:val="0"/>
    <w:rPr>
      <w:rFonts w:ascii="宋体" w:hAnsi="Courier New" w:eastAsia="宋体"/>
      <w:kern w:val="2"/>
      <w:sz w:val="21"/>
      <w:lang w:val="en-US" w:eastAsia="zh-CN" w:bidi="ar-SA"/>
    </w:rPr>
  </w:style>
  <w:style w:type="character" w:customStyle="1" w:styleId="380">
    <w:name w:val="apple-converted-space"/>
    <w:basedOn w:val="57"/>
    <w:qFormat/>
    <w:uiPriority w:val="0"/>
  </w:style>
  <w:style w:type="character" w:customStyle="1" w:styleId="381">
    <w:name w:val="样式18 Char"/>
    <w:link w:val="382"/>
    <w:qFormat/>
    <w:uiPriority w:val="0"/>
    <w:rPr>
      <w:sz w:val="26"/>
      <w:szCs w:val="26"/>
    </w:rPr>
  </w:style>
  <w:style w:type="paragraph" w:customStyle="1" w:styleId="382">
    <w:name w:val="样式18"/>
    <w:basedOn w:val="357"/>
    <w:link w:val="381"/>
    <w:qFormat/>
    <w:uiPriority w:val="0"/>
    <w:rPr>
      <w:rFonts w:cs="Times New Roman"/>
    </w:rPr>
  </w:style>
  <w:style w:type="character" w:customStyle="1" w:styleId="383">
    <w:name w:val="样式4 Char"/>
    <w:link w:val="134"/>
    <w:qFormat/>
    <w:uiPriority w:val="0"/>
    <w:rPr>
      <w:bCs/>
      <w:kern w:val="2"/>
      <w:sz w:val="24"/>
      <w:szCs w:val="24"/>
      <w:lang w:val="zh-CN"/>
    </w:rPr>
  </w:style>
  <w:style w:type="character" w:customStyle="1" w:styleId="384">
    <w:name w:val="share Char"/>
    <w:link w:val="385"/>
    <w:qFormat/>
    <w:uiPriority w:val="0"/>
    <w:rPr>
      <w:b/>
      <w:kern w:val="2"/>
      <w:sz w:val="24"/>
      <w:szCs w:val="24"/>
    </w:rPr>
  </w:style>
  <w:style w:type="paragraph" w:customStyle="1" w:styleId="385">
    <w:name w:val="share"/>
    <w:basedOn w:val="1"/>
    <w:link w:val="384"/>
    <w:qFormat/>
    <w:uiPriority w:val="0"/>
    <w:pPr>
      <w:spacing w:line="400" w:lineRule="exact"/>
      <w:ind w:firstLine="482"/>
    </w:pPr>
    <w:rPr>
      <w:rFonts w:cs="Times New Roman"/>
      <w:b/>
      <w:szCs w:val="24"/>
    </w:rPr>
  </w:style>
  <w:style w:type="character" w:customStyle="1" w:styleId="386">
    <w:name w:val="正文 首行缩进:  2 字符 Char"/>
    <w:link w:val="387"/>
    <w:qFormat/>
    <w:uiPriority w:val="0"/>
    <w:rPr>
      <w:kern w:val="2"/>
      <w:sz w:val="28"/>
    </w:rPr>
  </w:style>
  <w:style w:type="paragraph" w:customStyle="1" w:styleId="387">
    <w:name w:val="正文 首行缩进:  2 字符"/>
    <w:basedOn w:val="1"/>
    <w:link w:val="386"/>
    <w:qFormat/>
    <w:uiPriority w:val="0"/>
    <w:pPr>
      <w:ind w:firstLine="579"/>
    </w:pPr>
    <w:rPr>
      <w:rFonts w:cs="Times New Roman"/>
      <w:sz w:val="28"/>
      <w:szCs w:val="20"/>
    </w:rPr>
  </w:style>
  <w:style w:type="character" w:customStyle="1" w:styleId="388">
    <w:name w:val="标题 1 Char"/>
    <w:qFormat/>
    <w:uiPriority w:val="0"/>
    <w:rPr>
      <w:rFonts w:ascii="宋体" w:hAnsi="宋体" w:eastAsia="宋体"/>
      <w:b/>
      <w:bCs/>
      <w:kern w:val="2"/>
      <w:sz w:val="36"/>
      <w:szCs w:val="24"/>
      <w:lang w:val="en-US" w:eastAsia="zh-CN" w:bidi="ar-SA"/>
    </w:rPr>
  </w:style>
  <w:style w:type="character" w:customStyle="1" w:styleId="389">
    <w:name w:val="纯文本 Char2"/>
    <w:qFormat/>
    <w:uiPriority w:val="0"/>
    <w:rPr>
      <w:rFonts w:ascii="宋体" w:hAnsi="Courier New" w:eastAsia="宋体"/>
      <w:kern w:val="2"/>
      <w:sz w:val="24"/>
      <w:lang w:val="en-US" w:eastAsia="zh-CN" w:bidi="ar-SA"/>
    </w:rPr>
  </w:style>
  <w:style w:type="character" w:customStyle="1" w:styleId="390">
    <w:name w:val="正文文字 Char Char"/>
    <w:qFormat/>
    <w:uiPriority w:val="0"/>
    <w:rPr>
      <w:rFonts w:eastAsia="宋体"/>
      <w:kern w:val="2"/>
      <w:sz w:val="26"/>
      <w:szCs w:val="26"/>
      <w:lang w:val="en-US" w:eastAsia="zh-CN" w:bidi="ar-SA"/>
    </w:rPr>
  </w:style>
  <w:style w:type="character" w:customStyle="1" w:styleId="391">
    <w:name w:val="正文缩进 Char Char1"/>
    <w:qFormat/>
    <w:uiPriority w:val="0"/>
    <w:rPr>
      <w:rFonts w:eastAsia="宋体"/>
      <w:kern w:val="2"/>
      <w:sz w:val="26"/>
      <w:lang w:val="en-US" w:eastAsia="zh-CN" w:bidi="ar-SA"/>
    </w:rPr>
  </w:style>
  <w:style w:type="character" w:customStyle="1" w:styleId="392">
    <w:name w:val="font21"/>
    <w:basedOn w:val="57"/>
    <w:qFormat/>
    <w:uiPriority w:val="0"/>
    <w:rPr>
      <w:rFonts w:hint="default" w:ascii="Times New Roman" w:hAnsi="Times New Roman" w:cs="Times New Roman"/>
      <w:color w:val="000000"/>
      <w:sz w:val="18"/>
      <w:szCs w:val="18"/>
      <w:u w:val="none"/>
    </w:rPr>
  </w:style>
  <w:style w:type="character" w:customStyle="1" w:styleId="393">
    <w:name w:val="样式20 Char"/>
    <w:link w:val="394"/>
    <w:qFormat/>
    <w:uiPriority w:val="0"/>
    <w:rPr>
      <w:sz w:val="26"/>
      <w:szCs w:val="26"/>
    </w:rPr>
  </w:style>
  <w:style w:type="paragraph" w:customStyle="1" w:styleId="394">
    <w:name w:val="样式20"/>
    <w:basedOn w:val="1"/>
    <w:link w:val="393"/>
    <w:qFormat/>
    <w:uiPriority w:val="0"/>
    <w:pPr>
      <w:keepNext/>
      <w:widowControl/>
      <w:tabs>
        <w:tab w:val="left" w:pos="630"/>
      </w:tabs>
      <w:spacing w:line="460" w:lineRule="exact"/>
      <w:jc w:val="center"/>
      <w:outlineLvl w:val="5"/>
    </w:pPr>
    <w:rPr>
      <w:rFonts w:cs="Times New Roman"/>
      <w:kern w:val="0"/>
      <w:sz w:val="26"/>
      <w:szCs w:val="26"/>
    </w:rPr>
  </w:style>
  <w:style w:type="paragraph" w:customStyle="1" w:styleId="395">
    <w:name w:val="章"/>
    <w:basedOn w:val="396"/>
    <w:qFormat/>
    <w:uiPriority w:val="0"/>
    <w:pPr>
      <w:tabs>
        <w:tab w:val="left" w:pos="2160"/>
      </w:tabs>
      <w:spacing w:before="0" w:beforeLines="0" w:after="0" w:afterLines="0" w:line="360" w:lineRule="auto"/>
    </w:pPr>
    <w:rPr>
      <w:rFonts w:hAnsi="宋体" w:cs="Times New Roman"/>
      <w:bCs w:val="0"/>
      <w:szCs w:val="32"/>
    </w:rPr>
  </w:style>
  <w:style w:type="paragraph" w:customStyle="1" w:styleId="396">
    <w:name w:val="样式 标题 1 + 段后: 1.5 行"/>
    <w:basedOn w:val="2"/>
    <w:qFormat/>
    <w:uiPriority w:val="0"/>
    <w:pPr>
      <w:tabs>
        <w:tab w:val="left" w:pos="2160"/>
      </w:tabs>
      <w:spacing w:before="312" w:beforeLines="100" w:after="312" w:afterLines="100" w:line="460" w:lineRule="exact"/>
    </w:pPr>
    <w:rPr>
      <w:rFonts w:ascii="黑体" w:hAnsi="Arial" w:cs="Arial"/>
      <w:szCs w:val="20"/>
    </w:rPr>
  </w:style>
  <w:style w:type="paragraph" w:customStyle="1" w:styleId="397">
    <w:name w:val="中文报告书样式"/>
    <w:basedOn w:val="1"/>
    <w:qFormat/>
    <w:uiPriority w:val="0"/>
    <w:pPr>
      <w:spacing w:line="480" w:lineRule="atLeast"/>
      <w:ind w:firstLine="482"/>
      <w:textAlignment w:val="baseline"/>
    </w:pPr>
    <w:rPr>
      <w:rFonts w:cs="Times New Roman"/>
      <w:kern w:val="24"/>
      <w:szCs w:val="20"/>
    </w:rPr>
  </w:style>
  <w:style w:type="paragraph" w:customStyle="1" w:styleId="398">
    <w:name w:val="Char Char Char Char Char Char Char Char Char Char Char Char Char Char Char Char"/>
    <w:basedOn w:val="1"/>
    <w:next w:val="1"/>
    <w:qFormat/>
    <w:uiPriority w:val="0"/>
    <w:rPr>
      <w:rFonts w:cs="Times New Roman"/>
      <w:szCs w:val="24"/>
    </w:rPr>
  </w:style>
  <w:style w:type="paragraph" w:customStyle="1" w:styleId="399">
    <w:name w:val="排版正文"/>
    <w:basedOn w:val="1"/>
    <w:qFormat/>
    <w:uiPriority w:val="0"/>
    <w:pPr>
      <w:spacing w:line="460" w:lineRule="exact"/>
      <w:ind w:firstLine="560"/>
    </w:pPr>
    <w:rPr>
      <w:rFonts w:cs="Times New Roman"/>
      <w:color w:val="000000"/>
      <w:sz w:val="28"/>
      <w:szCs w:val="24"/>
    </w:rPr>
  </w:style>
  <w:style w:type="paragraph" w:customStyle="1" w:styleId="400">
    <w:name w:val="样式 标题 2节 + (西文) 宋体 (中文) 宋体 小四 段前: 0 磅 段后: 0 磅 行距: 1.5 倍行距"/>
    <w:basedOn w:val="3"/>
    <w:qFormat/>
    <w:uiPriority w:val="0"/>
    <w:pPr>
      <w:widowControl w:val="0"/>
      <w:adjustRightInd/>
      <w:snapToGrid/>
      <w:spacing w:line="480" w:lineRule="exact"/>
      <w:jc w:val="both"/>
    </w:pPr>
    <w:rPr>
      <w:rFonts w:ascii="黑体" w:hAnsi="宋体" w:cs="宋体"/>
      <w:b w:val="0"/>
      <w:kern w:val="2"/>
      <w:szCs w:val="28"/>
    </w:rPr>
  </w:style>
  <w:style w:type="paragraph" w:customStyle="1" w:styleId="401">
    <w:name w:val="4 Char Char Char Char Char Char Char Char Char Char Char Char Char Char Char Char Char Char"/>
    <w:basedOn w:val="1"/>
    <w:semiHidden/>
    <w:qFormat/>
    <w:uiPriority w:val="0"/>
    <w:rPr>
      <w:rFonts w:ascii="宋体" w:hAnsi="宋体" w:cs="宋体"/>
      <w:sz w:val="30"/>
      <w:szCs w:val="30"/>
    </w:rPr>
  </w:style>
  <w:style w:type="paragraph" w:customStyle="1" w:styleId="402">
    <w:name w:val="样式 标题 2节 + (西文) 宋体 (中文) 宋体 四号 段前: 0 磅 段后: 0 磅 行距: 固定值 25 磅"/>
    <w:basedOn w:val="3"/>
    <w:qFormat/>
    <w:uiPriority w:val="0"/>
    <w:pPr>
      <w:widowControl w:val="0"/>
      <w:adjustRightInd/>
      <w:snapToGrid/>
      <w:spacing w:line="480" w:lineRule="exact"/>
      <w:jc w:val="both"/>
    </w:pPr>
    <w:rPr>
      <w:rFonts w:ascii="宋体" w:hAnsi="宋体" w:cs="宋体"/>
      <w:b w:val="0"/>
      <w:kern w:val="2"/>
      <w:szCs w:val="28"/>
    </w:rPr>
  </w:style>
  <w:style w:type="paragraph" w:customStyle="1" w:styleId="403">
    <w:name w:val="样式 正文缩进首行缩进两字特点 Char正文缩进 Char正文（首行缩进两字） Char正文（首行缩进两字） Char..."/>
    <w:basedOn w:val="1"/>
    <w:qFormat/>
    <w:uiPriority w:val="0"/>
    <w:pPr>
      <w:ind w:firstLine="480"/>
    </w:pPr>
    <w:rPr>
      <w:rFonts w:cs="Times New Roman"/>
      <w:szCs w:val="24"/>
    </w:rPr>
  </w:style>
  <w:style w:type="paragraph" w:customStyle="1" w:styleId="404">
    <w:name w:val="Heading1"/>
    <w:basedOn w:val="1"/>
    <w:next w:val="1"/>
    <w:qFormat/>
    <w:uiPriority w:val="0"/>
    <w:pPr>
      <w:keepNext/>
      <w:keepLines/>
      <w:tabs>
        <w:tab w:val="left" w:pos="1230"/>
      </w:tabs>
      <w:spacing w:before="240" w:after="120"/>
      <w:ind w:left="1230" w:hanging="1230"/>
      <w:jc w:val="center"/>
    </w:pPr>
    <w:rPr>
      <w:rFonts w:eastAsia="黑体" w:cs="Times New Roman"/>
      <w:b/>
      <w:kern w:val="44"/>
      <w:sz w:val="42"/>
      <w:szCs w:val="24"/>
    </w:rPr>
  </w:style>
  <w:style w:type="paragraph" w:customStyle="1" w:styleId="405">
    <w:name w:val="pic-info"/>
    <w:basedOn w:val="1"/>
    <w:qFormat/>
    <w:uiPriority w:val="0"/>
    <w:pPr>
      <w:widowControl/>
      <w:spacing w:before="100" w:beforeAutospacing="1" w:after="100" w:afterAutospacing="1"/>
      <w:jc w:val="left"/>
    </w:pPr>
    <w:rPr>
      <w:rFonts w:ascii="宋体" w:hAnsi="宋体" w:cs="宋体"/>
      <w:kern w:val="0"/>
      <w:szCs w:val="24"/>
    </w:rPr>
  </w:style>
  <w:style w:type="paragraph" w:customStyle="1" w:styleId="406">
    <w:name w:val="Char2"/>
    <w:basedOn w:val="1"/>
    <w:qFormat/>
    <w:uiPriority w:val="0"/>
    <w:rPr>
      <w:rFonts w:cs="Times New Roman"/>
      <w:color w:val="000000"/>
      <w:kern w:val="0"/>
      <w:szCs w:val="21"/>
      <w:lang w:val="zh-CN"/>
    </w:rPr>
  </w:style>
  <w:style w:type="paragraph" w:customStyle="1" w:styleId="407">
    <w:name w:val="111111111111111111222"/>
    <w:basedOn w:val="1"/>
    <w:qFormat/>
    <w:uiPriority w:val="0"/>
    <w:pPr>
      <w:spacing w:line="440" w:lineRule="exact"/>
      <w:ind w:firstLine="480"/>
    </w:pPr>
    <w:rPr>
      <w:rFonts w:ascii="宋体" w:hAnsi="宋体" w:cs="Times New Roman"/>
      <w:szCs w:val="24"/>
    </w:rPr>
  </w:style>
  <w:style w:type="paragraph" w:customStyle="1" w:styleId="408">
    <w:name w:val="样式116"/>
    <w:basedOn w:val="330"/>
    <w:qFormat/>
    <w:uiPriority w:val="0"/>
    <w:pPr>
      <w:spacing w:line="240" w:lineRule="exact"/>
    </w:pPr>
  </w:style>
  <w:style w:type="paragraph" w:customStyle="1" w:styleId="409">
    <w:name w:val="样式 样式 标题 2标题节标题 2 Char Char + 段前: 2 行 + 左侧:  1 字符4"/>
    <w:basedOn w:val="336"/>
    <w:qFormat/>
    <w:uiPriority w:val="0"/>
    <w:pPr>
      <w:spacing w:before="50" w:beforeLines="0" w:after="50"/>
    </w:pPr>
    <w:rPr>
      <w:rFonts w:hAnsi="Times New Roman" w:cs="宋体"/>
      <w:bCs/>
    </w:rPr>
  </w:style>
  <w:style w:type="paragraph" w:customStyle="1" w:styleId="410">
    <w:name w:val="z正文 Char Char Char"/>
    <w:basedOn w:val="1"/>
    <w:qFormat/>
    <w:uiPriority w:val="0"/>
    <w:rPr>
      <w:rFonts w:ascii="宋体" w:hAnsi="宋体" w:eastAsia="仿宋_GB2312" w:cs="宋体"/>
      <w:sz w:val="28"/>
      <w:szCs w:val="28"/>
    </w:rPr>
  </w:style>
  <w:style w:type="paragraph" w:customStyle="1" w:styleId="411">
    <w:name w:val="表文排版"/>
    <w:basedOn w:val="21"/>
    <w:next w:val="1"/>
    <w:qFormat/>
    <w:uiPriority w:val="0"/>
    <w:pPr>
      <w:widowControl w:val="0"/>
      <w:spacing w:before="0"/>
      <w:ind w:left="0"/>
      <w:jc w:val="center"/>
    </w:pPr>
    <w:rPr>
      <w:rFonts w:ascii="Times New Roman" w:hAnsi="Times New Roman"/>
      <w:kern w:val="2"/>
      <w:sz w:val="22"/>
      <w:lang w:eastAsia="zh-CN"/>
    </w:rPr>
  </w:style>
  <w:style w:type="paragraph" w:customStyle="1" w:styleId="412">
    <w:name w:val="UserStyle_3"/>
    <w:basedOn w:val="413"/>
    <w:next w:val="1"/>
    <w:qFormat/>
    <w:uiPriority w:val="0"/>
    <w:pPr>
      <w:keepLines/>
      <w:spacing w:line="460" w:lineRule="exact"/>
      <w:ind w:firstLine="200" w:firstLineChars="200"/>
    </w:pPr>
    <w:rPr>
      <w:rFonts w:ascii="Times New Roman"/>
      <w:sz w:val="26"/>
      <w:szCs w:val="20"/>
    </w:rPr>
  </w:style>
  <w:style w:type="paragraph" w:customStyle="1" w:styleId="413">
    <w:name w:val="Heading2"/>
    <w:basedOn w:val="1"/>
    <w:next w:val="1"/>
    <w:qFormat/>
    <w:uiPriority w:val="0"/>
    <w:pPr>
      <w:keepNext/>
      <w:spacing w:before="156" w:line="440" w:lineRule="exact"/>
      <w:ind w:firstLine="472" w:firstLineChars="196"/>
    </w:pPr>
    <w:rPr>
      <w:rFonts w:ascii="Arial" w:hAnsi="Arial" w:eastAsia="黑体" w:cs="Times New Roman"/>
      <w:b/>
      <w:color w:val="000000"/>
      <w:szCs w:val="24"/>
    </w:rPr>
  </w:style>
  <w:style w:type="paragraph" w:customStyle="1" w:styleId="414">
    <w:name w:val="样式 标题 3 + 四号"/>
    <w:basedOn w:val="4"/>
    <w:qFormat/>
    <w:uiPriority w:val="0"/>
    <w:pPr>
      <w:widowControl w:val="0"/>
      <w:spacing w:before="100" w:after="100" w:line="460" w:lineRule="exact"/>
      <w:jc w:val="both"/>
    </w:pPr>
    <w:rPr>
      <w:rFonts w:ascii="宋体" w:hAnsi="宋体"/>
      <w:b w:val="0"/>
      <w:kern w:val="2"/>
      <w:sz w:val="26"/>
      <w:szCs w:val="28"/>
    </w:rPr>
  </w:style>
  <w:style w:type="paragraph" w:customStyle="1" w:styleId="415">
    <w:name w:val="NormalIndent"/>
    <w:basedOn w:val="1"/>
    <w:next w:val="1"/>
    <w:qFormat/>
    <w:uiPriority w:val="0"/>
    <w:pPr>
      <w:ind w:firstLine="420"/>
    </w:pPr>
    <w:rPr>
      <w:rFonts w:cs="Times New Roman"/>
      <w:szCs w:val="24"/>
    </w:rPr>
  </w:style>
  <w:style w:type="paragraph" w:customStyle="1" w:styleId="416">
    <w:name w:val="Body Text 21"/>
    <w:basedOn w:val="1"/>
    <w:qFormat/>
    <w:uiPriority w:val="0"/>
    <w:pPr>
      <w:spacing w:line="312" w:lineRule="auto"/>
      <w:textAlignment w:val="baseline"/>
    </w:pPr>
    <w:rPr>
      <w:rFonts w:cs="Times New Roman"/>
      <w:kern w:val="0"/>
      <w:sz w:val="28"/>
      <w:szCs w:val="20"/>
    </w:rPr>
  </w:style>
  <w:style w:type="paragraph" w:customStyle="1" w:styleId="417">
    <w:name w:val="何家沟正文"/>
    <w:basedOn w:val="1"/>
    <w:qFormat/>
    <w:uiPriority w:val="0"/>
    <w:pPr>
      <w:ind w:firstLine="460"/>
    </w:pPr>
    <w:rPr>
      <w:rFonts w:hAnsi="宋体" w:cs="宋体"/>
      <w:sz w:val="23"/>
      <w:szCs w:val="23"/>
    </w:rPr>
  </w:style>
  <w:style w:type="paragraph" w:customStyle="1" w:styleId="418">
    <w:name w:val="样式 标题 2节 + (西文) 宋体 (中文) 宋体 四号 段前: 0 磅 段后: 0 磅 行距: 1.5 倍行距"/>
    <w:basedOn w:val="3"/>
    <w:qFormat/>
    <w:uiPriority w:val="0"/>
    <w:pPr>
      <w:widowControl w:val="0"/>
      <w:adjustRightInd/>
      <w:snapToGrid/>
      <w:spacing w:line="500" w:lineRule="exact"/>
      <w:jc w:val="both"/>
    </w:pPr>
    <w:rPr>
      <w:rFonts w:ascii="宋体" w:hAnsi="宋体" w:cs="宋体"/>
      <w:b w:val="0"/>
      <w:kern w:val="2"/>
      <w:szCs w:val="28"/>
    </w:rPr>
  </w:style>
  <w:style w:type="paragraph" w:customStyle="1" w:styleId="419">
    <w:name w:val="样式 样式 标题 2标题节标题 2 Char Char + 段前: 2 行 + 首行缩进:  2 字符 段前: 0.5 行 ...1"/>
    <w:basedOn w:val="336"/>
    <w:next w:val="1"/>
    <w:qFormat/>
    <w:uiPriority w:val="0"/>
    <w:pPr>
      <w:spacing w:before="0" w:beforeLines="0" w:line="240" w:lineRule="auto"/>
      <w:ind w:firstLine="482"/>
    </w:pPr>
    <w:rPr>
      <w:rFonts w:ascii="Arial"/>
      <w:bCs/>
      <w:sz w:val="24"/>
      <w:szCs w:val="24"/>
    </w:rPr>
  </w:style>
  <w:style w:type="paragraph" w:customStyle="1" w:styleId="420">
    <w:name w:val="正文(首行缩进)"/>
    <w:basedOn w:val="1"/>
    <w:qFormat/>
    <w:uiPriority w:val="0"/>
    <w:pPr>
      <w:ind w:firstLine="510"/>
    </w:pPr>
    <w:rPr>
      <w:rFonts w:ascii="宋体" w:hAnsi="宋体" w:cs="Times New Roman"/>
      <w:snapToGrid w:val="0"/>
      <w:kern w:val="0"/>
      <w:szCs w:val="20"/>
    </w:rPr>
  </w:style>
  <w:style w:type="paragraph" w:customStyle="1" w:styleId="421">
    <w:name w:val="标书标题1"/>
    <w:basedOn w:val="2"/>
    <w:qFormat/>
    <w:uiPriority w:val="0"/>
    <w:pPr>
      <w:keepNext w:val="0"/>
      <w:keepLines w:val="0"/>
      <w:tabs>
        <w:tab w:val="left" w:pos="360"/>
      </w:tabs>
      <w:spacing w:before="480" w:beforeLines="100" w:after="240" w:afterLines="100" w:line="460" w:lineRule="exact"/>
      <w:ind w:left="284" w:hanging="284"/>
    </w:pPr>
    <w:rPr>
      <w:rFonts w:ascii="Arial Narrow" w:hAnsi="Arial Narrow"/>
      <w:b w:val="0"/>
      <w:bCs w:val="0"/>
      <w:snapToGrid w:val="0"/>
      <w:kern w:val="0"/>
      <w:sz w:val="30"/>
    </w:rPr>
  </w:style>
  <w:style w:type="paragraph" w:customStyle="1" w:styleId="422">
    <w:name w:val="样式15"/>
    <w:basedOn w:val="1"/>
    <w:qFormat/>
    <w:uiPriority w:val="0"/>
    <w:pPr>
      <w:keepNext/>
      <w:keepLines/>
      <w:widowControl/>
      <w:spacing w:before="360" w:after="360"/>
      <w:jc w:val="center"/>
      <w:outlineLvl w:val="0"/>
    </w:pPr>
    <w:rPr>
      <w:rFonts w:cs="Times New Roman"/>
      <w:b/>
      <w:bCs/>
      <w:sz w:val="32"/>
      <w:szCs w:val="32"/>
    </w:rPr>
  </w:style>
  <w:style w:type="paragraph" w:customStyle="1" w:styleId="423">
    <w:name w:val="Char21"/>
    <w:basedOn w:val="1"/>
    <w:qFormat/>
    <w:uiPriority w:val="0"/>
    <w:rPr>
      <w:rFonts w:cs="Times New Roman"/>
      <w:sz w:val="30"/>
      <w:szCs w:val="20"/>
    </w:rPr>
  </w:style>
  <w:style w:type="paragraph" w:customStyle="1" w:styleId="424">
    <w:name w:val="xl31"/>
    <w:basedOn w:val="1"/>
    <w:semiHidden/>
    <w:qFormat/>
    <w:uiPriority w:val="0"/>
    <w:pPr>
      <w:widowControl/>
      <w:spacing w:before="100" w:beforeAutospacing="1" w:after="100" w:afterAutospacing="1"/>
      <w:jc w:val="center"/>
    </w:pPr>
    <w:rPr>
      <w:rFonts w:cs="Times New Roman"/>
      <w:kern w:val="0"/>
      <w:szCs w:val="24"/>
    </w:rPr>
  </w:style>
  <w:style w:type="paragraph" w:customStyle="1" w:styleId="425">
    <w:name w:val="样式 首行缩进:  2 字符1"/>
    <w:basedOn w:val="1"/>
    <w:qFormat/>
    <w:uiPriority w:val="0"/>
    <w:pPr>
      <w:spacing w:before="120" w:line="440" w:lineRule="atLeast"/>
      <w:ind w:firstLine="497" w:firstLineChars="207"/>
    </w:pPr>
    <w:rPr>
      <w:rFonts w:ascii="Arial" w:hAnsi="宋体" w:cs="Arial"/>
      <w:szCs w:val="24"/>
    </w:rPr>
  </w:style>
  <w:style w:type="paragraph" w:customStyle="1" w:styleId="426">
    <w:name w:val="样式 样式 标题 2标题节标题 2 Char Char + 段前: 2 行 + 段前: 0.5 行 段后: 0.5 行1"/>
    <w:basedOn w:val="336"/>
    <w:qFormat/>
    <w:uiPriority w:val="0"/>
  </w:style>
  <w:style w:type="paragraph" w:customStyle="1" w:styleId="427">
    <w:name w:val="a3"/>
    <w:basedOn w:val="1"/>
    <w:qFormat/>
    <w:uiPriority w:val="0"/>
    <w:pPr>
      <w:spacing w:line="288" w:lineRule="auto"/>
      <w:jc w:val="center"/>
    </w:pPr>
    <w:rPr>
      <w:rFonts w:cs="Times New Roman"/>
      <w:szCs w:val="24"/>
    </w:rPr>
  </w:style>
  <w:style w:type="paragraph" w:customStyle="1" w:styleId="428">
    <w:name w:val="样式3"/>
    <w:basedOn w:val="27"/>
    <w:qFormat/>
    <w:uiPriority w:val="0"/>
    <w:pPr>
      <w:spacing w:line="500" w:lineRule="exact"/>
      <w:ind w:firstLine="360" w:firstLineChars="150"/>
    </w:pPr>
    <w:rPr>
      <w:rFonts w:hAnsi="宋体" w:cs="宋体"/>
      <w:b/>
      <w:szCs w:val="24"/>
    </w:rPr>
  </w:style>
  <w:style w:type="paragraph" w:customStyle="1" w:styleId="429">
    <w:name w:val="样式 样式 标题 2标题节标题 2 Char Char + 段前: 2 行 + 左侧:  1 字符3"/>
    <w:basedOn w:val="336"/>
    <w:qFormat/>
    <w:uiPriority w:val="0"/>
    <w:pPr>
      <w:spacing w:before="50" w:beforeLines="0" w:after="50"/>
    </w:pPr>
    <w:rPr>
      <w:rFonts w:hAnsi="Times New Roman" w:cs="宋体"/>
      <w:bCs/>
    </w:rPr>
  </w:style>
  <w:style w:type="paragraph" w:customStyle="1" w:styleId="430">
    <w:name w:val="标书标题4"/>
    <w:basedOn w:val="5"/>
    <w:qFormat/>
    <w:uiPriority w:val="0"/>
    <w:pPr>
      <w:keepNext w:val="0"/>
      <w:keepLines w:val="0"/>
      <w:tabs>
        <w:tab w:val="left" w:pos="851"/>
      </w:tabs>
      <w:spacing w:before="0" w:line="300" w:lineRule="auto"/>
      <w:ind w:left="851" w:hanging="851"/>
    </w:pPr>
    <w:rPr>
      <w:rFonts w:ascii="Arial Narrow" w:hAnsi="Arial Narrow" w:eastAsia="仿宋_GB2312"/>
      <w:b/>
      <w:bCs w:val="0"/>
      <w:kern w:val="0"/>
      <w:sz w:val="28"/>
      <w:szCs w:val="20"/>
    </w:rPr>
  </w:style>
  <w:style w:type="paragraph" w:customStyle="1" w:styleId="431">
    <w:name w:val="Char4 Char Char Char2"/>
    <w:basedOn w:val="1"/>
    <w:semiHidden/>
    <w:qFormat/>
    <w:uiPriority w:val="0"/>
    <w:rPr>
      <w:rFonts w:ascii="宋体" w:hAnsi="宋体" w:cs="宋体"/>
      <w:szCs w:val="26"/>
    </w:rPr>
  </w:style>
  <w:style w:type="paragraph" w:customStyle="1" w:styleId="432">
    <w:name w:val="标书标题3"/>
    <w:basedOn w:val="4"/>
    <w:qFormat/>
    <w:uiPriority w:val="0"/>
    <w:pPr>
      <w:keepNext w:val="0"/>
      <w:keepLines w:val="0"/>
      <w:widowControl w:val="0"/>
      <w:spacing w:before="120" w:after="60" w:line="300" w:lineRule="auto"/>
      <w:ind w:firstLine="522"/>
      <w:jc w:val="both"/>
    </w:pPr>
    <w:rPr>
      <w:rFonts w:ascii="宋体" w:hAnsi="宋体"/>
      <w:color w:val="000000"/>
      <w:sz w:val="26"/>
      <w:szCs w:val="26"/>
    </w:rPr>
  </w:style>
  <w:style w:type="paragraph" w:customStyle="1" w:styleId="433">
    <w:name w:val="样式 样式 样式 样式 样式 正文A + 首行缩进:  2 字符 + 首行缩进:  2 字符 + 两端对齐 首行缩进:  2 字..."/>
    <w:basedOn w:val="1"/>
    <w:qFormat/>
    <w:uiPriority w:val="0"/>
    <w:pPr>
      <w:tabs>
        <w:tab w:val="left" w:pos="578"/>
        <w:tab w:val="left" w:pos="1074"/>
        <w:tab w:val="left" w:pos="1595"/>
        <w:tab w:val="left" w:pos="2073"/>
        <w:tab w:val="left" w:pos="2507"/>
        <w:tab w:val="left" w:pos="3025"/>
        <w:tab w:val="left" w:pos="3991"/>
      </w:tabs>
      <w:ind w:firstLine="480"/>
    </w:pPr>
    <w:rPr>
      <w:rFonts w:cs="宋体"/>
      <w:kern w:val="0"/>
      <w:szCs w:val="20"/>
    </w:rPr>
  </w:style>
  <w:style w:type="paragraph" w:customStyle="1" w:styleId="434">
    <w:name w:val="标书标题2"/>
    <w:basedOn w:val="3"/>
    <w:qFormat/>
    <w:uiPriority w:val="0"/>
    <w:pPr>
      <w:keepNext w:val="0"/>
      <w:keepLines w:val="0"/>
      <w:widowControl w:val="0"/>
      <w:tabs>
        <w:tab w:val="left" w:pos="574"/>
      </w:tabs>
      <w:spacing w:before="240" w:after="120" w:line="300" w:lineRule="auto"/>
      <w:ind w:firstLine="200"/>
    </w:pPr>
    <w:rPr>
      <w:rFonts w:ascii="Arial Narrow" w:hAnsi="Arial Narrow"/>
      <w:b w:val="0"/>
      <w:bCs w:val="0"/>
    </w:rPr>
  </w:style>
  <w:style w:type="paragraph" w:customStyle="1" w:styleId="435">
    <w:name w:val="ygs正文"/>
    <w:basedOn w:val="1"/>
    <w:qFormat/>
    <w:uiPriority w:val="0"/>
    <w:pPr>
      <w:spacing w:line="440" w:lineRule="exact"/>
      <w:ind w:firstLine="480"/>
    </w:pPr>
    <w:rPr>
      <w:rFonts w:ascii="宋体" w:hAnsi="宋体" w:cs="Times New Roman"/>
      <w:bCs/>
      <w:szCs w:val="24"/>
    </w:rPr>
  </w:style>
  <w:style w:type="paragraph" w:customStyle="1" w:styleId="436">
    <w:name w:val="Char Char Char Char Char2 Char"/>
    <w:basedOn w:val="1"/>
    <w:qFormat/>
    <w:uiPriority w:val="0"/>
    <w:rPr>
      <w:rFonts w:ascii="宋体" w:hAnsi="宋体" w:cs="宋体"/>
      <w:szCs w:val="26"/>
    </w:rPr>
  </w:style>
  <w:style w:type="paragraph" w:customStyle="1" w:styleId="437">
    <w:name w:val="declear"/>
    <w:basedOn w:val="1"/>
    <w:qFormat/>
    <w:uiPriority w:val="0"/>
    <w:pPr>
      <w:widowControl/>
      <w:spacing w:before="100" w:beforeAutospacing="1" w:after="100" w:afterAutospacing="1"/>
      <w:jc w:val="left"/>
    </w:pPr>
    <w:rPr>
      <w:rFonts w:ascii="宋体" w:hAnsi="宋体" w:cs="宋体"/>
      <w:kern w:val="0"/>
      <w:szCs w:val="24"/>
    </w:rPr>
  </w:style>
  <w:style w:type="paragraph" w:customStyle="1" w:styleId="438">
    <w:name w:val="正 文"/>
    <w:basedOn w:val="1"/>
    <w:qFormat/>
    <w:uiPriority w:val="0"/>
    <w:pPr>
      <w:spacing w:line="440" w:lineRule="exact"/>
    </w:pPr>
    <w:rPr>
      <w:rFonts w:hAnsi="宋体" w:cs="Times New Roman"/>
      <w:szCs w:val="24"/>
    </w:rPr>
  </w:style>
  <w:style w:type="paragraph" w:customStyle="1" w:styleId="439">
    <w:name w:val="正文   1"/>
    <w:basedOn w:val="1"/>
    <w:qFormat/>
    <w:uiPriority w:val="0"/>
    <w:pPr>
      <w:spacing w:line="460" w:lineRule="atLeast"/>
      <w:ind w:firstLine="520"/>
    </w:pPr>
    <w:rPr>
      <w:rFonts w:cs="Times New Roman"/>
      <w:bCs/>
      <w:sz w:val="26"/>
      <w:szCs w:val="24"/>
    </w:rPr>
  </w:style>
  <w:style w:type="paragraph" w:customStyle="1" w:styleId="440">
    <w:name w:val="表格中的文字"/>
    <w:basedOn w:val="1"/>
    <w:qFormat/>
    <w:uiPriority w:val="0"/>
    <w:pPr>
      <w:jc w:val="center"/>
    </w:pPr>
    <w:rPr>
      <w:rFonts w:cs="Times New Roman"/>
    </w:rPr>
  </w:style>
  <w:style w:type="paragraph" w:customStyle="1" w:styleId="441">
    <w:name w:val="表格体"/>
    <w:basedOn w:val="163"/>
    <w:qFormat/>
    <w:uiPriority w:val="0"/>
    <w:pPr>
      <w:spacing w:line="240" w:lineRule="auto"/>
    </w:pPr>
    <w:rPr>
      <w:rFonts w:eastAsia="宋体"/>
      <w:sz w:val="21"/>
      <w:szCs w:val="22"/>
    </w:rPr>
  </w:style>
  <w:style w:type="paragraph" w:customStyle="1" w:styleId="442">
    <w:name w:val="6表格"/>
    <w:basedOn w:val="1"/>
    <w:qFormat/>
    <w:uiPriority w:val="0"/>
    <w:pPr>
      <w:spacing w:before="120"/>
      <w:jc w:val="center"/>
    </w:pPr>
    <w:rPr>
      <w:rFonts w:cs="Times New Roman"/>
      <w:kern w:val="0"/>
      <w:szCs w:val="20"/>
    </w:rPr>
  </w:style>
  <w:style w:type="paragraph" w:customStyle="1" w:styleId="443">
    <w:name w:val="Char Char2 Char Char Char Char Char Char"/>
    <w:basedOn w:val="1"/>
    <w:semiHidden/>
    <w:qFormat/>
    <w:uiPriority w:val="0"/>
    <w:rPr>
      <w:rFonts w:cs="宋体"/>
      <w:szCs w:val="26"/>
    </w:rPr>
  </w:style>
  <w:style w:type="paragraph" w:customStyle="1" w:styleId="444">
    <w:name w:val="样式 样式 标题 2标题节标题 2 Char Char + 段前: 2 行 + 左侧:  1 字符 右侧:  1 字符1"/>
    <w:basedOn w:val="336"/>
    <w:qFormat/>
    <w:uiPriority w:val="0"/>
    <w:pPr>
      <w:spacing w:before="50" w:beforeLines="0" w:after="50"/>
    </w:pPr>
    <w:rPr>
      <w:rFonts w:hAnsi="Times New Roman" w:cs="宋体"/>
      <w:bCs/>
    </w:rPr>
  </w:style>
  <w:style w:type="paragraph" w:customStyle="1" w:styleId="445">
    <w:name w:val="样式19"/>
    <w:basedOn w:val="1"/>
    <w:qFormat/>
    <w:uiPriority w:val="0"/>
    <w:pPr>
      <w:keepNext/>
      <w:keepLines/>
      <w:widowControl/>
      <w:spacing w:line="460" w:lineRule="exact"/>
      <w:jc w:val="left"/>
      <w:textAlignment w:val="baseline"/>
      <w:outlineLvl w:val="2"/>
    </w:pPr>
    <w:rPr>
      <w:rFonts w:cs="Times New Roman"/>
      <w:b/>
      <w:kern w:val="0"/>
      <w:sz w:val="26"/>
      <w:szCs w:val="26"/>
    </w:rPr>
  </w:style>
  <w:style w:type="paragraph" w:customStyle="1" w:styleId="446">
    <w:name w:val="样式 样式 标题 2标题节标题 2 Char Char + 段前: 2 行 + 左侧:  1 字符2"/>
    <w:basedOn w:val="336"/>
    <w:qFormat/>
    <w:uiPriority w:val="0"/>
    <w:pPr>
      <w:spacing w:before="50" w:beforeLines="0" w:after="50"/>
    </w:pPr>
    <w:rPr>
      <w:rFonts w:hAnsi="Times New Roman" w:cs="宋体"/>
      <w:bCs/>
    </w:rPr>
  </w:style>
  <w:style w:type="paragraph" w:customStyle="1" w:styleId="447">
    <w:name w:val="b"/>
    <w:basedOn w:val="3"/>
    <w:qFormat/>
    <w:uiPriority w:val="0"/>
    <w:pPr>
      <w:keepNext w:val="0"/>
      <w:keepLines w:val="0"/>
      <w:spacing w:before="50" w:beforeLines="50" w:after="50" w:afterLines="50" w:line="240" w:lineRule="auto"/>
      <w:jc w:val="both"/>
      <w:textAlignment w:val="baseline"/>
    </w:pPr>
    <w:rPr>
      <w:rFonts w:eastAsia="仿宋_GB2312"/>
      <w:b w:val="0"/>
      <w:color w:val="000000"/>
      <w:sz w:val="32"/>
    </w:rPr>
  </w:style>
  <w:style w:type="paragraph" w:customStyle="1" w:styleId="448">
    <w:name w:val="xl65"/>
    <w:basedOn w:val="1"/>
    <w:qFormat/>
    <w:uiPriority w:val="0"/>
    <w:pPr>
      <w:widowControl/>
      <w:pBdr>
        <w:left w:val="single" w:color="auto" w:sz="4" w:space="0"/>
      </w:pBdr>
      <w:spacing w:before="100" w:beforeAutospacing="1" w:after="100" w:afterAutospacing="1"/>
    </w:pPr>
    <w:rPr>
      <w:rFonts w:ascii="Arial Unicode MS" w:hAnsi="Arial Unicode MS" w:eastAsia="Arial Unicode MS" w:cs="Arial Unicode MS"/>
      <w:kern w:val="0"/>
      <w:szCs w:val="21"/>
    </w:rPr>
  </w:style>
  <w:style w:type="paragraph" w:customStyle="1" w:styleId="449">
    <w:name w:val="样式 正文缩进正文缩进2正文缩进 Char Char正文缩进 Char Char Char Char正文缩进 Char ..."/>
    <w:basedOn w:val="13"/>
    <w:qFormat/>
    <w:uiPriority w:val="0"/>
    <w:pPr>
      <w:ind w:firstLine="200"/>
    </w:pPr>
    <w:rPr>
      <w:rFonts w:cs="宋体"/>
    </w:rPr>
  </w:style>
  <w:style w:type="paragraph" w:customStyle="1" w:styleId="450">
    <w:name w:val="123"/>
    <w:basedOn w:val="1"/>
    <w:next w:val="1"/>
    <w:qFormat/>
    <w:uiPriority w:val="0"/>
    <w:pPr>
      <w:ind w:firstLine="562"/>
    </w:pPr>
    <w:rPr>
      <w:rFonts w:cs="Times New Roman"/>
      <w:b/>
      <w:bCs/>
      <w:color w:val="000000"/>
      <w:sz w:val="28"/>
      <w:szCs w:val="24"/>
    </w:rPr>
  </w:style>
  <w:style w:type="paragraph" w:customStyle="1" w:styleId="451">
    <w:name w:val="样式 13 磅 行距: 固定值 23 磅"/>
    <w:basedOn w:val="1"/>
    <w:qFormat/>
    <w:uiPriority w:val="0"/>
    <w:pPr>
      <w:spacing w:line="460" w:lineRule="exact"/>
      <w:ind w:firstLine="520"/>
    </w:pPr>
    <w:rPr>
      <w:rFonts w:cs="Times New Roman"/>
      <w:sz w:val="26"/>
      <w:szCs w:val="20"/>
    </w:rPr>
  </w:style>
  <w:style w:type="paragraph" w:customStyle="1" w:styleId="452">
    <w:name w:val="样式6565656"/>
    <w:basedOn w:val="1"/>
    <w:qFormat/>
    <w:uiPriority w:val="0"/>
    <w:pPr>
      <w:spacing w:line="460" w:lineRule="atLeast"/>
      <w:ind w:firstLine="480"/>
    </w:pPr>
    <w:rPr>
      <w:rFonts w:cs="Times New Roman"/>
      <w:bCs/>
      <w:szCs w:val="24"/>
    </w:rPr>
  </w:style>
  <w:style w:type="paragraph" w:customStyle="1" w:styleId="453">
    <w:name w:val="样式 样式 标题 2标题节标题 2 Char Char + 段前: 2 行 + 段前: 0.5 行 段后: 0.5 行"/>
    <w:basedOn w:val="336"/>
    <w:next w:val="1"/>
    <w:qFormat/>
    <w:uiPriority w:val="0"/>
    <w:pPr>
      <w:spacing w:before="120" w:beforeLines="0" w:after="120"/>
    </w:pPr>
    <w:rPr>
      <w:rFonts w:hAnsi="Times New Roman" w:cs="宋体"/>
      <w:bCs/>
    </w:rPr>
  </w:style>
  <w:style w:type="paragraph" w:customStyle="1" w:styleId="454">
    <w:name w:val="二级标题"/>
    <w:basedOn w:val="1"/>
    <w:next w:val="1"/>
    <w:qFormat/>
    <w:uiPriority w:val="0"/>
    <w:pPr>
      <w:spacing w:before="156" w:beforeLines="50" w:after="156" w:afterLines="50" w:line="460" w:lineRule="exact"/>
      <w:outlineLvl w:val="1"/>
    </w:pPr>
    <w:rPr>
      <w:rFonts w:cs="Times New Roman"/>
      <w:b/>
      <w:bCs/>
      <w:sz w:val="30"/>
      <w:szCs w:val="30"/>
    </w:rPr>
  </w:style>
  <w:style w:type="paragraph" w:customStyle="1" w:styleId="455">
    <w:name w:val="样式 首行缩进:  0.85 厘米8"/>
    <w:basedOn w:val="1"/>
    <w:qFormat/>
    <w:uiPriority w:val="0"/>
    <w:pPr>
      <w:spacing w:line="288" w:lineRule="auto"/>
      <w:ind w:firstLine="482"/>
    </w:pPr>
    <w:rPr>
      <w:rFonts w:cs="宋体"/>
      <w:szCs w:val="26"/>
    </w:rPr>
  </w:style>
  <w:style w:type="paragraph" w:customStyle="1" w:styleId="456">
    <w:name w:val="Char Char Char3 Char Char Char2 Char"/>
    <w:basedOn w:val="1"/>
    <w:semiHidden/>
    <w:qFormat/>
    <w:uiPriority w:val="0"/>
    <w:rPr>
      <w:rFonts w:ascii="宋体" w:hAnsi="宋体" w:cs="宋体"/>
      <w:szCs w:val="26"/>
    </w:rPr>
  </w:style>
  <w:style w:type="paragraph" w:customStyle="1" w:styleId="457">
    <w:name w:val="编号正文"/>
    <w:basedOn w:val="1"/>
    <w:qFormat/>
    <w:uiPriority w:val="0"/>
    <w:pPr>
      <w:tabs>
        <w:tab w:val="left" w:pos="1260"/>
      </w:tabs>
      <w:spacing w:after="50" w:afterLines="50" w:line="300" w:lineRule="auto"/>
      <w:ind w:left="1260" w:hanging="806"/>
    </w:pPr>
    <w:rPr>
      <w:rFonts w:ascii="Arial Narrow" w:hAnsi="Arial Narrow" w:eastAsia="仿宋_GB2312" w:cs="Times New Roman"/>
      <w:sz w:val="28"/>
      <w:szCs w:val="28"/>
    </w:rPr>
  </w:style>
  <w:style w:type="paragraph" w:customStyle="1" w:styleId="458">
    <w:name w:val="Char3"/>
    <w:basedOn w:val="1"/>
    <w:qFormat/>
    <w:uiPriority w:val="0"/>
    <w:rPr>
      <w:rFonts w:cs="Times New Roman"/>
      <w:szCs w:val="24"/>
    </w:rPr>
  </w:style>
  <w:style w:type="paragraph" w:customStyle="1" w:styleId="459">
    <w:name w:val="表格文字居中"/>
    <w:basedOn w:val="1"/>
    <w:next w:val="1"/>
    <w:qFormat/>
    <w:uiPriority w:val="0"/>
    <w:pPr>
      <w:spacing w:line="460" w:lineRule="exact"/>
      <w:jc w:val="center"/>
    </w:pPr>
    <w:rPr>
      <w:rFonts w:cs="Times New Roman"/>
      <w:color w:val="000000"/>
      <w:sz w:val="22"/>
    </w:rPr>
  </w:style>
  <w:style w:type="paragraph" w:customStyle="1" w:styleId="460">
    <w:name w:val="样式 标题 2 + Times New Roman 非加粗"/>
    <w:basedOn w:val="3"/>
    <w:qFormat/>
    <w:uiPriority w:val="0"/>
    <w:pPr>
      <w:keepLines w:val="0"/>
      <w:widowControl w:val="0"/>
      <w:adjustRightInd/>
      <w:snapToGrid/>
      <w:spacing w:before="156" w:beforeLines="50" w:line="240" w:lineRule="auto"/>
      <w:ind w:firstLine="472" w:firstLineChars="196"/>
      <w:jc w:val="both"/>
    </w:pPr>
    <w:rPr>
      <w:bCs w:val="0"/>
      <w:color w:val="000000"/>
      <w:kern w:val="2"/>
      <w:szCs w:val="24"/>
    </w:rPr>
  </w:style>
  <w:style w:type="paragraph" w:customStyle="1" w:styleId="461">
    <w:name w:val="xl27"/>
    <w:basedOn w:val="1"/>
    <w:qFormat/>
    <w:uiPriority w:val="0"/>
    <w:pPr>
      <w:widowControl/>
      <w:pBdr>
        <w:left w:val="single" w:color="auto" w:sz="12" w:space="0"/>
        <w:bottom w:val="single" w:color="auto" w:sz="4" w:space="0"/>
        <w:right w:val="single" w:color="auto" w:sz="4" w:space="0"/>
      </w:pBdr>
      <w:spacing w:before="100" w:beforeAutospacing="1" w:after="100" w:afterAutospacing="1"/>
      <w:jc w:val="center"/>
    </w:pPr>
    <w:rPr>
      <w:rFonts w:ascii="Arial Unicode MS" w:hAnsi="Arial Unicode MS" w:eastAsia="Arial Unicode MS" w:cs="Times New Roman"/>
      <w:color w:val="000000"/>
      <w:kern w:val="0"/>
      <w:szCs w:val="20"/>
    </w:rPr>
  </w:style>
  <w:style w:type="paragraph" w:customStyle="1" w:styleId="462">
    <w:name w:val="Char Char Char1 Char Char Char Char Char Char Char Char Char Char Char Char Char Char Char Char Char Char Char Char Char Char"/>
    <w:basedOn w:val="1"/>
    <w:qFormat/>
    <w:uiPriority w:val="0"/>
    <w:rPr>
      <w:rFonts w:ascii="宋体" w:hAnsi="宋体" w:cs="宋体"/>
      <w:szCs w:val="26"/>
    </w:rPr>
  </w:style>
  <w:style w:type="paragraph" w:customStyle="1" w:styleId="463">
    <w:name w:val="Z7[图表]"/>
    <w:next w:val="1"/>
    <w:qFormat/>
    <w:uiPriority w:val="0"/>
    <w:pPr>
      <w:jc w:val="center"/>
    </w:pPr>
    <w:rPr>
      <w:rFonts w:ascii="Times New Roman" w:hAnsi="Times New Roman" w:eastAsia="仿宋_GB2312" w:cs="Times New Roman"/>
      <w:bCs/>
      <w:sz w:val="21"/>
      <w:szCs w:val="44"/>
      <w:lang w:val="en-US" w:eastAsia="zh-CN" w:bidi="ar-SA"/>
    </w:rPr>
  </w:style>
  <w:style w:type="paragraph" w:customStyle="1" w:styleId="464">
    <w:name w:val="HtmlNormal"/>
    <w:basedOn w:val="1"/>
    <w:qFormat/>
    <w:uiPriority w:val="0"/>
    <w:pPr>
      <w:spacing w:before="100" w:beforeAutospacing="1" w:after="100" w:afterAutospacing="1" w:line="384" w:lineRule="auto"/>
      <w:jc w:val="left"/>
    </w:pPr>
    <w:rPr>
      <w:rFonts w:ascii="Arial Unicode MS" w:hAnsi="Arial Unicode MS" w:eastAsia="Times New Roman" w:cs="Times New Roman"/>
      <w:color w:val="000000"/>
      <w:kern w:val="0"/>
      <w:szCs w:val="21"/>
    </w:rPr>
  </w:style>
  <w:style w:type="paragraph" w:customStyle="1" w:styleId="465">
    <w:name w:val="样式 13 磅 黑色 行距: 固定值 23 磅"/>
    <w:basedOn w:val="1"/>
    <w:qFormat/>
    <w:uiPriority w:val="0"/>
    <w:pPr>
      <w:spacing w:line="440" w:lineRule="exact"/>
      <w:jc w:val="center"/>
    </w:pPr>
    <w:rPr>
      <w:rFonts w:ascii="宋体" w:hAnsi="宋体" w:cs="Arial"/>
      <w:szCs w:val="24"/>
    </w:rPr>
  </w:style>
  <w:style w:type="paragraph" w:customStyle="1" w:styleId="466">
    <w:name w:val="样式 样式 标题 2标题节标题 2 Char Char + 段前: 2 行 + 首行缩进:  2 字符 段前: 0.5 行 ..."/>
    <w:basedOn w:val="336"/>
    <w:qFormat/>
    <w:uiPriority w:val="0"/>
    <w:pPr>
      <w:spacing w:before="0" w:beforeLines="0"/>
      <w:ind w:firstLine="0"/>
    </w:pPr>
    <w:rPr>
      <w:rFonts w:hAnsi="Times New Roman" w:cs="宋体"/>
      <w:bCs/>
    </w:rPr>
  </w:style>
  <w:style w:type="paragraph" w:customStyle="1" w:styleId="467">
    <w:name w:val="xl24"/>
    <w:basedOn w:val="1"/>
    <w:qFormat/>
    <w:uiPriority w:val="0"/>
    <w:pPr>
      <w:widowControl/>
      <w:spacing w:before="100" w:beforeAutospacing="1" w:after="100" w:afterAutospacing="1"/>
      <w:jc w:val="center"/>
      <w:textAlignment w:val="center"/>
    </w:pPr>
    <w:rPr>
      <w:rFonts w:ascii="Arial Unicode MS" w:hAnsi="Arial Unicode MS" w:eastAsia="Arial Unicode MS" w:cs="Times New Roman"/>
      <w:kern w:val="0"/>
      <w:sz w:val="22"/>
    </w:rPr>
  </w:style>
  <w:style w:type="paragraph" w:customStyle="1" w:styleId="468">
    <w:name w:val="xl26"/>
    <w:basedOn w:val="1"/>
    <w:qFormat/>
    <w:uiPriority w:val="0"/>
    <w:pPr>
      <w:widowControl/>
      <w:pBdr>
        <w:bottom w:val="single" w:color="auto" w:sz="4" w:space="0"/>
        <w:right w:val="single" w:color="auto" w:sz="4" w:space="0"/>
      </w:pBdr>
      <w:spacing w:before="100" w:beforeAutospacing="1" w:after="100" w:afterAutospacing="1"/>
      <w:textAlignment w:val="top"/>
    </w:pPr>
    <w:rPr>
      <w:rFonts w:ascii="宋体" w:hAnsi="宋体" w:cs="Times New Roman"/>
      <w:kern w:val="0"/>
      <w:szCs w:val="21"/>
    </w:rPr>
  </w:style>
  <w:style w:type="paragraph" w:customStyle="1" w:styleId="469">
    <w:name w:val="Z2[封面]"/>
    <w:next w:val="1"/>
    <w:qFormat/>
    <w:uiPriority w:val="0"/>
    <w:pPr>
      <w:spacing w:line="360" w:lineRule="auto"/>
      <w:jc w:val="center"/>
    </w:pPr>
    <w:rPr>
      <w:rFonts w:ascii="Times New Roman" w:hAnsi="Times New Roman" w:eastAsia="楷体_GB2312" w:cs="Times New Roman"/>
      <w:bCs/>
      <w:sz w:val="32"/>
      <w:szCs w:val="44"/>
      <w:lang w:val="en-US" w:eastAsia="zh-CN" w:bidi="ar-SA"/>
    </w:rPr>
  </w:style>
  <w:style w:type="paragraph" w:customStyle="1" w:styleId="470">
    <w:name w:val="UserStyle_5"/>
    <w:qFormat/>
    <w:uiPriority w:val="0"/>
    <w:pPr>
      <w:spacing w:line="600" w:lineRule="exact"/>
      <w:ind w:firstLine="567"/>
      <w:jc w:val="both"/>
      <w:textAlignment w:val="baseline"/>
    </w:pPr>
    <w:rPr>
      <w:rFonts w:ascii="宋体" w:hAnsi="Times New Roman" w:eastAsia="宋体" w:cs="Times New Roman"/>
      <w:sz w:val="28"/>
      <w:lang w:val="en-US" w:eastAsia="zh-CN" w:bidi="ar-SA"/>
    </w:rPr>
  </w:style>
  <w:style w:type="paragraph" w:customStyle="1" w:styleId="471">
    <w:name w:val="默认段落字体 Para Char"/>
    <w:basedOn w:val="1"/>
    <w:next w:val="1"/>
    <w:qFormat/>
    <w:uiPriority w:val="0"/>
    <w:rPr>
      <w:rFonts w:cs="Times New Roman"/>
      <w:szCs w:val="24"/>
    </w:rPr>
  </w:style>
  <w:style w:type="paragraph" w:customStyle="1" w:styleId="472">
    <w:name w:val="正"/>
    <w:qFormat/>
    <w:uiPriority w:val="0"/>
    <w:pPr>
      <w:spacing w:line="480" w:lineRule="exact"/>
      <w:ind w:firstLine="470" w:firstLineChars="196"/>
    </w:pPr>
    <w:rPr>
      <w:rFonts w:ascii="Times New Roman" w:hAnsi="Times New Roman" w:eastAsia="宋体" w:cs="Times New Roman"/>
      <w:bCs/>
      <w:kern w:val="2"/>
      <w:sz w:val="24"/>
      <w:szCs w:val="24"/>
      <w:lang w:val="en-US" w:eastAsia="zh-CN" w:bidi="ar-SA"/>
    </w:rPr>
  </w:style>
  <w:style w:type="paragraph" w:customStyle="1" w:styleId="473">
    <w:name w:val="Z5[附件]"/>
    <w:next w:val="1"/>
    <w:qFormat/>
    <w:uiPriority w:val="0"/>
    <w:pPr>
      <w:spacing w:line="360" w:lineRule="auto"/>
      <w:ind w:firstLine="200" w:firstLineChars="200"/>
    </w:pPr>
    <w:rPr>
      <w:rFonts w:ascii="Times New Roman" w:hAnsi="Times New Roman" w:eastAsia="仿宋_GB2312" w:cs="Times New Roman"/>
      <w:b/>
      <w:sz w:val="28"/>
      <w:szCs w:val="24"/>
      <w:lang w:val="en-US" w:eastAsia="zh-CN" w:bidi="ar-SA"/>
    </w:rPr>
  </w:style>
  <w:style w:type="paragraph" w:customStyle="1" w:styleId="474">
    <w:name w:val="xl25"/>
    <w:basedOn w:val="1"/>
    <w:semiHidden/>
    <w:qFormat/>
    <w:uiPriority w:val="0"/>
    <w:pPr>
      <w:widowControl/>
      <w:spacing w:before="100" w:after="100"/>
      <w:jc w:val="center"/>
    </w:pPr>
    <w:rPr>
      <w:rFonts w:eastAsia="Arial Unicode MS" w:cs="Times New Roman"/>
      <w:kern w:val="0"/>
      <w:szCs w:val="20"/>
    </w:rPr>
  </w:style>
  <w:style w:type="paragraph" w:customStyle="1" w:styleId="475">
    <w:name w:val="样式 四号 行距: 固定值 28 磅 首行缩进:  2 字符"/>
    <w:basedOn w:val="1"/>
    <w:qFormat/>
    <w:uiPriority w:val="0"/>
    <w:pPr>
      <w:spacing w:line="560" w:lineRule="exact"/>
      <w:ind w:firstLine="560"/>
    </w:pPr>
    <w:rPr>
      <w:rFonts w:cs="宋体"/>
      <w:sz w:val="28"/>
      <w:szCs w:val="20"/>
    </w:rPr>
  </w:style>
  <w:style w:type="paragraph" w:customStyle="1" w:styleId="476">
    <w:name w:val="样式 样式 标题 2标题节标题 2 Char Char + 段前: 2 行 + 左侧:  1 字符"/>
    <w:basedOn w:val="336"/>
    <w:qFormat/>
    <w:uiPriority w:val="0"/>
    <w:pPr>
      <w:spacing w:before="0" w:beforeLines="0"/>
    </w:pPr>
    <w:rPr>
      <w:rFonts w:hAnsi="Times New Roman" w:cs="宋体"/>
      <w:bCs/>
    </w:rPr>
  </w:style>
  <w:style w:type="paragraph" w:customStyle="1" w:styleId="477">
    <w:name w:val="Char Char Char"/>
    <w:basedOn w:val="1"/>
    <w:qFormat/>
    <w:uiPriority w:val="0"/>
    <w:rPr>
      <w:rFonts w:cs="Times New Roman"/>
      <w:szCs w:val="20"/>
    </w:rPr>
  </w:style>
  <w:style w:type="paragraph" w:customStyle="1" w:styleId="478">
    <w:name w:val="样式 左 首行缩进:  1.01 厘米"/>
    <w:basedOn w:val="1"/>
    <w:qFormat/>
    <w:uiPriority w:val="0"/>
    <w:pPr>
      <w:spacing w:line="460" w:lineRule="exact"/>
    </w:pPr>
    <w:rPr>
      <w:rFonts w:cs="宋体"/>
      <w:sz w:val="26"/>
      <w:szCs w:val="26"/>
    </w:rPr>
  </w:style>
  <w:style w:type="paragraph" w:customStyle="1" w:styleId="479">
    <w:name w:val="样式 13 磅 行距: 固定值 23 磅 首行缩进:  2 字符"/>
    <w:basedOn w:val="1"/>
    <w:qFormat/>
    <w:uiPriority w:val="0"/>
    <w:pPr>
      <w:spacing w:line="460" w:lineRule="exact"/>
      <w:ind w:firstLine="520"/>
    </w:pPr>
    <w:rPr>
      <w:rFonts w:cs="宋体"/>
      <w:sz w:val="26"/>
      <w:szCs w:val="20"/>
    </w:rPr>
  </w:style>
  <w:style w:type="paragraph" w:customStyle="1" w:styleId="480">
    <w:name w:val="表格文字-hao-居中"/>
    <w:qFormat/>
    <w:uiPriority w:val="99"/>
    <w:pPr>
      <w:adjustRightInd w:val="0"/>
      <w:snapToGrid w:val="0"/>
      <w:spacing w:beforeLines="20" w:afterLines="10" w:line="264" w:lineRule="auto"/>
      <w:jc w:val="center"/>
      <w:textAlignment w:val="center"/>
    </w:pPr>
    <w:rPr>
      <w:rFonts w:ascii="Times New Roman" w:hAnsi="Times New Roman" w:eastAsia="宋体" w:cs="Times New Roman"/>
      <w:szCs w:val="24"/>
      <w:lang w:val="en-US" w:eastAsia="zh-CN" w:bidi="ar-SA"/>
    </w:rPr>
  </w:style>
  <w:style w:type="paragraph" w:customStyle="1" w:styleId="481">
    <w:name w:val="Z1[封面]"/>
    <w:next w:val="1"/>
    <w:qFormat/>
    <w:uiPriority w:val="0"/>
    <w:pPr>
      <w:spacing w:line="360" w:lineRule="auto"/>
      <w:jc w:val="center"/>
    </w:pPr>
    <w:rPr>
      <w:rFonts w:ascii="Times New Roman" w:hAnsi="Times New Roman" w:eastAsia="华文中宋" w:cs="Times New Roman"/>
      <w:b/>
      <w:bCs/>
      <w:sz w:val="44"/>
      <w:szCs w:val="44"/>
      <w:lang w:val="en-US" w:eastAsia="zh-CN" w:bidi="ar-SA"/>
    </w:rPr>
  </w:style>
  <w:style w:type="paragraph" w:customStyle="1" w:styleId="482">
    <w:name w:val="Char Char Char Char1"/>
    <w:basedOn w:val="1"/>
    <w:qFormat/>
    <w:uiPriority w:val="0"/>
    <w:rPr>
      <w:rFonts w:ascii="仿宋_GB2312" w:hAnsi="Tahoma" w:eastAsia="仿宋_GB2312" w:cs="Times New Roman"/>
      <w:szCs w:val="21"/>
    </w:rPr>
  </w:style>
  <w:style w:type="paragraph" w:customStyle="1" w:styleId="483">
    <w:name w:val="表格1"/>
    <w:basedOn w:val="1"/>
    <w:qFormat/>
    <w:uiPriority w:val="0"/>
    <w:pPr>
      <w:spacing w:line="360" w:lineRule="exact"/>
      <w:jc w:val="center"/>
    </w:pPr>
    <w:rPr>
      <w:rFonts w:cs="Times New Roman"/>
      <w:color w:val="000000"/>
      <w:szCs w:val="24"/>
    </w:rPr>
  </w:style>
  <w:style w:type="paragraph" w:customStyle="1" w:styleId="484">
    <w:name w:val="正文（首行缩进两字）"/>
    <w:basedOn w:val="1"/>
    <w:qFormat/>
    <w:uiPriority w:val="0"/>
    <w:rPr>
      <w:rFonts w:cs="Times New Roman"/>
      <w:szCs w:val="21"/>
    </w:rPr>
  </w:style>
  <w:style w:type="paragraph" w:customStyle="1" w:styleId="485">
    <w:name w:val="BodyTextIndent2"/>
    <w:basedOn w:val="1"/>
    <w:qFormat/>
    <w:uiPriority w:val="0"/>
    <w:pPr>
      <w:spacing w:after="120" w:line="480" w:lineRule="auto"/>
      <w:ind w:left="420" w:leftChars="200"/>
    </w:pPr>
    <w:rPr>
      <w:rFonts w:cs="Times New Roman"/>
      <w:szCs w:val="24"/>
    </w:rPr>
  </w:style>
  <w:style w:type="paragraph" w:customStyle="1" w:styleId="486">
    <w:name w:val="三级标题"/>
    <w:basedOn w:val="1"/>
    <w:next w:val="1"/>
    <w:semiHidden/>
    <w:qFormat/>
    <w:uiPriority w:val="0"/>
    <w:pPr>
      <w:outlineLvl w:val="2"/>
    </w:pPr>
    <w:rPr>
      <w:rFonts w:cs="Times New Roman"/>
      <w:b/>
      <w:sz w:val="26"/>
      <w:szCs w:val="26"/>
    </w:rPr>
  </w:style>
  <w:style w:type="paragraph" w:customStyle="1" w:styleId="487">
    <w:name w:val="gg_body"/>
    <w:basedOn w:val="1"/>
    <w:qFormat/>
    <w:uiPriority w:val="0"/>
    <w:pPr>
      <w:spacing w:line="460" w:lineRule="exact"/>
    </w:pPr>
    <w:rPr>
      <w:rFonts w:ascii="宋体" w:hAnsi="宋体" w:cs="Times New Roman"/>
      <w:szCs w:val="20"/>
    </w:rPr>
  </w:style>
  <w:style w:type="paragraph" w:customStyle="1" w:styleId="488">
    <w:name w:val="xl52"/>
    <w:basedOn w:val="1"/>
    <w:qFormat/>
    <w:uiPriority w:val="0"/>
    <w:pPr>
      <w:widowControl/>
      <w:pBdr>
        <w:left w:val="single" w:color="auto" w:sz="8" w:space="0"/>
      </w:pBdr>
      <w:spacing w:before="100" w:beforeAutospacing="1" w:after="100" w:afterAutospacing="1"/>
      <w:jc w:val="center"/>
      <w:textAlignment w:val="center"/>
    </w:pPr>
    <w:rPr>
      <w:rFonts w:ascii="Arial Unicode MS" w:hAnsi="Arial Unicode MS" w:eastAsia="Arial Unicode MS" w:cs="Arial Unicode MS"/>
      <w:kern w:val="0"/>
      <w:szCs w:val="24"/>
    </w:rPr>
  </w:style>
  <w:style w:type="paragraph" w:customStyle="1" w:styleId="489">
    <w:name w:val="样式8"/>
    <w:basedOn w:val="4"/>
    <w:qFormat/>
    <w:uiPriority w:val="0"/>
    <w:pPr>
      <w:widowControl w:val="0"/>
      <w:spacing w:line="480" w:lineRule="exact"/>
      <w:jc w:val="both"/>
    </w:pPr>
    <w:rPr>
      <w:kern w:val="2"/>
      <w:sz w:val="26"/>
    </w:rPr>
  </w:style>
  <w:style w:type="paragraph" w:customStyle="1" w:styleId="490">
    <w:name w:val="样式 正文文本缩进 + 宋体"/>
    <w:basedOn w:val="22"/>
    <w:qFormat/>
    <w:uiPriority w:val="0"/>
    <w:pPr>
      <w:widowControl w:val="0"/>
      <w:spacing w:before="93" w:beforeLines="30" w:after="93" w:afterLines="30" w:line="460" w:lineRule="exact"/>
      <w:ind w:left="0" w:firstLine="560"/>
      <w:jc w:val="both"/>
    </w:pPr>
    <w:rPr>
      <w:rFonts w:ascii="宋体" w:hAnsi="宋体"/>
      <w:kern w:val="2"/>
      <w:sz w:val="21"/>
      <w:szCs w:val="28"/>
      <w:lang w:eastAsia="zh-CN"/>
    </w:rPr>
  </w:style>
  <w:style w:type="paragraph" w:customStyle="1" w:styleId="491">
    <w:name w:val="样式 样式 标题 2标题节标题 2 Char Char + 段前: 2 行 + 左侧:  1 字符 右侧:  1 字符"/>
    <w:basedOn w:val="336"/>
    <w:qFormat/>
    <w:uiPriority w:val="0"/>
    <w:rPr>
      <w:szCs w:val="26"/>
    </w:rPr>
  </w:style>
  <w:style w:type="paragraph" w:customStyle="1" w:styleId="492">
    <w:name w:val="00000000000000000000000 Char"/>
    <w:basedOn w:val="1"/>
    <w:qFormat/>
    <w:uiPriority w:val="0"/>
    <w:pPr>
      <w:ind w:firstLine="510"/>
    </w:pPr>
    <w:rPr>
      <w:rFonts w:cs="Times New Roman"/>
      <w:color w:val="000000"/>
      <w:szCs w:val="24"/>
      <w:lang w:val="zh-CN"/>
    </w:rPr>
  </w:style>
  <w:style w:type="paragraph" w:customStyle="1" w:styleId="493">
    <w:name w:val="Char Char Char2 Char Char Char Char Char Char Char Char Char Char"/>
    <w:basedOn w:val="1"/>
    <w:semiHidden/>
    <w:qFormat/>
    <w:uiPriority w:val="0"/>
    <w:rPr>
      <w:rFonts w:ascii="宋体" w:hAnsi="宋体" w:cs="宋体"/>
      <w:szCs w:val="26"/>
    </w:rPr>
  </w:style>
  <w:style w:type="paragraph" w:customStyle="1" w:styleId="494">
    <w:name w:val="样式17"/>
    <w:basedOn w:val="1"/>
    <w:qFormat/>
    <w:uiPriority w:val="0"/>
    <w:pPr>
      <w:keepNext/>
      <w:keepLines/>
      <w:widowControl/>
      <w:spacing w:before="80" w:line="460" w:lineRule="exact"/>
      <w:jc w:val="left"/>
      <w:outlineLvl w:val="1"/>
    </w:pPr>
    <w:rPr>
      <w:rFonts w:eastAsia="黑体" w:cs="Times New Roman"/>
      <w:b/>
      <w:bCs/>
      <w:kern w:val="0"/>
      <w:sz w:val="28"/>
      <w:szCs w:val="28"/>
    </w:rPr>
  </w:style>
  <w:style w:type="paragraph" w:customStyle="1" w:styleId="495">
    <w:name w:val="简单回函地址"/>
    <w:basedOn w:val="1"/>
    <w:qFormat/>
    <w:uiPriority w:val="0"/>
    <w:rPr>
      <w:rFonts w:cs="Times New Roman"/>
      <w:szCs w:val="20"/>
    </w:rPr>
  </w:style>
  <w:style w:type="paragraph" w:customStyle="1" w:styleId="496">
    <w:name w:val="Heading3"/>
    <w:basedOn w:val="1"/>
    <w:next w:val="1"/>
    <w:qFormat/>
    <w:uiPriority w:val="0"/>
    <w:pPr>
      <w:keepNext/>
      <w:keepLines/>
      <w:spacing w:before="156" w:line="440" w:lineRule="exact"/>
      <w:ind w:firstLine="472" w:firstLineChars="196"/>
    </w:pPr>
    <w:rPr>
      <w:rFonts w:ascii="Arial" w:hAnsi="Arial" w:eastAsia="黑体" w:cs="Times New Roman"/>
      <w:b/>
      <w:color w:val="000000"/>
      <w:kern w:val="0"/>
      <w:szCs w:val="24"/>
    </w:rPr>
  </w:style>
  <w:style w:type="paragraph" w:customStyle="1" w:styleId="497">
    <w:name w:val="样式 样式 样式 标题 2标题节标题 2 Char Char + 段前: 2 行 + 左侧:  1 字符 + 段前: 0.5 行..."/>
    <w:basedOn w:val="1"/>
    <w:qFormat/>
    <w:uiPriority w:val="0"/>
    <w:pPr>
      <w:keepNext/>
      <w:keepLines/>
      <w:spacing w:line="460" w:lineRule="exact"/>
      <w:outlineLvl w:val="1"/>
    </w:pPr>
    <w:rPr>
      <w:rFonts w:cs="宋体"/>
      <w:b/>
      <w:bCs/>
      <w:sz w:val="26"/>
      <w:szCs w:val="26"/>
    </w:rPr>
  </w:style>
  <w:style w:type="paragraph" w:customStyle="1" w:styleId="498">
    <w:name w:val="一级标题"/>
    <w:basedOn w:val="1"/>
    <w:next w:val="1"/>
    <w:qFormat/>
    <w:uiPriority w:val="0"/>
    <w:pPr>
      <w:spacing w:before="100" w:beforeAutospacing="1" w:after="156" w:afterLines="50" w:line="460" w:lineRule="exact"/>
      <w:jc w:val="center"/>
      <w:outlineLvl w:val="0"/>
    </w:pPr>
    <w:rPr>
      <w:rFonts w:cs="Times New Roman"/>
      <w:b/>
      <w:bCs/>
      <w:sz w:val="32"/>
      <w:szCs w:val="32"/>
    </w:rPr>
  </w:style>
  <w:style w:type="paragraph" w:customStyle="1" w:styleId="499">
    <w:name w:val="UserStyle_1"/>
    <w:qFormat/>
    <w:uiPriority w:val="0"/>
    <w:pPr>
      <w:spacing w:line="480" w:lineRule="exact"/>
      <w:ind w:firstLine="470" w:firstLineChars="196"/>
      <w:textAlignment w:val="baseline"/>
    </w:pPr>
    <w:rPr>
      <w:rFonts w:ascii="Times New Roman" w:hAnsi="Times New Roman" w:eastAsia="宋体" w:cs="Times New Roman"/>
      <w:bCs/>
      <w:kern w:val="2"/>
      <w:sz w:val="24"/>
      <w:szCs w:val="24"/>
      <w:lang w:val="en-US" w:eastAsia="zh-CN" w:bidi="ar-SA"/>
    </w:rPr>
  </w:style>
  <w:style w:type="paragraph" w:customStyle="1" w:styleId="500">
    <w:name w:val="环评表头"/>
    <w:basedOn w:val="1"/>
    <w:qFormat/>
    <w:uiPriority w:val="0"/>
    <w:pPr>
      <w:spacing w:line="440" w:lineRule="exact"/>
      <w:jc w:val="center"/>
    </w:pPr>
    <w:rPr>
      <w:rFonts w:ascii="黑体" w:hAnsi="Arial" w:eastAsia="黑体" w:cs="Arial"/>
      <w:b/>
      <w:color w:val="000000"/>
      <w:szCs w:val="24"/>
    </w:rPr>
  </w:style>
  <w:style w:type="paragraph" w:customStyle="1" w:styleId="501">
    <w:name w:val="UserStyle_6"/>
    <w:basedOn w:val="502"/>
    <w:qFormat/>
    <w:uiPriority w:val="0"/>
  </w:style>
  <w:style w:type="paragraph" w:customStyle="1" w:styleId="502">
    <w:name w:val="UserStyle_4"/>
    <w:basedOn w:val="1"/>
    <w:qFormat/>
    <w:uiPriority w:val="0"/>
    <w:pPr>
      <w:spacing w:line="460" w:lineRule="exact"/>
      <w:ind w:firstLine="567" w:firstLineChars="218"/>
      <w:jc w:val="left"/>
    </w:pPr>
    <w:rPr>
      <w:rFonts w:cs="Times New Roman"/>
      <w:kern w:val="0"/>
      <w:sz w:val="26"/>
      <w:szCs w:val="26"/>
    </w:rPr>
  </w:style>
  <w:style w:type="paragraph" w:customStyle="1" w:styleId="503">
    <w:name w:val="环评标题"/>
    <w:basedOn w:val="348"/>
    <w:qFormat/>
    <w:uiPriority w:val="0"/>
    <w:pPr>
      <w:ind w:firstLine="482"/>
    </w:pPr>
    <w:rPr>
      <w:rFonts w:ascii="黑体" w:eastAsia="黑体"/>
      <w:b/>
    </w:rPr>
  </w:style>
  <w:style w:type="paragraph" w:customStyle="1" w:styleId="504">
    <w:name w:val="Char Char Char Char Char Char Char"/>
    <w:basedOn w:val="1"/>
    <w:next w:val="1"/>
    <w:qFormat/>
    <w:uiPriority w:val="0"/>
    <w:rPr>
      <w:rFonts w:cs="Times New Roman"/>
      <w:szCs w:val="24"/>
    </w:rPr>
  </w:style>
  <w:style w:type="paragraph" w:customStyle="1" w:styleId="505">
    <w:name w:val="Char Char Char Char Char2 Char Char Char Char"/>
    <w:basedOn w:val="1"/>
    <w:qFormat/>
    <w:uiPriority w:val="0"/>
    <w:rPr>
      <w:rFonts w:ascii="宋体" w:hAnsi="宋体" w:cs="宋体"/>
      <w:szCs w:val="26"/>
    </w:rPr>
  </w:style>
  <w:style w:type="paragraph" w:customStyle="1" w:styleId="506">
    <w:name w:val="Char Char Char1 Char Char Char Char"/>
    <w:basedOn w:val="1"/>
    <w:qFormat/>
    <w:uiPriority w:val="0"/>
    <w:rPr>
      <w:rFonts w:ascii="宋体" w:hAnsi="宋体" w:cs="宋体"/>
      <w:szCs w:val="26"/>
    </w:rPr>
  </w:style>
  <w:style w:type="paragraph" w:customStyle="1" w:styleId="507">
    <w:name w:val="样式 正文（首行缩进两字） + 宋体"/>
    <w:basedOn w:val="13"/>
    <w:qFormat/>
    <w:uiPriority w:val="0"/>
    <w:pPr>
      <w:ind w:firstLine="567"/>
    </w:pPr>
    <w:rPr>
      <w:rFonts w:ascii="宋体" w:hAnsi="宋体"/>
      <w:sz w:val="28"/>
      <w:szCs w:val="20"/>
    </w:rPr>
  </w:style>
  <w:style w:type="paragraph" w:customStyle="1" w:styleId="508">
    <w:name w:val="正文四号"/>
    <w:basedOn w:val="1"/>
    <w:qFormat/>
    <w:uiPriority w:val="0"/>
    <w:rPr>
      <w:rFonts w:ascii="宋体" w:cs="宋体"/>
      <w:kern w:val="0"/>
    </w:rPr>
  </w:style>
  <w:style w:type="paragraph" w:customStyle="1" w:styleId="509">
    <w:name w:val="Char Char Char Char Char Char Char Char Char Char Char Char Char Char Char Char Char Char Char Char Char Char Char Char Char Char Char Char Char Char Char Char Char"/>
    <w:basedOn w:val="1"/>
    <w:qFormat/>
    <w:uiPriority w:val="0"/>
    <w:pPr>
      <w:widowControl/>
      <w:spacing w:after="160" w:line="240" w:lineRule="exact"/>
      <w:jc w:val="left"/>
    </w:pPr>
    <w:rPr>
      <w:rFonts w:ascii="Verdana" w:hAnsi="Verdana" w:eastAsia="仿宋_GB2312" w:cs="Verdana"/>
      <w:color w:val="000000"/>
      <w:kern w:val="0"/>
      <w:szCs w:val="21"/>
      <w:lang w:eastAsia="en-US"/>
    </w:rPr>
  </w:style>
  <w:style w:type="paragraph" w:customStyle="1" w:styleId="510">
    <w:name w:val="Char Char Char1 Char Char Char Char1"/>
    <w:basedOn w:val="1"/>
    <w:semiHidden/>
    <w:qFormat/>
    <w:uiPriority w:val="0"/>
    <w:rPr>
      <w:rFonts w:ascii="宋体" w:hAnsi="宋体" w:cs="宋体"/>
      <w:szCs w:val="26"/>
    </w:rPr>
  </w:style>
  <w:style w:type="paragraph" w:customStyle="1" w:styleId="511">
    <w:name w:val="表格文字"/>
    <w:basedOn w:val="13"/>
    <w:next w:val="1"/>
    <w:qFormat/>
    <w:uiPriority w:val="0"/>
    <w:pPr>
      <w:spacing w:before="60" w:after="60" w:line="460" w:lineRule="exact"/>
      <w:ind w:firstLine="200"/>
    </w:pPr>
    <w:rPr>
      <w:sz w:val="26"/>
      <w:szCs w:val="20"/>
    </w:rPr>
  </w:style>
  <w:style w:type="paragraph" w:customStyle="1" w:styleId="512">
    <w:name w:val="标题3"/>
    <w:basedOn w:val="1"/>
    <w:qFormat/>
    <w:uiPriority w:val="0"/>
    <w:pPr>
      <w:ind w:firstLine="482"/>
    </w:pPr>
    <w:rPr>
      <w:rFonts w:ascii="仿宋_GB2312" w:eastAsia="仿宋_GB2312" w:cs="Times New Roman"/>
      <w:b/>
      <w:szCs w:val="24"/>
    </w:rPr>
  </w:style>
  <w:style w:type="paragraph" w:customStyle="1" w:styleId="513">
    <w:name w:val="样式 正文缩进表格标题正文（首行缩进两字）1正文缩进1正文（首行缩进两字） Char Char Char Char Ch..."/>
    <w:basedOn w:val="13"/>
    <w:qFormat/>
    <w:uiPriority w:val="0"/>
    <w:pPr>
      <w:spacing w:line="440" w:lineRule="exact"/>
      <w:ind w:firstLine="200"/>
    </w:pPr>
    <w:rPr>
      <w:rFonts w:cs="宋体"/>
      <w:b/>
      <w:bCs/>
      <w:sz w:val="28"/>
      <w:szCs w:val="20"/>
    </w:rPr>
  </w:style>
  <w:style w:type="paragraph" w:customStyle="1" w:styleId="514">
    <w:name w:val="标题03"/>
    <w:basedOn w:val="1"/>
    <w:next w:val="1"/>
    <w:qFormat/>
    <w:uiPriority w:val="0"/>
    <w:pPr>
      <w:spacing w:line="480" w:lineRule="atLeast"/>
      <w:ind w:firstLine="480"/>
    </w:pPr>
    <w:rPr>
      <w:rFonts w:cs="Times New Roman"/>
      <w:b/>
      <w:szCs w:val="20"/>
    </w:rPr>
  </w:style>
  <w:style w:type="paragraph" w:customStyle="1" w:styleId="515">
    <w:name w:val="Char4 Char Char Char1"/>
    <w:basedOn w:val="1"/>
    <w:qFormat/>
    <w:uiPriority w:val="0"/>
    <w:rPr>
      <w:rFonts w:ascii="宋体" w:hAnsi="宋体" w:cs="宋体"/>
      <w:szCs w:val="26"/>
    </w:rPr>
  </w:style>
  <w:style w:type="paragraph" w:customStyle="1" w:styleId="516">
    <w:name w:val="样式 样式 标题 2标题节标题 2 Char Char + 段前: 2 行 + 左侧:  1 字符1"/>
    <w:basedOn w:val="336"/>
    <w:qFormat/>
    <w:uiPriority w:val="0"/>
    <w:pPr>
      <w:spacing w:before="50" w:beforeLines="0" w:after="50"/>
    </w:pPr>
    <w:rPr>
      <w:rFonts w:hAnsi="Times New Roman" w:cs="宋体"/>
      <w:bCs/>
    </w:rPr>
  </w:style>
  <w:style w:type="paragraph" w:customStyle="1" w:styleId="517">
    <w:name w:val="xl54"/>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Times New Roman"/>
      <w:b/>
      <w:kern w:val="0"/>
      <w:szCs w:val="20"/>
    </w:rPr>
  </w:style>
  <w:style w:type="paragraph" w:customStyle="1" w:styleId="518">
    <w:name w:val="样式 样式 样式 标题 2标题节标题 2 Char Char + 段前: 2 行 + 段前: 0.5 行 段后: 0.5 行 +..."/>
    <w:basedOn w:val="453"/>
    <w:next w:val="1"/>
    <w:qFormat/>
    <w:uiPriority w:val="0"/>
    <w:pPr>
      <w:spacing w:before="50" w:after="50"/>
      <w:ind w:firstLine="0"/>
    </w:pPr>
  </w:style>
  <w:style w:type="paragraph" w:customStyle="1" w:styleId="519">
    <w:name w:val="样式 正文缩进正文缩进1正文（首行缩进两字） Char Char Char Char Char Char Char文本条款...1"/>
    <w:basedOn w:val="13"/>
    <w:qFormat/>
    <w:uiPriority w:val="0"/>
    <w:pPr>
      <w:tabs>
        <w:tab w:val="left" w:pos="540"/>
        <w:tab w:val="left" w:pos="1050"/>
        <w:tab w:val="left" w:pos="1260"/>
        <w:tab w:val="left" w:pos="1800"/>
      </w:tabs>
      <w:spacing w:line="500" w:lineRule="exact"/>
      <w:ind w:firstLine="560"/>
    </w:pPr>
    <w:rPr>
      <w:rFonts w:cs="宋体"/>
      <w:kern w:val="24"/>
      <w:sz w:val="28"/>
      <w:szCs w:val="28"/>
    </w:rPr>
  </w:style>
  <w:style w:type="paragraph" w:customStyle="1" w:styleId="520">
    <w:name w:val="样式 五号 居中 行距: 单倍行距"/>
    <w:basedOn w:val="1"/>
    <w:qFormat/>
    <w:uiPriority w:val="0"/>
    <w:pPr>
      <w:jc w:val="center"/>
    </w:pPr>
    <w:rPr>
      <w:rFonts w:cs="宋体"/>
      <w:kern w:val="0"/>
      <w:szCs w:val="21"/>
    </w:rPr>
  </w:style>
  <w:style w:type="paragraph" w:customStyle="1" w:styleId="521">
    <w:name w:val="Char Char Char Char Char Char Char1"/>
    <w:basedOn w:val="1"/>
    <w:qFormat/>
    <w:uiPriority w:val="0"/>
    <w:pPr>
      <w:tabs>
        <w:tab w:val="left" w:pos="600"/>
      </w:tabs>
      <w:ind w:left="600" w:hanging="600"/>
    </w:pPr>
    <w:rPr>
      <w:rFonts w:cs="Times New Roman"/>
      <w:sz w:val="28"/>
      <w:szCs w:val="20"/>
    </w:rPr>
  </w:style>
  <w:style w:type="paragraph" w:customStyle="1" w:styleId="522">
    <w:name w:val="样式 样式 2001 + 首行缩进:  2 字符 + 首行缩进:  2 字符"/>
    <w:basedOn w:val="1"/>
    <w:qFormat/>
    <w:uiPriority w:val="0"/>
    <w:pPr>
      <w:spacing w:line="360" w:lineRule="exact"/>
      <w:ind w:firstLine="560"/>
    </w:pPr>
    <w:rPr>
      <w:rFonts w:cs="Times New Roman"/>
      <w:spacing w:val="20"/>
      <w:kern w:val="0"/>
      <w:szCs w:val="20"/>
    </w:rPr>
  </w:style>
  <w:style w:type="paragraph" w:customStyle="1" w:styleId="523">
    <w:name w:val="样式 标题 3标题 3 Char + 左侧:  1 字符 右侧:  1 字符"/>
    <w:basedOn w:val="4"/>
    <w:qFormat/>
    <w:uiPriority w:val="0"/>
    <w:pPr>
      <w:spacing w:before="156" w:line="460" w:lineRule="exact"/>
      <w:ind w:firstLine="200"/>
      <w:jc w:val="both"/>
    </w:pPr>
    <w:rPr>
      <w:bCs w:val="0"/>
      <w:color w:val="000000"/>
      <w:sz w:val="26"/>
      <w:szCs w:val="26"/>
    </w:rPr>
  </w:style>
  <w:style w:type="paragraph" w:customStyle="1" w:styleId="524">
    <w:name w:val="表标题"/>
    <w:basedOn w:val="6"/>
    <w:link w:val="596"/>
    <w:qFormat/>
    <w:uiPriority w:val="0"/>
    <w:pPr>
      <w:widowControl w:val="0"/>
      <w:spacing w:before="60" w:after="60" w:line="377" w:lineRule="auto"/>
      <w:ind w:firstLine="520"/>
      <w:jc w:val="center"/>
    </w:pPr>
    <w:rPr>
      <w:rFonts w:ascii="Times New Roman" w:hAnsi="Times New Roman" w:eastAsia="黑体"/>
      <w:kern w:val="2"/>
      <w:sz w:val="24"/>
      <w:lang w:eastAsia="zh-CN"/>
    </w:rPr>
  </w:style>
  <w:style w:type="paragraph" w:customStyle="1" w:styleId="525">
    <w:name w:val="样式35"/>
    <w:basedOn w:val="1"/>
    <w:qFormat/>
    <w:uiPriority w:val="0"/>
    <w:pPr>
      <w:spacing w:line="312" w:lineRule="auto"/>
      <w:ind w:firstLine="567"/>
    </w:pPr>
    <w:rPr>
      <w:rFonts w:ascii="宋体" w:cs="Times New Roman"/>
      <w:kern w:val="0"/>
      <w:sz w:val="28"/>
      <w:szCs w:val="20"/>
    </w:rPr>
  </w:style>
  <w:style w:type="paragraph" w:customStyle="1" w:styleId="526">
    <w:name w:val="样式31"/>
    <w:basedOn w:val="1"/>
    <w:qFormat/>
    <w:uiPriority w:val="0"/>
    <w:pPr>
      <w:widowControl/>
      <w:jc w:val="center"/>
    </w:pPr>
    <w:rPr>
      <w:rFonts w:ascii="宋体" w:hAnsi="宋体" w:cs="宋体"/>
      <w:kern w:val="0"/>
      <w:sz w:val="22"/>
    </w:rPr>
  </w:style>
  <w:style w:type="paragraph" w:customStyle="1" w:styleId="527">
    <w:name w:val="标准样式 Char Char2"/>
    <w:basedOn w:val="1"/>
    <w:qFormat/>
    <w:uiPriority w:val="0"/>
    <w:pPr>
      <w:spacing w:line="600" w:lineRule="exact"/>
      <w:ind w:firstLine="567"/>
    </w:pPr>
    <w:rPr>
      <w:rFonts w:ascii="宋体" w:hAnsi="宋体" w:cs="Times New Roman"/>
      <w:sz w:val="28"/>
      <w:szCs w:val="20"/>
    </w:rPr>
  </w:style>
  <w:style w:type="paragraph" w:customStyle="1" w:styleId="528">
    <w:name w:val="font0"/>
    <w:basedOn w:val="1"/>
    <w:qFormat/>
    <w:uiPriority w:val="0"/>
    <w:pPr>
      <w:widowControl/>
      <w:spacing w:before="100" w:beforeAutospacing="1" w:after="100" w:afterAutospacing="1"/>
      <w:jc w:val="left"/>
    </w:pPr>
    <w:rPr>
      <w:rFonts w:hint="eastAsia" w:ascii="宋体" w:hAnsi="宋体" w:cs="Times New Roman"/>
      <w:kern w:val="0"/>
      <w:szCs w:val="24"/>
    </w:rPr>
  </w:style>
  <w:style w:type="paragraph" w:customStyle="1" w:styleId="529">
    <w:name w:val="图"/>
    <w:basedOn w:val="193"/>
    <w:qFormat/>
    <w:uiPriority w:val="0"/>
    <w:pPr>
      <w:spacing w:line="240" w:lineRule="auto"/>
    </w:pPr>
    <w:rPr>
      <w:rFonts w:hAnsi="Times New Roman"/>
      <w:bCs/>
      <w:color w:val="auto"/>
      <w:szCs w:val="22"/>
    </w:rPr>
  </w:style>
  <w:style w:type="paragraph" w:customStyle="1" w:styleId="530">
    <w:name w:val="Char Char Char1"/>
    <w:basedOn w:val="1"/>
    <w:qFormat/>
    <w:uiPriority w:val="0"/>
    <w:rPr>
      <w:rFonts w:cs="Times New Roman"/>
      <w:szCs w:val="20"/>
    </w:rPr>
  </w:style>
  <w:style w:type="paragraph" w:customStyle="1" w:styleId="531">
    <w:name w:val="表签"/>
    <w:basedOn w:val="1"/>
    <w:qFormat/>
    <w:uiPriority w:val="0"/>
    <w:pPr>
      <w:jc w:val="center"/>
    </w:pPr>
    <w:rPr>
      <w:rFonts w:cs="Times New Roman"/>
      <w:b/>
      <w:szCs w:val="24"/>
    </w:rPr>
  </w:style>
  <w:style w:type="paragraph" w:customStyle="1" w:styleId="532">
    <w:name w:val="表格样式1"/>
    <w:basedOn w:val="50"/>
    <w:qFormat/>
    <w:uiPriority w:val="0"/>
    <w:pPr>
      <w:spacing w:after="0"/>
      <w:ind w:firstLine="0" w:firstLineChars="0"/>
      <w:jc w:val="center"/>
    </w:pPr>
    <w:rPr>
      <w:color w:val="000000"/>
      <w:kern w:val="0"/>
      <w:sz w:val="24"/>
      <w:lang w:bidi="en-US"/>
    </w:rPr>
  </w:style>
  <w:style w:type="paragraph" w:customStyle="1" w:styleId="533">
    <w:name w:val="表格文字1"/>
    <w:basedOn w:val="48"/>
    <w:qFormat/>
    <w:uiPriority w:val="0"/>
    <w:pPr>
      <w:spacing w:before="0" w:after="0" w:line="240" w:lineRule="auto"/>
      <w:jc w:val="left"/>
      <w:outlineLvl w:val="9"/>
    </w:pPr>
    <w:rPr>
      <w:b w:val="0"/>
      <w:kern w:val="72"/>
      <w:sz w:val="21"/>
      <w:szCs w:val="72"/>
    </w:rPr>
  </w:style>
  <w:style w:type="paragraph" w:customStyle="1" w:styleId="534">
    <w:name w:val="表体"/>
    <w:basedOn w:val="1"/>
    <w:qFormat/>
    <w:uiPriority w:val="0"/>
    <w:pPr>
      <w:spacing w:line="240" w:lineRule="atLeast"/>
      <w:ind w:left="-63" w:leftChars="-30" w:right="-63" w:rightChars="-30"/>
      <w:jc w:val="center"/>
    </w:pPr>
    <w:rPr>
      <w:rFonts w:cs="Times New Roman"/>
      <w:color w:val="000000"/>
      <w:kern w:val="0"/>
      <w:sz w:val="18"/>
      <w:szCs w:val="18"/>
    </w:rPr>
  </w:style>
  <w:style w:type="paragraph" w:customStyle="1" w:styleId="535">
    <w:name w:val="正文11111111"/>
    <w:basedOn w:val="1"/>
    <w:qFormat/>
    <w:uiPriority w:val="0"/>
    <w:pPr>
      <w:spacing w:line="440" w:lineRule="exact"/>
    </w:pPr>
    <w:rPr>
      <w:rFonts w:cs="宋体"/>
      <w:szCs w:val="24"/>
    </w:rPr>
  </w:style>
  <w:style w:type="character" w:customStyle="1" w:styleId="536">
    <w:name w:val="search_content1"/>
    <w:qFormat/>
    <w:uiPriority w:val="0"/>
    <w:rPr>
      <w:sz w:val="16"/>
      <w:szCs w:val="16"/>
    </w:rPr>
  </w:style>
  <w:style w:type="paragraph" w:customStyle="1" w:styleId="537">
    <w:name w:val="L正文"/>
    <w:basedOn w:val="1"/>
    <w:qFormat/>
    <w:uiPriority w:val="0"/>
    <w:rPr>
      <w:rFonts w:cs="Times New Roman"/>
      <w:szCs w:val="24"/>
    </w:rPr>
  </w:style>
  <w:style w:type="paragraph" w:customStyle="1" w:styleId="538">
    <w:name w:val="表内容-L"/>
    <w:basedOn w:val="539"/>
    <w:qFormat/>
    <w:uiPriority w:val="0"/>
    <w:rPr>
      <w:kern w:val="0"/>
    </w:rPr>
  </w:style>
  <w:style w:type="paragraph" w:customStyle="1" w:styleId="539">
    <w:name w:val="表格内居中"/>
    <w:basedOn w:val="1"/>
    <w:qFormat/>
    <w:uiPriority w:val="0"/>
    <w:pPr>
      <w:jc w:val="center"/>
    </w:pPr>
    <w:rPr>
      <w:rFonts w:cs="Times New Roman"/>
      <w:szCs w:val="20"/>
    </w:rPr>
  </w:style>
  <w:style w:type="paragraph" w:customStyle="1" w:styleId="540">
    <w:name w:val="表-表图题-L"/>
    <w:basedOn w:val="1"/>
    <w:qFormat/>
    <w:uiPriority w:val="0"/>
    <w:pPr>
      <w:jc w:val="center"/>
    </w:pPr>
    <w:rPr>
      <w:rFonts w:cs="Times New Roman"/>
      <w:b/>
      <w:szCs w:val="24"/>
    </w:rPr>
  </w:style>
  <w:style w:type="paragraph" w:customStyle="1" w:styleId="541">
    <w:name w:val="样式 标题 3 + 小四 黑色"/>
    <w:basedOn w:val="4"/>
    <w:qFormat/>
    <w:uiPriority w:val="0"/>
    <w:pPr>
      <w:widowControl w:val="0"/>
      <w:spacing w:before="100" w:beforeAutospacing="1" w:after="100" w:afterAutospacing="1" w:line="240" w:lineRule="auto"/>
      <w:ind w:firstLine="472" w:firstLineChars="196"/>
      <w:jc w:val="both"/>
    </w:pPr>
    <w:rPr>
      <w:rFonts w:ascii="Arial" w:hAnsi="Arial" w:eastAsia="仿宋_GB2312"/>
      <w:color w:val="000000"/>
      <w:sz w:val="28"/>
    </w:rPr>
  </w:style>
  <w:style w:type="paragraph" w:customStyle="1" w:styleId="542">
    <w:name w:val="1正文-L"/>
    <w:basedOn w:val="1"/>
    <w:qFormat/>
    <w:uiPriority w:val="0"/>
    <w:pPr>
      <w:ind w:firstLine="480"/>
    </w:pPr>
    <w:rPr>
      <w:rFonts w:cs="Times New Roman"/>
      <w:szCs w:val="24"/>
    </w:rPr>
  </w:style>
  <w:style w:type="paragraph" w:customStyle="1" w:styleId="543">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544">
    <w:name w:val="TOC 标题12"/>
    <w:next w:val="1"/>
    <w:unhideWhenUsed/>
    <w:qFormat/>
    <w:uiPriority w:val="39"/>
    <w:pPr>
      <w:spacing w:line="360" w:lineRule="auto"/>
      <w:jc w:val="center"/>
    </w:pPr>
    <w:rPr>
      <w:rFonts w:ascii="Times New Roman" w:hAnsi="Times New Roman" w:eastAsia="Times New Roman" w:cs="Times New Roman"/>
      <w:b/>
      <w:bCs/>
      <w:sz w:val="21"/>
      <w:szCs w:val="28"/>
      <w:lang w:val="en-US" w:eastAsia="zh-CN" w:bidi="ar-SA"/>
    </w:rPr>
  </w:style>
  <w:style w:type="character" w:customStyle="1" w:styleId="545">
    <w:name w:val="正文缩进 字符1"/>
    <w:qFormat/>
    <w:uiPriority w:val="0"/>
    <w:rPr>
      <w:rFonts w:eastAsia="宋体"/>
    </w:rPr>
  </w:style>
  <w:style w:type="paragraph" w:customStyle="1" w:styleId="546">
    <w:name w:val="【表名】"/>
    <w:basedOn w:val="1"/>
    <w:qFormat/>
    <w:uiPriority w:val="0"/>
    <w:pPr>
      <w:widowControl/>
      <w:spacing w:beforeLines="50"/>
      <w:jc w:val="center"/>
    </w:pPr>
    <w:rPr>
      <w:rFonts w:cs="Arial"/>
      <w:b/>
      <w:kern w:val="0"/>
      <w:szCs w:val="21"/>
      <w:lang w:bidi="en-US"/>
    </w:rPr>
  </w:style>
  <w:style w:type="table" w:customStyle="1" w:styleId="547">
    <w:name w:val="常用"/>
    <w:basedOn w:val="52"/>
    <w:qFormat/>
    <w:uiPriority w:val="99"/>
    <w:pPr>
      <w:jc w:val="center"/>
    </w:pPr>
    <w:rPr>
      <w:rFonts w:eastAsia="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548">
    <w:name w:val="样式61"/>
    <w:basedOn w:val="52"/>
    <w:qFormat/>
    <w:uiPriority w:val="99"/>
    <w:pPr>
      <w:jc w:val="center"/>
    </w:pPr>
    <w:rPr>
      <w:rFonts w:ascii="Calibri" w:hAnsi="Calibri" w:eastAsia="Times New Roman"/>
      <w:kern w:val="2"/>
      <w:sz w:val="21"/>
      <w:szCs w:val="22"/>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549">
    <w:name w:val="表格样式LLL"/>
    <w:basedOn w:val="55"/>
    <w:qFormat/>
    <w:uiPriority w:val="0"/>
    <w:pPr>
      <w:widowControl w:val="0"/>
      <w:jc w:val="center"/>
    </w:pPr>
    <w:tblPr>
      <w:tblBorders>
        <w:top w:val="single" w:color="auto" w:sz="12" w:space="0"/>
        <w:bottom w:val="single" w:color="auto" w:sz="12" w:space="0"/>
        <w:insideH w:val="single" w:color="auto" w:sz="2" w:space="0"/>
        <w:insideV w:val="single" w:color="auto" w:sz="2" w:space="0"/>
      </w:tblBorders>
    </w:tblPr>
    <w:tcPr>
      <w:shd w:val="clear" w:color="auto" w:fill="auto"/>
      <w:vAlign w:val="center"/>
    </w:tcPr>
    <w:tblStylePr w:type="firstRow">
      <w:rPr>
        <w:b/>
        <w:bCs/>
        <w:color w:val="000080"/>
      </w:rPr>
      <w:tcPr>
        <w:tcBorders>
          <w:bottom w:val="single" w:color="000000" w:sz="12" w:space="0"/>
          <w:tl2br w:val="nil"/>
          <w:tr2bl w:val="nil"/>
        </w:tcBorders>
      </w:tcPr>
    </w:tblStylePr>
    <w:tblStylePr w:type="lastRow">
      <w:tcPr>
        <w:tcBorders>
          <w:top w:val="single" w:color="000000" w:sz="12" w:space="0"/>
          <w:tl2br w:val="nil"/>
          <w:tr2bl w:val="nil"/>
        </w:tcBorders>
      </w:tcPr>
    </w:tblStylePr>
    <w:tblStylePr w:type="swCell">
      <w:rPr>
        <w:i/>
        <w:iCs/>
        <w:color w:val="000080"/>
      </w:rPr>
      <w:tcPr>
        <w:tcBorders>
          <w:tl2br w:val="nil"/>
          <w:tr2bl w:val="nil"/>
        </w:tcBorders>
      </w:tcPr>
    </w:tblStylePr>
  </w:style>
  <w:style w:type="paragraph" w:customStyle="1" w:styleId="550">
    <w:name w:val="A正文居中"/>
    <w:basedOn w:val="1"/>
    <w:qFormat/>
    <w:uiPriority w:val="0"/>
    <w:pPr>
      <w:jc w:val="center"/>
    </w:pPr>
    <w:rPr>
      <w:rFonts w:cs="Times New Roman"/>
      <w:szCs w:val="24"/>
    </w:rPr>
  </w:style>
  <w:style w:type="character" w:customStyle="1" w:styleId="551">
    <w:name w:val="普通文字 Char Char Char2"/>
    <w:qFormat/>
    <w:uiPriority w:val="0"/>
    <w:rPr>
      <w:rFonts w:ascii="宋体" w:hAnsi="Courier New" w:cs="Courier New"/>
      <w:kern w:val="2"/>
      <w:sz w:val="21"/>
      <w:szCs w:val="21"/>
    </w:rPr>
  </w:style>
  <w:style w:type="paragraph" w:customStyle="1" w:styleId="552">
    <w:name w:val="正文样式"/>
    <w:basedOn w:val="1"/>
    <w:link w:val="561"/>
    <w:qFormat/>
    <w:uiPriority w:val="0"/>
    <w:pPr>
      <w:tabs>
        <w:tab w:val="left" w:pos="1440"/>
        <w:tab w:val="left" w:pos="4368"/>
      </w:tabs>
      <w:ind w:firstLine="493"/>
    </w:pPr>
    <w:rPr>
      <w:rFonts w:cs="Times New Roman"/>
      <w:color w:val="000000"/>
      <w:szCs w:val="24"/>
    </w:rPr>
  </w:style>
  <w:style w:type="paragraph" w:customStyle="1" w:styleId="553">
    <w:name w:val="WJ表头文字"/>
    <w:basedOn w:val="1"/>
    <w:link w:val="554"/>
    <w:qFormat/>
    <w:uiPriority w:val="0"/>
    <w:pPr>
      <w:widowControl/>
      <w:spacing w:line="480" w:lineRule="exact"/>
      <w:jc w:val="center"/>
    </w:pPr>
    <w:rPr>
      <w:rFonts w:ascii="黑体" w:hAnsi="黑体" w:eastAsia="黑体" w:cs="Times New Roman"/>
      <w:kern w:val="0"/>
      <w:szCs w:val="24"/>
    </w:rPr>
  </w:style>
  <w:style w:type="character" w:customStyle="1" w:styleId="554">
    <w:name w:val="WJ表头文字 Char"/>
    <w:link w:val="553"/>
    <w:qFormat/>
    <w:uiPriority w:val="0"/>
    <w:rPr>
      <w:rFonts w:ascii="黑体" w:hAnsi="黑体" w:eastAsia="黑体"/>
      <w:sz w:val="24"/>
      <w:szCs w:val="24"/>
    </w:rPr>
  </w:style>
  <w:style w:type="paragraph" w:customStyle="1" w:styleId="555">
    <w:name w:val="WJ表文字"/>
    <w:basedOn w:val="1"/>
    <w:link w:val="556"/>
    <w:qFormat/>
    <w:uiPriority w:val="0"/>
    <w:pPr>
      <w:spacing w:line="360" w:lineRule="exact"/>
      <w:jc w:val="center"/>
    </w:pPr>
    <w:rPr>
      <w:rFonts w:ascii="宋体" w:hAnsi="宋体" w:cs="Times New Roman"/>
      <w:bCs/>
      <w:szCs w:val="21"/>
    </w:rPr>
  </w:style>
  <w:style w:type="character" w:customStyle="1" w:styleId="556">
    <w:name w:val="WJ表文字 Char"/>
    <w:link w:val="555"/>
    <w:qFormat/>
    <w:uiPriority w:val="0"/>
    <w:rPr>
      <w:rFonts w:ascii="宋体" w:hAnsi="宋体"/>
      <w:bCs/>
      <w:kern w:val="2"/>
      <w:sz w:val="21"/>
      <w:szCs w:val="21"/>
    </w:rPr>
  </w:style>
  <w:style w:type="paragraph" w:customStyle="1" w:styleId="557">
    <w:name w:val="正文-欣欣"/>
    <w:basedOn w:val="1"/>
    <w:link w:val="558"/>
    <w:qFormat/>
    <w:uiPriority w:val="0"/>
    <w:rPr>
      <w:rFonts w:ascii="宋体" w:cs="Times New Roman"/>
      <w:kern w:val="0"/>
      <w:szCs w:val="30"/>
    </w:rPr>
  </w:style>
  <w:style w:type="character" w:customStyle="1" w:styleId="558">
    <w:name w:val="正文-欣欣 Char"/>
    <w:link w:val="557"/>
    <w:qFormat/>
    <w:uiPriority w:val="0"/>
    <w:rPr>
      <w:rFonts w:ascii="宋体"/>
      <w:sz w:val="24"/>
      <w:szCs w:val="30"/>
    </w:rPr>
  </w:style>
  <w:style w:type="paragraph" w:customStyle="1" w:styleId="559">
    <w:name w:val="三级标题样式"/>
    <w:basedOn w:val="1"/>
    <w:next w:val="1"/>
    <w:link w:val="560"/>
    <w:qFormat/>
    <w:uiPriority w:val="0"/>
    <w:pPr>
      <w:jc w:val="left"/>
    </w:pPr>
    <w:rPr>
      <w:rFonts w:ascii="宋体" w:eastAsia="黑体" w:cs="Times New Roman"/>
      <w:kern w:val="0"/>
      <w:sz w:val="30"/>
      <w:szCs w:val="20"/>
    </w:rPr>
  </w:style>
  <w:style w:type="character" w:customStyle="1" w:styleId="560">
    <w:name w:val="三级标题样式 Char"/>
    <w:link w:val="559"/>
    <w:qFormat/>
    <w:uiPriority w:val="0"/>
    <w:rPr>
      <w:rFonts w:ascii="宋体" w:eastAsia="黑体"/>
      <w:sz w:val="30"/>
    </w:rPr>
  </w:style>
  <w:style w:type="character" w:customStyle="1" w:styleId="561">
    <w:name w:val="正文样式 Char Char"/>
    <w:link w:val="552"/>
    <w:qFormat/>
    <w:uiPriority w:val="0"/>
    <w:rPr>
      <w:color w:val="000000"/>
      <w:kern w:val="2"/>
      <w:sz w:val="24"/>
      <w:szCs w:val="24"/>
    </w:rPr>
  </w:style>
  <w:style w:type="character" w:customStyle="1" w:styleId="562">
    <w:name w:val="称呼 字符"/>
    <w:basedOn w:val="57"/>
    <w:link w:val="18"/>
    <w:qFormat/>
    <w:uiPriority w:val="0"/>
    <w:rPr>
      <w:rFonts w:ascii="宋体"/>
      <w:kern w:val="2"/>
      <w:sz w:val="28"/>
      <w:szCs w:val="28"/>
    </w:rPr>
  </w:style>
  <w:style w:type="paragraph" w:customStyle="1" w:styleId="563">
    <w:name w:val="纯文本1"/>
    <w:basedOn w:val="1"/>
    <w:qFormat/>
    <w:uiPriority w:val="99"/>
    <w:pPr>
      <w:autoSpaceDE w:val="0"/>
      <w:autoSpaceDN w:val="0"/>
      <w:textAlignment w:val="baseline"/>
    </w:pPr>
    <w:rPr>
      <w:rFonts w:ascii="宋体" w:cs="Times New Roman"/>
      <w:szCs w:val="20"/>
    </w:rPr>
  </w:style>
  <w:style w:type="character" w:customStyle="1" w:styleId="564">
    <w:name w:val="页码3"/>
    <w:basedOn w:val="57"/>
    <w:qFormat/>
    <w:uiPriority w:val="0"/>
  </w:style>
  <w:style w:type="character" w:customStyle="1" w:styleId="565">
    <w:name w:val="标题2"/>
    <w:basedOn w:val="57"/>
    <w:semiHidden/>
    <w:qFormat/>
    <w:uiPriority w:val="0"/>
  </w:style>
  <w:style w:type="paragraph" w:customStyle="1" w:styleId="566">
    <w:name w:val="Char Char Char Char Char Char Char Char Char Char Char Char Char Char Char Char1"/>
    <w:basedOn w:val="1"/>
    <w:next w:val="1"/>
    <w:qFormat/>
    <w:uiPriority w:val="0"/>
    <w:rPr>
      <w:rFonts w:cs="Times New Roman"/>
      <w:szCs w:val="24"/>
    </w:rPr>
  </w:style>
  <w:style w:type="paragraph" w:customStyle="1" w:styleId="567">
    <w:name w:val="Char22"/>
    <w:basedOn w:val="1"/>
    <w:qFormat/>
    <w:uiPriority w:val="0"/>
    <w:rPr>
      <w:rFonts w:cs="Times New Roman"/>
      <w:sz w:val="30"/>
      <w:szCs w:val="20"/>
    </w:rPr>
  </w:style>
  <w:style w:type="paragraph" w:customStyle="1" w:styleId="568">
    <w:name w:val="Char4 Char Char Char3"/>
    <w:basedOn w:val="1"/>
    <w:semiHidden/>
    <w:qFormat/>
    <w:uiPriority w:val="0"/>
    <w:rPr>
      <w:rFonts w:ascii="宋体" w:hAnsi="宋体" w:cs="宋体"/>
      <w:szCs w:val="26"/>
    </w:rPr>
  </w:style>
  <w:style w:type="paragraph" w:customStyle="1" w:styleId="569">
    <w:name w:val="Char Char2 Char Char Char Char Char Char1"/>
    <w:basedOn w:val="1"/>
    <w:semiHidden/>
    <w:qFormat/>
    <w:uiPriority w:val="0"/>
    <w:rPr>
      <w:rFonts w:cs="宋体"/>
      <w:szCs w:val="26"/>
    </w:rPr>
  </w:style>
  <w:style w:type="paragraph" w:customStyle="1" w:styleId="570">
    <w:name w:val="Char Char Char3 Char Char Char2 Char1"/>
    <w:basedOn w:val="1"/>
    <w:semiHidden/>
    <w:qFormat/>
    <w:uiPriority w:val="0"/>
    <w:rPr>
      <w:rFonts w:ascii="宋体" w:hAnsi="宋体" w:cs="宋体"/>
      <w:szCs w:val="26"/>
    </w:rPr>
  </w:style>
  <w:style w:type="paragraph" w:customStyle="1" w:styleId="571">
    <w:name w:val="Char5"/>
    <w:basedOn w:val="1"/>
    <w:qFormat/>
    <w:uiPriority w:val="0"/>
    <w:rPr>
      <w:rFonts w:cs="Times New Roman"/>
      <w:szCs w:val="24"/>
    </w:rPr>
  </w:style>
  <w:style w:type="paragraph" w:customStyle="1" w:styleId="572">
    <w:name w:val="Char Char Char Char2"/>
    <w:basedOn w:val="1"/>
    <w:qFormat/>
    <w:uiPriority w:val="0"/>
    <w:rPr>
      <w:rFonts w:ascii="仿宋_GB2312" w:hAnsi="Tahoma" w:eastAsia="仿宋_GB2312" w:cs="Times New Roman"/>
      <w:szCs w:val="21"/>
    </w:rPr>
  </w:style>
  <w:style w:type="paragraph" w:customStyle="1" w:styleId="573">
    <w:name w:val="Char Char Char2 Char Char Char Char Char Char Char Char Char Char1"/>
    <w:basedOn w:val="1"/>
    <w:semiHidden/>
    <w:qFormat/>
    <w:uiPriority w:val="0"/>
    <w:rPr>
      <w:rFonts w:ascii="宋体" w:hAnsi="宋体" w:cs="宋体"/>
      <w:szCs w:val="26"/>
    </w:rPr>
  </w:style>
  <w:style w:type="paragraph" w:customStyle="1" w:styleId="574">
    <w:name w:val="Char Char Char Char Char Char Char2"/>
    <w:basedOn w:val="1"/>
    <w:next w:val="1"/>
    <w:qFormat/>
    <w:uiPriority w:val="0"/>
    <w:rPr>
      <w:rFonts w:cs="Times New Roman"/>
      <w:szCs w:val="24"/>
    </w:rPr>
  </w:style>
  <w:style w:type="paragraph" w:customStyle="1" w:styleId="575">
    <w:name w:val="Char Char Char1 Char Char Char Char2"/>
    <w:basedOn w:val="1"/>
    <w:semiHidden/>
    <w:qFormat/>
    <w:uiPriority w:val="0"/>
    <w:rPr>
      <w:rFonts w:ascii="宋体" w:hAnsi="宋体" w:cs="宋体"/>
      <w:szCs w:val="26"/>
    </w:rPr>
  </w:style>
  <w:style w:type="paragraph" w:customStyle="1" w:styleId="576">
    <w:name w:val="Char Char Char2"/>
    <w:basedOn w:val="1"/>
    <w:qFormat/>
    <w:uiPriority w:val="0"/>
    <w:rPr>
      <w:rFonts w:cs="Times New Roman"/>
      <w:szCs w:val="20"/>
    </w:rPr>
  </w:style>
  <w:style w:type="paragraph" w:customStyle="1" w:styleId="577">
    <w:name w:val="正文sun"/>
    <w:basedOn w:val="1"/>
    <w:semiHidden/>
    <w:qFormat/>
    <w:uiPriority w:val="0"/>
    <w:rPr>
      <w:rFonts w:cs="Times New Roman"/>
      <w:szCs w:val="24"/>
    </w:rPr>
  </w:style>
  <w:style w:type="paragraph" w:customStyle="1" w:styleId="578">
    <w:name w:val="样式 标题 3标题 3 Char CharH3ReHead 3 WSAh3标题 32标题 311Re11Hea..."/>
    <w:basedOn w:val="4"/>
    <w:qFormat/>
    <w:uiPriority w:val="0"/>
    <w:pPr>
      <w:keepNext w:val="0"/>
      <w:keepLines w:val="0"/>
      <w:widowControl w:val="0"/>
      <w:tabs>
        <w:tab w:val="left" w:pos="0"/>
        <w:tab w:val="left" w:pos="2160"/>
      </w:tabs>
      <w:spacing w:before="156"/>
      <w:ind w:firstLine="472" w:firstLineChars="196"/>
      <w:jc w:val="both"/>
    </w:pPr>
    <w:rPr>
      <w:rFonts w:ascii="Arial" w:hAnsi="Arial"/>
      <w:bCs w:val="0"/>
      <w:color w:val="000000"/>
      <w:kern w:val="44"/>
      <w:szCs w:val="20"/>
    </w:rPr>
  </w:style>
  <w:style w:type="paragraph" w:customStyle="1" w:styleId="579">
    <w:name w:val="WPSOffice手动目录 1"/>
    <w:qFormat/>
    <w:uiPriority w:val="0"/>
    <w:rPr>
      <w:rFonts w:ascii="Times New Roman" w:hAnsi="Times New Roman" w:eastAsia="宋体" w:cs="Times New Roman"/>
      <w:lang w:val="en-US" w:eastAsia="zh-CN" w:bidi="ar-SA"/>
    </w:rPr>
  </w:style>
  <w:style w:type="paragraph" w:customStyle="1" w:styleId="580">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581">
    <w:name w:val="font11"/>
    <w:basedOn w:val="57"/>
    <w:qFormat/>
    <w:uiPriority w:val="0"/>
    <w:rPr>
      <w:rFonts w:hint="eastAsia" w:ascii="宋体" w:hAnsi="宋体" w:eastAsia="宋体" w:cs="宋体"/>
      <w:color w:val="0000FF"/>
      <w:sz w:val="21"/>
      <w:szCs w:val="21"/>
      <w:u w:val="none"/>
    </w:rPr>
  </w:style>
  <w:style w:type="table" w:customStyle="1" w:styleId="582">
    <w:name w:val="网格型4"/>
    <w:basedOn w:val="5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83">
    <w:name w:val="网格型 51"/>
    <w:basedOn w:val="52"/>
    <w:qFormat/>
    <w:uiPriority w:val="0"/>
    <w:pPr>
      <w:widowControl w:val="0"/>
      <w:adjustRightInd w:val="0"/>
      <w:snapToGrid w:val="0"/>
      <w:spacing w:line="460" w:lineRule="exact"/>
      <w:ind w:firstLine="52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nil"/>
          <w:bottom w:val="single" w:color="000000" w:sz="12" w:space="0"/>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584">
    <w:name w:val="Table Normal24"/>
    <w:unhideWhenUsed/>
    <w:qFormat/>
    <w:uiPriority w:val="0"/>
    <w:tblPr>
      <w:tblCellMar>
        <w:top w:w="0" w:type="dxa"/>
        <w:left w:w="0" w:type="dxa"/>
        <w:bottom w:w="0" w:type="dxa"/>
        <w:right w:w="0" w:type="dxa"/>
      </w:tblCellMar>
    </w:tblPr>
  </w:style>
  <w:style w:type="character" w:customStyle="1" w:styleId="585">
    <w:name w:val="cf01"/>
    <w:basedOn w:val="57"/>
    <w:qFormat/>
    <w:uiPriority w:val="0"/>
    <w:rPr>
      <w:rFonts w:hint="eastAsia" w:ascii="Microsoft YaHei UI" w:hAnsi="Microsoft YaHei UI" w:eastAsia="Microsoft YaHei UI"/>
      <w:sz w:val="18"/>
      <w:szCs w:val="18"/>
    </w:rPr>
  </w:style>
  <w:style w:type="character" w:customStyle="1" w:styleId="586">
    <w:name w:val="cf11"/>
    <w:basedOn w:val="57"/>
    <w:qFormat/>
    <w:uiPriority w:val="0"/>
    <w:rPr>
      <w:rFonts w:hint="eastAsia" w:ascii="Microsoft YaHei UI" w:hAnsi="Microsoft YaHei UI" w:eastAsia="Microsoft YaHei UI"/>
      <w:sz w:val="18"/>
      <w:szCs w:val="18"/>
    </w:rPr>
  </w:style>
  <w:style w:type="paragraph" w:customStyle="1" w:styleId="587">
    <w:name w:val="修订1"/>
    <w:hidden/>
    <w:qFormat/>
    <w:uiPriority w:val="99"/>
    <w:rPr>
      <w:rFonts w:asciiTheme="minorHAnsi" w:hAnsiTheme="minorHAnsi" w:eastAsiaTheme="minorEastAsia" w:cstheme="minorBidi"/>
      <w:kern w:val="2"/>
      <w:sz w:val="21"/>
      <w:szCs w:val="22"/>
      <w:lang w:val="en-US" w:eastAsia="zh-CN" w:bidi="ar-SA"/>
    </w:rPr>
  </w:style>
  <w:style w:type="character" w:customStyle="1" w:styleId="588">
    <w:name w:val="rgroup"/>
    <w:basedOn w:val="57"/>
    <w:qFormat/>
    <w:uiPriority w:val="0"/>
  </w:style>
  <w:style w:type="character" w:customStyle="1" w:styleId="589">
    <w:name w:val="WJ正文 Char"/>
    <w:link w:val="590"/>
    <w:qFormat/>
    <w:uiPriority w:val="0"/>
    <w:rPr>
      <w:rFonts w:ascii="宋体" w:hAnsi="宋体"/>
      <w:color w:val="000000"/>
      <w:kern w:val="2"/>
      <w:sz w:val="24"/>
      <w:szCs w:val="24"/>
    </w:rPr>
  </w:style>
  <w:style w:type="paragraph" w:customStyle="1" w:styleId="590">
    <w:name w:val="WJ正文"/>
    <w:basedOn w:val="1"/>
    <w:next w:val="1"/>
    <w:link w:val="589"/>
    <w:qFormat/>
    <w:uiPriority w:val="0"/>
    <w:pPr>
      <w:tabs>
        <w:tab w:val="left" w:pos="600"/>
      </w:tabs>
      <w:spacing w:line="480" w:lineRule="exact"/>
      <w:ind w:firstLine="480"/>
    </w:pPr>
    <w:rPr>
      <w:rFonts w:ascii="宋体" w:hAnsi="宋体" w:cs="Times New Roman"/>
      <w:color w:val="000000"/>
      <w:szCs w:val="24"/>
    </w:rPr>
  </w:style>
  <w:style w:type="table" w:customStyle="1" w:styleId="591">
    <w:name w:val="双线表"/>
    <w:basedOn w:val="52"/>
    <w:qFormat/>
    <w:uiPriority w:val="99"/>
    <w:pPr>
      <w:spacing w:line="360" w:lineRule="auto"/>
      <w:ind w:firstLine="200"/>
      <w:jc w:val="center"/>
    </w:pPr>
    <w:rPr>
      <w:rFonts w:eastAsia="Times New Roman"/>
      <w:kern w:val="2"/>
      <w:sz w:val="24"/>
      <w14:ligatures w14:val="standardContextual"/>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paragraph" w:customStyle="1" w:styleId="592">
    <w:name w:val="Char1 Char Char1 Char Char Char Char Char Char Char Char Char2 Char"/>
    <w:basedOn w:val="1"/>
    <w:qFormat/>
    <w:uiPriority w:val="0"/>
    <w:pPr>
      <w:adjustRightInd/>
      <w:snapToGrid/>
      <w:spacing w:line="240" w:lineRule="auto"/>
      <w:ind w:firstLine="0" w:firstLineChars="0"/>
    </w:pPr>
    <w:rPr>
      <w:rFonts w:cs="Times New Roman"/>
      <w:sz w:val="21"/>
      <w:szCs w:val="24"/>
    </w:rPr>
  </w:style>
  <w:style w:type="character" w:customStyle="1" w:styleId="593">
    <w:name w:val="普通(网站) Char"/>
    <w:qFormat/>
    <w:locked/>
    <w:uiPriority w:val="99"/>
    <w:rPr>
      <w:rFonts w:ascii="宋体" w:hAnsi="宋体" w:eastAsia="宋体" w:cs="宋体"/>
      <w:kern w:val="0"/>
      <w:sz w:val="18"/>
      <w:szCs w:val="18"/>
      <w14:ligatures w14:val="none"/>
    </w:rPr>
  </w:style>
  <w:style w:type="paragraph" w:customStyle="1" w:styleId="594">
    <w:name w:val="表格内容"/>
    <w:link w:val="595"/>
    <w:qFormat/>
    <w:uiPriority w:val="0"/>
    <w:pPr>
      <w:widowControl w:val="0"/>
      <w:adjustRightInd w:val="0"/>
      <w:snapToGrid w:val="0"/>
      <w:jc w:val="center"/>
    </w:pPr>
    <w:rPr>
      <w:rFonts w:ascii="Times New Roman" w:hAnsi="Times New Roman" w:eastAsia="宋体" w:cstheme="majorBidi"/>
      <w:sz w:val="21"/>
      <w:szCs w:val="21"/>
      <w:lang w:val="en-US" w:eastAsia="zh-CN" w:bidi="ar-SA"/>
    </w:rPr>
  </w:style>
  <w:style w:type="character" w:customStyle="1" w:styleId="595">
    <w:name w:val="表格内容 字符"/>
    <w:basedOn w:val="57"/>
    <w:link w:val="594"/>
    <w:qFormat/>
    <w:uiPriority w:val="0"/>
    <w:rPr>
      <w:rFonts w:cstheme="majorBidi"/>
      <w:sz w:val="21"/>
      <w:szCs w:val="21"/>
    </w:rPr>
  </w:style>
  <w:style w:type="character" w:customStyle="1" w:styleId="596">
    <w:name w:val="表标题 字符"/>
    <w:basedOn w:val="57"/>
    <w:link w:val="524"/>
    <w:qFormat/>
    <w:uiPriority w:val="0"/>
    <w:rPr>
      <w:rFonts w:eastAsia="黑体"/>
      <w:b/>
      <w:bCs/>
      <w:kern w:val="2"/>
      <w:sz w:val="24"/>
      <w:szCs w:val="28"/>
    </w:rPr>
  </w:style>
  <w:style w:type="paragraph" w:customStyle="1" w:styleId="597">
    <w:name w:val="正文（粗）"/>
    <w:basedOn w:val="1"/>
    <w:link w:val="598"/>
    <w:qFormat/>
    <w:uiPriority w:val="0"/>
    <w:pPr>
      <w:keepNext/>
      <w:jc w:val="left"/>
    </w:pPr>
    <w:rPr>
      <w:rFonts w:cs="宋体"/>
      <w:b/>
      <w:snapToGrid w:val="0"/>
      <w:color w:val="000000" w:themeColor="text1"/>
      <w:kern w:val="0"/>
      <w:szCs w:val="24"/>
      <w:lang w:val="zh-CN"/>
      <w14:textFill>
        <w14:solidFill>
          <w14:schemeClr w14:val="tx1"/>
        </w14:solidFill>
      </w14:textFill>
    </w:rPr>
  </w:style>
  <w:style w:type="character" w:customStyle="1" w:styleId="598">
    <w:name w:val="正文（粗） 字符"/>
    <w:basedOn w:val="57"/>
    <w:link w:val="597"/>
    <w:qFormat/>
    <w:uiPriority w:val="0"/>
    <w:rPr>
      <w:rFonts w:cs="宋体"/>
      <w:b/>
      <w:snapToGrid w:val="0"/>
      <w:color w:val="000000" w:themeColor="text1"/>
      <w:sz w:val="24"/>
      <w:szCs w:val="24"/>
      <w:lang w:val="zh-CN"/>
      <w14:textFill>
        <w14:solidFill>
          <w14:schemeClr w14:val="tx1"/>
        </w14:solidFill>
      </w14:textFill>
    </w:rPr>
  </w:style>
  <w:style w:type="paragraph" w:customStyle="1" w:styleId="599">
    <w:name w:val="图标题"/>
    <w:basedOn w:val="14"/>
    <w:link w:val="600"/>
    <w:qFormat/>
    <w:uiPriority w:val="0"/>
    <w:pPr>
      <w:ind w:firstLine="482" w:firstLineChars="0"/>
      <w:outlineLvl w:val="4"/>
    </w:pPr>
    <w:rPr>
      <w:rFonts w:ascii="Times New Roman" w:hAnsi="Times New Roman" w:eastAsia="黑体"/>
      <w:sz w:val="22"/>
    </w:rPr>
  </w:style>
  <w:style w:type="character" w:customStyle="1" w:styleId="600">
    <w:name w:val="图标题 字符"/>
    <w:basedOn w:val="72"/>
    <w:link w:val="599"/>
    <w:qFormat/>
    <w:uiPriority w:val="0"/>
    <w:rPr>
      <w:rFonts w:eastAsia="黑体"/>
      <w:kern w:val="2"/>
      <w:sz w:val="22"/>
      <w:szCs w:val="24"/>
    </w:rPr>
  </w:style>
  <w:style w:type="table" w:customStyle="1" w:styleId="601">
    <w:name w:val="双线框"/>
    <w:basedOn w:val="52"/>
    <w:qFormat/>
    <w:uiPriority w:val="99"/>
    <w:pPr>
      <w:jc w:val="center"/>
    </w:pPr>
    <w:rPr>
      <w:rFonts w:eastAsia="Times New Roman" w:asciiTheme="minorHAnsi" w:hAnsiTheme="minorHAnsi" w:cstheme="minorBidi"/>
      <w:kern w:val="2"/>
      <w:sz w:val="21"/>
      <w:szCs w:val="21"/>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character" w:customStyle="1" w:styleId="602">
    <w:name w:val="图片居中 字符"/>
    <w:basedOn w:val="57"/>
    <w:link w:val="92"/>
    <w:qFormat/>
    <w:uiPriority w:val="0"/>
    <w:rPr>
      <w:rFonts w:eastAsia="Times New Roman"/>
      <w:sz w:val="29"/>
      <w:szCs w:val="29"/>
      <w:lang w:eastAsia="en-US"/>
    </w:rPr>
  </w:style>
  <w:style w:type="paragraph" w:customStyle="1" w:styleId="603">
    <w:name w:val="目录"/>
    <w:next w:val="1"/>
    <w:link w:val="604"/>
    <w:qFormat/>
    <w:uiPriority w:val="0"/>
    <w:pPr>
      <w:tabs>
        <w:tab w:val="right" w:leader="dot" w:pos="8300"/>
      </w:tabs>
      <w:ind w:left="480" w:firstLine="440"/>
    </w:pPr>
    <w:rPr>
      <w:rFonts w:ascii="Times New Roman" w:hAnsi="Times New Roman" w:eastAsia="宋体" w:cs="Times New Roman"/>
      <w:sz w:val="22"/>
      <w:szCs w:val="22"/>
      <w:lang w:val="en-US" w:eastAsia="en-US" w:bidi="ar-SA"/>
    </w:rPr>
  </w:style>
  <w:style w:type="character" w:customStyle="1" w:styleId="604">
    <w:name w:val="目录 字符"/>
    <w:basedOn w:val="57"/>
    <w:link w:val="603"/>
    <w:qFormat/>
    <w:uiPriority w:val="0"/>
    <w:rPr>
      <w:sz w:val="22"/>
      <w:szCs w:val="22"/>
      <w:lang w:eastAsia="en-US"/>
    </w:rPr>
  </w:style>
  <w:style w:type="table" w:customStyle="1" w:styleId="605">
    <w:name w:val="shuangxianbiao"/>
    <w:basedOn w:val="52"/>
    <w:qFormat/>
    <w:uiPriority w:val="99"/>
    <w:pPr>
      <w:jc w:val="center"/>
    </w:pPr>
    <w:rPr>
      <w:kern w:val="2"/>
      <w:sz w:val="21"/>
      <w:szCs w:val="21"/>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paragraph" w:customStyle="1" w:styleId="606">
    <w:name w:val="正法律法规0"/>
    <w:basedOn w:val="1"/>
    <w:qFormat/>
    <w:uiPriority w:val="0"/>
    <w:pPr>
      <w:numPr>
        <w:ilvl w:val="0"/>
        <w:numId w:val="2"/>
      </w:numPr>
      <w:ind w:firstLine="0" w:firstLineChars="0"/>
    </w:pPr>
    <w:rPr>
      <w:rFonts w:cs="Times New Roman"/>
      <w:color w:val="000000" w:themeColor="text1"/>
      <w:kern w:val="0"/>
      <w:szCs w:val="24"/>
      <w14:textFill>
        <w14:solidFill>
          <w14:schemeClr w14:val="tx1"/>
        </w14:solidFill>
      </w14:textFill>
    </w:rPr>
  </w:style>
  <w:style w:type="paragraph" w:customStyle="1" w:styleId="607">
    <w:name w:val="表格内容 核工业"/>
    <w:link w:val="608"/>
    <w:qFormat/>
    <w:uiPriority w:val="0"/>
    <w:pPr>
      <w:adjustRightInd w:val="0"/>
      <w:snapToGrid w:val="0"/>
      <w:jc w:val="center"/>
      <w:textAlignment w:val="center"/>
    </w:pPr>
    <w:rPr>
      <w:rFonts w:ascii="Times New Roman" w:hAnsi="Times New Roman" w:eastAsia="宋体" w:cs="Times New Roman"/>
      <w:iCs/>
      <w:kern w:val="2"/>
      <w:sz w:val="21"/>
      <w:szCs w:val="24"/>
      <w:lang w:val="en-US" w:eastAsia="zh-CN" w:bidi="ar-SA"/>
    </w:rPr>
  </w:style>
  <w:style w:type="character" w:customStyle="1" w:styleId="608">
    <w:name w:val="表格内容 核工业 字符"/>
    <w:basedOn w:val="57"/>
    <w:link w:val="607"/>
    <w:qFormat/>
    <w:uiPriority w:val="0"/>
    <w:rPr>
      <w:iCs/>
      <w:kern w:val="2"/>
      <w:sz w:val="21"/>
      <w:szCs w:val="24"/>
    </w:rPr>
  </w:style>
  <w:style w:type="paragraph" w:customStyle="1" w:styleId="609">
    <w:name w:val="环评报告表正文"/>
    <w:basedOn w:val="21"/>
    <w:link w:val="610"/>
    <w:qFormat/>
    <w:uiPriority w:val="0"/>
    <w:pPr>
      <w:adjustRightInd/>
      <w:snapToGrid/>
      <w:spacing w:before="0"/>
      <w:ind w:left="0" w:firstLine="480"/>
      <w:jc w:val="both"/>
    </w:pPr>
    <w:rPr>
      <w:rFonts w:ascii="Times New Roman" w:hAnsi="Times New Roman"/>
      <w:kern w:val="2"/>
      <w:lang w:eastAsia="zh-CN"/>
    </w:rPr>
  </w:style>
  <w:style w:type="character" w:customStyle="1" w:styleId="610">
    <w:name w:val="环评报告表正文 字符"/>
    <w:link w:val="609"/>
    <w:qFormat/>
    <w:uiPriority w:val="0"/>
    <w:rPr>
      <w:kern w:val="2"/>
      <w:sz w:val="24"/>
      <w:szCs w:val="24"/>
    </w:rPr>
  </w:style>
  <w:style w:type="paragraph" w:customStyle="1" w:styleId="611">
    <w:name w:val="标题 11"/>
    <w:basedOn w:val="1"/>
    <w:qFormat/>
    <w:uiPriority w:val="1"/>
    <w:pPr>
      <w:widowControl/>
      <w:adjustRightInd/>
      <w:snapToGrid/>
      <w:spacing w:line="240" w:lineRule="auto"/>
      <w:ind w:firstLine="0" w:firstLineChars="0"/>
      <w:jc w:val="left"/>
      <w:outlineLvl w:val="1"/>
    </w:pPr>
    <w:rPr>
      <w:rFonts w:eastAsia="Times New Roman" w:cs="Times New Roman"/>
      <w:kern w:val="0"/>
      <w:sz w:val="29"/>
      <w:szCs w:val="29"/>
      <w:lang w:eastAsia="en-US"/>
    </w:rPr>
  </w:style>
  <w:style w:type="paragraph" w:customStyle="1" w:styleId="612">
    <w:name w:val="图表名称"/>
    <w:basedOn w:val="1"/>
    <w:next w:val="1"/>
    <w:link w:val="613"/>
    <w:qFormat/>
    <w:uiPriority w:val="0"/>
    <w:pPr>
      <w:adjustRightInd/>
      <w:snapToGrid/>
      <w:spacing w:beforeLines="50" w:line="240" w:lineRule="auto"/>
      <w:ind w:firstLine="0" w:firstLineChars="0"/>
      <w:jc w:val="center"/>
    </w:pPr>
    <w:rPr>
      <w:rFonts w:eastAsia="仿宋_GB2312" w:cs="Times New Roman"/>
      <w:b/>
      <w:szCs w:val="28"/>
    </w:rPr>
  </w:style>
  <w:style w:type="character" w:customStyle="1" w:styleId="613">
    <w:name w:val="图表名称 字符"/>
    <w:basedOn w:val="57"/>
    <w:link w:val="612"/>
    <w:qFormat/>
    <w:uiPriority w:val="0"/>
    <w:rPr>
      <w:rFonts w:eastAsia="仿宋_GB2312"/>
      <w:b/>
      <w:kern w:val="2"/>
      <w:sz w:val="24"/>
      <w:szCs w:val="28"/>
    </w:rPr>
  </w:style>
  <w:style w:type="paragraph" w:customStyle="1" w:styleId="614">
    <w:name w:val="图表标题"/>
    <w:basedOn w:val="1"/>
    <w:next w:val="201"/>
    <w:qFormat/>
    <w:uiPriority w:val="0"/>
    <w:pPr>
      <w:spacing w:line="560" w:lineRule="exact"/>
      <w:ind w:firstLine="0" w:firstLineChars="0"/>
      <w:jc w:val="center"/>
      <w:textAlignment w:val="baseline"/>
    </w:pPr>
    <w:rPr>
      <w:rFonts w:ascii="黑体" w:eastAsia="黑体" w:cs="Times New Roman"/>
      <w:sz w:val="21"/>
      <w:szCs w:val="21"/>
    </w:rPr>
  </w:style>
  <w:style w:type="character" w:customStyle="1" w:styleId="615">
    <w:name w:val="未处理的提及3"/>
    <w:basedOn w:val="57"/>
    <w:semiHidden/>
    <w:unhideWhenUsed/>
    <w:qFormat/>
    <w:uiPriority w:val="99"/>
    <w:rPr>
      <w:color w:val="605E5C"/>
      <w:shd w:val="clear" w:color="auto" w:fill="E1DFDD"/>
    </w:rPr>
  </w:style>
  <w:style w:type="paragraph" w:customStyle="1" w:styleId="616">
    <w:name w:val="TOC 标题21"/>
    <w:basedOn w:val="2"/>
    <w:next w:val="1"/>
    <w:unhideWhenUsed/>
    <w:qFormat/>
    <w:uiPriority w:val="39"/>
    <w:pPr>
      <w:spacing w:before="240" w:beforeLines="100" w:after="0" w:line="259" w:lineRule="auto"/>
      <w:jc w:val="left"/>
      <w:outlineLvl w:val="9"/>
    </w:pPr>
    <w:rPr>
      <w:rFonts w:asciiTheme="majorHAnsi" w:hAnsiTheme="majorHAnsi" w:eastAsiaTheme="majorEastAsia" w:cstheme="majorBidi"/>
      <w:bCs w:val="0"/>
      <w:color w:val="2F5597" w:themeColor="accent1" w:themeShade="BF"/>
      <w:kern w:val="0"/>
      <w:szCs w:val="32"/>
    </w:rPr>
  </w:style>
  <w:style w:type="paragraph" w:customStyle="1" w:styleId="617">
    <w:name w:val="图表内容"/>
    <w:basedOn w:val="1"/>
    <w:next w:val="21"/>
    <w:qFormat/>
    <w:uiPriority w:val="0"/>
    <w:pPr>
      <w:snapToGrid/>
      <w:spacing w:line="240" w:lineRule="auto"/>
      <w:ind w:firstLine="0" w:firstLineChars="0"/>
      <w:jc w:val="center"/>
      <w:textAlignment w:val="baseline"/>
    </w:pPr>
    <w:rPr>
      <w:rFonts w:ascii="宋体" w:cs="Times New Roman" w:hAnsiTheme="minorHAnsi" w:eastAsiaTheme="minorEastAsia"/>
      <w:sz w:val="21"/>
      <w:szCs w:val="20"/>
    </w:rPr>
  </w:style>
  <w:style w:type="character" w:customStyle="1" w:styleId="618">
    <w:name w:val="0-7表外文字 字符"/>
    <w:link w:val="619"/>
    <w:qFormat/>
    <w:uiPriority w:val="0"/>
    <w:rPr>
      <w:b/>
      <w:sz w:val="24"/>
    </w:rPr>
  </w:style>
  <w:style w:type="paragraph" w:customStyle="1" w:styleId="619">
    <w:name w:val="0-7表外文字"/>
    <w:basedOn w:val="1"/>
    <w:link w:val="618"/>
    <w:qFormat/>
    <w:uiPriority w:val="0"/>
    <w:pPr>
      <w:wordWrap w:val="0"/>
      <w:adjustRightInd/>
      <w:snapToGrid/>
      <w:spacing w:beforeLines="20" w:line="240" w:lineRule="auto"/>
      <w:ind w:firstLine="0" w:firstLineChars="0"/>
      <w:jc w:val="center"/>
    </w:pPr>
    <w:rPr>
      <w:rFonts w:cs="Times New Roman"/>
      <w:b/>
      <w:kern w:val="0"/>
      <w:szCs w:val="20"/>
    </w:rPr>
  </w:style>
  <w:style w:type="paragraph" w:customStyle="1" w:styleId="620">
    <w:name w:val="表格内容谢谢"/>
    <w:basedOn w:val="1"/>
    <w:qFormat/>
    <w:uiPriority w:val="0"/>
    <w:pPr>
      <w:widowControl/>
      <w:spacing w:line="240" w:lineRule="auto"/>
      <w:ind w:firstLine="0" w:firstLineChars="0"/>
      <w:jc w:val="center"/>
    </w:pPr>
    <w:rPr>
      <w:rFonts w:cs="Times New Roman"/>
      <w:color w:val="000000"/>
      <w:kern w:val="0"/>
      <w:sz w:val="21"/>
      <w:szCs w:val="21"/>
    </w:rPr>
  </w:style>
  <w:style w:type="paragraph" w:customStyle="1" w:styleId="621">
    <w:name w:val="表格内居中文字"/>
    <w:basedOn w:val="1"/>
    <w:qFormat/>
    <w:uiPriority w:val="0"/>
    <w:pPr>
      <w:adjustRightInd/>
      <w:snapToGrid/>
      <w:spacing w:line="320" w:lineRule="atLeast"/>
      <w:ind w:firstLine="0" w:firstLineChars="0"/>
      <w:jc w:val="center"/>
    </w:pPr>
    <w:rPr>
      <w:rFonts w:cs="Times New Roman"/>
      <w:sz w:val="22"/>
      <w:szCs w:val="24"/>
    </w:rPr>
  </w:style>
  <w:style w:type="paragraph" w:customStyle="1" w:styleId="622">
    <w:name w:val="正文首行缩进:  2 字符"/>
    <w:basedOn w:val="1"/>
    <w:qFormat/>
    <w:uiPriority w:val="0"/>
    <w:pPr>
      <w:adjustRightInd/>
      <w:snapToGrid/>
      <w:spacing w:line="500" w:lineRule="exact"/>
      <w:ind w:firstLine="480"/>
    </w:pPr>
    <w:rPr>
      <w:rFonts w:cs="Times New Roman"/>
      <w:szCs w:val="20"/>
    </w:rPr>
  </w:style>
  <w:style w:type="paragraph" w:customStyle="1" w:styleId="623">
    <w:name w:val="1正文"/>
    <w:basedOn w:val="1"/>
    <w:link w:val="624"/>
    <w:qFormat/>
    <w:uiPriority w:val="0"/>
    <w:pPr>
      <w:spacing w:line="460" w:lineRule="exact"/>
    </w:pPr>
    <w:rPr>
      <w:rFonts w:cs="Times New Roman"/>
      <w:szCs w:val="24"/>
      <w:lang w:val="zh-CN"/>
    </w:rPr>
  </w:style>
  <w:style w:type="character" w:customStyle="1" w:styleId="624">
    <w:name w:val="1正文 Char"/>
    <w:link w:val="623"/>
    <w:qFormat/>
    <w:uiPriority w:val="0"/>
    <w:rPr>
      <w:kern w:val="2"/>
      <w:sz w:val="24"/>
      <w:szCs w:val="24"/>
      <w:lang w:val="zh-CN" w:eastAsia="zh-CN"/>
    </w:rPr>
  </w:style>
  <w:style w:type="paragraph" w:customStyle="1" w:styleId="625">
    <w:name w:val="t表格文字居中"/>
    <w:basedOn w:val="1"/>
    <w:link w:val="626"/>
    <w:qFormat/>
    <w:uiPriority w:val="0"/>
    <w:pPr>
      <w:adjustRightInd/>
      <w:snapToGrid/>
      <w:spacing w:line="240" w:lineRule="auto"/>
      <w:ind w:firstLine="0" w:firstLineChars="0"/>
      <w:jc w:val="center"/>
      <w:textAlignment w:val="center"/>
    </w:pPr>
    <w:rPr>
      <w:rFonts w:ascii="Calibri" w:hAnsi="Calibri" w:cs="Times New Roman"/>
      <w:szCs w:val="21"/>
      <w:lang w:val="zh-CN"/>
    </w:rPr>
  </w:style>
  <w:style w:type="character" w:customStyle="1" w:styleId="626">
    <w:name w:val="t表格文字居中 Char"/>
    <w:link w:val="625"/>
    <w:qFormat/>
    <w:locked/>
    <w:uiPriority w:val="0"/>
    <w:rPr>
      <w:rFonts w:ascii="Calibri" w:hAnsi="Calibri"/>
      <w:kern w:val="2"/>
      <w:sz w:val="24"/>
      <w:szCs w:val="21"/>
      <w:lang w:val="zh-CN" w:eastAsia="zh-CN"/>
    </w:rPr>
  </w:style>
  <w:style w:type="paragraph" w:customStyle="1" w:styleId="627">
    <w:name w:val="Char Char"/>
    <w:basedOn w:val="1"/>
    <w:qFormat/>
    <w:uiPriority w:val="0"/>
    <w:pPr>
      <w:adjustRightInd/>
      <w:snapToGrid/>
      <w:spacing w:line="240" w:lineRule="auto"/>
      <w:ind w:firstLine="0" w:firstLineChars="0"/>
    </w:pPr>
    <w:rPr>
      <w:rFonts w:ascii="Tahoma" w:hAnsi="Tahoma" w:cs="Times New Roman"/>
      <w:szCs w:val="20"/>
    </w:rPr>
  </w:style>
  <w:style w:type="paragraph" w:customStyle="1" w:styleId="628">
    <w:name w:val="Char Char1 Char"/>
    <w:basedOn w:val="1"/>
    <w:qFormat/>
    <w:uiPriority w:val="0"/>
    <w:pPr>
      <w:adjustRightInd/>
      <w:snapToGrid/>
      <w:spacing w:line="240" w:lineRule="auto"/>
      <w:ind w:firstLine="0" w:firstLineChars="0"/>
    </w:pPr>
    <w:rPr>
      <w:rFonts w:cs="Times New Roman"/>
      <w:sz w:val="21"/>
      <w:szCs w:val="21"/>
    </w:rPr>
  </w:style>
  <w:style w:type="paragraph" w:customStyle="1" w:styleId="629">
    <w:name w:val="Q"/>
    <w:basedOn w:val="1"/>
    <w:qFormat/>
    <w:uiPriority w:val="0"/>
    <w:pPr>
      <w:adjustRightInd/>
      <w:snapToGrid/>
      <w:spacing w:line="440" w:lineRule="exact"/>
      <w:ind w:firstLine="522"/>
    </w:pPr>
    <w:rPr>
      <w:rFonts w:hAnsi="宋体" w:cs="Times New Roman"/>
      <w:b/>
      <w:bCs/>
      <w:spacing w:val="10"/>
      <w:sz w:val="21"/>
      <w:szCs w:val="24"/>
    </w:rPr>
  </w:style>
  <w:style w:type="paragraph" w:customStyle="1" w:styleId="630">
    <w:name w:val="hb1"/>
    <w:basedOn w:val="21"/>
    <w:qFormat/>
    <w:uiPriority w:val="0"/>
    <w:pPr>
      <w:widowControl w:val="0"/>
      <w:autoSpaceDE w:val="0"/>
      <w:autoSpaceDN w:val="0"/>
      <w:snapToGrid/>
      <w:spacing w:before="0" w:line="460" w:lineRule="exact"/>
      <w:ind w:left="0" w:firstLine="482" w:firstLineChars="0"/>
      <w:textAlignment w:val="baseline"/>
    </w:pPr>
    <w:rPr>
      <w:color w:val="000000"/>
      <w:kern w:val="2"/>
      <w:szCs w:val="22"/>
      <w:lang w:eastAsia="zh-CN"/>
    </w:rPr>
  </w:style>
  <w:style w:type="paragraph" w:customStyle="1" w:styleId="631">
    <w:name w:val="正文01"/>
    <w:basedOn w:val="1"/>
    <w:qFormat/>
    <w:uiPriority w:val="0"/>
    <w:pPr>
      <w:adjustRightInd/>
      <w:snapToGrid/>
      <w:spacing w:before="60" w:line="460" w:lineRule="exact"/>
    </w:pPr>
    <w:rPr>
      <w:rFonts w:eastAsia="Calibri" w:cs="Times New Roman"/>
      <w:bCs/>
      <w:szCs w:val="24"/>
    </w:rPr>
  </w:style>
  <w:style w:type="character" w:customStyle="1" w:styleId="632">
    <w:name w:val="智汇元-宜昌-正文 Char"/>
    <w:link w:val="633"/>
    <w:qFormat/>
    <w:uiPriority w:val="0"/>
    <w:rPr>
      <w:snapToGrid w:val="0"/>
      <w:color w:val="000000"/>
      <w:sz w:val="24"/>
      <w:szCs w:val="24"/>
    </w:rPr>
  </w:style>
  <w:style w:type="paragraph" w:customStyle="1" w:styleId="633">
    <w:name w:val="智汇元-宜昌-正文"/>
    <w:basedOn w:val="1"/>
    <w:link w:val="632"/>
    <w:qFormat/>
    <w:uiPriority w:val="0"/>
    <w:pPr>
      <w:adjustRightInd/>
      <w:snapToGrid/>
      <w:ind w:firstLine="480"/>
    </w:pPr>
    <w:rPr>
      <w:rFonts w:cs="Times New Roman"/>
      <w:snapToGrid w:val="0"/>
      <w:color w:val="000000"/>
      <w:kern w:val="0"/>
      <w:szCs w:val="24"/>
    </w:rPr>
  </w:style>
  <w:style w:type="paragraph" w:customStyle="1" w:styleId="634">
    <w:name w:val="题注-表"/>
    <w:basedOn w:val="1"/>
    <w:next w:val="1"/>
    <w:qFormat/>
    <w:uiPriority w:val="0"/>
    <w:pPr>
      <w:adjustRightInd/>
      <w:snapToGrid/>
      <w:spacing w:beforeLines="25" w:afterLines="25"/>
      <w:ind w:firstLine="0" w:firstLineChars="0"/>
      <w:jc w:val="center"/>
    </w:pPr>
    <w:rPr>
      <w:rFonts w:ascii="宋体" w:hAnsi="宋体" w:cs="宋体"/>
      <w:b/>
      <w:szCs w:val="24"/>
    </w:rPr>
  </w:style>
  <w:style w:type="paragraph" w:customStyle="1" w:styleId="635">
    <w:name w:val="表头1"/>
    <w:basedOn w:val="1"/>
    <w:qFormat/>
    <w:uiPriority w:val="0"/>
    <w:pPr>
      <w:adjustRightInd/>
      <w:snapToGrid/>
      <w:spacing w:line="240" w:lineRule="auto"/>
      <w:ind w:firstLine="0" w:firstLineChars="0"/>
      <w:jc w:val="center"/>
    </w:pPr>
    <w:rPr>
      <w:rFonts w:cs="Times New Roman"/>
      <w:kern w:val="0"/>
      <w:sz w:val="21"/>
      <w:szCs w:val="24"/>
    </w:rPr>
  </w:style>
  <w:style w:type="paragraph" w:customStyle="1" w:styleId="636">
    <w:name w:val="pf0"/>
    <w:basedOn w:val="1"/>
    <w:qFormat/>
    <w:uiPriority w:val="0"/>
    <w:pPr>
      <w:widowControl/>
      <w:adjustRightInd/>
      <w:snapToGrid/>
      <w:spacing w:before="100" w:beforeAutospacing="1" w:after="100" w:afterAutospacing="1" w:line="240" w:lineRule="auto"/>
      <w:ind w:firstLine="0" w:firstLineChars="0"/>
      <w:jc w:val="left"/>
    </w:pPr>
    <w:rPr>
      <w:rFonts w:ascii="宋体" w:hAnsi="宋体" w:cs="宋体"/>
      <w:kern w:val="0"/>
      <w:szCs w:val="24"/>
    </w:rPr>
  </w:style>
  <w:style w:type="paragraph" w:customStyle="1" w:styleId="637">
    <w:name w:val="文本文字"/>
    <w:basedOn w:val="1"/>
    <w:qFormat/>
    <w:uiPriority w:val="0"/>
    <w:pPr>
      <w:adjustRightInd/>
      <w:snapToGrid/>
    </w:pPr>
    <w:rPr>
      <w:rFonts w:eastAsia="仿宋_GB2312" w:cs="Times New Roman"/>
    </w:rPr>
  </w:style>
  <w:style w:type="paragraph" w:customStyle="1" w:styleId="638">
    <w:name w:val="Char Char Char Char Char Char Char31"/>
    <w:basedOn w:val="1"/>
    <w:qFormat/>
    <w:uiPriority w:val="0"/>
    <w:pPr>
      <w:adjustRightInd/>
      <w:snapToGrid/>
      <w:spacing w:line="240" w:lineRule="auto"/>
      <w:ind w:firstLine="0" w:firstLineChars="0"/>
    </w:pPr>
    <w:rPr>
      <w:rFonts w:cs="Times New Roman"/>
      <w:sz w:val="21"/>
      <w:szCs w:val="24"/>
    </w:rPr>
  </w:style>
  <w:style w:type="paragraph" w:customStyle="1" w:styleId="639">
    <w:name w:val="表格(张曦)"/>
    <w:basedOn w:val="1"/>
    <w:qFormat/>
    <w:uiPriority w:val="0"/>
    <w:pPr>
      <w:adjustRightInd/>
      <w:spacing w:line="240" w:lineRule="auto"/>
      <w:ind w:firstLine="0" w:firstLineChars="0"/>
      <w:jc w:val="center"/>
    </w:pPr>
    <w:rPr>
      <w:rFonts w:asciiTheme="minorHAnsi" w:hAnsiTheme="minorHAnsi" w:eastAsiaTheme="minorEastAsia"/>
      <w:sz w:val="21"/>
    </w:rPr>
  </w:style>
  <w:style w:type="paragraph" w:customStyle="1" w:styleId="640">
    <w:name w:val="Char Char Char Char Char Char1 Char Char Char Char Char Char Char Char Char Char Char Char Char"/>
    <w:basedOn w:val="1"/>
    <w:qFormat/>
    <w:uiPriority w:val="0"/>
    <w:pPr>
      <w:adjustRightInd/>
      <w:snapToGrid/>
      <w:spacing w:line="240" w:lineRule="auto"/>
      <w:ind w:firstLine="0" w:firstLineChars="0"/>
    </w:pPr>
    <w:rPr>
      <w:rFonts w:cs="Times New Roman"/>
      <w:sz w:val="21"/>
      <w:szCs w:val="24"/>
    </w:rPr>
  </w:style>
  <w:style w:type="paragraph" w:customStyle="1" w:styleId="641">
    <w:name w:val="默认段落字体 Para Char Char Char Char Char Char Char Char Char Char Char Char Char"/>
    <w:basedOn w:val="1"/>
    <w:semiHidden/>
    <w:qFormat/>
    <w:uiPriority w:val="0"/>
    <w:pPr>
      <w:widowControl/>
      <w:tabs>
        <w:tab w:val="left" w:pos="650"/>
        <w:tab w:val="left" w:pos="900"/>
      </w:tabs>
      <w:ind w:firstLine="0" w:firstLineChars="0"/>
      <w:jc w:val="left"/>
    </w:pPr>
    <w:rPr>
      <w:rFonts w:ascii="宋体" w:hAnsi="宋体" w:cs="宋体"/>
      <w:b/>
      <w:bCs/>
      <w:snapToGrid w:val="0"/>
      <w:kern w:val="0"/>
      <w:szCs w:val="24"/>
    </w:rPr>
  </w:style>
  <w:style w:type="paragraph" w:customStyle="1" w:styleId="642">
    <w:name w:val="样式 正文文本缩进正文文字缩进 + 首行缩进:  2 字符"/>
    <w:basedOn w:val="1"/>
    <w:next w:val="1"/>
    <w:qFormat/>
    <w:uiPriority w:val="0"/>
    <w:pPr>
      <w:widowControl/>
      <w:spacing w:line="336" w:lineRule="auto"/>
      <w:ind w:firstLine="560"/>
      <w:jc w:val="left"/>
    </w:pPr>
    <w:rPr>
      <w:rFonts w:cs="宋体"/>
      <w:sz w:val="28"/>
      <w:szCs w:val="28"/>
    </w:rPr>
  </w:style>
  <w:style w:type="table" w:customStyle="1" w:styleId="643">
    <w:name w:val="列表型 31"/>
    <w:basedOn w:val="52"/>
    <w:semiHidden/>
    <w:unhideWhenUsed/>
    <w:qFormat/>
    <w:uiPriority w:val="99"/>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cPr>
        <w:tcBorders>
          <w:bottom w:val="single" w:color="000000" w:sz="12" w:space="0"/>
          <w:tl2br w:val="nil"/>
          <w:tr2bl w:val="nil"/>
        </w:tcBorders>
      </w:tcPr>
    </w:tblStylePr>
    <w:tblStylePr w:type="lastRow">
      <w:tcPr>
        <w:tcBorders>
          <w:top w:val="single" w:color="000000" w:sz="12" w:space="0"/>
          <w:tl2br w:val="nil"/>
          <w:tr2bl w:val="nil"/>
        </w:tcBorders>
      </w:tcPr>
    </w:tblStylePr>
    <w:tblStylePr w:type="swCell">
      <w:rPr>
        <w:i/>
        <w:iCs/>
        <w:color w:val="000080"/>
      </w:rPr>
      <w:tcPr>
        <w:tcBorders>
          <w:tl2br w:val="nil"/>
          <w:tr2bl w:val="nil"/>
        </w:tcBorders>
      </w:tcPr>
    </w:tblStylePr>
  </w:style>
  <w:style w:type="table" w:customStyle="1" w:styleId="644">
    <w:name w:val="表格样式LLL1"/>
    <w:basedOn w:val="55"/>
    <w:qFormat/>
    <w:uiPriority w:val="0"/>
    <w:pPr>
      <w:widowControl w:val="0"/>
      <w:jc w:val="center"/>
    </w:pPr>
    <w:tblPr>
      <w:tblBorders>
        <w:top w:val="single" w:color="auto" w:sz="12" w:space="0"/>
        <w:bottom w:val="single" w:color="auto" w:sz="12" w:space="0"/>
        <w:insideH w:val="single" w:color="auto" w:sz="2" w:space="0"/>
        <w:insideV w:val="single" w:color="auto" w:sz="2" w:space="0"/>
      </w:tblBorders>
    </w:tblPr>
    <w:tcPr>
      <w:shd w:val="clear" w:color="auto" w:fill="auto"/>
      <w:vAlign w:val="center"/>
    </w:tcPr>
    <w:tblStylePr w:type="firstRow">
      <w:rPr>
        <w:b/>
        <w:bCs/>
        <w:color w:val="000080"/>
      </w:rPr>
      <w:tcPr>
        <w:tcBorders>
          <w:bottom w:val="single" w:color="000000" w:sz="12" w:space="0"/>
          <w:tl2br w:val="nil"/>
          <w:tr2bl w:val="nil"/>
        </w:tcBorders>
      </w:tcPr>
    </w:tblStylePr>
    <w:tblStylePr w:type="lastRow">
      <w:tcPr>
        <w:tcBorders>
          <w:top w:val="single" w:color="000000" w:sz="12" w:space="0"/>
          <w:tl2br w:val="nil"/>
          <w:tr2bl w:val="nil"/>
        </w:tcBorders>
      </w:tcPr>
    </w:tblStylePr>
    <w:tblStylePr w:type="swCell">
      <w:rPr>
        <w:i/>
        <w:iCs/>
        <w:color w:val="000080"/>
      </w:rPr>
      <w:tcPr>
        <w:tcBorders>
          <w:tl2br w:val="nil"/>
          <w:tr2bl w:val="nil"/>
        </w:tcBorders>
      </w:tcPr>
    </w:tblStylePr>
  </w:style>
  <w:style w:type="paragraph" w:customStyle="1" w:styleId="645">
    <w:name w:val="修订11"/>
    <w:hidden/>
    <w:qFormat/>
    <w:uiPriority w:val="99"/>
    <w:rPr>
      <w:rFonts w:ascii="等线" w:hAnsi="等线" w:eastAsia="等线" w:cs="Times New Roman"/>
      <w:kern w:val="2"/>
      <w:sz w:val="21"/>
      <w:szCs w:val="22"/>
      <w:lang w:val="en-US" w:eastAsia="zh-CN" w:bidi="ar-SA"/>
    </w:rPr>
  </w:style>
  <w:style w:type="paragraph" w:customStyle="1" w:styleId="646">
    <w:name w:val="Char Char Char Char Char Char Char3"/>
    <w:basedOn w:val="1"/>
    <w:qFormat/>
    <w:uiPriority w:val="0"/>
    <w:pPr>
      <w:adjustRightInd/>
      <w:snapToGrid/>
      <w:spacing w:line="240" w:lineRule="auto"/>
      <w:ind w:firstLine="0" w:firstLineChars="0"/>
    </w:pPr>
    <w:rPr>
      <w:rFonts w:cs="Times New Roman"/>
      <w:sz w:val="21"/>
      <w:szCs w:val="24"/>
    </w:rPr>
  </w:style>
  <w:style w:type="table" w:customStyle="1" w:styleId="647">
    <w:name w:val="Table Grid_0"/>
    <w:basedOn w:val="52"/>
    <w:qFormat/>
    <w:uiPriority w:val="0"/>
    <w:rPr>
      <w:rFonts w:eastAsia="仿宋"/>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48">
    <w:name w:val="radio-btn"/>
    <w:basedOn w:val="57"/>
    <w:qFormat/>
    <w:uiPriority w:val="0"/>
    <w:rPr>
      <w:sz w:val="21"/>
      <w:szCs w:val="21"/>
    </w:rPr>
  </w:style>
  <w:style w:type="character" w:customStyle="1" w:styleId="649">
    <w:name w:val="radio-btn1"/>
    <w:basedOn w:val="57"/>
    <w:qFormat/>
    <w:uiPriority w:val="0"/>
    <w:rPr>
      <w:sz w:val="24"/>
      <w:szCs w:val="24"/>
    </w:rPr>
  </w:style>
  <w:style w:type="character" w:customStyle="1" w:styleId="650">
    <w:name w:val="radio-btn2"/>
    <w:basedOn w:val="57"/>
    <w:qFormat/>
    <w:uiPriority w:val="0"/>
    <w:rPr>
      <w:sz w:val="24"/>
      <w:szCs w:val="24"/>
    </w:rPr>
  </w:style>
  <w:style w:type="character" w:customStyle="1" w:styleId="651">
    <w:name w:val="lishishuju"/>
    <w:basedOn w:val="57"/>
    <w:qFormat/>
    <w:uiPriority w:val="0"/>
    <w:rPr>
      <w:b/>
      <w:bCs/>
      <w:color w:val="000052"/>
      <w:sz w:val="24"/>
      <w:szCs w:val="24"/>
      <w:bdr w:val="single" w:color="E3E3E3" w:sz="6" w:space="0"/>
    </w:rPr>
  </w:style>
  <w:style w:type="character" w:customStyle="1" w:styleId="652">
    <w:name w:val="znspantitle"/>
    <w:basedOn w:val="57"/>
    <w:qFormat/>
    <w:uiPriority w:val="0"/>
    <w:rPr>
      <w:b/>
      <w:bCs/>
      <w:color w:val="333333"/>
    </w:rPr>
  </w:style>
  <w:style w:type="character" w:customStyle="1" w:styleId="653">
    <w:name w:val="lable"/>
    <w:basedOn w:val="57"/>
    <w:qFormat/>
    <w:uiPriority w:val="0"/>
    <w:rPr>
      <w:sz w:val="24"/>
      <w:szCs w:val="24"/>
    </w:rPr>
  </w:style>
  <w:style w:type="character" w:customStyle="1" w:styleId="654">
    <w:name w:val="cur1"/>
    <w:basedOn w:val="57"/>
    <w:qFormat/>
    <w:uiPriority w:val="0"/>
    <w:rPr>
      <w:color w:val="FFFFFF"/>
      <w:shd w:val="clear" w:color="auto" w:fill="2F6B98"/>
    </w:rPr>
  </w:style>
  <w:style w:type="character" w:customStyle="1" w:styleId="655">
    <w:name w:val="标题 4 Char1"/>
    <w:qFormat/>
    <w:uiPriority w:val="0"/>
    <w:rPr>
      <w:rFonts w:ascii="Arial" w:hAnsi="Arial" w:eastAsia="黑体"/>
      <w:b/>
      <w:bCs/>
      <w:kern w:val="2"/>
      <w:sz w:val="28"/>
      <w:szCs w:val="28"/>
    </w:rPr>
  </w:style>
  <w:style w:type="paragraph" w:customStyle="1" w:styleId="656">
    <w:name w:val="Char Char3 Char Char"/>
    <w:basedOn w:val="1"/>
    <w:qFormat/>
    <w:uiPriority w:val="0"/>
    <w:pPr>
      <w:widowControl/>
      <w:adjustRightInd/>
      <w:snapToGrid/>
      <w:spacing w:after="160" w:line="240" w:lineRule="exact"/>
      <w:ind w:firstLine="0" w:firstLineChars="0"/>
      <w:jc w:val="left"/>
    </w:pPr>
    <w:rPr>
      <w:rFonts w:cs="Times New Roman"/>
      <w:szCs w:val="28"/>
    </w:rPr>
  </w:style>
  <w:style w:type="paragraph" w:customStyle="1" w:styleId="657">
    <w:name w:val="Char Char3 Char Char1"/>
    <w:basedOn w:val="1"/>
    <w:qFormat/>
    <w:uiPriority w:val="0"/>
    <w:pPr>
      <w:widowControl/>
      <w:adjustRightInd/>
      <w:snapToGrid/>
      <w:spacing w:after="160" w:line="240" w:lineRule="exact"/>
      <w:ind w:firstLine="0" w:firstLineChars="0"/>
      <w:jc w:val="left"/>
    </w:pPr>
    <w:rPr>
      <w:rFonts w:cs="Times New Roman"/>
      <w:szCs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76.png"/><Relationship Id="rId98" Type="http://schemas.openxmlformats.org/officeDocument/2006/relationships/image" Target="media/image75.png"/><Relationship Id="rId97" Type="http://schemas.openxmlformats.org/officeDocument/2006/relationships/image" Target="media/image74.png"/><Relationship Id="rId96" Type="http://schemas.openxmlformats.org/officeDocument/2006/relationships/image" Target="media/image73.png"/><Relationship Id="rId95" Type="http://schemas.openxmlformats.org/officeDocument/2006/relationships/image" Target="media/image72.png"/><Relationship Id="rId94" Type="http://schemas.openxmlformats.org/officeDocument/2006/relationships/image" Target="media/image71.png"/><Relationship Id="rId93" Type="http://schemas.openxmlformats.org/officeDocument/2006/relationships/image" Target="media/image70.png"/><Relationship Id="rId92" Type="http://schemas.openxmlformats.org/officeDocument/2006/relationships/image" Target="media/image69.png"/><Relationship Id="rId91" Type="http://schemas.openxmlformats.org/officeDocument/2006/relationships/image" Target="media/image68.png"/><Relationship Id="rId90" Type="http://schemas.openxmlformats.org/officeDocument/2006/relationships/image" Target="media/image67.png"/><Relationship Id="rId9" Type="http://schemas.openxmlformats.org/officeDocument/2006/relationships/footer" Target="footer2.xml"/><Relationship Id="rId89" Type="http://schemas.openxmlformats.org/officeDocument/2006/relationships/image" Target="media/image66.png"/><Relationship Id="rId88" Type="http://schemas.openxmlformats.org/officeDocument/2006/relationships/image" Target="media/image65.png"/><Relationship Id="rId87" Type="http://schemas.openxmlformats.org/officeDocument/2006/relationships/image" Target="media/image64.png"/><Relationship Id="rId86" Type="http://schemas.openxmlformats.org/officeDocument/2006/relationships/image" Target="media/image63.png"/><Relationship Id="rId85" Type="http://schemas.openxmlformats.org/officeDocument/2006/relationships/image" Target="media/image62.png"/><Relationship Id="rId84" Type="http://schemas.openxmlformats.org/officeDocument/2006/relationships/image" Target="media/image61.png"/><Relationship Id="rId83" Type="http://schemas.openxmlformats.org/officeDocument/2006/relationships/image" Target="media/image60.png"/><Relationship Id="rId82" Type="http://schemas.openxmlformats.org/officeDocument/2006/relationships/image" Target="media/image59.png"/><Relationship Id="rId81" Type="http://schemas.openxmlformats.org/officeDocument/2006/relationships/image" Target="media/image58.png"/><Relationship Id="rId80" Type="http://schemas.openxmlformats.org/officeDocument/2006/relationships/image" Target="media/image57.png"/><Relationship Id="rId8" Type="http://schemas.openxmlformats.org/officeDocument/2006/relationships/footer" Target="footer1.xml"/><Relationship Id="rId79" Type="http://schemas.openxmlformats.org/officeDocument/2006/relationships/image" Target="media/image56.png"/><Relationship Id="rId78" Type="http://schemas.openxmlformats.org/officeDocument/2006/relationships/image" Target="media/image55.png"/><Relationship Id="rId77" Type="http://schemas.openxmlformats.org/officeDocument/2006/relationships/image" Target="media/image54.png"/><Relationship Id="rId76" Type="http://schemas.openxmlformats.org/officeDocument/2006/relationships/image" Target="media/image53.png"/><Relationship Id="rId75" Type="http://schemas.openxmlformats.org/officeDocument/2006/relationships/image" Target="media/image52.png"/><Relationship Id="rId74" Type="http://schemas.openxmlformats.org/officeDocument/2006/relationships/image" Target="media/image51.png"/><Relationship Id="rId73" Type="http://schemas.openxmlformats.org/officeDocument/2006/relationships/image" Target="media/image50.png"/><Relationship Id="rId72" Type="http://schemas.openxmlformats.org/officeDocument/2006/relationships/image" Target="media/image49.png"/><Relationship Id="rId71" Type="http://schemas.openxmlformats.org/officeDocument/2006/relationships/image" Target="media/image48.png"/><Relationship Id="rId70" Type="http://schemas.openxmlformats.org/officeDocument/2006/relationships/image" Target="media/image47.png"/><Relationship Id="rId7" Type="http://schemas.openxmlformats.org/officeDocument/2006/relationships/header" Target="header3.xml"/><Relationship Id="rId69" Type="http://schemas.openxmlformats.org/officeDocument/2006/relationships/image" Target="media/image46.wmf"/><Relationship Id="rId68" Type="http://schemas.openxmlformats.org/officeDocument/2006/relationships/image" Target="media/image45.png"/><Relationship Id="rId67" Type="http://schemas.openxmlformats.org/officeDocument/2006/relationships/image" Target="media/image44.png"/><Relationship Id="rId66" Type="http://schemas.openxmlformats.org/officeDocument/2006/relationships/image" Target="media/image43.wmf"/><Relationship Id="rId65" Type="http://schemas.openxmlformats.org/officeDocument/2006/relationships/oleObject" Target="embeddings/oleObject5.bin"/><Relationship Id="rId64" Type="http://schemas.openxmlformats.org/officeDocument/2006/relationships/image" Target="media/image42.wmf"/><Relationship Id="rId63" Type="http://schemas.openxmlformats.org/officeDocument/2006/relationships/oleObject" Target="embeddings/oleObject4.bin"/><Relationship Id="rId62" Type="http://schemas.openxmlformats.org/officeDocument/2006/relationships/image" Target="media/image41.emf"/><Relationship Id="rId61" Type="http://schemas.openxmlformats.org/officeDocument/2006/relationships/oleObject" Target="embeddings/oleObject3.bin"/><Relationship Id="rId60" Type="http://schemas.openxmlformats.org/officeDocument/2006/relationships/image" Target="media/image40.png"/><Relationship Id="rId6" Type="http://schemas.openxmlformats.org/officeDocument/2006/relationships/header" Target="header2.xml"/><Relationship Id="rId59" Type="http://schemas.openxmlformats.org/officeDocument/2006/relationships/image" Target="media/image39.png"/><Relationship Id="rId58" Type="http://schemas.openxmlformats.org/officeDocument/2006/relationships/image" Target="media/image38.png"/><Relationship Id="rId57" Type="http://schemas.openxmlformats.org/officeDocument/2006/relationships/image" Target="media/image37.png"/><Relationship Id="rId56" Type="http://schemas.openxmlformats.org/officeDocument/2006/relationships/image" Target="media/image36.png"/><Relationship Id="rId55" Type="http://schemas.openxmlformats.org/officeDocument/2006/relationships/oleObject" Target="embeddings/oleObject2.bin"/><Relationship Id="rId54" Type="http://schemas.openxmlformats.org/officeDocument/2006/relationships/image" Target="media/image35.png"/><Relationship Id="rId53" Type="http://schemas.openxmlformats.org/officeDocument/2006/relationships/image" Target="media/image34.png"/><Relationship Id="rId52" Type="http://schemas.openxmlformats.org/officeDocument/2006/relationships/image" Target="media/image33.wmf"/><Relationship Id="rId51" Type="http://schemas.openxmlformats.org/officeDocument/2006/relationships/image" Target="media/image32.wmf"/><Relationship Id="rId50" Type="http://schemas.openxmlformats.org/officeDocument/2006/relationships/oleObject" Target="embeddings/oleObject1.bin"/><Relationship Id="rId5" Type="http://schemas.openxmlformats.org/officeDocument/2006/relationships/header" Target="header1.xml"/><Relationship Id="rId49" Type="http://schemas.openxmlformats.org/officeDocument/2006/relationships/image" Target="media/image31.jpe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emf"/><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png"/><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endnotes" Target="endnotes.xml"/><Relationship Id="rId39" Type="http://schemas.openxmlformats.org/officeDocument/2006/relationships/image" Target="media/image21.png"/><Relationship Id="rId38" Type="http://schemas.openxmlformats.org/officeDocument/2006/relationships/image" Target="media/image20.png"/><Relationship Id="rId37" Type="http://schemas.openxmlformats.org/officeDocument/2006/relationships/image" Target="media/image19.jpeg"/><Relationship Id="rId36" Type="http://schemas.openxmlformats.org/officeDocument/2006/relationships/image" Target="media/image18.jpeg"/><Relationship Id="rId35" Type="http://schemas.openxmlformats.org/officeDocument/2006/relationships/image" Target="media/image17.jpeg"/><Relationship Id="rId34" Type="http://schemas.openxmlformats.org/officeDocument/2006/relationships/image" Target="media/image16.pn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image" Target="media/image12.jpeg"/><Relationship Id="rId3" Type="http://schemas.openxmlformats.org/officeDocument/2006/relationships/footnotes" Target="footnotes.xml"/><Relationship Id="rId29" Type="http://schemas.openxmlformats.org/officeDocument/2006/relationships/image" Target="media/image11.png"/><Relationship Id="rId28" Type="http://schemas.openxmlformats.org/officeDocument/2006/relationships/image" Target="media/image10.jpeg"/><Relationship Id="rId27" Type="http://schemas.openxmlformats.org/officeDocument/2006/relationships/image" Target="media/image9.png"/><Relationship Id="rId26" Type="http://schemas.openxmlformats.org/officeDocument/2006/relationships/image" Target="media/image8.png"/><Relationship Id="rId25" Type="http://schemas.openxmlformats.org/officeDocument/2006/relationships/image" Target="media/image7.png"/><Relationship Id="rId24" Type="http://schemas.openxmlformats.org/officeDocument/2006/relationships/image" Target="media/image6.png"/><Relationship Id="rId23" Type="http://schemas.openxmlformats.org/officeDocument/2006/relationships/image" Target="media/image5.png"/><Relationship Id="rId22" Type="http://schemas.openxmlformats.org/officeDocument/2006/relationships/image" Target="media/image4.png"/><Relationship Id="rId21" Type="http://schemas.openxmlformats.org/officeDocument/2006/relationships/image" Target="media/image3.png"/><Relationship Id="rId20" Type="http://schemas.openxmlformats.org/officeDocument/2006/relationships/image" Target="media/image2.png"/><Relationship Id="rId2" Type="http://schemas.openxmlformats.org/officeDocument/2006/relationships/settings" Target="settings.xml"/><Relationship Id="rId19" Type="http://schemas.openxmlformats.org/officeDocument/2006/relationships/image" Target="media/image1.jpeg"/><Relationship Id="rId18" Type="http://schemas.openxmlformats.org/officeDocument/2006/relationships/theme" Target="theme/theme1.xml"/><Relationship Id="rId17" Type="http://schemas.openxmlformats.org/officeDocument/2006/relationships/header" Target="header6.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header" Target="header5.xml"/><Relationship Id="rId13" Type="http://schemas.openxmlformats.org/officeDocument/2006/relationships/footer" Target="footer5.xml"/><Relationship Id="rId12" Type="http://schemas.openxmlformats.org/officeDocument/2006/relationships/footer" Target="footer4.xml"/><Relationship Id="rId116" Type="http://schemas.openxmlformats.org/officeDocument/2006/relationships/fontTable" Target="fontTable.xml"/><Relationship Id="rId115" Type="http://schemas.openxmlformats.org/officeDocument/2006/relationships/customXml" Target="../customXml/item2.xml"/><Relationship Id="rId114" Type="http://schemas.openxmlformats.org/officeDocument/2006/relationships/numbering" Target="numbering.xml"/><Relationship Id="rId113" Type="http://schemas.openxmlformats.org/officeDocument/2006/relationships/customXml" Target="../customXml/item1.xml"/><Relationship Id="rId112" Type="http://schemas.openxmlformats.org/officeDocument/2006/relationships/image" Target="media/image89.png"/><Relationship Id="rId111" Type="http://schemas.openxmlformats.org/officeDocument/2006/relationships/image" Target="media/image88.png"/><Relationship Id="rId110" Type="http://schemas.openxmlformats.org/officeDocument/2006/relationships/image" Target="media/image87.png"/><Relationship Id="rId11" Type="http://schemas.openxmlformats.org/officeDocument/2006/relationships/header" Target="header4.xml"/><Relationship Id="rId109" Type="http://schemas.openxmlformats.org/officeDocument/2006/relationships/image" Target="media/image86.png"/><Relationship Id="rId108" Type="http://schemas.openxmlformats.org/officeDocument/2006/relationships/image" Target="media/image85.jpeg"/><Relationship Id="rId107" Type="http://schemas.openxmlformats.org/officeDocument/2006/relationships/image" Target="media/image84.png"/><Relationship Id="rId106" Type="http://schemas.openxmlformats.org/officeDocument/2006/relationships/image" Target="media/image83.png"/><Relationship Id="rId105" Type="http://schemas.openxmlformats.org/officeDocument/2006/relationships/image" Target="media/image82.png"/><Relationship Id="rId104" Type="http://schemas.openxmlformats.org/officeDocument/2006/relationships/image" Target="media/image81.jpeg"/><Relationship Id="rId103" Type="http://schemas.openxmlformats.org/officeDocument/2006/relationships/image" Target="media/image80.jpeg"/><Relationship Id="rId102" Type="http://schemas.openxmlformats.org/officeDocument/2006/relationships/image" Target="media/image79.png"/><Relationship Id="rId101" Type="http://schemas.openxmlformats.org/officeDocument/2006/relationships/image" Target="media/image78.png"/><Relationship Id="rId100" Type="http://schemas.openxmlformats.org/officeDocument/2006/relationships/image" Target="media/image77.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ln>
      </a:spPr>
      <a:bodyPr rot="0" vert="horz" wrap="square" lIns="91440" tIns="45720" rIns="91440" bIns="45720" anchor="t" anchorCtr="0" upright="1">
        <a:noAutofit/>
      </a:bodyPr>
      <a:lst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1B3248D-F05A-49EE-9589-37CB82AF3745}">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341</Pages>
  <Words>41162</Words>
  <Characters>234625</Characters>
  <Lines>1955</Lines>
  <Paragraphs>550</Paragraphs>
  <TotalTime>23</TotalTime>
  <ScaleCrop>false</ScaleCrop>
  <LinksUpToDate>false</LinksUpToDate>
  <CharactersWithSpaces>275237</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2024-03-18T06:31:00Z</dcterms:created>
  <dc:creator>Microsoft</dc:creator>
  <cp:lastModifiedBy>Administrator</cp:lastModifiedBy>
  <cp:lastPrinted>2023-10-19T09:33:00Z</cp:lastPrinted>
  <dcterms:modified xsi:type="dcterms:W3CDTF">2024-04-23T08:54:07Z</dcterms:modified>
  <cp:revision>118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2019-04-18T00:00:00Z</vt:filetime>
  </property>
  <property fmtid="{D5CDD505-2E9C-101B-9397-08002B2CF9AE}" pid="3" name="Creator">
    <vt:lpwstr>Microsoft® Word 2013</vt:lpwstr>
  </property>
  <property fmtid="{D5CDD505-2E9C-101B-9397-08002B2CF9AE}" pid="4" name="LastSaved">
    <vt:filetime>2020-05-20T00:00:00Z</vt:filetime>
  </property>
  <property fmtid="{D5CDD505-2E9C-101B-9397-08002B2CF9AE}" pid="5" name="KSOProductBuildVer">
    <vt:lpwstr>2052-12.1.0.15990</vt:lpwstr>
  </property>
  <property fmtid="{D5CDD505-2E9C-101B-9397-08002B2CF9AE}" pid="6" name="ICV">
    <vt:lpwstr>89222A47533745559E6EC13470EDC062</vt:lpwstr>
  </property>
</Properties>
</file>